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416DB2" w:rsidP="00176DE0">
      <w:pPr>
        <w:rPr>
          <w:sz w:val="24"/>
          <w:szCs w:val="24"/>
        </w:rPr>
      </w:pPr>
      <w:r>
        <w:rPr>
          <w:sz w:val="24"/>
          <w:szCs w:val="24"/>
        </w:rPr>
        <w:t xml:space="preserve">Dominique C. </w:t>
      </w:r>
      <w:proofErr w:type="spellStart"/>
      <w:r>
        <w:rPr>
          <w:sz w:val="24"/>
          <w:szCs w:val="24"/>
        </w:rPr>
        <w:t>Chenault</w:t>
      </w:r>
      <w:proofErr w:type="spellEnd"/>
      <w:r w:rsidR="00901C54">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585F33">
        <w:rPr>
          <w:sz w:val="24"/>
          <w:szCs w:val="24"/>
        </w:rPr>
        <w:t>F</w:t>
      </w:r>
      <w:r>
        <w:rPr>
          <w:sz w:val="24"/>
          <w:szCs w:val="24"/>
        </w:rPr>
        <w:t>-201</w:t>
      </w:r>
      <w:r w:rsidR="00786751">
        <w:rPr>
          <w:sz w:val="24"/>
          <w:szCs w:val="24"/>
        </w:rPr>
        <w:t>2</w:t>
      </w:r>
      <w:r>
        <w:rPr>
          <w:sz w:val="24"/>
          <w:szCs w:val="24"/>
        </w:rPr>
        <w:t>-2</w:t>
      </w:r>
      <w:r w:rsidR="00B41F0B">
        <w:rPr>
          <w:sz w:val="24"/>
          <w:szCs w:val="24"/>
        </w:rPr>
        <w:t>3</w:t>
      </w:r>
      <w:r w:rsidR="00901C54">
        <w:rPr>
          <w:sz w:val="24"/>
          <w:szCs w:val="24"/>
        </w:rPr>
        <w:t>1</w:t>
      </w:r>
      <w:r w:rsidR="00416DB2">
        <w:rPr>
          <w:sz w:val="24"/>
          <w:szCs w:val="24"/>
        </w:rPr>
        <w:t>7301</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77F0B" w:rsidP="00176DE0">
      <w:pPr>
        <w:rPr>
          <w:sz w:val="24"/>
          <w:szCs w:val="24"/>
        </w:rPr>
      </w:pPr>
      <w:r>
        <w:rPr>
          <w:sz w:val="24"/>
          <w:szCs w:val="24"/>
        </w:rPr>
        <w:t>P</w:t>
      </w:r>
      <w:r w:rsidR="00901C54">
        <w:rPr>
          <w:sz w:val="24"/>
          <w:szCs w:val="24"/>
        </w:rPr>
        <w:t>PL Electric Utilities Corporation</w:t>
      </w:r>
      <w:r w:rsidR="00901C54">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416DB2">
        <w:rPr>
          <w:b/>
          <w:sz w:val="24"/>
          <w:szCs w:val="24"/>
        </w:rPr>
        <w:t>Monday</w:t>
      </w:r>
      <w:r w:rsidR="003819D6">
        <w:rPr>
          <w:b/>
          <w:sz w:val="24"/>
          <w:szCs w:val="24"/>
        </w:rPr>
        <w:t>,</w:t>
      </w:r>
      <w:r w:rsidR="00DB4533">
        <w:rPr>
          <w:b/>
          <w:sz w:val="24"/>
          <w:szCs w:val="24"/>
        </w:rPr>
        <w:t xml:space="preserve"> </w:t>
      </w:r>
      <w:r w:rsidR="00416DB2">
        <w:rPr>
          <w:b/>
          <w:sz w:val="24"/>
          <w:szCs w:val="24"/>
        </w:rPr>
        <w:t>December 10</w:t>
      </w:r>
      <w:r w:rsidR="00B41F0B">
        <w:rPr>
          <w:b/>
          <w:sz w:val="24"/>
          <w:szCs w:val="24"/>
        </w:rPr>
        <w:t>,</w:t>
      </w:r>
      <w:r w:rsidR="003819D6">
        <w:rPr>
          <w:b/>
          <w:sz w:val="24"/>
          <w:szCs w:val="24"/>
        </w:rPr>
        <w:t xml:space="preserve"> 2012</w:t>
      </w:r>
      <w:r w:rsidR="00176DE0">
        <w:rPr>
          <w:b/>
          <w:sz w:val="24"/>
          <w:szCs w:val="24"/>
        </w:rPr>
        <w:t xml:space="preserve">, at </w:t>
      </w:r>
      <w:r w:rsidR="00777F0B">
        <w:rPr>
          <w:b/>
          <w:sz w:val="24"/>
          <w:szCs w:val="24"/>
        </w:rPr>
        <w:t>10</w:t>
      </w:r>
      <w:r w:rsidR="003819D6">
        <w:rPr>
          <w:b/>
          <w:sz w:val="24"/>
          <w:szCs w:val="24"/>
        </w:rPr>
        <w:t>:</w:t>
      </w:r>
      <w:r w:rsidR="00C619A3">
        <w:rPr>
          <w:b/>
          <w:sz w:val="24"/>
          <w:szCs w:val="24"/>
        </w:rPr>
        <w:t>0</w:t>
      </w:r>
      <w:r w:rsidR="00176DE0">
        <w:rPr>
          <w:b/>
          <w:sz w:val="24"/>
          <w:szCs w:val="24"/>
        </w:rPr>
        <w:t xml:space="preserve">0 </w:t>
      </w:r>
      <w:r w:rsidR="00777F0B">
        <w:rPr>
          <w:b/>
          <w:sz w:val="24"/>
          <w:szCs w:val="24"/>
        </w:rPr>
        <w:t>a</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r w:rsidR="00901C54">
        <w:rPr>
          <w:b/>
          <w:sz w:val="24"/>
          <w:szCs w:val="24"/>
        </w:rPr>
        <w:t xml:space="preserve">Documents must be </w:t>
      </w:r>
      <w:r w:rsidR="00901C54" w:rsidRPr="00322B41">
        <w:rPr>
          <w:b/>
          <w:sz w:val="24"/>
          <w:szCs w:val="24"/>
          <w:u w:val="single"/>
        </w:rPr>
        <w:t>received</w:t>
      </w:r>
      <w:r w:rsidR="00901C54">
        <w:rPr>
          <w:b/>
          <w:sz w:val="24"/>
          <w:szCs w:val="24"/>
        </w:rPr>
        <w:t xml:space="preserve"> prior to the date of the hearing.  </w:t>
      </w:r>
      <w:r>
        <w:rPr>
          <w:sz w:val="24"/>
          <w:szCs w:val="24"/>
        </w:rPr>
        <w:t>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52 Pa. Code § 1.24(b).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gramStart"/>
      <w:r>
        <w:rPr>
          <w:sz w:val="24"/>
          <w:szCs w:val="24"/>
        </w:rPr>
        <w:t>P.O</w:t>
      </w:r>
      <w:proofErr w:type="gramEnd"/>
      <w:r>
        <w:rPr>
          <w:sz w:val="24"/>
          <w:szCs w:val="24"/>
        </w:rPr>
        <w:t>.</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w:t>
      </w:r>
      <w:r w:rsidR="00416DB2">
        <w:rPr>
          <w:sz w:val="24"/>
          <w:szCs w:val="24"/>
        </w:rPr>
        <w:t>November 7</w:t>
      </w:r>
      <w:r w:rsidR="00412E46">
        <w:rPr>
          <w:sz w:val="24"/>
          <w:szCs w:val="24"/>
        </w:rPr>
        <w:t>,</w:t>
      </w:r>
      <w:r w:rsidR="00176DE0">
        <w:rPr>
          <w:sz w:val="24"/>
          <w:szCs w:val="24"/>
        </w:rPr>
        <w:t xml:space="preserve"> 201</w:t>
      </w:r>
      <w:r w:rsidR="00412E46">
        <w:rPr>
          <w:sz w:val="24"/>
          <w:szCs w:val="24"/>
        </w:rPr>
        <w:t>2</w:t>
      </w:r>
      <w:r w:rsidR="00364636">
        <w:tab/>
      </w:r>
      <w:r w:rsidR="003819D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345C76" w:rsidRDefault="00ED3EC8" w:rsidP="008A41C8">
      <w:pPr>
        <w:pStyle w:val="NoSpacing"/>
        <w:rPr>
          <w:sz w:val="24"/>
          <w:szCs w:val="24"/>
        </w:rPr>
        <w:sectPr w:rsidR="00345C76" w:rsidSect="00ED3EC8">
          <w:footerReference w:type="even" r:id="rId7"/>
          <w:footerReference w:type="default" r:id="rId8"/>
          <w:pgSz w:w="12240" w:h="15840"/>
          <w:pgMar w:top="1296" w:right="1296" w:bottom="1296" w:left="1296" w:header="720" w:footer="720" w:gutter="0"/>
          <w:cols w:space="720"/>
          <w:titlePg/>
          <w:docGrid w:linePitch="360"/>
        </w:sect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345C76" w:rsidRDefault="00345C76" w:rsidP="00345C76">
      <w:pPr>
        <w:contextualSpacing/>
        <w:rPr>
          <w:rFonts w:ascii="Microsoft Sans Serif"/>
          <w:sz w:val="24"/>
        </w:rPr>
      </w:pPr>
      <w:r>
        <w:rPr>
          <w:rFonts w:ascii="Microsoft Sans Serif"/>
          <w:b/>
          <w:sz w:val="24"/>
          <w:u w:val="single"/>
        </w:rPr>
        <w:lastRenderedPageBreak/>
        <w:t>F-2012-2317301 - DOMINIQUE C CHENAULT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DOMINIQUE C CHENAULT</w:t>
      </w:r>
      <w:r>
        <w:rPr>
          <w:rFonts w:ascii="Microsoft Sans Serif"/>
          <w:sz w:val="24"/>
        </w:rPr>
        <w:cr/>
        <w:t>1722 FORSTER STREET</w:t>
      </w:r>
      <w:r>
        <w:rPr>
          <w:rFonts w:ascii="Microsoft Sans Serif"/>
          <w:sz w:val="24"/>
        </w:rPr>
        <w:cr/>
        <w:t>HARRISBURG PA  17103</w:t>
      </w:r>
      <w:r>
        <w:rPr>
          <w:rFonts w:ascii="Microsoft Sans Serif"/>
          <w:sz w:val="24"/>
        </w:rPr>
        <w:cr/>
        <w:t>717.342.8607</w:t>
      </w:r>
      <w:r>
        <w:rPr>
          <w:rFonts w:ascii="Microsoft Sans Serif"/>
          <w:sz w:val="24"/>
        </w:rPr>
        <w:cr/>
      </w:r>
    </w:p>
    <w:p w:rsidR="00345C76" w:rsidRDefault="00345C76" w:rsidP="00345C76">
      <w:pPr>
        <w:contextualSpacing/>
      </w:pP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bookmarkEnd w:id="0"/>
      <w:r>
        <w:rPr>
          <w:rFonts w:ascii="Microsoft Sans Serif"/>
          <w:sz w:val="24"/>
        </w:rPr>
        <w:cr/>
        <w:t>610.820.5450</w:t>
      </w:r>
      <w:r>
        <w:rPr>
          <w:rFonts w:ascii="Microsoft Sans Serif"/>
          <w:sz w:val="24"/>
        </w:rPr>
        <w:cr/>
      </w:r>
    </w:p>
    <w:p w:rsidR="00345C76" w:rsidRDefault="00345C76" w:rsidP="00345C76"/>
    <w:p w:rsidR="00ED3EC8" w:rsidRPr="008A41C8" w:rsidRDefault="00ED3EC8" w:rsidP="008A41C8">
      <w:pPr>
        <w:pStyle w:val="NoSpacing"/>
        <w:rPr>
          <w:b/>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BEF" w:rsidRDefault="00092BEF">
      <w:r>
        <w:separator/>
      </w:r>
    </w:p>
  </w:endnote>
  <w:endnote w:type="continuationSeparator" w:id="0">
    <w:p w:rsidR="00092BEF" w:rsidRDefault="0009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F37C3C">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BEF" w:rsidRDefault="00092BEF">
      <w:r>
        <w:separator/>
      </w:r>
    </w:p>
  </w:footnote>
  <w:footnote w:type="continuationSeparator" w:id="0">
    <w:p w:rsidR="00092BEF" w:rsidRDefault="00092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BEF"/>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5082"/>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22B41"/>
    <w:rsid w:val="00330A67"/>
    <w:rsid w:val="00334F62"/>
    <w:rsid w:val="003364EB"/>
    <w:rsid w:val="003366D5"/>
    <w:rsid w:val="00344C34"/>
    <w:rsid w:val="00345C76"/>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16DB2"/>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1FB8"/>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1C54"/>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37C3C"/>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E65DE"/>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2012-11-07T18:45:00Z</cp:lastPrinted>
  <dcterms:created xsi:type="dcterms:W3CDTF">2012-11-07T18:43:00Z</dcterms:created>
  <dcterms:modified xsi:type="dcterms:W3CDTF">2012-11-07T18:55:00Z</dcterms:modified>
</cp:coreProperties>
</file>