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0B" w:rsidRDefault="00D71D0B" w:rsidP="00D71D0B">
      <w:pPr>
        <w:pStyle w:val="c2"/>
        <w:outlineLvl w:val="0"/>
        <w:rPr>
          <w:b/>
          <w:sz w:val="28"/>
          <w:szCs w:val="28"/>
        </w:rPr>
      </w:pPr>
      <w:r>
        <w:rPr>
          <w:b/>
          <w:sz w:val="28"/>
          <w:szCs w:val="28"/>
        </w:rPr>
        <w:t>PENNSYLVANIA</w:t>
      </w:r>
    </w:p>
    <w:p w:rsidR="00D71D0B" w:rsidRDefault="00D71D0B" w:rsidP="00D71D0B">
      <w:pPr>
        <w:pStyle w:val="c2"/>
        <w:outlineLvl w:val="0"/>
        <w:rPr>
          <w:b/>
          <w:sz w:val="28"/>
          <w:szCs w:val="28"/>
        </w:rPr>
      </w:pPr>
      <w:r>
        <w:rPr>
          <w:b/>
          <w:sz w:val="28"/>
          <w:szCs w:val="28"/>
        </w:rPr>
        <w:t>PUBLIC UTILITY COMMISSION</w:t>
      </w:r>
    </w:p>
    <w:p w:rsidR="00D71D0B" w:rsidRDefault="00D71D0B" w:rsidP="00D71D0B">
      <w:pPr>
        <w:pStyle w:val="c2"/>
        <w:outlineLvl w:val="0"/>
        <w:rPr>
          <w:b/>
          <w:sz w:val="28"/>
          <w:szCs w:val="28"/>
        </w:rPr>
      </w:pPr>
      <w:r>
        <w:rPr>
          <w:b/>
          <w:sz w:val="28"/>
          <w:szCs w:val="28"/>
        </w:rPr>
        <w:t>Harrisburg, PA 17105-3265</w:t>
      </w:r>
    </w:p>
    <w:p w:rsidR="00D71D0B" w:rsidRDefault="00D71D0B" w:rsidP="00D71D0B">
      <w:pPr>
        <w:pStyle w:val="p3"/>
        <w:tabs>
          <w:tab w:val="left" w:pos="4320"/>
        </w:tabs>
        <w:rPr>
          <w:sz w:val="28"/>
          <w:szCs w:val="28"/>
        </w:rPr>
      </w:pPr>
    </w:p>
    <w:p w:rsidR="00D71D0B" w:rsidRDefault="00D71D0B" w:rsidP="00D71D0B">
      <w:pPr>
        <w:pStyle w:val="p3"/>
        <w:tabs>
          <w:tab w:val="left" w:pos="4320"/>
        </w:tabs>
        <w:spacing w:line="360" w:lineRule="auto"/>
        <w:outlineLvl w:val="0"/>
        <w:rPr>
          <w:sz w:val="26"/>
          <w:szCs w:val="26"/>
        </w:rPr>
      </w:pPr>
      <w:r>
        <w:rPr>
          <w:sz w:val="28"/>
          <w:szCs w:val="28"/>
        </w:rPr>
        <w:tab/>
      </w:r>
      <w:r w:rsidR="00477C1E">
        <w:rPr>
          <w:sz w:val="26"/>
          <w:szCs w:val="26"/>
        </w:rPr>
        <w:t xml:space="preserve">              </w:t>
      </w:r>
      <w:r>
        <w:rPr>
          <w:sz w:val="26"/>
          <w:szCs w:val="26"/>
        </w:rPr>
        <w:t xml:space="preserve">Public Meeting held </w:t>
      </w:r>
      <w:r w:rsidR="00477C1E">
        <w:rPr>
          <w:sz w:val="26"/>
          <w:szCs w:val="26"/>
        </w:rPr>
        <w:t>November 8</w:t>
      </w:r>
      <w:r>
        <w:rPr>
          <w:sz w:val="26"/>
          <w:szCs w:val="26"/>
        </w:rPr>
        <w:t>, 2012</w:t>
      </w:r>
    </w:p>
    <w:p w:rsidR="00D71D0B" w:rsidRDefault="001D1FE5" w:rsidP="001D1FE5">
      <w:pPr>
        <w:pStyle w:val="p4"/>
        <w:tabs>
          <w:tab w:val="clear" w:pos="204"/>
          <w:tab w:val="left" w:pos="4320"/>
        </w:tabs>
        <w:spacing w:line="360" w:lineRule="auto"/>
        <w:rPr>
          <w:sz w:val="26"/>
          <w:szCs w:val="26"/>
        </w:rPr>
      </w:pPr>
      <w:r>
        <w:rPr>
          <w:sz w:val="26"/>
          <w:szCs w:val="26"/>
        </w:rPr>
        <w:tab/>
      </w:r>
    </w:p>
    <w:p w:rsidR="00D71D0B" w:rsidRDefault="00D71D0B" w:rsidP="00D71D0B">
      <w:pPr>
        <w:pStyle w:val="p4"/>
        <w:rPr>
          <w:sz w:val="26"/>
          <w:szCs w:val="26"/>
        </w:rPr>
      </w:pPr>
      <w:r>
        <w:rPr>
          <w:sz w:val="26"/>
          <w:szCs w:val="26"/>
        </w:rPr>
        <w:t>Commissioners Present:</w:t>
      </w:r>
    </w:p>
    <w:p w:rsidR="00D71D0B" w:rsidRDefault="00D71D0B" w:rsidP="00D71D0B">
      <w:pPr>
        <w:tabs>
          <w:tab w:val="left" w:pos="204"/>
        </w:tabs>
        <w:rPr>
          <w:sz w:val="26"/>
          <w:szCs w:val="26"/>
        </w:rPr>
      </w:pPr>
    </w:p>
    <w:p w:rsidR="00D71D0B" w:rsidRDefault="00D71D0B" w:rsidP="00D71D0B">
      <w:pPr>
        <w:pStyle w:val="p5"/>
        <w:ind w:left="391"/>
        <w:rPr>
          <w:sz w:val="26"/>
          <w:szCs w:val="26"/>
        </w:rPr>
      </w:pPr>
      <w:r>
        <w:rPr>
          <w:sz w:val="26"/>
          <w:szCs w:val="26"/>
        </w:rPr>
        <w:t>Robert F. Powelson, Chairman</w:t>
      </w:r>
    </w:p>
    <w:p w:rsidR="00D71D0B" w:rsidRDefault="00D71D0B" w:rsidP="00D71D0B">
      <w:pPr>
        <w:pStyle w:val="p5"/>
        <w:ind w:left="391"/>
        <w:rPr>
          <w:sz w:val="26"/>
          <w:szCs w:val="26"/>
        </w:rPr>
      </w:pPr>
      <w:r>
        <w:rPr>
          <w:sz w:val="26"/>
          <w:szCs w:val="26"/>
        </w:rPr>
        <w:t xml:space="preserve">John F. Coleman, </w:t>
      </w:r>
      <w:r w:rsidR="006E6455">
        <w:rPr>
          <w:sz w:val="26"/>
          <w:szCs w:val="26"/>
        </w:rPr>
        <w:t xml:space="preserve">Jr., </w:t>
      </w:r>
      <w:r>
        <w:rPr>
          <w:sz w:val="26"/>
          <w:szCs w:val="26"/>
        </w:rPr>
        <w:t>Vice Chairman</w:t>
      </w:r>
    </w:p>
    <w:p w:rsidR="00D71D0B" w:rsidRDefault="00D71D0B" w:rsidP="00D71D0B">
      <w:pPr>
        <w:pStyle w:val="p5"/>
        <w:ind w:left="391"/>
        <w:rPr>
          <w:sz w:val="26"/>
          <w:szCs w:val="26"/>
        </w:rPr>
      </w:pPr>
      <w:r>
        <w:rPr>
          <w:sz w:val="26"/>
          <w:szCs w:val="26"/>
        </w:rPr>
        <w:t>Wayne E. Gardner</w:t>
      </w:r>
    </w:p>
    <w:p w:rsidR="00D71D0B" w:rsidRDefault="00D71D0B" w:rsidP="00D71D0B">
      <w:pPr>
        <w:pStyle w:val="p5"/>
        <w:ind w:left="391"/>
        <w:outlineLvl w:val="0"/>
        <w:rPr>
          <w:sz w:val="26"/>
          <w:szCs w:val="26"/>
        </w:rPr>
      </w:pPr>
      <w:r>
        <w:rPr>
          <w:sz w:val="26"/>
          <w:szCs w:val="26"/>
        </w:rPr>
        <w:t>James H. Cawley</w:t>
      </w:r>
    </w:p>
    <w:p w:rsidR="00D71D0B" w:rsidRDefault="00D71D0B" w:rsidP="00D71D0B">
      <w:pPr>
        <w:pStyle w:val="p5"/>
        <w:ind w:left="0"/>
        <w:outlineLvl w:val="0"/>
        <w:rPr>
          <w:sz w:val="26"/>
          <w:szCs w:val="26"/>
        </w:rPr>
      </w:pPr>
      <w:r>
        <w:rPr>
          <w:sz w:val="26"/>
          <w:szCs w:val="26"/>
        </w:rPr>
        <w:t xml:space="preserve">      Pamela A. Witmer</w:t>
      </w:r>
    </w:p>
    <w:p w:rsidR="00D71D0B" w:rsidRDefault="00D71D0B" w:rsidP="00D71D0B">
      <w:pPr>
        <w:pStyle w:val="p5"/>
        <w:ind w:left="391"/>
        <w:rPr>
          <w:sz w:val="26"/>
          <w:szCs w:val="26"/>
        </w:rPr>
      </w:pPr>
    </w:p>
    <w:p w:rsidR="00D71D0B" w:rsidRDefault="00205A69" w:rsidP="00C21D0E">
      <w:pPr>
        <w:pStyle w:val="p4"/>
        <w:tabs>
          <w:tab w:val="clear" w:pos="204"/>
          <w:tab w:val="left" w:pos="0"/>
          <w:tab w:val="left" w:pos="4320"/>
          <w:tab w:val="left" w:pos="5130"/>
        </w:tabs>
        <w:jc w:val="both"/>
        <w:outlineLvl w:val="0"/>
        <w:rPr>
          <w:sz w:val="26"/>
          <w:szCs w:val="26"/>
        </w:rPr>
      </w:pPr>
      <w:r>
        <w:rPr>
          <w:sz w:val="26"/>
          <w:szCs w:val="26"/>
        </w:rPr>
        <w:t>Application o</w:t>
      </w:r>
      <w:r w:rsidR="00D71D0B">
        <w:rPr>
          <w:sz w:val="26"/>
          <w:szCs w:val="26"/>
        </w:rPr>
        <w:t>f PPL Electric Utilities</w:t>
      </w:r>
    </w:p>
    <w:p w:rsidR="00E04AF7" w:rsidRDefault="00205A69" w:rsidP="00C21D0E">
      <w:pPr>
        <w:pStyle w:val="p4"/>
        <w:tabs>
          <w:tab w:val="clear" w:pos="204"/>
          <w:tab w:val="left" w:pos="0"/>
          <w:tab w:val="left" w:pos="4320"/>
          <w:tab w:val="left" w:pos="5130"/>
        </w:tabs>
        <w:jc w:val="both"/>
        <w:outlineLvl w:val="0"/>
        <w:rPr>
          <w:sz w:val="26"/>
          <w:szCs w:val="26"/>
        </w:rPr>
      </w:pPr>
      <w:r>
        <w:rPr>
          <w:sz w:val="26"/>
          <w:szCs w:val="26"/>
        </w:rPr>
        <w:t>Corporation, Filed Pursuant t</w:t>
      </w:r>
      <w:r w:rsidR="00D71D0B">
        <w:rPr>
          <w:sz w:val="26"/>
          <w:szCs w:val="26"/>
        </w:rPr>
        <w:t>o 52 Pa.</w:t>
      </w:r>
    </w:p>
    <w:p w:rsidR="00D71D0B" w:rsidRDefault="003829A3" w:rsidP="00C21D0E">
      <w:pPr>
        <w:pStyle w:val="p4"/>
        <w:tabs>
          <w:tab w:val="clear" w:pos="204"/>
          <w:tab w:val="left" w:pos="0"/>
          <w:tab w:val="left" w:pos="4320"/>
          <w:tab w:val="left" w:pos="5130"/>
        </w:tabs>
        <w:jc w:val="both"/>
        <w:outlineLvl w:val="0"/>
        <w:rPr>
          <w:sz w:val="26"/>
          <w:szCs w:val="26"/>
        </w:rPr>
      </w:pPr>
      <w:r>
        <w:rPr>
          <w:sz w:val="26"/>
          <w:szCs w:val="26"/>
        </w:rPr>
        <w:t xml:space="preserve">Code Chapter 57 </w:t>
      </w:r>
      <w:r w:rsidR="00205A69">
        <w:rPr>
          <w:sz w:val="26"/>
          <w:szCs w:val="26"/>
        </w:rPr>
        <w:t>Sub</w:t>
      </w:r>
      <w:r>
        <w:rPr>
          <w:sz w:val="26"/>
          <w:szCs w:val="26"/>
        </w:rPr>
        <w:t>chapter G</w:t>
      </w:r>
      <w:r w:rsidR="00205A69">
        <w:rPr>
          <w:sz w:val="26"/>
          <w:szCs w:val="26"/>
        </w:rPr>
        <w:t xml:space="preserve"> </w:t>
      </w:r>
      <w:r w:rsidR="008B1854">
        <w:rPr>
          <w:sz w:val="26"/>
          <w:szCs w:val="26"/>
        </w:rPr>
        <w:t xml:space="preserve">with </w:t>
      </w:r>
    </w:p>
    <w:p w:rsidR="00477C1E" w:rsidRDefault="00477C1E" w:rsidP="00C21D0E">
      <w:pPr>
        <w:pStyle w:val="p4"/>
        <w:tabs>
          <w:tab w:val="clear" w:pos="204"/>
          <w:tab w:val="left" w:pos="0"/>
          <w:tab w:val="left" w:pos="4320"/>
          <w:tab w:val="left" w:pos="4860"/>
          <w:tab w:val="left" w:pos="5130"/>
        </w:tabs>
        <w:jc w:val="both"/>
        <w:outlineLvl w:val="0"/>
        <w:rPr>
          <w:sz w:val="26"/>
          <w:szCs w:val="26"/>
        </w:rPr>
      </w:pPr>
      <w:r>
        <w:rPr>
          <w:sz w:val="26"/>
          <w:szCs w:val="26"/>
        </w:rPr>
        <w:t>For approval of the Reconstruction of a</w:t>
      </w:r>
      <w:r w:rsidR="006E6455">
        <w:rPr>
          <w:sz w:val="26"/>
          <w:szCs w:val="26"/>
        </w:rPr>
        <w:t xml:space="preserve">                                         A-2012-2319095</w:t>
      </w:r>
    </w:p>
    <w:p w:rsidR="00477C1E" w:rsidRDefault="00477C1E" w:rsidP="00C21D0E">
      <w:pPr>
        <w:pStyle w:val="p4"/>
        <w:tabs>
          <w:tab w:val="clear" w:pos="204"/>
          <w:tab w:val="left" w:pos="0"/>
          <w:tab w:val="left" w:pos="4320"/>
          <w:tab w:val="left" w:pos="4860"/>
          <w:tab w:val="left" w:pos="5130"/>
        </w:tabs>
        <w:jc w:val="both"/>
        <w:outlineLvl w:val="0"/>
        <w:rPr>
          <w:sz w:val="26"/>
          <w:szCs w:val="26"/>
        </w:rPr>
      </w:pPr>
      <w:r>
        <w:rPr>
          <w:sz w:val="26"/>
          <w:szCs w:val="26"/>
        </w:rPr>
        <w:t>Portion of the South Akron-Dillerville</w:t>
      </w:r>
    </w:p>
    <w:p w:rsidR="00477C1E" w:rsidRDefault="00477C1E" w:rsidP="00C21D0E">
      <w:pPr>
        <w:pStyle w:val="p4"/>
        <w:tabs>
          <w:tab w:val="clear" w:pos="204"/>
          <w:tab w:val="left" w:pos="0"/>
          <w:tab w:val="left" w:pos="4320"/>
          <w:tab w:val="left" w:pos="4860"/>
          <w:tab w:val="left" w:pos="5130"/>
        </w:tabs>
        <w:jc w:val="both"/>
        <w:outlineLvl w:val="0"/>
        <w:rPr>
          <w:sz w:val="26"/>
          <w:szCs w:val="26"/>
        </w:rPr>
      </w:pPr>
      <w:r>
        <w:rPr>
          <w:sz w:val="26"/>
          <w:szCs w:val="26"/>
        </w:rPr>
        <w:t>#1and #2 138 kV Transmission Line in</w:t>
      </w:r>
    </w:p>
    <w:p w:rsidR="007C580D" w:rsidRDefault="00477C1E" w:rsidP="00477C1E">
      <w:pPr>
        <w:pStyle w:val="p4"/>
        <w:tabs>
          <w:tab w:val="clear" w:pos="204"/>
          <w:tab w:val="left" w:pos="0"/>
          <w:tab w:val="left" w:pos="4320"/>
          <w:tab w:val="left" w:pos="4860"/>
          <w:tab w:val="left" w:pos="5130"/>
        </w:tabs>
        <w:jc w:val="both"/>
        <w:outlineLvl w:val="0"/>
        <w:rPr>
          <w:sz w:val="26"/>
          <w:szCs w:val="26"/>
        </w:rPr>
      </w:pPr>
      <w:r>
        <w:rPr>
          <w:sz w:val="26"/>
          <w:szCs w:val="26"/>
        </w:rPr>
        <w:t>East Hempfield and Manheim Townships</w:t>
      </w:r>
      <w:r w:rsidR="007C580D">
        <w:rPr>
          <w:sz w:val="26"/>
          <w:szCs w:val="26"/>
        </w:rPr>
        <w:t xml:space="preserve"> </w:t>
      </w:r>
    </w:p>
    <w:p w:rsidR="007C580D" w:rsidRDefault="00477C1E" w:rsidP="007C580D">
      <w:pPr>
        <w:pStyle w:val="p4"/>
        <w:tabs>
          <w:tab w:val="clear" w:pos="204"/>
          <w:tab w:val="left" w:pos="0"/>
        </w:tabs>
        <w:jc w:val="both"/>
        <w:outlineLvl w:val="0"/>
        <w:rPr>
          <w:sz w:val="26"/>
          <w:szCs w:val="26"/>
        </w:rPr>
      </w:pPr>
      <w:r>
        <w:rPr>
          <w:sz w:val="26"/>
          <w:szCs w:val="26"/>
        </w:rPr>
        <w:t>Lancaster</w:t>
      </w:r>
      <w:r w:rsidR="007C580D">
        <w:rPr>
          <w:sz w:val="26"/>
          <w:szCs w:val="26"/>
        </w:rPr>
        <w:t>, County, Pennsylvania.</w:t>
      </w:r>
    </w:p>
    <w:p w:rsidR="00D71D0B" w:rsidRDefault="00D71D0B" w:rsidP="00D71D0B">
      <w:pPr>
        <w:pStyle w:val="p4"/>
        <w:tabs>
          <w:tab w:val="left" w:pos="0"/>
        </w:tabs>
        <w:outlineLvl w:val="0"/>
        <w:rPr>
          <w:b/>
          <w:sz w:val="26"/>
          <w:szCs w:val="26"/>
        </w:rPr>
      </w:pPr>
    </w:p>
    <w:p w:rsidR="00D71D0B" w:rsidRDefault="00D71D0B" w:rsidP="00D71D0B">
      <w:pPr>
        <w:pStyle w:val="c2"/>
        <w:tabs>
          <w:tab w:val="left" w:pos="204"/>
        </w:tabs>
        <w:spacing w:line="360" w:lineRule="auto"/>
        <w:outlineLvl w:val="0"/>
        <w:rPr>
          <w:b/>
          <w:sz w:val="26"/>
          <w:szCs w:val="26"/>
        </w:rPr>
      </w:pPr>
      <w:r>
        <w:rPr>
          <w:b/>
          <w:sz w:val="26"/>
          <w:szCs w:val="26"/>
        </w:rPr>
        <w:t>ORDER</w:t>
      </w:r>
    </w:p>
    <w:p w:rsidR="00D71D0B" w:rsidRDefault="00D71D0B" w:rsidP="00D71D0B">
      <w:pPr>
        <w:pStyle w:val="p4"/>
        <w:spacing w:line="360" w:lineRule="auto"/>
        <w:rPr>
          <w:b/>
          <w:sz w:val="26"/>
          <w:szCs w:val="26"/>
        </w:rPr>
      </w:pPr>
      <w:r>
        <w:rPr>
          <w:b/>
          <w:sz w:val="26"/>
          <w:szCs w:val="26"/>
        </w:rPr>
        <w:t>BY THE COMMISSION:</w:t>
      </w:r>
    </w:p>
    <w:p w:rsidR="00D71D0B" w:rsidRDefault="00D71D0B" w:rsidP="00D71D0B">
      <w:pPr>
        <w:tabs>
          <w:tab w:val="left" w:pos="204"/>
        </w:tabs>
        <w:spacing w:line="360" w:lineRule="auto"/>
        <w:rPr>
          <w:sz w:val="26"/>
          <w:szCs w:val="26"/>
        </w:rPr>
      </w:pPr>
    </w:p>
    <w:p w:rsidR="00D71D0B" w:rsidRDefault="00E04AF7" w:rsidP="00D71D0B">
      <w:pPr>
        <w:widowControl/>
        <w:tabs>
          <w:tab w:val="left" w:pos="-1440"/>
          <w:tab w:val="left" w:pos="1440"/>
        </w:tabs>
        <w:suppressAutoHyphens/>
        <w:autoSpaceDE/>
        <w:adjustRightInd/>
        <w:spacing w:line="360" w:lineRule="auto"/>
        <w:rPr>
          <w:sz w:val="26"/>
          <w:szCs w:val="26"/>
        </w:rPr>
      </w:pPr>
      <w:r>
        <w:rPr>
          <w:kern w:val="2"/>
          <w:sz w:val="26"/>
          <w:szCs w:val="26"/>
        </w:rPr>
        <w:tab/>
        <w:t xml:space="preserve">On </w:t>
      </w:r>
      <w:r w:rsidR="008B1854">
        <w:rPr>
          <w:kern w:val="2"/>
          <w:sz w:val="26"/>
          <w:szCs w:val="26"/>
        </w:rPr>
        <w:t>August</w:t>
      </w:r>
      <w:r>
        <w:rPr>
          <w:kern w:val="2"/>
          <w:sz w:val="26"/>
          <w:szCs w:val="26"/>
        </w:rPr>
        <w:t xml:space="preserve"> </w:t>
      </w:r>
      <w:r w:rsidR="00060D6C">
        <w:rPr>
          <w:kern w:val="2"/>
          <w:sz w:val="26"/>
          <w:szCs w:val="26"/>
        </w:rPr>
        <w:t>13</w:t>
      </w:r>
      <w:r w:rsidR="00D71D0B">
        <w:rPr>
          <w:kern w:val="2"/>
          <w:sz w:val="26"/>
          <w:szCs w:val="26"/>
        </w:rPr>
        <w:t xml:space="preserve">, 2012, </w:t>
      </w:r>
      <w:r w:rsidR="00D71D0B">
        <w:rPr>
          <w:sz w:val="26"/>
          <w:szCs w:val="26"/>
        </w:rPr>
        <w:t>PPL Electric Utilities Corporation</w:t>
      </w:r>
      <w:r w:rsidR="00D71D0B">
        <w:rPr>
          <w:kern w:val="2"/>
          <w:sz w:val="26"/>
          <w:szCs w:val="26"/>
        </w:rPr>
        <w:t xml:space="preserve"> (“</w:t>
      </w:r>
      <w:r w:rsidR="00D71D0B">
        <w:rPr>
          <w:sz w:val="26"/>
          <w:szCs w:val="26"/>
        </w:rPr>
        <w:t>PPL Electric</w:t>
      </w:r>
      <w:r w:rsidR="00D71D0B">
        <w:rPr>
          <w:kern w:val="2"/>
          <w:sz w:val="26"/>
          <w:szCs w:val="26"/>
        </w:rPr>
        <w:t xml:space="preserve">”) filed a Letter of Notification (“LON”) </w:t>
      </w:r>
      <w:r w:rsidR="00D71D0B">
        <w:rPr>
          <w:sz w:val="26"/>
          <w:szCs w:val="26"/>
        </w:rPr>
        <w:t xml:space="preserve">pursuant to 52 Pa. Code </w:t>
      </w:r>
      <w:r w:rsidR="008B1854">
        <w:rPr>
          <w:kern w:val="2"/>
          <w:sz w:val="26"/>
          <w:szCs w:val="26"/>
        </w:rPr>
        <w:t>§57.72(d)(1)(</w:t>
      </w:r>
      <w:r w:rsidR="00440BDD">
        <w:rPr>
          <w:kern w:val="2"/>
          <w:sz w:val="26"/>
          <w:szCs w:val="26"/>
        </w:rPr>
        <w:t>v</w:t>
      </w:r>
      <w:r w:rsidR="00524D3E">
        <w:rPr>
          <w:kern w:val="2"/>
          <w:sz w:val="26"/>
          <w:szCs w:val="26"/>
        </w:rPr>
        <w:t>i</w:t>
      </w:r>
      <w:r w:rsidR="00D71D0B">
        <w:rPr>
          <w:kern w:val="2"/>
          <w:sz w:val="26"/>
          <w:szCs w:val="26"/>
        </w:rPr>
        <w:t>) of the Commission’s transmission line siting regulations.</w:t>
      </w:r>
      <w:r w:rsidR="00D71D0B">
        <w:rPr>
          <w:sz w:val="26"/>
          <w:szCs w:val="26"/>
        </w:rPr>
        <w:t xml:space="preserve">  Section </w:t>
      </w:r>
      <w:r w:rsidR="00D71D0B">
        <w:rPr>
          <w:iCs/>
          <w:sz w:val="26"/>
          <w:szCs w:val="26"/>
        </w:rPr>
        <w:t xml:space="preserve">57.72 </w:t>
      </w:r>
      <w:r w:rsidR="00D71D0B">
        <w:rPr>
          <w:sz w:val="26"/>
          <w:szCs w:val="26"/>
        </w:rPr>
        <w:t>authorizes the abbreviated “Letter of Notification” siting application process in lieu of an application for the following:</w:t>
      </w:r>
    </w:p>
    <w:p w:rsidR="00D71D0B" w:rsidRDefault="00D71D0B" w:rsidP="00D71D0B">
      <w:pPr>
        <w:tabs>
          <w:tab w:val="left" w:pos="1479"/>
        </w:tabs>
        <w:spacing w:line="360" w:lineRule="auto"/>
        <w:rPr>
          <w:sz w:val="26"/>
          <w:szCs w:val="26"/>
        </w:rPr>
      </w:pPr>
    </w:p>
    <w:p w:rsidR="00D71D0B" w:rsidRDefault="00D71D0B" w:rsidP="00D71D0B">
      <w:pPr>
        <w:pStyle w:val="p7"/>
        <w:numPr>
          <w:ilvl w:val="0"/>
          <w:numId w:val="1"/>
        </w:numPr>
        <w:tabs>
          <w:tab w:val="left" w:pos="720"/>
          <w:tab w:val="num" w:pos="1170"/>
        </w:tabs>
        <w:spacing w:line="360" w:lineRule="auto"/>
        <w:ind w:left="1170" w:hanging="450"/>
        <w:jc w:val="both"/>
        <w:rPr>
          <w:sz w:val="26"/>
          <w:szCs w:val="26"/>
        </w:rPr>
      </w:pPr>
      <w:r>
        <w:rPr>
          <w:sz w:val="26"/>
          <w:szCs w:val="26"/>
        </w:rPr>
        <w:t>An HV line which is proposed to be located entirely on an existing transmission line right-of-way, so long as the size, character, design, or configuration, of the proposed HV line does not substantially alter the right-of-way.</w:t>
      </w:r>
    </w:p>
    <w:p w:rsidR="00D71D0B" w:rsidRDefault="00D71D0B" w:rsidP="00D71D0B">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lastRenderedPageBreak/>
        <w:t>An HV line which is proposed to be located entirely within a public road.</w:t>
      </w:r>
    </w:p>
    <w:p w:rsidR="00D71D0B" w:rsidRDefault="00D71D0B" w:rsidP="00D71D0B">
      <w:pPr>
        <w:pStyle w:val="p1"/>
        <w:tabs>
          <w:tab w:val="clear" w:pos="691"/>
          <w:tab w:val="left" w:pos="720"/>
        </w:tabs>
        <w:spacing w:line="360" w:lineRule="auto"/>
        <w:ind w:left="813"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w:t>
      </w:r>
      <w:r w:rsidR="00192322">
        <w:rPr>
          <w:sz w:val="26"/>
          <w:szCs w:val="26"/>
        </w:rPr>
        <w:t xml:space="preserve">ted entirely within applicant’s </w:t>
      </w:r>
      <w:r>
        <w:rPr>
          <w:sz w:val="26"/>
          <w:szCs w:val="26"/>
        </w:rPr>
        <w:t>existing transmission line right-of-way and the property of the sole customer to be served by the line, so long as the size, character, design, or configuration of the proposed HV line does not substantially alter the right-of-way.</w:t>
      </w:r>
    </w:p>
    <w:p w:rsidR="00D71D0B" w:rsidRDefault="00D71D0B" w:rsidP="00D71D0B">
      <w:pPr>
        <w:tabs>
          <w:tab w:val="left" w:pos="691"/>
          <w:tab w:val="left" w:pos="1054"/>
        </w:tabs>
        <w:spacing w:line="360" w:lineRule="auto"/>
        <w:rPr>
          <w:sz w:val="26"/>
          <w:szCs w:val="26"/>
        </w:rPr>
      </w:pPr>
    </w:p>
    <w:p w:rsidR="00D71D0B" w:rsidRDefault="00D71D0B" w:rsidP="00D71D0B">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D71D0B" w:rsidRDefault="00D71D0B" w:rsidP="00D71D0B">
      <w:pPr>
        <w:pStyle w:val="p1"/>
        <w:tabs>
          <w:tab w:val="clear" w:pos="691"/>
          <w:tab w:val="clear" w:pos="1054"/>
          <w:tab w:val="left" w:pos="540"/>
          <w:tab w:val="left" w:pos="108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which is to be reconductored or reconstructed so long as the size, character, design, or configuration of the proposed HV line does not substantially alter the right-of-way.</w:t>
      </w:r>
    </w:p>
    <w:p w:rsidR="00D71D0B" w:rsidRDefault="00D71D0B" w:rsidP="00EE325D">
      <w:pPr>
        <w:pStyle w:val="p1"/>
        <w:tabs>
          <w:tab w:val="clear" w:pos="691"/>
          <w:tab w:val="clear" w:pos="1054"/>
          <w:tab w:val="left" w:pos="720"/>
          <w:tab w:val="left" w:pos="1440"/>
        </w:tabs>
        <w:spacing w:line="360" w:lineRule="auto"/>
        <w:ind w:left="0" w:firstLine="0"/>
        <w:rPr>
          <w:sz w:val="26"/>
          <w:szCs w:val="26"/>
        </w:rPr>
      </w:pPr>
    </w:p>
    <w:p w:rsidR="00D71D0B" w:rsidRDefault="00D71D0B" w:rsidP="00EE325D">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D71D0B" w:rsidRDefault="00D71D0B" w:rsidP="00D71D0B">
      <w:pPr>
        <w:tabs>
          <w:tab w:val="left" w:pos="691"/>
          <w:tab w:val="left" w:pos="1440"/>
        </w:tabs>
        <w:spacing w:line="360" w:lineRule="auto"/>
        <w:rPr>
          <w:rFonts w:ascii="Times New (W1)" w:hAnsi="Times New (W1)"/>
          <w:sz w:val="26"/>
          <w:szCs w:val="26"/>
        </w:rPr>
      </w:pPr>
    </w:p>
    <w:p w:rsidR="00D71D0B" w:rsidRDefault="00D71D0B" w:rsidP="00D71D0B">
      <w:pPr>
        <w:pStyle w:val="p2"/>
        <w:spacing w:line="360" w:lineRule="auto"/>
        <w:ind w:firstLine="0"/>
        <w:rPr>
          <w:sz w:val="26"/>
          <w:szCs w:val="26"/>
        </w:rPr>
      </w:pPr>
      <w:r>
        <w:rPr>
          <w:rFonts w:ascii="Times New (W1)" w:hAnsi="Times New (W1)"/>
          <w:sz w:val="26"/>
          <w:szCs w:val="26"/>
        </w:rPr>
        <w:tab/>
      </w:r>
      <w:r>
        <w:rPr>
          <w:sz w:val="26"/>
          <w:szCs w:val="26"/>
        </w:rPr>
        <w:t xml:space="preserve">Copies of the Letter of Notification were served in accordance with Section 57.72(d) (3) and 57.74 (b), (c) on the PA Department of Transportation, PA Historical and Museum Commission, PA Department of Environmental Protection, </w:t>
      </w:r>
      <w:r w:rsidR="00761F03">
        <w:rPr>
          <w:sz w:val="26"/>
          <w:szCs w:val="26"/>
        </w:rPr>
        <w:t>Lancaster</w:t>
      </w:r>
      <w:r w:rsidR="008B1854">
        <w:rPr>
          <w:sz w:val="26"/>
          <w:szCs w:val="26"/>
        </w:rPr>
        <w:t xml:space="preserve"> County</w:t>
      </w:r>
      <w:r w:rsidR="00192322">
        <w:rPr>
          <w:sz w:val="26"/>
          <w:szCs w:val="26"/>
        </w:rPr>
        <w:t xml:space="preserve"> Planning Commission, </w:t>
      </w:r>
      <w:r w:rsidR="00761F03">
        <w:rPr>
          <w:sz w:val="26"/>
          <w:szCs w:val="26"/>
        </w:rPr>
        <w:t>Lancaster</w:t>
      </w:r>
      <w:r w:rsidR="00192322">
        <w:rPr>
          <w:sz w:val="26"/>
          <w:szCs w:val="26"/>
        </w:rPr>
        <w:t xml:space="preserve"> </w:t>
      </w:r>
      <w:r>
        <w:rPr>
          <w:sz w:val="26"/>
          <w:szCs w:val="26"/>
        </w:rPr>
        <w:t xml:space="preserve">County </w:t>
      </w:r>
      <w:r w:rsidR="00E04AF7">
        <w:rPr>
          <w:sz w:val="26"/>
          <w:szCs w:val="26"/>
        </w:rPr>
        <w:t xml:space="preserve">Board of </w:t>
      </w:r>
      <w:r>
        <w:rPr>
          <w:sz w:val="26"/>
          <w:szCs w:val="26"/>
        </w:rPr>
        <w:t xml:space="preserve">Commissioners, </w:t>
      </w:r>
      <w:r w:rsidR="00761F03">
        <w:rPr>
          <w:sz w:val="26"/>
          <w:szCs w:val="26"/>
        </w:rPr>
        <w:t>Manheim</w:t>
      </w:r>
      <w:r>
        <w:rPr>
          <w:sz w:val="26"/>
          <w:szCs w:val="26"/>
        </w:rPr>
        <w:t xml:space="preserve"> </w:t>
      </w:r>
      <w:r w:rsidR="00192322">
        <w:rPr>
          <w:sz w:val="26"/>
          <w:szCs w:val="26"/>
        </w:rPr>
        <w:t xml:space="preserve">Township Planning Commission, </w:t>
      </w:r>
      <w:r w:rsidR="00761F03">
        <w:rPr>
          <w:sz w:val="26"/>
          <w:szCs w:val="26"/>
        </w:rPr>
        <w:t>Manheim</w:t>
      </w:r>
      <w:r w:rsidR="00192322">
        <w:rPr>
          <w:sz w:val="26"/>
          <w:szCs w:val="26"/>
        </w:rPr>
        <w:t xml:space="preserve"> Township</w:t>
      </w:r>
      <w:r w:rsidR="00761F03">
        <w:rPr>
          <w:sz w:val="26"/>
          <w:szCs w:val="26"/>
        </w:rPr>
        <w:t>, East Hempfield</w:t>
      </w:r>
      <w:r w:rsidR="00192322">
        <w:rPr>
          <w:sz w:val="26"/>
          <w:szCs w:val="26"/>
        </w:rPr>
        <w:t xml:space="preserve"> </w:t>
      </w:r>
      <w:r w:rsidR="00761F03">
        <w:rPr>
          <w:sz w:val="26"/>
          <w:szCs w:val="26"/>
        </w:rPr>
        <w:t xml:space="preserve">Township Planning Commission, East Hempfield Board of Commissioners </w:t>
      </w:r>
      <w:r>
        <w:rPr>
          <w:sz w:val="26"/>
          <w:szCs w:val="26"/>
        </w:rPr>
        <w:t>and other interested parties as listed in the Certificate of Service.  No protest</w:t>
      </w:r>
      <w:r w:rsidR="0061645E">
        <w:rPr>
          <w:sz w:val="26"/>
          <w:szCs w:val="26"/>
        </w:rPr>
        <w:t>s were</w:t>
      </w:r>
      <w:r>
        <w:rPr>
          <w:sz w:val="26"/>
          <w:szCs w:val="26"/>
        </w:rPr>
        <w:t xml:space="preserve"> filed and no hearing</w:t>
      </w:r>
      <w:r w:rsidR="0061645E">
        <w:rPr>
          <w:sz w:val="26"/>
          <w:szCs w:val="26"/>
        </w:rPr>
        <w:t>s were</w:t>
      </w:r>
      <w:r>
        <w:rPr>
          <w:sz w:val="26"/>
          <w:szCs w:val="26"/>
        </w:rPr>
        <w:t xml:space="preserve"> held.</w:t>
      </w:r>
    </w:p>
    <w:p w:rsidR="00D71D0B" w:rsidRDefault="00D71D0B" w:rsidP="00D71D0B">
      <w:pPr>
        <w:pStyle w:val="p2"/>
        <w:spacing w:line="360" w:lineRule="auto"/>
        <w:ind w:firstLine="0"/>
        <w:rPr>
          <w:sz w:val="26"/>
          <w:szCs w:val="26"/>
        </w:rPr>
      </w:pPr>
    </w:p>
    <w:p w:rsidR="00BD39B9" w:rsidRDefault="00BD39B9" w:rsidP="00D860BB">
      <w:pPr>
        <w:spacing w:line="360" w:lineRule="auto"/>
        <w:rPr>
          <w:sz w:val="26"/>
          <w:szCs w:val="26"/>
        </w:rPr>
      </w:pPr>
      <w:r>
        <w:rPr>
          <w:color w:val="000000"/>
          <w:sz w:val="26"/>
          <w:szCs w:val="26"/>
        </w:rPr>
        <w:tab/>
      </w:r>
      <w:r>
        <w:rPr>
          <w:color w:val="000000"/>
          <w:sz w:val="26"/>
          <w:szCs w:val="26"/>
        </w:rPr>
        <w:tab/>
      </w:r>
      <w:r>
        <w:rPr>
          <w:sz w:val="26"/>
          <w:szCs w:val="26"/>
        </w:rPr>
        <w:t>PPL Electric states that t</w:t>
      </w:r>
      <w:r w:rsidRPr="00BD39B9">
        <w:rPr>
          <w:sz w:val="26"/>
          <w:szCs w:val="26"/>
        </w:rPr>
        <w:t>his filing is the fifth and final filing in a series of related filings seeking</w:t>
      </w:r>
      <w:r>
        <w:rPr>
          <w:sz w:val="26"/>
          <w:szCs w:val="26"/>
        </w:rPr>
        <w:t xml:space="preserve"> </w:t>
      </w:r>
      <w:r w:rsidRPr="00BD39B9">
        <w:rPr>
          <w:sz w:val="26"/>
          <w:szCs w:val="26"/>
        </w:rPr>
        <w:t xml:space="preserve">Commission approval for various phases of the conversion of the </w:t>
      </w:r>
      <w:r w:rsidRPr="00BD39B9">
        <w:rPr>
          <w:sz w:val="26"/>
          <w:szCs w:val="26"/>
        </w:rPr>
        <w:lastRenderedPageBreak/>
        <w:t>transmission system</w:t>
      </w:r>
      <w:r>
        <w:rPr>
          <w:sz w:val="26"/>
          <w:szCs w:val="26"/>
        </w:rPr>
        <w:t xml:space="preserve"> </w:t>
      </w:r>
      <w:r w:rsidRPr="00BD39B9">
        <w:rPr>
          <w:sz w:val="26"/>
          <w:szCs w:val="26"/>
        </w:rPr>
        <w:t>that serves c</w:t>
      </w:r>
      <w:r w:rsidR="007C76D8">
        <w:rPr>
          <w:sz w:val="26"/>
          <w:szCs w:val="26"/>
        </w:rPr>
        <w:t>entral Lancaster County</w:t>
      </w:r>
      <w:r w:rsidR="003F2C15">
        <w:rPr>
          <w:sz w:val="26"/>
          <w:szCs w:val="26"/>
        </w:rPr>
        <w:t>,</w:t>
      </w:r>
      <w:r w:rsidR="007C76D8">
        <w:rPr>
          <w:sz w:val="26"/>
          <w:szCs w:val="26"/>
        </w:rPr>
        <w:t xml:space="preserve"> from 69-</w:t>
      </w:r>
      <w:r w:rsidRPr="00BD39B9">
        <w:rPr>
          <w:sz w:val="26"/>
          <w:szCs w:val="26"/>
        </w:rPr>
        <w:t>kV to 13</w:t>
      </w:r>
      <w:r>
        <w:rPr>
          <w:sz w:val="26"/>
          <w:szCs w:val="26"/>
        </w:rPr>
        <w:t>8-</w:t>
      </w:r>
      <w:r w:rsidRPr="00BD39B9">
        <w:rPr>
          <w:sz w:val="26"/>
          <w:szCs w:val="26"/>
        </w:rPr>
        <w:t>kV</w:t>
      </w:r>
      <w:r>
        <w:rPr>
          <w:sz w:val="26"/>
          <w:szCs w:val="26"/>
        </w:rPr>
        <w:t xml:space="preserve"> </w:t>
      </w:r>
      <w:r w:rsidRPr="00BD39B9">
        <w:rPr>
          <w:sz w:val="26"/>
          <w:szCs w:val="26"/>
        </w:rPr>
        <w:t>operation.</w:t>
      </w:r>
      <w:r w:rsidR="007C76D8">
        <w:rPr>
          <w:rStyle w:val="FootnoteReference"/>
          <w:sz w:val="26"/>
          <w:szCs w:val="26"/>
        </w:rPr>
        <w:footnoteReference w:id="1"/>
      </w:r>
      <w:r>
        <w:rPr>
          <w:sz w:val="26"/>
          <w:szCs w:val="26"/>
        </w:rPr>
        <w:t xml:space="preserve">  </w:t>
      </w:r>
      <w:r w:rsidR="00C453BE">
        <w:rPr>
          <w:sz w:val="26"/>
          <w:szCs w:val="26"/>
        </w:rPr>
        <w:t>The overall 69 kV to 138-kV</w:t>
      </w:r>
      <w:r w:rsidR="003F2C15">
        <w:rPr>
          <w:sz w:val="26"/>
          <w:szCs w:val="26"/>
        </w:rPr>
        <w:t xml:space="preserve"> </w:t>
      </w:r>
      <w:r w:rsidRPr="00BD39B9">
        <w:rPr>
          <w:sz w:val="26"/>
          <w:szCs w:val="26"/>
        </w:rPr>
        <w:t>conversion Project is required to improve the</w:t>
      </w:r>
      <w:r w:rsidR="00C453BE">
        <w:rPr>
          <w:sz w:val="26"/>
          <w:szCs w:val="26"/>
        </w:rPr>
        <w:t xml:space="preserve"> </w:t>
      </w:r>
      <w:r w:rsidRPr="00BD39B9">
        <w:rPr>
          <w:sz w:val="26"/>
          <w:szCs w:val="26"/>
        </w:rPr>
        <w:t>reliability and operating flexibility of PPL Electric's transmission system in central</w:t>
      </w:r>
      <w:r w:rsidR="00C453BE">
        <w:rPr>
          <w:sz w:val="26"/>
          <w:szCs w:val="26"/>
        </w:rPr>
        <w:t xml:space="preserve"> </w:t>
      </w:r>
      <w:r w:rsidRPr="00BD39B9">
        <w:rPr>
          <w:sz w:val="26"/>
          <w:szCs w:val="26"/>
        </w:rPr>
        <w:t xml:space="preserve">Lancaster County, including the City of Lancaster. </w:t>
      </w:r>
      <w:r w:rsidR="00C453BE">
        <w:rPr>
          <w:sz w:val="26"/>
          <w:szCs w:val="26"/>
        </w:rPr>
        <w:t xml:space="preserve"> </w:t>
      </w:r>
      <w:r w:rsidRPr="00BD39B9">
        <w:rPr>
          <w:sz w:val="26"/>
          <w:szCs w:val="26"/>
        </w:rPr>
        <w:t>The conversion from 69 kV to 138</w:t>
      </w:r>
      <w:r w:rsidR="00363568">
        <w:rPr>
          <w:sz w:val="26"/>
          <w:szCs w:val="26"/>
        </w:rPr>
        <w:t> </w:t>
      </w:r>
      <w:r w:rsidRPr="00BD39B9">
        <w:rPr>
          <w:sz w:val="26"/>
          <w:szCs w:val="26"/>
        </w:rPr>
        <w:t>kV will help meet the increasing demand for electricity in the Lancaster area.</w:t>
      </w:r>
      <w:r w:rsidR="00E658B4">
        <w:rPr>
          <w:sz w:val="26"/>
          <w:szCs w:val="26"/>
        </w:rPr>
        <w:t xml:space="preserve"> </w:t>
      </w:r>
      <w:r w:rsidRPr="00BD39B9">
        <w:rPr>
          <w:sz w:val="26"/>
          <w:szCs w:val="26"/>
        </w:rPr>
        <w:t xml:space="preserve"> Converting</w:t>
      </w:r>
      <w:r w:rsidR="00C453BE">
        <w:rPr>
          <w:sz w:val="26"/>
          <w:szCs w:val="26"/>
        </w:rPr>
        <w:t xml:space="preserve"> </w:t>
      </w:r>
      <w:r w:rsidRPr="00BD39B9">
        <w:rPr>
          <w:sz w:val="26"/>
          <w:szCs w:val="26"/>
        </w:rPr>
        <w:t>the exis</w:t>
      </w:r>
      <w:r w:rsidR="00E658B4">
        <w:rPr>
          <w:sz w:val="26"/>
          <w:szCs w:val="26"/>
        </w:rPr>
        <w:t xml:space="preserve">ting 69 kV facilities to 138-kV </w:t>
      </w:r>
      <w:r w:rsidRPr="00BD39B9">
        <w:rPr>
          <w:sz w:val="26"/>
          <w:szCs w:val="26"/>
        </w:rPr>
        <w:t>operation along this corridor is part of PPL</w:t>
      </w:r>
      <w:r w:rsidR="00C453BE">
        <w:rPr>
          <w:sz w:val="26"/>
          <w:szCs w:val="26"/>
        </w:rPr>
        <w:t xml:space="preserve"> </w:t>
      </w:r>
      <w:r w:rsidRPr="00BD39B9">
        <w:rPr>
          <w:sz w:val="26"/>
          <w:szCs w:val="26"/>
        </w:rPr>
        <w:t>Electric's long term plan for providing reliable service to the heavily loaded core service</w:t>
      </w:r>
      <w:r w:rsidR="00C453BE">
        <w:rPr>
          <w:sz w:val="26"/>
          <w:szCs w:val="26"/>
        </w:rPr>
        <w:t xml:space="preserve"> </w:t>
      </w:r>
      <w:r w:rsidRPr="00BD39B9">
        <w:rPr>
          <w:sz w:val="26"/>
          <w:szCs w:val="26"/>
        </w:rPr>
        <w:t>area of the Lancaster Region.</w:t>
      </w:r>
      <w:r w:rsidR="00C453BE">
        <w:rPr>
          <w:sz w:val="26"/>
          <w:szCs w:val="26"/>
        </w:rPr>
        <w:t xml:space="preserve">  </w:t>
      </w:r>
      <w:r w:rsidR="00D860BB">
        <w:rPr>
          <w:sz w:val="26"/>
          <w:szCs w:val="26"/>
        </w:rPr>
        <w:t>PPL Electric states i</w:t>
      </w:r>
      <w:r w:rsidRPr="00BD39B9">
        <w:rPr>
          <w:sz w:val="26"/>
          <w:szCs w:val="26"/>
        </w:rPr>
        <w:t>ncreasing the operating voltage from 69 kV to 138 kV will double the</w:t>
      </w:r>
      <w:r w:rsidR="00E658B4">
        <w:rPr>
          <w:sz w:val="26"/>
          <w:szCs w:val="26"/>
        </w:rPr>
        <w:t xml:space="preserve"> </w:t>
      </w:r>
      <w:r w:rsidRPr="00BD39B9">
        <w:rPr>
          <w:sz w:val="26"/>
          <w:szCs w:val="26"/>
        </w:rPr>
        <w:t>capacity of the existing transmission lines and enable PPL Electric to continue to provide</w:t>
      </w:r>
      <w:r w:rsidR="00E658B4">
        <w:rPr>
          <w:sz w:val="26"/>
          <w:szCs w:val="26"/>
        </w:rPr>
        <w:t xml:space="preserve"> </w:t>
      </w:r>
      <w:r w:rsidRPr="00BD39B9">
        <w:rPr>
          <w:sz w:val="26"/>
          <w:szCs w:val="26"/>
        </w:rPr>
        <w:t>reliable service to its customers without having to establish additional major transmission</w:t>
      </w:r>
      <w:r w:rsidR="00E658B4">
        <w:rPr>
          <w:sz w:val="26"/>
          <w:szCs w:val="26"/>
        </w:rPr>
        <w:t xml:space="preserve"> </w:t>
      </w:r>
      <w:r w:rsidR="00D860BB">
        <w:rPr>
          <w:sz w:val="26"/>
          <w:szCs w:val="26"/>
        </w:rPr>
        <w:t>corridors.</w:t>
      </w:r>
    </w:p>
    <w:p w:rsidR="00A0071B" w:rsidRDefault="00A0071B" w:rsidP="00E658B4">
      <w:pPr>
        <w:spacing w:line="360" w:lineRule="auto"/>
        <w:ind w:firstLine="1440"/>
        <w:rPr>
          <w:sz w:val="26"/>
          <w:szCs w:val="26"/>
        </w:rPr>
      </w:pPr>
    </w:p>
    <w:p w:rsidR="00617473" w:rsidRDefault="00524089" w:rsidP="00617473">
      <w:pPr>
        <w:spacing w:line="360" w:lineRule="auto"/>
        <w:ind w:right="-90" w:firstLine="1440"/>
        <w:rPr>
          <w:sz w:val="26"/>
          <w:szCs w:val="26"/>
        </w:rPr>
      </w:pPr>
      <w:r w:rsidRPr="00A0071B">
        <w:rPr>
          <w:color w:val="000000"/>
          <w:sz w:val="26"/>
          <w:szCs w:val="26"/>
        </w:rPr>
        <w:t xml:space="preserve">PPL Electric states that </w:t>
      </w:r>
      <w:r w:rsidRPr="00A0071B">
        <w:rPr>
          <w:sz w:val="26"/>
          <w:szCs w:val="26"/>
        </w:rPr>
        <w:t>the</w:t>
      </w:r>
      <w:r w:rsidR="00A0071B" w:rsidRPr="00A0071B">
        <w:rPr>
          <w:sz w:val="26"/>
          <w:szCs w:val="26"/>
        </w:rPr>
        <w:t xml:space="preserve"> multiphase Lancaster 138 kV conversion Project </w:t>
      </w:r>
      <w:r w:rsidR="006269F1">
        <w:rPr>
          <w:sz w:val="26"/>
          <w:szCs w:val="26"/>
        </w:rPr>
        <w:t>that</w:t>
      </w:r>
      <w:r w:rsidR="00A0071B">
        <w:rPr>
          <w:sz w:val="26"/>
          <w:szCs w:val="26"/>
        </w:rPr>
        <w:t xml:space="preserve"> </w:t>
      </w:r>
      <w:r w:rsidR="00A0071B" w:rsidRPr="00A0071B">
        <w:rPr>
          <w:sz w:val="26"/>
          <w:szCs w:val="26"/>
        </w:rPr>
        <w:t xml:space="preserve">began in 2009 </w:t>
      </w:r>
      <w:r w:rsidR="00A0071B">
        <w:rPr>
          <w:sz w:val="26"/>
          <w:szCs w:val="26"/>
        </w:rPr>
        <w:t xml:space="preserve">was needed </w:t>
      </w:r>
      <w:r w:rsidR="00A0071B" w:rsidRPr="00A0071B">
        <w:rPr>
          <w:sz w:val="26"/>
          <w:szCs w:val="26"/>
        </w:rPr>
        <w:t>to</w:t>
      </w:r>
      <w:r w:rsidR="00A0071B">
        <w:rPr>
          <w:sz w:val="26"/>
          <w:szCs w:val="26"/>
        </w:rPr>
        <w:t xml:space="preserve"> </w:t>
      </w:r>
      <w:r w:rsidR="00A0071B" w:rsidRPr="00A0071B">
        <w:rPr>
          <w:sz w:val="26"/>
          <w:szCs w:val="26"/>
        </w:rPr>
        <w:t>address reliability concerns in the core of the</w:t>
      </w:r>
      <w:r w:rsidR="00B277C6">
        <w:rPr>
          <w:sz w:val="26"/>
          <w:szCs w:val="26"/>
        </w:rPr>
        <w:t xml:space="preserve"> </w:t>
      </w:r>
      <w:r w:rsidR="00A0071B" w:rsidRPr="00A0071B">
        <w:rPr>
          <w:sz w:val="26"/>
          <w:szCs w:val="26"/>
        </w:rPr>
        <w:t>Lancaster Region</w:t>
      </w:r>
      <w:r w:rsidR="00A0071B">
        <w:rPr>
          <w:sz w:val="26"/>
          <w:szCs w:val="26"/>
        </w:rPr>
        <w:t xml:space="preserve">.  </w:t>
      </w:r>
      <w:r w:rsidR="00B277C6">
        <w:rPr>
          <w:sz w:val="26"/>
          <w:szCs w:val="26"/>
        </w:rPr>
        <w:t>PPL Electric explains that, u</w:t>
      </w:r>
      <w:r w:rsidR="00A0071B" w:rsidRPr="00A0071B">
        <w:rPr>
          <w:sz w:val="26"/>
          <w:szCs w:val="26"/>
        </w:rPr>
        <w:t xml:space="preserve">nder </w:t>
      </w:r>
      <w:r w:rsidR="00D860BB">
        <w:rPr>
          <w:sz w:val="26"/>
          <w:szCs w:val="26"/>
        </w:rPr>
        <w:t>it</w:t>
      </w:r>
      <w:r w:rsidR="00A0071B" w:rsidRPr="00A0071B">
        <w:rPr>
          <w:sz w:val="26"/>
          <w:szCs w:val="26"/>
        </w:rPr>
        <w:t>'s Reliability Principles &amp; Practices ("RP&amp;P") guidelines, the</w:t>
      </w:r>
      <w:r w:rsidR="00A0071B">
        <w:rPr>
          <w:sz w:val="26"/>
          <w:szCs w:val="26"/>
        </w:rPr>
        <w:t xml:space="preserve"> </w:t>
      </w:r>
      <w:r w:rsidR="00A0071B" w:rsidRPr="00A0071B">
        <w:rPr>
          <w:sz w:val="26"/>
          <w:szCs w:val="26"/>
        </w:rPr>
        <w:t>maximum amount of load that can be interrupted due to a double-circuit line outage is 45</w:t>
      </w:r>
      <w:r w:rsidR="00A0071B">
        <w:rPr>
          <w:sz w:val="26"/>
          <w:szCs w:val="26"/>
        </w:rPr>
        <w:t xml:space="preserve"> </w:t>
      </w:r>
      <w:r w:rsidR="00A0071B" w:rsidRPr="00A0071B">
        <w:rPr>
          <w:sz w:val="26"/>
          <w:szCs w:val="26"/>
        </w:rPr>
        <w:t xml:space="preserve">MW after all allowable switching moves have been made. </w:t>
      </w:r>
      <w:r w:rsidR="00A0071B">
        <w:rPr>
          <w:sz w:val="26"/>
          <w:szCs w:val="26"/>
        </w:rPr>
        <w:t xml:space="preserve"> </w:t>
      </w:r>
      <w:r w:rsidR="00A0071B" w:rsidRPr="00A0071B">
        <w:rPr>
          <w:sz w:val="26"/>
          <w:szCs w:val="26"/>
        </w:rPr>
        <w:t>Without the conversion to 138</w:t>
      </w:r>
      <w:r w:rsidR="00A0071B">
        <w:rPr>
          <w:sz w:val="26"/>
          <w:szCs w:val="26"/>
        </w:rPr>
        <w:t xml:space="preserve"> </w:t>
      </w:r>
      <w:r w:rsidR="00A0071B" w:rsidRPr="00A0071B">
        <w:rPr>
          <w:sz w:val="26"/>
          <w:szCs w:val="26"/>
        </w:rPr>
        <w:t>kV operation, the loss of the Dillerville #1 and #2 69 kV Taps would interrupt</w:t>
      </w:r>
      <w:r w:rsidR="00A0071B">
        <w:rPr>
          <w:sz w:val="26"/>
          <w:szCs w:val="26"/>
        </w:rPr>
        <w:t xml:space="preserve"> </w:t>
      </w:r>
      <w:r w:rsidR="00A0071B" w:rsidRPr="00A0071B">
        <w:rPr>
          <w:sz w:val="26"/>
          <w:szCs w:val="26"/>
        </w:rPr>
        <w:t xml:space="preserve">approximately 60 MW of load during periods of high demand. </w:t>
      </w:r>
      <w:r w:rsidR="00B277C6">
        <w:rPr>
          <w:sz w:val="26"/>
          <w:szCs w:val="26"/>
        </w:rPr>
        <w:t xml:space="preserve"> </w:t>
      </w:r>
      <w:r w:rsidR="00A0071B" w:rsidRPr="00A0071B">
        <w:rPr>
          <w:sz w:val="26"/>
          <w:szCs w:val="26"/>
        </w:rPr>
        <w:t>Due to limited</w:t>
      </w:r>
      <w:r w:rsidR="00B277C6">
        <w:rPr>
          <w:sz w:val="26"/>
          <w:szCs w:val="26"/>
        </w:rPr>
        <w:t xml:space="preserve"> </w:t>
      </w:r>
      <w:r w:rsidR="00A0071B" w:rsidRPr="00A0071B">
        <w:rPr>
          <w:sz w:val="26"/>
          <w:szCs w:val="26"/>
        </w:rPr>
        <w:t>transmission and distribution switching capability, the load would remain interrupted</w:t>
      </w:r>
      <w:r w:rsidR="00B277C6">
        <w:rPr>
          <w:sz w:val="26"/>
          <w:szCs w:val="26"/>
        </w:rPr>
        <w:t xml:space="preserve"> </w:t>
      </w:r>
      <w:r w:rsidR="00A0071B" w:rsidRPr="00A0071B">
        <w:rPr>
          <w:sz w:val="26"/>
          <w:szCs w:val="26"/>
        </w:rPr>
        <w:t xml:space="preserve">until repairs could be made. </w:t>
      </w:r>
      <w:r w:rsidR="00B277C6">
        <w:rPr>
          <w:sz w:val="26"/>
          <w:szCs w:val="26"/>
        </w:rPr>
        <w:t xml:space="preserve"> </w:t>
      </w:r>
      <w:r w:rsidR="00A0071B" w:rsidRPr="00A0071B">
        <w:rPr>
          <w:sz w:val="26"/>
          <w:szCs w:val="26"/>
        </w:rPr>
        <w:t>Such a service interruption would affect approximately</w:t>
      </w:r>
      <w:r w:rsidR="00B277C6">
        <w:rPr>
          <w:sz w:val="26"/>
          <w:szCs w:val="26"/>
        </w:rPr>
        <w:t xml:space="preserve"> </w:t>
      </w:r>
      <w:r w:rsidR="00A0071B" w:rsidRPr="00A0071B">
        <w:rPr>
          <w:sz w:val="26"/>
          <w:szCs w:val="26"/>
        </w:rPr>
        <w:t>1,400 customers supplied from the PPL Electric distribution system, as well as two large</w:t>
      </w:r>
      <w:r w:rsidR="00B277C6">
        <w:rPr>
          <w:sz w:val="26"/>
          <w:szCs w:val="26"/>
        </w:rPr>
        <w:t xml:space="preserve"> </w:t>
      </w:r>
      <w:r w:rsidR="00A0071B" w:rsidRPr="00A0071B">
        <w:rPr>
          <w:sz w:val="26"/>
          <w:szCs w:val="26"/>
        </w:rPr>
        <w:t>transmission customers.</w:t>
      </w:r>
      <w:r w:rsidR="00B277C6">
        <w:rPr>
          <w:sz w:val="26"/>
          <w:szCs w:val="26"/>
        </w:rPr>
        <w:t xml:space="preserve">  Further, i</w:t>
      </w:r>
      <w:r w:rsidR="00A0071B" w:rsidRPr="00A0071B">
        <w:rPr>
          <w:sz w:val="26"/>
          <w:szCs w:val="26"/>
        </w:rPr>
        <w:t>f there were an outage of the double-circuit Dillerville #1 and #2 69 kV</w:t>
      </w:r>
      <w:r w:rsidR="00B277C6">
        <w:rPr>
          <w:sz w:val="26"/>
          <w:szCs w:val="26"/>
        </w:rPr>
        <w:t xml:space="preserve"> </w:t>
      </w:r>
      <w:r w:rsidR="009564A9">
        <w:rPr>
          <w:sz w:val="26"/>
          <w:szCs w:val="26"/>
        </w:rPr>
        <w:t>Taps, no other 69 kV T</w:t>
      </w:r>
      <w:r w:rsidR="00A0071B" w:rsidRPr="00A0071B">
        <w:rPr>
          <w:sz w:val="26"/>
          <w:szCs w:val="26"/>
        </w:rPr>
        <w:t>ies would be available to serve the large transmission customers.</w:t>
      </w:r>
      <w:r w:rsidR="00B277C6">
        <w:rPr>
          <w:sz w:val="26"/>
          <w:szCs w:val="26"/>
        </w:rPr>
        <w:t xml:space="preserve">  </w:t>
      </w:r>
      <w:r w:rsidR="00A0071B" w:rsidRPr="00A0071B">
        <w:rPr>
          <w:sz w:val="26"/>
          <w:szCs w:val="26"/>
        </w:rPr>
        <w:t>Transmission service to these customers would remain interrupted until line repairs could</w:t>
      </w:r>
      <w:r w:rsidR="00B277C6">
        <w:rPr>
          <w:sz w:val="26"/>
          <w:szCs w:val="26"/>
        </w:rPr>
        <w:t xml:space="preserve"> </w:t>
      </w:r>
      <w:r w:rsidR="00A0071B" w:rsidRPr="00A0071B">
        <w:rPr>
          <w:sz w:val="26"/>
          <w:szCs w:val="26"/>
        </w:rPr>
        <w:t>be made.</w:t>
      </w:r>
      <w:r w:rsidR="00617473">
        <w:rPr>
          <w:sz w:val="26"/>
          <w:szCs w:val="26"/>
        </w:rPr>
        <w:t xml:space="preserve">  Also, </w:t>
      </w:r>
      <w:r w:rsidR="00D860BB">
        <w:rPr>
          <w:sz w:val="26"/>
          <w:szCs w:val="26"/>
        </w:rPr>
        <w:t xml:space="preserve">PPL Electric states </w:t>
      </w:r>
      <w:r w:rsidR="00A0071B" w:rsidRPr="00A0071B">
        <w:rPr>
          <w:sz w:val="26"/>
          <w:szCs w:val="26"/>
        </w:rPr>
        <w:t xml:space="preserve">if the West </w:t>
      </w:r>
      <w:r w:rsidR="00A0071B" w:rsidRPr="00A0071B">
        <w:rPr>
          <w:sz w:val="26"/>
          <w:szCs w:val="26"/>
        </w:rPr>
        <w:lastRenderedPageBreak/>
        <w:t>Hempfield-Dillerville #1 and</w:t>
      </w:r>
      <w:r w:rsidR="00B277C6">
        <w:rPr>
          <w:sz w:val="26"/>
          <w:szCs w:val="26"/>
        </w:rPr>
        <w:t xml:space="preserve"> </w:t>
      </w:r>
      <w:r w:rsidR="00A0071B" w:rsidRPr="00A0071B">
        <w:rPr>
          <w:sz w:val="26"/>
          <w:szCs w:val="26"/>
        </w:rPr>
        <w:t>#2 138kV</w:t>
      </w:r>
      <w:r w:rsidR="00B277C6">
        <w:rPr>
          <w:sz w:val="26"/>
          <w:szCs w:val="26"/>
        </w:rPr>
        <w:t xml:space="preserve"> </w:t>
      </w:r>
      <w:r w:rsidR="00A0071B" w:rsidRPr="00A0071B">
        <w:rPr>
          <w:sz w:val="26"/>
          <w:szCs w:val="26"/>
        </w:rPr>
        <w:t>Ties</w:t>
      </w:r>
      <w:r w:rsidR="00B277C6">
        <w:rPr>
          <w:sz w:val="26"/>
          <w:szCs w:val="26"/>
        </w:rPr>
        <w:t xml:space="preserve"> </w:t>
      </w:r>
      <w:r w:rsidR="00A0071B" w:rsidRPr="00A0071B">
        <w:rPr>
          <w:sz w:val="26"/>
          <w:szCs w:val="26"/>
        </w:rPr>
        <w:t>were to exp</w:t>
      </w:r>
      <w:r w:rsidR="00363568">
        <w:rPr>
          <w:sz w:val="26"/>
          <w:szCs w:val="26"/>
        </w:rPr>
        <w:t>erience an outage, no other 138 </w:t>
      </w:r>
      <w:r w:rsidR="00A0071B" w:rsidRPr="00A0071B">
        <w:rPr>
          <w:sz w:val="26"/>
          <w:szCs w:val="26"/>
        </w:rPr>
        <w:t>kV Ties would be</w:t>
      </w:r>
      <w:r w:rsidR="00617473">
        <w:rPr>
          <w:sz w:val="26"/>
          <w:szCs w:val="26"/>
        </w:rPr>
        <w:t xml:space="preserve"> </w:t>
      </w:r>
      <w:r w:rsidR="00A0071B" w:rsidRPr="00A0071B">
        <w:rPr>
          <w:sz w:val="26"/>
          <w:szCs w:val="26"/>
        </w:rPr>
        <w:t>available to supply the</w:t>
      </w:r>
      <w:r w:rsidR="00B277C6">
        <w:rPr>
          <w:sz w:val="26"/>
          <w:szCs w:val="26"/>
        </w:rPr>
        <w:t xml:space="preserve"> </w:t>
      </w:r>
      <w:r w:rsidR="00A0071B" w:rsidRPr="00A0071B">
        <w:rPr>
          <w:sz w:val="26"/>
          <w:szCs w:val="26"/>
        </w:rPr>
        <w:t xml:space="preserve">Dillerville 138-12 kV Substation. </w:t>
      </w:r>
      <w:r w:rsidR="00B277C6">
        <w:rPr>
          <w:sz w:val="26"/>
          <w:szCs w:val="26"/>
        </w:rPr>
        <w:t xml:space="preserve"> </w:t>
      </w:r>
      <w:r w:rsidR="00A0071B" w:rsidRPr="00A0071B">
        <w:rPr>
          <w:sz w:val="26"/>
          <w:szCs w:val="26"/>
        </w:rPr>
        <w:t>PPL Electric's ability to transfer the load served by the</w:t>
      </w:r>
      <w:r w:rsidR="00B277C6">
        <w:rPr>
          <w:sz w:val="26"/>
          <w:szCs w:val="26"/>
        </w:rPr>
        <w:t xml:space="preserve"> </w:t>
      </w:r>
      <w:r w:rsidR="00A0071B" w:rsidRPr="00A0071B">
        <w:rPr>
          <w:sz w:val="26"/>
          <w:szCs w:val="26"/>
        </w:rPr>
        <w:t>Dillerville 138-12 kV Substation to other nearby distribution substations is limited during</w:t>
      </w:r>
      <w:r w:rsidR="00B277C6">
        <w:rPr>
          <w:sz w:val="26"/>
          <w:szCs w:val="26"/>
        </w:rPr>
        <w:t xml:space="preserve"> </w:t>
      </w:r>
      <w:r w:rsidR="00A0071B" w:rsidRPr="00A0071B">
        <w:rPr>
          <w:sz w:val="26"/>
          <w:szCs w:val="26"/>
        </w:rPr>
        <w:t xml:space="preserve">peak loading conditions because they are already heavily loaded. </w:t>
      </w:r>
      <w:r w:rsidR="00B277C6">
        <w:rPr>
          <w:sz w:val="26"/>
          <w:szCs w:val="26"/>
        </w:rPr>
        <w:t xml:space="preserve"> </w:t>
      </w:r>
      <w:r w:rsidR="00A0071B" w:rsidRPr="00A0071B">
        <w:rPr>
          <w:sz w:val="26"/>
          <w:szCs w:val="26"/>
        </w:rPr>
        <w:t>Under such</w:t>
      </w:r>
      <w:r w:rsidR="00B277C6">
        <w:rPr>
          <w:sz w:val="26"/>
          <w:szCs w:val="26"/>
        </w:rPr>
        <w:t xml:space="preserve"> </w:t>
      </w:r>
      <w:r w:rsidR="00A0071B" w:rsidRPr="00A0071B">
        <w:rPr>
          <w:sz w:val="26"/>
          <w:szCs w:val="26"/>
        </w:rPr>
        <w:t>circumstances, service to approximately 1,400 customers would remain interrupted until</w:t>
      </w:r>
      <w:r w:rsidR="00B277C6">
        <w:rPr>
          <w:sz w:val="26"/>
          <w:szCs w:val="26"/>
        </w:rPr>
        <w:t xml:space="preserve"> </w:t>
      </w:r>
      <w:r w:rsidR="00A0071B" w:rsidRPr="00A0071B">
        <w:rPr>
          <w:sz w:val="26"/>
          <w:szCs w:val="26"/>
        </w:rPr>
        <w:t>repairs could be completed.</w:t>
      </w:r>
      <w:r w:rsidR="00B277C6">
        <w:rPr>
          <w:sz w:val="26"/>
          <w:szCs w:val="26"/>
        </w:rPr>
        <w:t xml:space="preserve">  </w:t>
      </w:r>
      <w:r w:rsidR="00A0071B" w:rsidRPr="00A0071B">
        <w:rPr>
          <w:sz w:val="26"/>
          <w:szCs w:val="26"/>
        </w:rPr>
        <w:t xml:space="preserve"> </w:t>
      </w:r>
    </w:p>
    <w:p w:rsidR="00617473" w:rsidRDefault="00617473" w:rsidP="00617473">
      <w:pPr>
        <w:spacing w:line="360" w:lineRule="auto"/>
        <w:ind w:right="-90" w:firstLine="1440"/>
        <w:rPr>
          <w:sz w:val="26"/>
          <w:szCs w:val="26"/>
        </w:rPr>
      </w:pPr>
    </w:p>
    <w:p w:rsidR="00612F4A" w:rsidRDefault="00D860BB" w:rsidP="00612F4A">
      <w:pPr>
        <w:spacing w:line="360" w:lineRule="auto"/>
        <w:ind w:right="-90" w:firstLine="1440"/>
        <w:rPr>
          <w:sz w:val="26"/>
          <w:szCs w:val="26"/>
        </w:rPr>
      </w:pPr>
      <w:r>
        <w:rPr>
          <w:sz w:val="26"/>
          <w:szCs w:val="26"/>
        </w:rPr>
        <w:t>PPL Electric explained that</w:t>
      </w:r>
      <w:r w:rsidR="006B190C">
        <w:rPr>
          <w:sz w:val="26"/>
          <w:szCs w:val="26"/>
        </w:rPr>
        <w:t xml:space="preserve"> to resolve this problem, </w:t>
      </w:r>
      <w:r>
        <w:rPr>
          <w:sz w:val="26"/>
          <w:szCs w:val="26"/>
        </w:rPr>
        <w:t>it</w:t>
      </w:r>
      <w:r w:rsidR="006B190C">
        <w:rPr>
          <w:sz w:val="26"/>
          <w:szCs w:val="26"/>
        </w:rPr>
        <w:t xml:space="preserve"> embarked on the</w:t>
      </w:r>
      <w:r w:rsidR="00A0071B" w:rsidRPr="00A0071B">
        <w:rPr>
          <w:sz w:val="26"/>
          <w:szCs w:val="26"/>
        </w:rPr>
        <w:t xml:space="preserve"> overall conversion Project</w:t>
      </w:r>
      <w:r w:rsidR="007D694F">
        <w:rPr>
          <w:sz w:val="26"/>
          <w:szCs w:val="26"/>
        </w:rPr>
        <w:t xml:space="preserve"> </w:t>
      </w:r>
      <w:r w:rsidR="00617473">
        <w:rPr>
          <w:sz w:val="26"/>
          <w:szCs w:val="26"/>
        </w:rPr>
        <w:t>consisting of fiv</w:t>
      </w:r>
      <w:r w:rsidR="007D694F">
        <w:rPr>
          <w:sz w:val="26"/>
          <w:szCs w:val="26"/>
        </w:rPr>
        <w:t xml:space="preserve">e phases. </w:t>
      </w:r>
      <w:r w:rsidR="00A0071B" w:rsidRPr="00A0071B">
        <w:rPr>
          <w:sz w:val="26"/>
          <w:szCs w:val="26"/>
        </w:rPr>
        <w:t xml:space="preserve"> </w:t>
      </w:r>
      <w:r w:rsidR="007D694F">
        <w:rPr>
          <w:sz w:val="26"/>
          <w:szCs w:val="26"/>
        </w:rPr>
        <w:t>The conversion Project</w:t>
      </w:r>
      <w:r w:rsidR="006B190C">
        <w:rPr>
          <w:sz w:val="26"/>
          <w:szCs w:val="26"/>
        </w:rPr>
        <w:t xml:space="preserve"> </w:t>
      </w:r>
      <w:r w:rsidR="00A0071B" w:rsidRPr="00A0071B">
        <w:rPr>
          <w:sz w:val="26"/>
          <w:szCs w:val="26"/>
        </w:rPr>
        <w:t>is being undertaken in phases so that PPL</w:t>
      </w:r>
      <w:r w:rsidR="00B277C6">
        <w:rPr>
          <w:sz w:val="26"/>
          <w:szCs w:val="26"/>
        </w:rPr>
        <w:t xml:space="preserve"> </w:t>
      </w:r>
      <w:r w:rsidR="00A0071B" w:rsidRPr="00A0071B">
        <w:rPr>
          <w:sz w:val="26"/>
          <w:szCs w:val="26"/>
        </w:rPr>
        <w:t>Electric can continue to provide reliable and uninterrupted service to customers</w:t>
      </w:r>
      <w:r w:rsidR="00612F4A">
        <w:rPr>
          <w:sz w:val="26"/>
          <w:szCs w:val="26"/>
        </w:rPr>
        <w:t xml:space="preserve"> </w:t>
      </w:r>
      <w:r w:rsidR="00A0071B" w:rsidRPr="00A0071B">
        <w:rPr>
          <w:sz w:val="26"/>
          <w:szCs w:val="26"/>
        </w:rPr>
        <w:t>during</w:t>
      </w:r>
      <w:r w:rsidR="00B277C6">
        <w:rPr>
          <w:sz w:val="26"/>
          <w:szCs w:val="26"/>
        </w:rPr>
        <w:t xml:space="preserve"> </w:t>
      </w:r>
      <w:r w:rsidR="00A0071B" w:rsidRPr="00A0071B">
        <w:rPr>
          <w:sz w:val="26"/>
          <w:szCs w:val="26"/>
        </w:rPr>
        <w:t>construction.</w:t>
      </w:r>
      <w:r w:rsidR="00612F4A">
        <w:rPr>
          <w:sz w:val="26"/>
          <w:szCs w:val="26"/>
        </w:rPr>
        <w:t xml:space="preserve">  PPL Electric states that this filing</w:t>
      </w:r>
      <w:r w:rsidR="00A0785F">
        <w:rPr>
          <w:sz w:val="26"/>
          <w:szCs w:val="26"/>
        </w:rPr>
        <w:t>,</w:t>
      </w:r>
      <w:r w:rsidR="00612F4A">
        <w:rPr>
          <w:sz w:val="26"/>
          <w:szCs w:val="26"/>
        </w:rPr>
        <w:t xml:space="preserve"> which is </w:t>
      </w:r>
      <w:r w:rsidR="00AA0472">
        <w:rPr>
          <w:sz w:val="26"/>
          <w:szCs w:val="26"/>
        </w:rPr>
        <w:t xml:space="preserve">the </w:t>
      </w:r>
      <w:r w:rsidR="00612F4A">
        <w:rPr>
          <w:sz w:val="26"/>
          <w:szCs w:val="26"/>
        </w:rPr>
        <w:t xml:space="preserve">fifth and final </w:t>
      </w:r>
      <w:r w:rsidR="00612F4A" w:rsidRPr="00612F4A">
        <w:rPr>
          <w:sz w:val="26"/>
          <w:szCs w:val="26"/>
        </w:rPr>
        <w:t>phase of the overall conversion Project</w:t>
      </w:r>
      <w:r w:rsidR="00A0785F">
        <w:rPr>
          <w:sz w:val="26"/>
          <w:szCs w:val="26"/>
        </w:rPr>
        <w:t>,</w:t>
      </w:r>
      <w:r w:rsidR="00612F4A" w:rsidRPr="00612F4A">
        <w:rPr>
          <w:sz w:val="26"/>
          <w:szCs w:val="26"/>
        </w:rPr>
        <w:t xml:space="preserve"> is necessary to permit</w:t>
      </w:r>
      <w:r w:rsidR="00612F4A">
        <w:rPr>
          <w:sz w:val="26"/>
          <w:szCs w:val="26"/>
        </w:rPr>
        <w:t xml:space="preserve"> </w:t>
      </w:r>
      <w:r w:rsidR="00612F4A" w:rsidRPr="00612F4A">
        <w:rPr>
          <w:sz w:val="26"/>
          <w:szCs w:val="26"/>
        </w:rPr>
        <w:t>PPL Electric to continue to serve an existing large customer, Alcoa, without the need for</w:t>
      </w:r>
      <w:r w:rsidR="00612F4A">
        <w:rPr>
          <w:sz w:val="26"/>
          <w:szCs w:val="26"/>
        </w:rPr>
        <w:t xml:space="preserve"> </w:t>
      </w:r>
      <w:r w:rsidR="00612F4A" w:rsidRPr="00612F4A">
        <w:rPr>
          <w:sz w:val="26"/>
          <w:szCs w:val="26"/>
        </w:rPr>
        <w:t xml:space="preserve">installation of additional equipment. </w:t>
      </w:r>
      <w:r w:rsidR="00E56BE1">
        <w:rPr>
          <w:sz w:val="26"/>
          <w:szCs w:val="26"/>
        </w:rPr>
        <w:t xml:space="preserve"> </w:t>
      </w:r>
      <w:r w:rsidR="00612F4A">
        <w:rPr>
          <w:sz w:val="26"/>
          <w:szCs w:val="26"/>
        </w:rPr>
        <w:t xml:space="preserve">PPL Electric explains that </w:t>
      </w:r>
      <w:r w:rsidR="00612F4A" w:rsidRPr="00612F4A">
        <w:rPr>
          <w:sz w:val="26"/>
          <w:szCs w:val="26"/>
        </w:rPr>
        <w:t>Alcoa is a transmission customer presently</w:t>
      </w:r>
      <w:r w:rsidR="00612F4A">
        <w:rPr>
          <w:sz w:val="26"/>
          <w:szCs w:val="26"/>
        </w:rPr>
        <w:t xml:space="preserve"> </w:t>
      </w:r>
      <w:r w:rsidR="00612F4A" w:rsidRPr="00612F4A">
        <w:rPr>
          <w:sz w:val="26"/>
          <w:szCs w:val="26"/>
        </w:rPr>
        <w:t xml:space="preserve">receiving service at 69 kV. </w:t>
      </w:r>
      <w:r w:rsidR="00612F4A">
        <w:rPr>
          <w:sz w:val="26"/>
          <w:szCs w:val="26"/>
        </w:rPr>
        <w:t xml:space="preserve"> </w:t>
      </w:r>
      <w:r w:rsidR="00612F4A" w:rsidRPr="00612F4A">
        <w:rPr>
          <w:sz w:val="26"/>
          <w:szCs w:val="26"/>
        </w:rPr>
        <w:t>Electric lines which carry different voltage levels (</w:t>
      </w:r>
      <w:r w:rsidR="00612F4A" w:rsidRPr="00A0785F">
        <w:rPr>
          <w:sz w:val="26"/>
          <w:szCs w:val="26"/>
          <w:u w:val="single"/>
        </w:rPr>
        <w:t>i.e.,</w:t>
      </w:r>
      <w:r w:rsidR="00612F4A" w:rsidRPr="00612F4A">
        <w:rPr>
          <w:sz w:val="26"/>
          <w:szCs w:val="26"/>
        </w:rPr>
        <w:t xml:space="preserve"> 69 kV,</w:t>
      </w:r>
      <w:r w:rsidR="00612F4A">
        <w:rPr>
          <w:sz w:val="26"/>
          <w:szCs w:val="26"/>
        </w:rPr>
        <w:t xml:space="preserve"> </w:t>
      </w:r>
      <w:r w:rsidR="00612F4A" w:rsidRPr="00612F4A">
        <w:rPr>
          <w:sz w:val="26"/>
          <w:szCs w:val="26"/>
        </w:rPr>
        <w:t xml:space="preserve">138 kV, etc.) cannot be directly connected to each other. </w:t>
      </w:r>
      <w:r w:rsidR="00612F4A">
        <w:rPr>
          <w:sz w:val="26"/>
          <w:szCs w:val="26"/>
        </w:rPr>
        <w:t xml:space="preserve"> </w:t>
      </w:r>
      <w:r w:rsidR="00612F4A" w:rsidRPr="00612F4A">
        <w:rPr>
          <w:sz w:val="26"/>
          <w:szCs w:val="26"/>
        </w:rPr>
        <w:t>Therefore, the 69 kV</w:t>
      </w:r>
      <w:r w:rsidR="00612F4A">
        <w:rPr>
          <w:sz w:val="26"/>
          <w:szCs w:val="26"/>
        </w:rPr>
        <w:t>-</w:t>
      </w:r>
      <w:r w:rsidR="00612F4A" w:rsidRPr="00612F4A">
        <w:rPr>
          <w:sz w:val="26"/>
          <w:szCs w:val="26"/>
        </w:rPr>
        <w:t xml:space="preserve">transmission customer, </w:t>
      </w:r>
      <w:r w:rsidR="00612F4A">
        <w:rPr>
          <w:sz w:val="26"/>
          <w:szCs w:val="26"/>
        </w:rPr>
        <w:t>A</w:t>
      </w:r>
      <w:r w:rsidR="00612F4A" w:rsidRPr="00612F4A">
        <w:rPr>
          <w:sz w:val="26"/>
          <w:szCs w:val="26"/>
        </w:rPr>
        <w:t>lcoa, needs either to be converted to a 138 kV customer and</w:t>
      </w:r>
      <w:r w:rsidR="00612F4A">
        <w:rPr>
          <w:sz w:val="26"/>
          <w:szCs w:val="26"/>
        </w:rPr>
        <w:t xml:space="preserve"> </w:t>
      </w:r>
      <w:r w:rsidR="00612F4A" w:rsidRPr="00612F4A">
        <w:rPr>
          <w:sz w:val="26"/>
          <w:szCs w:val="26"/>
        </w:rPr>
        <w:t xml:space="preserve">connected to the 138 kV circuit or to be connected to a 69 kV source. </w:t>
      </w:r>
      <w:r w:rsidR="00612F4A">
        <w:rPr>
          <w:sz w:val="26"/>
          <w:szCs w:val="26"/>
        </w:rPr>
        <w:t xml:space="preserve"> </w:t>
      </w:r>
      <w:r w:rsidR="00E56BE1">
        <w:rPr>
          <w:sz w:val="26"/>
          <w:szCs w:val="26"/>
        </w:rPr>
        <w:t>PPL Electric ha</w:t>
      </w:r>
      <w:r w:rsidR="00A23828">
        <w:rPr>
          <w:sz w:val="26"/>
          <w:szCs w:val="26"/>
        </w:rPr>
        <w:t xml:space="preserve">s determined that it </w:t>
      </w:r>
      <w:r w:rsidR="00E56BE1">
        <w:rPr>
          <w:sz w:val="26"/>
          <w:szCs w:val="26"/>
        </w:rPr>
        <w:t xml:space="preserve">makes more </w:t>
      </w:r>
      <w:r w:rsidR="00A23828">
        <w:rPr>
          <w:sz w:val="26"/>
          <w:szCs w:val="26"/>
        </w:rPr>
        <w:t xml:space="preserve">economical </w:t>
      </w:r>
      <w:r w:rsidR="00E56BE1">
        <w:rPr>
          <w:sz w:val="26"/>
          <w:szCs w:val="26"/>
        </w:rPr>
        <w:t xml:space="preserve">sense to continue to have </w:t>
      </w:r>
      <w:r w:rsidR="00612F4A" w:rsidRPr="00612F4A">
        <w:rPr>
          <w:sz w:val="26"/>
          <w:szCs w:val="26"/>
        </w:rPr>
        <w:t>Alcoa</w:t>
      </w:r>
      <w:r w:rsidR="00E56BE1">
        <w:rPr>
          <w:sz w:val="26"/>
          <w:szCs w:val="26"/>
        </w:rPr>
        <w:t xml:space="preserve"> connected to a 69-kV source than to install all the additional facilities, including a transformer, that would be required if service to Alcoa were to be converted to 138 kV.  Alcoa </w:t>
      </w:r>
      <w:r w:rsidR="00612F4A" w:rsidRPr="00612F4A">
        <w:rPr>
          <w:sz w:val="26"/>
          <w:szCs w:val="26"/>
        </w:rPr>
        <w:t>is not</w:t>
      </w:r>
      <w:r w:rsidR="00612F4A">
        <w:rPr>
          <w:sz w:val="26"/>
          <w:szCs w:val="26"/>
        </w:rPr>
        <w:t xml:space="preserve"> </w:t>
      </w:r>
      <w:r w:rsidR="00612F4A" w:rsidRPr="00612F4A">
        <w:rPr>
          <w:sz w:val="26"/>
          <w:szCs w:val="26"/>
        </w:rPr>
        <w:t>obligated to convert to 138 kV. Therefore, PPL Electric is responsible for any upgrades</w:t>
      </w:r>
      <w:r w:rsidR="00612F4A">
        <w:rPr>
          <w:sz w:val="26"/>
          <w:szCs w:val="26"/>
        </w:rPr>
        <w:t xml:space="preserve"> </w:t>
      </w:r>
      <w:r w:rsidR="00612F4A" w:rsidRPr="00612F4A">
        <w:rPr>
          <w:sz w:val="26"/>
          <w:szCs w:val="26"/>
        </w:rPr>
        <w:t>required to keep this customer supplied under the electric service contract.</w:t>
      </w:r>
    </w:p>
    <w:p w:rsidR="00612F4A" w:rsidRPr="00612F4A" w:rsidRDefault="00612F4A" w:rsidP="00612F4A">
      <w:pPr>
        <w:spacing w:line="360" w:lineRule="auto"/>
        <w:ind w:right="-90" w:firstLine="1440"/>
        <w:rPr>
          <w:sz w:val="26"/>
          <w:szCs w:val="26"/>
        </w:rPr>
      </w:pPr>
    </w:p>
    <w:p w:rsidR="00612F4A" w:rsidRPr="007D694F" w:rsidRDefault="00612F4A" w:rsidP="00D75DCA">
      <w:pPr>
        <w:spacing w:line="360" w:lineRule="auto"/>
        <w:ind w:firstLine="1440"/>
        <w:rPr>
          <w:sz w:val="26"/>
          <w:szCs w:val="26"/>
        </w:rPr>
      </w:pPr>
      <w:r w:rsidRPr="007D694F">
        <w:rPr>
          <w:sz w:val="26"/>
          <w:szCs w:val="26"/>
        </w:rPr>
        <w:t xml:space="preserve">PPL Electric </w:t>
      </w:r>
      <w:r w:rsidR="00D75DCA" w:rsidRPr="007D694F">
        <w:rPr>
          <w:sz w:val="26"/>
          <w:szCs w:val="26"/>
        </w:rPr>
        <w:t>proposes</w:t>
      </w:r>
      <w:r w:rsidR="00A0785F">
        <w:rPr>
          <w:sz w:val="26"/>
          <w:szCs w:val="26"/>
        </w:rPr>
        <w:t>,</w:t>
      </w:r>
      <w:r w:rsidR="00D75DCA" w:rsidRPr="007D694F">
        <w:rPr>
          <w:sz w:val="26"/>
          <w:szCs w:val="26"/>
        </w:rPr>
        <w:t xml:space="preserve"> in </w:t>
      </w:r>
      <w:r w:rsidRPr="007D694F">
        <w:rPr>
          <w:sz w:val="26"/>
          <w:szCs w:val="26"/>
        </w:rPr>
        <w:t>this fifth phase of the 138 kV conversion Project, to rebuild a</w:t>
      </w:r>
      <w:r w:rsidR="00B7763C">
        <w:rPr>
          <w:sz w:val="26"/>
          <w:szCs w:val="26"/>
        </w:rPr>
        <w:t>pproximately one mile</w:t>
      </w:r>
      <w:r w:rsidRPr="007D694F">
        <w:rPr>
          <w:sz w:val="26"/>
          <w:szCs w:val="26"/>
        </w:rPr>
        <w:t xml:space="preserve"> </w:t>
      </w:r>
      <w:r w:rsidR="00B7763C">
        <w:rPr>
          <w:sz w:val="26"/>
          <w:szCs w:val="26"/>
        </w:rPr>
        <w:t xml:space="preserve">section </w:t>
      </w:r>
      <w:r w:rsidRPr="007D694F">
        <w:rPr>
          <w:sz w:val="26"/>
          <w:szCs w:val="26"/>
        </w:rPr>
        <w:t xml:space="preserve">of the existing </w:t>
      </w:r>
      <w:r w:rsidR="00B7763C">
        <w:rPr>
          <w:sz w:val="26"/>
          <w:szCs w:val="26"/>
        </w:rPr>
        <w:t>double-</w:t>
      </w:r>
      <w:r w:rsidR="00B7763C" w:rsidRPr="007D694F">
        <w:rPr>
          <w:sz w:val="26"/>
          <w:szCs w:val="26"/>
        </w:rPr>
        <w:t xml:space="preserve">circuit </w:t>
      </w:r>
      <w:r w:rsidRPr="007D694F">
        <w:rPr>
          <w:sz w:val="26"/>
          <w:szCs w:val="26"/>
        </w:rPr>
        <w:t>South Akron-</w:t>
      </w:r>
      <w:proofErr w:type="spellStart"/>
      <w:r w:rsidRPr="007D694F">
        <w:rPr>
          <w:sz w:val="26"/>
          <w:szCs w:val="26"/>
        </w:rPr>
        <w:t>Dillerville</w:t>
      </w:r>
      <w:proofErr w:type="spellEnd"/>
      <w:r w:rsidRPr="007D694F">
        <w:rPr>
          <w:sz w:val="26"/>
          <w:szCs w:val="26"/>
        </w:rPr>
        <w:t xml:space="preserve"> # 1 and # 2 138 kV Line</w:t>
      </w:r>
      <w:r w:rsidR="00B7763C">
        <w:rPr>
          <w:sz w:val="26"/>
          <w:szCs w:val="26"/>
        </w:rPr>
        <w:t>,</w:t>
      </w:r>
      <w:r w:rsidRPr="007D694F">
        <w:rPr>
          <w:sz w:val="26"/>
          <w:szCs w:val="26"/>
        </w:rPr>
        <w:t xml:space="preserve"> as</w:t>
      </w:r>
      <w:r w:rsidR="00D75DCA" w:rsidRPr="007D694F">
        <w:rPr>
          <w:sz w:val="26"/>
          <w:szCs w:val="26"/>
        </w:rPr>
        <w:t xml:space="preserve"> </w:t>
      </w:r>
      <w:r w:rsidRPr="007D694F">
        <w:rPr>
          <w:sz w:val="26"/>
          <w:szCs w:val="26"/>
        </w:rPr>
        <w:t xml:space="preserve">two separate double circuit </w:t>
      </w:r>
      <w:r w:rsidR="00B7763C">
        <w:rPr>
          <w:sz w:val="26"/>
          <w:szCs w:val="26"/>
        </w:rPr>
        <w:t xml:space="preserve">lines (four circuits in total).  The one mile section to </w:t>
      </w:r>
      <w:r w:rsidR="00766DF4">
        <w:rPr>
          <w:sz w:val="26"/>
          <w:szCs w:val="26"/>
        </w:rPr>
        <w:t xml:space="preserve">be </w:t>
      </w:r>
      <w:r w:rsidR="00B7763C">
        <w:rPr>
          <w:sz w:val="26"/>
          <w:szCs w:val="26"/>
        </w:rPr>
        <w:t xml:space="preserve">rebuilt </w:t>
      </w:r>
      <w:r w:rsidR="00D436DC">
        <w:rPr>
          <w:sz w:val="26"/>
          <w:szCs w:val="26"/>
        </w:rPr>
        <w:t xml:space="preserve">starts </w:t>
      </w:r>
      <w:r w:rsidRPr="007D694F">
        <w:rPr>
          <w:sz w:val="26"/>
          <w:szCs w:val="26"/>
        </w:rPr>
        <w:t xml:space="preserve">from the existing </w:t>
      </w:r>
      <w:proofErr w:type="spellStart"/>
      <w:r w:rsidRPr="007D694F">
        <w:rPr>
          <w:sz w:val="26"/>
          <w:szCs w:val="26"/>
        </w:rPr>
        <w:t>Dillerville</w:t>
      </w:r>
      <w:proofErr w:type="spellEnd"/>
      <w:r w:rsidRPr="007D694F">
        <w:rPr>
          <w:sz w:val="26"/>
          <w:szCs w:val="26"/>
        </w:rPr>
        <w:t xml:space="preserve"> Tap</w:t>
      </w:r>
      <w:r w:rsidR="00D75DCA" w:rsidRPr="007D694F">
        <w:rPr>
          <w:sz w:val="26"/>
          <w:szCs w:val="26"/>
        </w:rPr>
        <w:t xml:space="preserve"> </w:t>
      </w:r>
      <w:r w:rsidRPr="007D694F">
        <w:rPr>
          <w:sz w:val="26"/>
          <w:szCs w:val="26"/>
        </w:rPr>
        <w:t>points to the Alcoa custom</w:t>
      </w:r>
      <w:r w:rsidR="00766DF4">
        <w:rPr>
          <w:sz w:val="26"/>
          <w:szCs w:val="26"/>
        </w:rPr>
        <w:t>er tap at the Howmet Substation</w:t>
      </w:r>
      <w:r w:rsidRPr="007D694F">
        <w:rPr>
          <w:sz w:val="26"/>
          <w:szCs w:val="26"/>
        </w:rPr>
        <w:t xml:space="preserve"> </w:t>
      </w:r>
      <w:r w:rsidR="00B7763C">
        <w:rPr>
          <w:sz w:val="26"/>
          <w:szCs w:val="26"/>
        </w:rPr>
        <w:t>that</w:t>
      </w:r>
      <w:r w:rsidRPr="007D694F">
        <w:rPr>
          <w:sz w:val="26"/>
          <w:szCs w:val="26"/>
        </w:rPr>
        <w:t xml:space="preserve"> is owned by, and is</w:t>
      </w:r>
      <w:r w:rsidR="00D75DCA" w:rsidRPr="007D694F">
        <w:rPr>
          <w:sz w:val="26"/>
          <w:szCs w:val="26"/>
        </w:rPr>
        <w:t xml:space="preserve"> </w:t>
      </w:r>
      <w:r w:rsidRPr="007D694F">
        <w:rPr>
          <w:sz w:val="26"/>
          <w:szCs w:val="26"/>
        </w:rPr>
        <w:t xml:space="preserve">used </w:t>
      </w:r>
      <w:r w:rsidRPr="007D694F">
        <w:rPr>
          <w:sz w:val="26"/>
          <w:szCs w:val="26"/>
        </w:rPr>
        <w:lastRenderedPageBreak/>
        <w:t>exclusively to serve, Alcoa.</w:t>
      </w:r>
      <w:r w:rsidR="00D75DCA" w:rsidRPr="007D694F">
        <w:rPr>
          <w:sz w:val="26"/>
          <w:szCs w:val="26"/>
        </w:rPr>
        <w:t xml:space="preserve">  </w:t>
      </w:r>
      <w:r w:rsidRPr="007D694F">
        <w:rPr>
          <w:sz w:val="26"/>
          <w:szCs w:val="26"/>
        </w:rPr>
        <w:t>The</w:t>
      </w:r>
      <w:r w:rsidR="00525875">
        <w:rPr>
          <w:sz w:val="26"/>
          <w:szCs w:val="26"/>
        </w:rPr>
        <w:t>se</w:t>
      </w:r>
      <w:r w:rsidRPr="007D694F">
        <w:rPr>
          <w:sz w:val="26"/>
          <w:szCs w:val="26"/>
        </w:rPr>
        <w:t xml:space="preserve"> pole structures will be designed to PPL Electric's 138 kV standards</w:t>
      </w:r>
      <w:r w:rsidR="00D75DCA" w:rsidRPr="007D694F">
        <w:rPr>
          <w:sz w:val="26"/>
          <w:szCs w:val="26"/>
        </w:rPr>
        <w:t xml:space="preserve"> </w:t>
      </w:r>
      <w:r w:rsidRPr="007D694F">
        <w:rPr>
          <w:sz w:val="26"/>
          <w:szCs w:val="26"/>
        </w:rPr>
        <w:t xml:space="preserve">for the top circuits and 69 kV standards for the bottom circuits. </w:t>
      </w:r>
      <w:r w:rsidR="00D75DCA" w:rsidRPr="007D694F">
        <w:rPr>
          <w:sz w:val="26"/>
          <w:szCs w:val="26"/>
        </w:rPr>
        <w:t xml:space="preserve"> </w:t>
      </w:r>
      <w:r w:rsidRPr="007D694F">
        <w:rPr>
          <w:sz w:val="26"/>
          <w:szCs w:val="26"/>
        </w:rPr>
        <w:t>The top circuit of each</w:t>
      </w:r>
      <w:r w:rsidR="00D75DCA" w:rsidRPr="007D694F">
        <w:rPr>
          <w:sz w:val="26"/>
          <w:szCs w:val="26"/>
        </w:rPr>
        <w:t xml:space="preserve"> </w:t>
      </w:r>
      <w:r w:rsidRPr="007D694F">
        <w:rPr>
          <w:sz w:val="26"/>
          <w:szCs w:val="26"/>
        </w:rPr>
        <w:t>line will be operated at 138 kV, and the bottom circuit of each line will be operated at 69</w:t>
      </w:r>
      <w:r w:rsidR="00D75DCA" w:rsidRPr="007D694F">
        <w:rPr>
          <w:sz w:val="26"/>
          <w:szCs w:val="26"/>
        </w:rPr>
        <w:t xml:space="preserve"> </w:t>
      </w:r>
      <w:r w:rsidRPr="007D694F">
        <w:rPr>
          <w:sz w:val="26"/>
          <w:szCs w:val="26"/>
        </w:rPr>
        <w:t>kV.</w:t>
      </w:r>
      <w:r w:rsidR="00D75DCA" w:rsidRPr="007D694F">
        <w:rPr>
          <w:sz w:val="26"/>
          <w:szCs w:val="26"/>
        </w:rPr>
        <w:t xml:space="preserve">  </w:t>
      </w:r>
      <w:r w:rsidRPr="007D694F">
        <w:rPr>
          <w:sz w:val="26"/>
          <w:szCs w:val="26"/>
        </w:rPr>
        <w:t>The two 138 kV circuits will be part of the South Akron - Dillerville #1and #2 138 kV Line and will be supplied from the South Akron 230-138 kV Regional</w:t>
      </w:r>
      <w:r w:rsidR="00D75DCA" w:rsidRPr="007D694F">
        <w:rPr>
          <w:sz w:val="26"/>
          <w:szCs w:val="26"/>
        </w:rPr>
        <w:t xml:space="preserve"> </w:t>
      </w:r>
      <w:r w:rsidRPr="007D694F">
        <w:rPr>
          <w:sz w:val="26"/>
          <w:szCs w:val="26"/>
        </w:rPr>
        <w:t xml:space="preserve">Substation. </w:t>
      </w:r>
      <w:r w:rsidR="00D75DCA" w:rsidRPr="007D694F">
        <w:rPr>
          <w:sz w:val="26"/>
          <w:szCs w:val="26"/>
        </w:rPr>
        <w:t xml:space="preserve"> </w:t>
      </w:r>
      <w:r w:rsidRPr="007D694F">
        <w:rPr>
          <w:sz w:val="26"/>
          <w:szCs w:val="26"/>
        </w:rPr>
        <w:t>The two 69 kV circuits will supply the Alcoa facilities from the South</w:t>
      </w:r>
      <w:r w:rsidR="00D75DCA" w:rsidRPr="007D694F">
        <w:rPr>
          <w:sz w:val="26"/>
          <w:szCs w:val="26"/>
        </w:rPr>
        <w:t xml:space="preserve"> </w:t>
      </w:r>
      <w:r w:rsidRPr="007D694F">
        <w:rPr>
          <w:sz w:val="26"/>
          <w:szCs w:val="26"/>
        </w:rPr>
        <w:t>Manheim 230-69 kV Regional Substation.</w:t>
      </w:r>
    </w:p>
    <w:p w:rsidR="009929F3" w:rsidRDefault="009929F3" w:rsidP="00137256">
      <w:pPr>
        <w:rPr>
          <w:color w:val="000000"/>
          <w:sz w:val="26"/>
          <w:szCs w:val="26"/>
        </w:rPr>
      </w:pPr>
    </w:p>
    <w:p w:rsidR="00137256" w:rsidRPr="00D75DCA" w:rsidRDefault="00EB7483" w:rsidP="009929F3">
      <w:pPr>
        <w:spacing w:line="360" w:lineRule="auto"/>
        <w:rPr>
          <w:sz w:val="26"/>
          <w:szCs w:val="26"/>
        </w:rPr>
      </w:pPr>
      <w:r>
        <w:rPr>
          <w:color w:val="000000"/>
          <w:sz w:val="26"/>
          <w:szCs w:val="26"/>
        </w:rPr>
        <w:tab/>
      </w:r>
      <w:r w:rsidR="00174860" w:rsidRPr="00174860">
        <w:rPr>
          <w:color w:val="000000"/>
          <w:sz w:val="26"/>
          <w:szCs w:val="26"/>
        </w:rPr>
        <w:tab/>
      </w:r>
      <w:r w:rsidR="00D76F9A" w:rsidRPr="002E0922">
        <w:rPr>
          <w:color w:val="000000"/>
          <w:sz w:val="26"/>
          <w:szCs w:val="26"/>
        </w:rPr>
        <w:t>PPL Electric states that t</w:t>
      </w:r>
      <w:r w:rsidR="00F43894" w:rsidRPr="002E0922">
        <w:rPr>
          <w:color w:val="000000"/>
          <w:sz w:val="26"/>
          <w:szCs w:val="26"/>
        </w:rPr>
        <w:t xml:space="preserve">he proposed reconstruction </w:t>
      </w:r>
      <w:r w:rsidR="00D73F17" w:rsidRPr="002E0922">
        <w:rPr>
          <w:color w:val="000000"/>
          <w:sz w:val="26"/>
          <w:szCs w:val="26"/>
        </w:rPr>
        <w:t xml:space="preserve">of the </w:t>
      </w:r>
      <w:r w:rsidR="00137256">
        <w:rPr>
          <w:sz w:val="26"/>
          <w:szCs w:val="26"/>
        </w:rPr>
        <w:t xml:space="preserve">South Akron-Dillerville </w:t>
      </w:r>
      <w:r w:rsidR="002E0922" w:rsidRPr="002E0922">
        <w:rPr>
          <w:sz w:val="26"/>
          <w:szCs w:val="26"/>
        </w:rPr>
        <w:t>138/69 kV Line</w:t>
      </w:r>
      <w:r w:rsidR="00137256">
        <w:rPr>
          <w:sz w:val="26"/>
          <w:szCs w:val="26"/>
        </w:rPr>
        <w:t xml:space="preserve"> will involve replacing</w:t>
      </w:r>
      <w:r w:rsidR="00137256" w:rsidRPr="00137256">
        <w:rPr>
          <w:sz w:val="26"/>
          <w:szCs w:val="26"/>
        </w:rPr>
        <w:t xml:space="preserve"> </w:t>
      </w:r>
      <w:r w:rsidR="00137256" w:rsidRPr="00D75DCA">
        <w:rPr>
          <w:sz w:val="26"/>
          <w:szCs w:val="26"/>
        </w:rPr>
        <w:t>nine existing double circuit</w:t>
      </w:r>
      <w:r w:rsidR="00137256">
        <w:rPr>
          <w:sz w:val="26"/>
          <w:szCs w:val="26"/>
        </w:rPr>
        <w:t xml:space="preserve"> monopol</w:t>
      </w:r>
      <w:r w:rsidR="00137256" w:rsidRPr="00D75DCA">
        <w:rPr>
          <w:sz w:val="26"/>
          <w:szCs w:val="26"/>
        </w:rPr>
        <w:t>e structures with eight new double-circuit 138 and 69 kV</w:t>
      </w:r>
      <w:r w:rsidR="00137256">
        <w:rPr>
          <w:sz w:val="26"/>
          <w:szCs w:val="26"/>
        </w:rPr>
        <w:t xml:space="preserve"> </w:t>
      </w:r>
      <w:r w:rsidR="00137256" w:rsidRPr="00D75DCA">
        <w:rPr>
          <w:sz w:val="26"/>
          <w:szCs w:val="26"/>
        </w:rPr>
        <w:t>structures for each of the new double circuit lines (16 new poles in total).</w:t>
      </w:r>
      <w:r w:rsidR="00137256">
        <w:rPr>
          <w:sz w:val="26"/>
          <w:szCs w:val="26"/>
        </w:rPr>
        <w:t xml:space="preserve"> </w:t>
      </w:r>
      <w:r w:rsidR="00137256" w:rsidRPr="00D75DCA">
        <w:rPr>
          <w:sz w:val="26"/>
          <w:szCs w:val="26"/>
        </w:rPr>
        <w:t xml:space="preserve"> Two circuits</w:t>
      </w:r>
      <w:r w:rsidR="00137256">
        <w:rPr>
          <w:sz w:val="26"/>
          <w:szCs w:val="26"/>
        </w:rPr>
        <w:t xml:space="preserve"> </w:t>
      </w:r>
      <w:r w:rsidR="00137256" w:rsidRPr="00D75DCA">
        <w:rPr>
          <w:sz w:val="26"/>
          <w:szCs w:val="26"/>
        </w:rPr>
        <w:t>will be installed on each pole. The top circuit on each pole will be designed and</w:t>
      </w:r>
      <w:r w:rsidR="00137256">
        <w:rPr>
          <w:sz w:val="26"/>
          <w:szCs w:val="26"/>
        </w:rPr>
        <w:t xml:space="preserve"> </w:t>
      </w:r>
      <w:r w:rsidR="00137256" w:rsidRPr="00D75DCA">
        <w:rPr>
          <w:sz w:val="26"/>
          <w:szCs w:val="26"/>
        </w:rPr>
        <w:t>constructed</w:t>
      </w:r>
      <w:r w:rsidR="00137256">
        <w:rPr>
          <w:sz w:val="26"/>
          <w:szCs w:val="26"/>
        </w:rPr>
        <w:t xml:space="preserve"> for 138-</w:t>
      </w:r>
      <w:r w:rsidR="00137256" w:rsidRPr="00D75DCA">
        <w:rPr>
          <w:sz w:val="26"/>
          <w:szCs w:val="26"/>
        </w:rPr>
        <w:t>kV operation while the bottom circuit on each pole will be designed</w:t>
      </w:r>
      <w:r w:rsidR="00137256">
        <w:rPr>
          <w:sz w:val="26"/>
          <w:szCs w:val="26"/>
        </w:rPr>
        <w:t xml:space="preserve"> and constructed for 69-</w:t>
      </w:r>
      <w:r w:rsidR="00137256" w:rsidRPr="00D75DCA">
        <w:rPr>
          <w:sz w:val="26"/>
          <w:szCs w:val="26"/>
        </w:rPr>
        <w:t>kV operation. The existing structures range in height from 100 to</w:t>
      </w:r>
      <w:r w:rsidR="00137256">
        <w:rPr>
          <w:sz w:val="26"/>
          <w:szCs w:val="26"/>
        </w:rPr>
        <w:t xml:space="preserve"> </w:t>
      </w:r>
      <w:r w:rsidR="00137256" w:rsidRPr="00D75DCA">
        <w:rPr>
          <w:sz w:val="26"/>
          <w:szCs w:val="26"/>
        </w:rPr>
        <w:t xml:space="preserve">115 feet, and the new structures will be approximately 115 to 155 feet in height. </w:t>
      </w:r>
      <w:r w:rsidR="00137256">
        <w:rPr>
          <w:sz w:val="26"/>
          <w:szCs w:val="26"/>
        </w:rPr>
        <w:t xml:space="preserve"> </w:t>
      </w:r>
      <w:r w:rsidR="00137256" w:rsidRPr="00D75DCA">
        <w:rPr>
          <w:sz w:val="26"/>
          <w:szCs w:val="26"/>
        </w:rPr>
        <w:t>The</w:t>
      </w:r>
      <w:r w:rsidR="00137256">
        <w:rPr>
          <w:sz w:val="26"/>
          <w:szCs w:val="26"/>
        </w:rPr>
        <w:t xml:space="preserve"> </w:t>
      </w:r>
      <w:r w:rsidR="00137256" w:rsidRPr="00D75DCA">
        <w:rPr>
          <w:sz w:val="26"/>
          <w:szCs w:val="26"/>
        </w:rPr>
        <w:t xml:space="preserve">average height of the new structures will be approximately 127 feet. </w:t>
      </w:r>
      <w:r w:rsidR="009929F3">
        <w:rPr>
          <w:sz w:val="26"/>
          <w:szCs w:val="26"/>
        </w:rPr>
        <w:t xml:space="preserve"> </w:t>
      </w:r>
      <w:r w:rsidR="00137256" w:rsidRPr="00D75DCA">
        <w:rPr>
          <w:sz w:val="26"/>
          <w:szCs w:val="26"/>
        </w:rPr>
        <w:t>All of the new steel</w:t>
      </w:r>
      <w:r w:rsidR="00137256">
        <w:rPr>
          <w:sz w:val="26"/>
          <w:szCs w:val="26"/>
        </w:rPr>
        <w:t xml:space="preserve"> </w:t>
      </w:r>
      <w:r w:rsidR="00137256" w:rsidRPr="00D75DCA">
        <w:rPr>
          <w:sz w:val="26"/>
          <w:szCs w:val="26"/>
        </w:rPr>
        <w:t>poles will be installed on foundations.</w:t>
      </w:r>
      <w:r w:rsidR="009929F3">
        <w:rPr>
          <w:sz w:val="26"/>
          <w:szCs w:val="26"/>
        </w:rPr>
        <w:t xml:space="preserve"> </w:t>
      </w:r>
      <w:r w:rsidR="00137256" w:rsidRPr="00D75DCA">
        <w:rPr>
          <w:sz w:val="26"/>
          <w:szCs w:val="26"/>
        </w:rPr>
        <w:t>The two new sections of double circuit transmission line will each utilize</w:t>
      </w:r>
      <w:r w:rsidR="00137256">
        <w:rPr>
          <w:sz w:val="26"/>
          <w:szCs w:val="26"/>
        </w:rPr>
        <w:t xml:space="preserve"> </w:t>
      </w:r>
      <w:r w:rsidR="0004317A">
        <w:rPr>
          <w:sz w:val="26"/>
          <w:szCs w:val="26"/>
        </w:rPr>
        <w:t>six 556.5 </w:t>
      </w:r>
      <w:r w:rsidR="00137256" w:rsidRPr="00D75DCA">
        <w:rPr>
          <w:sz w:val="26"/>
          <w:szCs w:val="26"/>
        </w:rPr>
        <w:t>thousand circular mills (kcmil)</w:t>
      </w:r>
      <w:r w:rsidR="009929F3">
        <w:rPr>
          <w:rStyle w:val="FootnoteReference"/>
          <w:sz w:val="26"/>
          <w:szCs w:val="26"/>
        </w:rPr>
        <w:footnoteReference w:id="2"/>
      </w:r>
      <w:r w:rsidR="00137256" w:rsidRPr="00D75DCA">
        <w:rPr>
          <w:sz w:val="26"/>
          <w:szCs w:val="26"/>
        </w:rPr>
        <w:t>, 24/7 stranding, aluminum conductor steel</w:t>
      </w:r>
      <w:r w:rsidR="009929F3">
        <w:rPr>
          <w:sz w:val="26"/>
          <w:szCs w:val="26"/>
        </w:rPr>
        <w:t xml:space="preserve"> </w:t>
      </w:r>
      <w:r w:rsidR="00137256" w:rsidRPr="00D75DCA">
        <w:rPr>
          <w:sz w:val="26"/>
          <w:szCs w:val="26"/>
        </w:rPr>
        <w:t xml:space="preserve">reinforced power conductors. </w:t>
      </w:r>
      <w:r w:rsidR="009929F3">
        <w:rPr>
          <w:sz w:val="26"/>
          <w:szCs w:val="26"/>
        </w:rPr>
        <w:t xml:space="preserve"> </w:t>
      </w:r>
      <w:r w:rsidR="00137256" w:rsidRPr="00D75DCA">
        <w:rPr>
          <w:sz w:val="26"/>
          <w:szCs w:val="26"/>
        </w:rPr>
        <w:t>One new half-inch extra high strength steel overhead</w:t>
      </w:r>
      <w:r w:rsidR="009929F3">
        <w:rPr>
          <w:sz w:val="26"/>
          <w:szCs w:val="26"/>
        </w:rPr>
        <w:t xml:space="preserve"> </w:t>
      </w:r>
      <w:r w:rsidR="00137256" w:rsidRPr="00D75DCA">
        <w:rPr>
          <w:sz w:val="26"/>
          <w:szCs w:val="26"/>
        </w:rPr>
        <w:t>ground wire will be installed on each double circuit line to provide lightning protection</w:t>
      </w:r>
      <w:r w:rsidR="009929F3">
        <w:rPr>
          <w:sz w:val="26"/>
          <w:szCs w:val="26"/>
        </w:rPr>
        <w:t xml:space="preserve"> </w:t>
      </w:r>
      <w:r w:rsidR="00137256" w:rsidRPr="00D75DCA">
        <w:rPr>
          <w:sz w:val="26"/>
          <w:szCs w:val="26"/>
        </w:rPr>
        <w:t>for the line.</w:t>
      </w:r>
    </w:p>
    <w:p w:rsidR="00137256" w:rsidRDefault="00137256" w:rsidP="009929F3">
      <w:pPr>
        <w:spacing w:line="360" w:lineRule="auto"/>
        <w:rPr>
          <w:sz w:val="26"/>
          <w:szCs w:val="26"/>
        </w:rPr>
      </w:pPr>
    </w:p>
    <w:p w:rsidR="00FA26AC" w:rsidRPr="00D43523" w:rsidRDefault="00FA26AC" w:rsidP="00D43523">
      <w:pPr>
        <w:spacing w:line="360" w:lineRule="auto"/>
        <w:rPr>
          <w:sz w:val="26"/>
          <w:szCs w:val="26"/>
        </w:rPr>
      </w:pPr>
      <w:r>
        <w:rPr>
          <w:sz w:val="26"/>
          <w:szCs w:val="26"/>
        </w:rPr>
        <w:tab/>
      </w:r>
      <w:r>
        <w:rPr>
          <w:sz w:val="26"/>
          <w:szCs w:val="26"/>
        </w:rPr>
        <w:tab/>
      </w:r>
      <w:r w:rsidRPr="00D43523">
        <w:rPr>
          <w:sz w:val="26"/>
          <w:szCs w:val="26"/>
        </w:rPr>
        <w:t xml:space="preserve">PPL Electric states that </w:t>
      </w:r>
      <w:r w:rsidR="00D43523" w:rsidRPr="00D43523">
        <w:rPr>
          <w:sz w:val="26"/>
          <w:szCs w:val="26"/>
        </w:rPr>
        <w:t xml:space="preserve">this phase of the Project will be located entirely within existing PPL Electric right-of-way. </w:t>
      </w:r>
      <w:r w:rsidR="008C262F">
        <w:rPr>
          <w:sz w:val="26"/>
          <w:szCs w:val="26"/>
        </w:rPr>
        <w:t xml:space="preserve"> </w:t>
      </w:r>
      <w:r w:rsidR="00D43523" w:rsidRPr="00D43523">
        <w:rPr>
          <w:sz w:val="26"/>
          <w:szCs w:val="26"/>
        </w:rPr>
        <w:t xml:space="preserve">No additional right-of-way is required.  This phase of the Project will </w:t>
      </w:r>
      <w:r w:rsidRPr="00D43523">
        <w:rPr>
          <w:sz w:val="26"/>
          <w:szCs w:val="26"/>
        </w:rPr>
        <w:t xml:space="preserve">not create any unreasonable risk or danger to the public health or safety.  The reconstructed lines will be designed, constructed, operated, and maintained in </w:t>
      </w:r>
      <w:r w:rsidRPr="00D43523">
        <w:rPr>
          <w:sz w:val="26"/>
          <w:szCs w:val="26"/>
        </w:rPr>
        <w:lastRenderedPageBreak/>
        <w:t xml:space="preserve">a manner that meets or surpasses all applicable National Electrical Safety Code ("NESC") minimum standards and meets all applicable legal requirements. </w:t>
      </w:r>
      <w:r w:rsidR="008C262F">
        <w:rPr>
          <w:sz w:val="26"/>
          <w:szCs w:val="26"/>
        </w:rPr>
        <w:t xml:space="preserve"> </w:t>
      </w:r>
      <w:r w:rsidR="00D860BB">
        <w:rPr>
          <w:sz w:val="26"/>
          <w:szCs w:val="26"/>
        </w:rPr>
        <w:t>PPL Electric states that t</w:t>
      </w:r>
      <w:r w:rsidRPr="00D43523">
        <w:rPr>
          <w:sz w:val="26"/>
          <w:szCs w:val="26"/>
        </w:rPr>
        <w:t>his phase of the Project will have little impact on the existing land use because it involves modifications in an area which contains existing PPL Electric transmission facilities.  Interference with existing land uses will be further minimized because, where possible, PPL Electric will use previously established access roads for construction.</w:t>
      </w:r>
    </w:p>
    <w:p w:rsidR="00B6746C" w:rsidRPr="00703582" w:rsidRDefault="003D7F59" w:rsidP="00703582">
      <w:pPr>
        <w:spacing w:line="360" w:lineRule="auto"/>
        <w:rPr>
          <w:sz w:val="26"/>
          <w:szCs w:val="26"/>
        </w:rPr>
      </w:pPr>
      <w:r w:rsidRPr="00D43523">
        <w:rPr>
          <w:sz w:val="26"/>
          <w:szCs w:val="26"/>
        </w:rPr>
        <w:tab/>
      </w:r>
      <w:r w:rsidR="00E21DF1">
        <w:rPr>
          <w:color w:val="000000"/>
          <w:sz w:val="26"/>
          <w:szCs w:val="26"/>
        </w:rPr>
        <w:tab/>
      </w:r>
      <w:r w:rsidR="00E21DF1">
        <w:rPr>
          <w:color w:val="000000"/>
          <w:sz w:val="26"/>
          <w:szCs w:val="26"/>
        </w:rPr>
        <w:tab/>
      </w:r>
    </w:p>
    <w:p w:rsidR="00D71D0B" w:rsidRDefault="00D71D0B" w:rsidP="00D71D0B">
      <w:pPr>
        <w:pStyle w:val="Style"/>
        <w:tabs>
          <w:tab w:val="right" w:pos="1015"/>
        </w:tabs>
        <w:spacing w:line="360" w:lineRule="auto"/>
        <w:rPr>
          <w:sz w:val="26"/>
          <w:szCs w:val="26"/>
        </w:rPr>
      </w:pPr>
      <w:r>
        <w:rPr>
          <w:sz w:val="26"/>
          <w:szCs w:val="26"/>
        </w:rPr>
        <w:tab/>
      </w:r>
      <w:r>
        <w:rPr>
          <w:sz w:val="26"/>
          <w:szCs w:val="26"/>
        </w:rPr>
        <w:tab/>
        <w:t xml:space="preserve">PPL Electric </w:t>
      </w:r>
      <w:r w:rsidR="00B54331">
        <w:rPr>
          <w:sz w:val="26"/>
          <w:szCs w:val="26"/>
        </w:rPr>
        <w:t xml:space="preserve">also </w:t>
      </w:r>
      <w:r>
        <w:rPr>
          <w:sz w:val="26"/>
          <w:szCs w:val="26"/>
        </w:rPr>
        <w:t xml:space="preserve">states that the </w:t>
      </w:r>
      <w:r w:rsidR="00F401C9">
        <w:rPr>
          <w:sz w:val="26"/>
          <w:szCs w:val="26"/>
        </w:rPr>
        <w:t xml:space="preserve">integrated </w:t>
      </w:r>
      <w:r w:rsidR="003D7F59">
        <w:rPr>
          <w:sz w:val="26"/>
          <w:szCs w:val="26"/>
        </w:rPr>
        <w:t>conversion</w:t>
      </w:r>
      <w:r w:rsidR="004D284A">
        <w:rPr>
          <w:sz w:val="26"/>
          <w:szCs w:val="26"/>
        </w:rPr>
        <w:t xml:space="preserve"> Project, including this phase, was</w:t>
      </w:r>
      <w:r>
        <w:rPr>
          <w:sz w:val="26"/>
          <w:szCs w:val="26"/>
        </w:rPr>
        <w:t xml:space="preserve"> reviewed with representatives of </w:t>
      </w:r>
      <w:r w:rsidR="004D284A">
        <w:rPr>
          <w:sz w:val="26"/>
          <w:szCs w:val="26"/>
        </w:rPr>
        <w:t>East Hempfield</w:t>
      </w:r>
      <w:r w:rsidR="00850742">
        <w:rPr>
          <w:sz w:val="26"/>
          <w:szCs w:val="26"/>
        </w:rPr>
        <w:t xml:space="preserve"> and </w:t>
      </w:r>
      <w:r w:rsidR="004D284A">
        <w:rPr>
          <w:sz w:val="26"/>
          <w:szCs w:val="26"/>
        </w:rPr>
        <w:t>Manheim</w:t>
      </w:r>
      <w:r w:rsidR="00C537FE">
        <w:rPr>
          <w:sz w:val="26"/>
          <w:szCs w:val="26"/>
        </w:rPr>
        <w:t xml:space="preserve"> Township</w:t>
      </w:r>
      <w:r w:rsidR="00850742">
        <w:rPr>
          <w:sz w:val="26"/>
          <w:szCs w:val="26"/>
        </w:rPr>
        <w:t>s</w:t>
      </w:r>
      <w:r w:rsidR="004D284A">
        <w:rPr>
          <w:sz w:val="26"/>
          <w:szCs w:val="26"/>
        </w:rPr>
        <w:t>,</w:t>
      </w:r>
      <w:r w:rsidR="001970F3">
        <w:rPr>
          <w:sz w:val="26"/>
          <w:szCs w:val="26"/>
        </w:rPr>
        <w:t xml:space="preserve"> and </w:t>
      </w:r>
      <w:r w:rsidR="004D284A">
        <w:rPr>
          <w:sz w:val="26"/>
          <w:szCs w:val="26"/>
        </w:rPr>
        <w:t xml:space="preserve">Lancaster County. </w:t>
      </w:r>
      <w:r>
        <w:rPr>
          <w:sz w:val="26"/>
          <w:szCs w:val="26"/>
        </w:rPr>
        <w:t xml:space="preserve"> </w:t>
      </w:r>
      <w:r w:rsidR="004D284A">
        <w:rPr>
          <w:sz w:val="26"/>
          <w:szCs w:val="26"/>
        </w:rPr>
        <w:t>T</w:t>
      </w:r>
      <w:r w:rsidR="00C537FE">
        <w:rPr>
          <w:sz w:val="26"/>
          <w:szCs w:val="26"/>
        </w:rPr>
        <w:t>he Township</w:t>
      </w:r>
      <w:r w:rsidR="004D284A">
        <w:rPr>
          <w:sz w:val="26"/>
          <w:szCs w:val="26"/>
        </w:rPr>
        <w:t>s</w:t>
      </w:r>
      <w:r>
        <w:rPr>
          <w:sz w:val="26"/>
          <w:szCs w:val="26"/>
        </w:rPr>
        <w:t xml:space="preserve"> </w:t>
      </w:r>
      <w:r w:rsidR="004D284A">
        <w:rPr>
          <w:sz w:val="26"/>
          <w:szCs w:val="26"/>
        </w:rPr>
        <w:t>and</w:t>
      </w:r>
      <w:r>
        <w:rPr>
          <w:sz w:val="26"/>
          <w:szCs w:val="26"/>
        </w:rPr>
        <w:t xml:space="preserve"> the County </w:t>
      </w:r>
      <w:r w:rsidR="004D284A">
        <w:rPr>
          <w:sz w:val="26"/>
          <w:szCs w:val="26"/>
        </w:rPr>
        <w:t>have</w:t>
      </w:r>
      <w:r>
        <w:rPr>
          <w:sz w:val="26"/>
          <w:szCs w:val="26"/>
        </w:rPr>
        <w:t xml:space="preserve"> </w:t>
      </w:r>
      <w:r w:rsidR="004D284A">
        <w:rPr>
          <w:sz w:val="26"/>
          <w:szCs w:val="26"/>
        </w:rPr>
        <w:t>not objected</w:t>
      </w:r>
      <w:r>
        <w:rPr>
          <w:sz w:val="26"/>
          <w:szCs w:val="26"/>
        </w:rPr>
        <w:t xml:space="preserve"> to</w:t>
      </w:r>
      <w:r w:rsidR="001970F3">
        <w:rPr>
          <w:sz w:val="26"/>
          <w:szCs w:val="26"/>
        </w:rPr>
        <w:t xml:space="preserve"> the P</w:t>
      </w:r>
      <w:r>
        <w:rPr>
          <w:sz w:val="26"/>
          <w:szCs w:val="26"/>
        </w:rPr>
        <w:t>roject.</w:t>
      </w:r>
      <w:r w:rsidR="00EC1692">
        <w:rPr>
          <w:sz w:val="26"/>
          <w:szCs w:val="26"/>
        </w:rPr>
        <w:t xml:space="preserve">  </w:t>
      </w:r>
      <w:r w:rsidR="00F535F1">
        <w:rPr>
          <w:sz w:val="26"/>
          <w:szCs w:val="26"/>
        </w:rPr>
        <w:t xml:space="preserve">All owners </w:t>
      </w:r>
      <w:r w:rsidR="00934000">
        <w:rPr>
          <w:sz w:val="26"/>
          <w:szCs w:val="26"/>
        </w:rPr>
        <w:t xml:space="preserve">of land subject to the right-of-way </w:t>
      </w:r>
      <w:r w:rsidR="00F535F1">
        <w:rPr>
          <w:sz w:val="26"/>
          <w:szCs w:val="26"/>
        </w:rPr>
        <w:t>were serviced with copies of this LON.</w:t>
      </w:r>
    </w:p>
    <w:p w:rsidR="00D71D0B" w:rsidRDefault="00D71D0B" w:rsidP="00D71D0B">
      <w:pPr>
        <w:pStyle w:val="Style"/>
        <w:tabs>
          <w:tab w:val="right" w:pos="1015"/>
        </w:tabs>
        <w:spacing w:line="360" w:lineRule="auto"/>
        <w:rPr>
          <w:sz w:val="26"/>
          <w:szCs w:val="26"/>
        </w:rPr>
      </w:pPr>
    </w:p>
    <w:p w:rsidR="00D71D0B" w:rsidRDefault="00D71D0B" w:rsidP="00194622">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6E1F17">
        <w:rPr>
          <w:color w:val="000000"/>
          <w:sz w:val="26"/>
          <w:szCs w:val="26"/>
        </w:rPr>
        <w:t>of this phase of the Project</w:t>
      </w:r>
      <w:r w:rsidR="00434B43">
        <w:rPr>
          <w:color w:val="000000"/>
          <w:sz w:val="26"/>
          <w:szCs w:val="26"/>
        </w:rPr>
        <w:t xml:space="preserve"> is</w:t>
      </w:r>
      <w:r w:rsidR="006E1F17">
        <w:rPr>
          <w:color w:val="000000"/>
          <w:sz w:val="26"/>
          <w:szCs w:val="26"/>
        </w:rPr>
        <w:t xml:space="preserve"> approximately $3</w:t>
      </w:r>
      <w:r w:rsidR="00116334">
        <w:rPr>
          <w:color w:val="000000"/>
          <w:sz w:val="26"/>
          <w:szCs w:val="26"/>
        </w:rPr>
        <w:t>.</w:t>
      </w:r>
      <w:r w:rsidR="006E1F17">
        <w:rPr>
          <w:color w:val="000000"/>
          <w:sz w:val="26"/>
          <w:szCs w:val="26"/>
        </w:rPr>
        <w:t>7million</w:t>
      </w:r>
      <w:r w:rsidR="0089129C">
        <w:rPr>
          <w:color w:val="000000"/>
          <w:sz w:val="26"/>
          <w:szCs w:val="26"/>
        </w:rPr>
        <w:t xml:space="preserve"> which will be borne by PPL Electric</w:t>
      </w:r>
      <w:r>
        <w:rPr>
          <w:color w:val="000000"/>
          <w:sz w:val="26"/>
          <w:szCs w:val="26"/>
        </w:rPr>
        <w:t xml:space="preserve">.  The construction is scheduled to </w:t>
      </w:r>
      <w:r w:rsidR="00194622">
        <w:rPr>
          <w:color w:val="000000"/>
          <w:sz w:val="26"/>
          <w:szCs w:val="26"/>
        </w:rPr>
        <w:t>begin</w:t>
      </w:r>
      <w:r>
        <w:rPr>
          <w:color w:val="000000"/>
          <w:sz w:val="26"/>
          <w:szCs w:val="26"/>
        </w:rPr>
        <w:t xml:space="preserve"> </w:t>
      </w:r>
      <w:r w:rsidR="00435101">
        <w:rPr>
          <w:color w:val="000000"/>
          <w:sz w:val="26"/>
          <w:szCs w:val="26"/>
        </w:rPr>
        <w:t>in February, 2013 in order</w:t>
      </w:r>
      <w:r w:rsidR="00194622">
        <w:rPr>
          <w:color w:val="000000"/>
          <w:sz w:val="26"/>
          <w:szCs w:val="26"/>
        </w:rPr>
        <w:t xml:space="preserve"> </w:t>
      </w:r>
      <w:r>
        <w:rPr>
          <w:color w:val="000000"/>
          <w:sz w:val="26"/>
          <w:szCs w:val="26"/>
        </w:rPr>
        <w:t xml:space="preserve">to meet </w:t>
      </w:r>
      <w:r w:rsidR="00194622">
        <w:rPr>
          <w:color w:val="000000"/>
          <w:sz w:val="26"/>
          <w:szCs w:val="26"/>
        </w:rPr>
        <w:t xml:space="preserve">a </w:t>
      </w:r>
      <w:r w:rsidR="00435101">
        <w:rPr>
          <w:color w:val="000000"/>
          <w:sz w:val="26"/>
          <w:szCs w:val="26"/>
        </w:rPr>
        <w:t>scheduled</w:t>
      </w:r>
      <w:r>
        <w:rPr>
          <w:color w:val="000000"/>
          <w:sz w:val="26"/>
          <w:szCs w:val="26"/>
        </w:rPr>
        <w:t xml:space="preserve"> </w:t>
      </w:r>
      <w:r w:rsidR="00434B43">
        <w:rPr>
          <w:color w:val="000000"/>
          <w:sz w:val="26"/>
          <w:szCs w:val="26"/>
        </w:rPr>
        <w:t xml:space="preserve">in-service date of </w:t>
      </w:r>
      <w:r w:rsidR="008B569F">
        <w:rPr>
          <w:color w:val="000000"/>
          <w:sz w:val="26"/>
          <w:szCs w:val="26"/>
        </w:rPr>
        <w:t>November</w:t>
      </w:r>
      <w:r w:rsidR="00194622">
        <w:rPr>
          <w:color w:val="000000"/>
          <w:sz w:val="26"/>
          <w:szCs w:val="26"/>
        </w:rPr>
        <w:t xml:space="preserve"> </w:t>
      </w:r>
      <w:r>
        <w:rPr>
          <w:color w:val="000000"/>
          <w:sz w:val="26"/>
          <w:szCs w:val="26"/>
        </w:rPr>
        <w:t>2013.</w:t>
      </w:r>
    </w:p>
    <w:p w:rsidR="00F401C9" w:rsidRDefault="00F401C9" w:rsidP="00194622">
      <w:pPr>
        <w:pStyle w:val="Style"/>
        <w:tabs>
          <w:tab w:val="right" w:pos="1015"/>
        </w:tabs>
        <w:spacing w:line="360" w:lineRule="auto"/>
        <w:rPr>
          <w:color w:val="000000"/>
          <w:sz w:val="26"/>
          <w:szCs w:val="26"/>
        </w:rPr>
      </w:pPr>
    </w:p>
    <w:p w:rsidR="00D71D0B" w:rsidRDefault="00D71D0B" w:rsidP="00194622">
      <w:pPr>
        <w:spacing w:line="360" w:lineRule="auto"/>
        <w:ind w:right="-90" w:firstLine="1440"/>
      </w:pPr>
      <w:r>
        <w:rPr>
          <w:sz w:val="26"/>
          <w:szCs w:val="26"/>
        </w:rPr>
        <w:t>Upon review, the Commission finds that the PPL Electric’s Letter of Notification and manner in which it was filed conform to the requirements of 52 Pa. Code § 57.72(d)(1)(v</w:t>
      </w:r>
      <w:r w:rsidR="001E0E92">
        <w:rPr>
          <w:sz w:val="26"/>
          <w:szCs w:val="26"/>
        </w:rPr>
        <w:t>i</w:t>
      </w:r>
      <w:r w:rsidR="00B54331">
        <w:rPr>
          <w:sz w:val="26"/>
          <w:szCs w:val="26"/>
        </w:rPr>
        <w:t xml:space="preserve">) because the </w:t>
      </w:r>
      <w:r w:rsidR="00A658E4">
        <w:rPr>
          <w:sz w:val="26"/>
          <w:szCs w:val="26"/>
        </w:rPr>
        <w:t>transmission line</w:t>
      </w:r>
      <w:r w:rsidR="005E18BE">
        <w:rPr>
          <w:sz w:val="26"/>
          <w:szCs w:val="26"/>
        </w:rPr>
        <w:t xml:space="preserve"> </w:t>
      </w:r>
      <w:r w:rsidR="001E0E92">
        <w:rPr>
          <w:sz w:val="26"/>
          <w:szCs w:val="26"/>
        </w:rPr>
        <w:t>to be</w:t>
      </w:r>
      <w:r w:rsidR="0004317A">
        <w:rPr>
          <w:sz w:val="26"/>
          <w:szCs w:val="26"/>
        </w:rPr>
        <w:t xml:space="preserve"> reconstructed is less than two </w:t>
      </w:r>
      <w:r w:rsidR="001E0E92">
        <w:rPr>
          <w:sz w:val="26"/>
          <w:szCs w:val="26"/>
        </w:rPr>
        <w:t>miles. The line will</w:t>
      </w:r>
      <w:r w:rsidR="005E18BE">
        <w:rPr>
          <w:sz w:val="26"/>
          <w:szCs w:val="26"/>
        </w:rPr>
        <w:t xml:space="preserve"> be </w:t>
      </w:r>
      <w:r w:rsidR="00A658E4">
        <w:rPr>
          <w:sz w:val="26"/>
          <w:szCs w:val="26"/>
        </w:rPr>
        <w:t>re</w:t>
      </w:r>
      <w:r w:rsidR="005E18BE">
        <w:rPr>
          <w:color w:val="000000"/>
          <w:sz w:val="26"/>
          <w:szCs w:val="26"/>
        </w:rPr>
        <w:t xml:space="preserve">constructed entirely within </w:t>
      </w:r>
      <w:r w:rsidR="008234EF">
        <w:rPr>
          <w:color w:val="000000"/>
          <w:sz w:val="26"/>
          <w:szCs w:val="26"/>
        </w:rPr>
        <w:t>PPL Electric’s</w:t>
      </w:r>
      <w:r w:rsidR="005E18BE">
        <w:rPr>
          <w:color w:val="000000"/>
          <w:sz w:val="26"/>
          <w:szCs w:val="26"/>
        </w:rPr>
        <w:t xml:space="preserve"> existing </w:t>
      </w:r>
      <w:r w:rsidR="00A658E4">
        <w:rPr>
          <w:color w:val="000000"/>
          <w:sz w:val="26"/>
          <w:szCs w:val="26"/>
        </w:rPr>
        <w:t xml:space="preserve">transmission line </w:t>
      </w:r>
      <w:r w:rsidR="001E0E92">
        <w:rPr>
          <w:color w:val="000000"/>
          <w:sz w:val="26"/>
          <w:szCs w:val="26"/>
        </w:rPr>
        <w:t>right-of-way and</w:t>
      </w:r>
      <w:r w:rsidR="00A0785F">
        <w:rPr>
          <w:color w:val="000000"/>
          <w:sz w:val="26"/>
          <w:szCs w:val="26"/>
        </w:rPr>
        <w:t xml:space="preserve"> the rebuilt l</w:t>
      </w:r>
      <w:r w:rsidR="00F401C9">
        <w:rPr>
          <w:color w:val="000000"/>
          <w:sz w:val="26"/>
          <w:szCs w:val="26"/>
        </w:rPr>
        <w:t>ine</w:t>
      </w:r>
      <w:r w:rsidR="00A658E4">
        <w:rPr>
          <w:color w:val="000000"/>
          <w:sz w:val="26"/>
          <w:szCs w:val="26"/>
        </w:rPr>
        <w:t xml:space="preserve"> will not substantially alter the right-of-way.  </w:t>
      </w:r>
      <w:r>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04317A" w:rsidRDefault="0004317A">
      <w:pPr>
        <w:widowControl/>
        <w:autoSpaceDE/>
        <w:autoSpaceDN/>
        <w:adjustRightInd/>
        <w:spacing w:after="200" w:line="276" w:lineRule="auto"/>
      </w:pPr>
      <w:r>
        <w:br w:type="page"/>
      </w:r>
    </w:p>
    <w:p w:rsidR="00D71D0B" w:rsidRDefault="00D71D0B" w:rsidP="00D71D0B">
      <w:pPr>
        <w:pStyle w:val="p2"/>
        <w:spacing w:line="360" w:lineRule="auto"/>
        <w:outlineLvl w:val="0"/>
        <w:rPr>
          <w:b/>
          <w:sz w:val="26"/>
          <w:szCs w:val="26"/>
        </w:rPr>
      </w:pPr>
      <w:r>
        <w:rPr>
          <w:b/>
          <w:sz w:val="26"/>
          <w:szCs w:val="26"/>
        </w:rPr>
        <w:lastRenderedPageBreak/>
        <w:t>IT IS ORDERED:</w:t>
      </w:r>
    </w:p>
    <w:p w:rsidR="00D71D0B" w:rsidRDefault="00D71D0B" w:rsidP="00D71D0B">
      <w:pPr>
        <w:tabs>
          <w:tab w:val="left" w:pos="1491"/>
        </w:tabs>
        <w:spacing w:line="360" w:lineRule="auto"/>
        <w:rPr>
          <w:sz w:val="26"/>
          <w:szCs w:val="26"/>
        </w:rPr>
      </w:pPr>
    </w:p>
    <w:p w:rsidR="00D71D0B" w:rsidRDefault="00D71D0B" w:rsidP="00D71D0B">
      <w:pPr>
        <w:pStyle w:val="p4"/>
        <w:numPr>
          <w:ilvl w:val="0"/>
          <w:numId w:val="3"/>
        </w:numPr>
        <w:tabs>
          <w:tab w:val="clear" w:pos="204"/>
          <w:tab w:val="left" w:pos="720"/>
        </w:tabs>
        <w:spacing w:line="360" w:lineRule="auto"/>
        <w:ind w:left="0" w:firstLine="1440"/>
        <w:outlineLvl w:val="0"/>
        <w:rPr>
          <w:sz w:val="26"/>
          <w:szCs w:val="26"/>
        </w:rPr>
      </w:pPr>
      <w:r>
        <w:rPr>
          <w:sz w:val="26"/>
          <w:szCs w:val="26"/>
        </w:rPr>
        <w:t xml:space="preserve"> That the Letter of Notification filed by PPL Electric Utilities Corporation with respect to </w:t>
      </w:r>
      <w:r w:rsidR="005E18BE">
        <w:rPr>
          <w:sz w:val="26"/>
          <w:szCs w:val="26"/>
        </w:rPr>
        <w:t>re</w:t>
      </w:r>
      <w:r w:rsidR="00D3486E">
        <w:rPr>
          <w:sz w:val="26"/>
          <w:szCs w:val="26"/>
        </w:rPr>
        <w:t>construction</w:t>
      </w:r>
      <w:r>
        <w:rPr>
          <w:sz w:val="26"/>
          <w:szCs w:val="26"/>
        </w:rPr>
        <w:t xml:space="preserve"> of </w:t>
      </w:r>
      <w:r w:rsidR="009F3C0B">
        <w:rPr>
          <w:color w:val="000000"/>
          <w:sz w:val="26"/>
          <w:szCs w:val="26"/>
          <w:lang w:bidi="he-IL"/>
        </w:rPr>
        <w:t>a portion of the</w:t>
      </w:r>
      <w:r w:rsidR="00394AC5">
        <w:rPr>
          <w:color w:val="000000"/>
          <w:sz w:val="26"/>
          <w:szCs w:val="26"/>
          <w:lang w:bidi="he-IL"/>
        </w:rPr>
        <w:t xml:space="preserve"> </w:t>
      </w:r>
      <w:r w:rsidR="009F3C0B">
        <w:rPr>
          <w:color w:val="000000"/>
          <w:sz w:val="26"/>
          <w:szCs w:val="26"/>
          <w:lang w:bidi="he-IL"/>
        </w:rPr>
        <w:t>South Akron-Dillerville</w:t>
      </w:r>
      <w:r w:rsidR="0052723D">
        <w:rPr>
          <w:color w:val="000000"/>
          <w:sz w:val="26"/>
          <w:szCs w:val="26"/>
          <w:lang w:bidi="he-IL"/>
        </w:rPr>
        <w:t xml:space="preserve">, </w:t>
      </w:r>
      <w:r w:rsidR="009F3C0B">
        <w:rPr>
          <w:color w:val="000000"/>
          <w:sz w:val="26"/>
          <w:szCs w:val="26"/>
          <w:lang w:bidi="he-IL"/>
        </w:rPr>
        <w:t>#1 and #2</w:t>
      </w:r>
      <w:r>
        <w:rPr>
          <w:color w:val="000000"/>
          <w:sz w:val="26"/>
          <w:szCs w:val="26"/>
          <w:lang w:bidi="he-IL"/>
        </w:rPr>
        <w:t xml:space="preserve"> </w:t>
      </w:r>
      <w:r w:rsidR="009248C9">
        <w:rPr>
          <w:color w:val="000000"/>
          <w:sz w:val="26"/>
          <w:szCs w:val="26"/>
          <w:lang w:bidi="he-IL"/>
        </w:rPr>
        <w:t>13</w:t>
      </w:r>
      <w:r w:rsidR="00D3486E">
        <w:rPr>
          <w:color w:val="000000"/>
          <w:sz w:val="26"/>
          <w:szCs w:val="26"/>
          <w:lang w:bidi="he-IL"/>
        </w:rPr>
        <w:t>8/69</w:t>
      </w:r>
      <w:r>
        <w:rPr>
          <w:color w:val="000000"/>
          <w:sz w:val="26"/>
          <w:szCs w:val="26"/>
          <w:lang w:bidi="he-IL"/>
        </w:rPr>
        <w:t xml:space="preserve"> kV </w:t>
      </w:r>
      <w:r>
        <w:rPr>
          <w:sz w:val="26"/>
          <w:szCs w:val="26"/>
        </w:rPr>
        <w:t xml:space="preserve">Transmission Line in </w:t>
      </w:r>
      <w:r w:rsidR="009F3C0B">
        <w:rPr>
          <w:sz w:val="26"/>
          <w:szCs w:val="26"/>
        </w:rPr>
        <w:t>East Hempfield</w:t>
      </w:r>
      <w:r w:rsidR="0052723D">
        <w:rPr>
          <w:sz w:val="26"/>
          <w:szCs w:val="26"/>
        </w:rPr>
        <w:t xml:space="preserve"> and </w:t>
      </w:r>
      <w:r w:rsidR="009F3C0B">
        <w:rPr>
          <w:sz w:val="26"/>
          <w:szCs w:val="26"/>
        </w:rPr>
        <w:t>Manheim</w:t>
      </w:r>
      <w:r>
        <w:rPr>
          <w:sz w:val="26"/>
          <w:szCs w:val="26"/>
        </w:rPr>
        <w:t xml:space="preserve"> </w:t>
      </w:r>
      <w:r w:rsidR="00D3486E">
        <w:rPr>
          <w:kern w:val="2"/>
          <w:sz w:val="26"/>
          <w:szCs w:val="26"/>
        </w:rPr>
        <w:t>Township</w:t>
      </w:r>
      <w:r w:rsidR="0052723D">
        <w:rPr>
          <w:kern w:val="2"/>
          <w:sz w:val="26"/>
          <w:szCs w:val="26"/>
        </w:rPr>
        <w:t>s</w:t>
      </w:r>
      <w:r>
        <w:rPr>
          <w:kern w:val="2"/>
          <w:sz w:val="26"/>
          <w:szCs w:val="26"/>
        </w:rPr>
        <w:t xml:space="preserve">, </w:t>
      </w:r>
      <w:r w:rsidR="009F3C0B">
        <w:rPr>
          <w:kern w:val="2"/>
          <w:sz w:val="26"/>
          <w:szCs w:val="26"/>
        </w:rPr>
        <w:t>Lancaster</w:t>
      </w:r>
      <w:r>
        <w:rPr>
          <w:sz w:val="26"/>
          <w:szCs w:val="26"/>
        </w:rPr>
        <w:t xml:space="preserve"> County, PA is hereby approved.</w:t>
      </w:r>
    </w:p>
    <w:p w:rsidR="00D71D0B" w:rsidRDefault="00D71D0B" w:rsidP="00D71D0B">
      <w:pPr>
        <w:tabs>
          <w:tab w:val="left" w:pos="1491"/>
        </w:tabs>
        <w:spacing w:line="360" w:lineRule="auto"/>
        <w:jc w:val="both"/>
        <w:rPr>
          <w:sz w:val="26"/>
          <w:szCs w:val="26"/>
        </w:rPr>
      </w:pPr>
    </w:p>
    <w:p w:rsidR="00D71D0B" w:rsidRDefault="00D71D0B" w:rsidP="00D71D0B">
      <w:pPr>
        <w:numPr>
          <w:ilvl w:val="0"/>
          <w:numId w:val="3"/>
        </w:numPr>
        <w:tabs>
          <w:tab w:val="left" w:pos="1491"/>
        </w:tabs>
        <w:spacing w:line="360" w:lineRule="auto"/>
        <w:jc w:val="both"/>
        <w:rPr>
          <w:sz w:val="26"/>
          <w:szCs w:val="26"/>
        </w:rPr>
      </w:pPr>
      <w:r>
        <w:rPr>
          <w:sz w:val="26"/>
          <w:szCs w:val="26"/>
        </w:rPr>
        <w:t xml:space="preserve">      That this proceed</w:t>
      </w:r>
      <w:r w:rsidR="00394AC5">
        <w:rPr>
          <w:sz w:val="26"/>
          <w:szCs w:val="26"/>
        </w:rPr>
        <w:t>i</w:t>
      </w:r>
      <w:r w:rsidR="00956A9B">
        <w:rPr>
          <w:sz w:val="26"/>
          <w:szCs w:val="26"/>
        </w:rPr>
        <w:t>ng at Docket No. A-2012-2319095</w:t>
      </w:r>
      <w:r w:rsidR="00F7572F">
        <w:rPr>
          <w:sz w:val="26"/>
          <w:szCs w:val="26"/>
        </w:rPr>
        <w:t>,</w:t>
      </w:r>
      <w:r>
        <w:rPr>
          <w:sz w:val="26"/>
          <w:szCs w:val="26"/>
        </w:rPr>
        <w:t xml:space="preserve"> be closed.</w:t>
      </w:r>
    </w:p>
    <w:p w:rsidR="00D71D0B" w:rsidRDefault="00D71D0B" w:rsidP="00D71D0B">
      <w:pPr>
        <w:pStyle w:val="ListParagraph"/>
        <w:rPr>
          <w:sz w:val="26"/>
          <w:szCs w:val="26"/>
        </w:rPr>
      </w:pPr>
    </w:p>
    <w:p w:rsidR="00D71D0B" w:rsidRDefault="00EB07ED" w:rsidP="00D71D0B">
      <w:pPr>
        <w:pStyle w:val="p3"/>
        <w:spacing w:line="360" w:lineRule="auto"/>
        <w:ind w:left="5119"/>
        <w:jc w:val="both"/>
        <w:rPr>
          <w:b/>
          <w:bCs/>
          <w:sz w:val="26"/>
          <w:szCs w:val="26"/>
        </w:rPr>
      </w:pPr>
      <w:r>
        <w:rPr>
          <w:noProof/>
        </w:rPr>
        <w:drawing>
          <wp:anchor distT="0" distB="0" distL="114300" distR="114300" simplePos="0" relativeHeight="251658240" behindDoc="1" locked="0" layoutInCell="1" allowOverlap="1" wp14:anchorId="1BB182C7" wp14:editId="03F2D68D">
            <wp:simplePos x="0" y="0"/>
            <wp:positionH relativeFrom="column">
              <wp:posOffset>2889250</wp:posOffset>
            </wp:positionH>
            <wp:positionV relativeFrom="paragraph">
              <wp:posOffset>46355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71D0B">
        <w:rPr>
          <w:b/>
          <w:bCs/>
          <w:sz w:val="26"/>
          <w:szCs w:val="26"/>
        </w:rPr>
        <w:t>BY THE COMMISSION,</w:t>
      </w:r>
    </w:p>
    <w:p w:rsidR="00D71D0B" w:rsidRDefault="00D71D0B" w:rsidP="00D71D0B">
      <w:pPr>
        <w:tabs>
          <w:tab w:val="left" w:pos="5119"/>
        </w:tabs>
        <w:spacing w:line="360" w:lineRule="auto"/>
        <w:jc w:val="both"/>
        <w:rPr>
          <w:bCs/>
          <w:sz w:val="26"/>
          <w:szCs w:val="26"/>
        </w:rPr>
      </w:pPr>
    </w:p>
    <w:p w:rsidR="00D860BB" w:rsidRDefault="00D860BB" w:rsidP="00D71D0B">
      <w:pPr>
        <w:tabs>
          <w:tab w:val="left" w:pos="5119"/>
        </w:tabs>
        <w:spacing w:line="360" w:lineRule="auto"/>
        <w:jc w:val="both"/>
        <w:rPr>
          <w:bCs/>
          <w:sz w:val="26"/>
          <w:szCs w:val="26"/>
        </w:rPr>
      </w:pPr>
    </w:p>
    <w:p w:rsidR="00D71D0B" w:rsidRDefault="00D71D0B" w:rsidP="00D71D0B">
      <w:pPr>
        <w:pStyle w:val="p4"/>
        <w:ind w:left="5126"/>
        <w:jc w:val="both"/>
        <w:outlineLvl w:val="0"/>
        <w:rPr>
          <w:sz w:val="26"/>
          <w:szCs w:val="26"/>
        </w:rPr>
      </w:pPr>
      <w:r>
        <w:rPr>
          <w:sz w:val="26"/>
          <w:szCs w:val="26"/>
        </w:rPr>
        <w:t>Rosemary Chiavetta</w:t>
      </w:r>
    </w:p>
    <w:p w:rsidR="00D71D0B" w:rsidRDefault="00D71D0B" w:rsidP="00D71D0B">
      <w:pPr>
        <w:pStyle w:val="p4"/>
        <w:ind w:left="5126"/>
        <w:jc w:val="both"/>
        <w:rPr>
          <w:sz w:val="26"/>
          <w:szCs w:val="26"/>
        </w:rPr>
      </w:pPr>
      <w:r>
        <w:rPr>
          <w:sz w:val="26"/>
          <w:szCs w:val="26"/>
        </w:rPr>
        <w:t>Secretary</w:t>
      </w:r>
    </w:p>
    <w:p w:rsidR="00D71D0B" w:rsidRDefault="00D71D0B" w:rsidP="00D71D0B">
      <w:pPr>
        <w:pStyle w:val="p4"/>
        <w:spacing w:line="360" w:lineRule="auto"/>
        <w:ind w:left="5130"/>
        <w:jc w:val="both"/>
        <w:rPr>
          <w:sz w:val="26"/>
          <w:szCs w:val="26"/>
        </w:rPr>
      </w:pPr>
    </w:p>
    <w:p w:rsidR="00C67687" w:rsidRDefault="00C67687"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71D0B" w:rsidRDefault="00D71D0B" w:rsidP="00D71D0B">
      <w:pPr>
        <w:pStyle w:val="p1"/>
        <w:spacing w:line="360" w:lineRule="auto"/>
        <w:ind w:hanging="1054"/>
        <w:jc w:val="both"/>
        <w:rPr>
          <w:sz w:val="26"/>
          <w:szCs w:val="26"/>
        </w:rPr>
      </w:pPr>
      <w:r>
        <w:rPr>
          <w:sz w:val="26"/>
          <w:szCs w:val="26"/>
        </w:rPr>
        <w:t>(SEAL)</w:t>
      </w:r>
      <w:r>
        <w:t xml:space="preserve"> </w:t>
      </w:r>
    </w:p>
    <w:p w:rsidR="00D71D0B" w:rsidRDefault="00D71D0B" w:rsidP="00D71D0B">
      <w:pPr>
        <w:pStyle w:val="p1"/>
        <w:spacing w:line="360" w:lineRule="auto"/>
        <w:ind w:hanging="1054"/>
        <w:jc w:val="both"/>
        <w:outlineLvl w:val="0"/>
        <w:rPr>
          <w:sz w:val="26"/>
          <w:szCs w:val="26"/>
        </w:rPr>
      </w:pPr>
      <w:r>
        <w:rPr>
          <w:sz w:val="26"/>
          <w:szCs w:val="26"/>
        </w:rPr>
        <w:t xml:space="preserve">ORDER ADOPTED: </w:t>
      </w:r>
      <w:r w:rsidR="009C69B4">
        <w:rPr>
          <w:sz w:val="26"/>
          <w:szCs w:val="26"/>
        </w:rPr>
        <w:t>November 8</w:t>
      </w:r>
      <w:r>
        <w:rPr>
          <w:sz w:val="26"/>
          <w:szCs w:val="26"/>
        </w:rPr>
        <w:t>, 2012</w:t>
      </w:r>
    </w:p>
    <w:p w:rsidR="00541A14" w:rsidRDefault="00D71D0B" w:rsidP="0052723D">
      <w:pPr>
        <w:pStyle w:val="p1"/>
        <w:tabs>
          <w:tab w:val="clear" w:pos="691"/>
          <w:tab w:val="clear" w:pos="1054"/>
          <w:tab w:val="left" w:pos="1440"/>
        </w:tabs>
        <w:spacing w:line="360" w:lineRule="auto"/>
        <w:ind w:hanging="1054"/>
        <w:jc w:val="both"/>
        <w:outlineLvl w:val="0"/>
      </w:pPr>
      <w:r>
        <w:rPr>
          <w:sz w:val="26"/>
          <w:szCs w:val="26"/>
        </w:rPr>
        <w:t xml:space="preserve">ORDER ENTERED: </w:t>
      </w:r>
      <w:r w:rsidR="00EB07ED">
        <w:rPr>
          <w:sz w:val="26"/>
          <w:szCs w:val="26"/>
        </w:rPr>
        <w:t>November 8, 2012</w:t>
      </w:r>
      <w:bookmarkStart w:id="0" w:name="_GoBack"/>
      <w:bookmarkEnd w:id="0"/>
    </w:p>
    <w:sectPr w:rsidR="00541A14" w:rsidSect="006E6455">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0BC" w:rsidRDefault="005140BC" w:rsidP="001A34AF">
      <w:r>
        <w:separator/>
      </w:r>
    </w:p>
  </w:endnote>
  <w:endnote w:type="continuationSeparator" w:id="0">
    <w:p w:rsidR="005140BC" w:rsidRDefault="005140BC"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859133"/>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EB07ED">
          <w:rPr>
            <w:noProof/>
          </w:rPr>
          <w:t>7</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0BC" w:rsidRDefault="005140BC" w:rsidP="001A34AF">
      <w:r>
        <w:separator/>
      </w:r>
    </w:p>
  </w:footnote>
  <w:footnote w:type="continuationSeparator" w:id="0">
    <w:p w:rsidR="005140BC" w:rsidRDefault="005140BC" w:rsidP="001A34AF">
      <w:r>
        <w:continuationSeparator/>
      </w:r>
    </w:p>
  </w:footnote>
  <w:footnote w:id="1">
    <w:p w:rsidR="007C76D8" w:rsidRPr="008E2B41" w:rsidRDefault="007C76D8" w:rsidP="00575DFD">
      <w:pPr>
        <w:pStyle w:val="FootnoteText"/>
        <w:rPr>
          <w:sz w:val="18"/>
          <w:szCs w:val="18"/>
        </w:rPr>
      </w:pPr>
      <w:r w:rsidRPr="008E2B41">
        <w:rPr>
          <w:rStyle w:val="FootnoteReference"/>
          <w:sz w:val="18"/>
          <w:szCs w:val="18"/>
        </w:rPr>
        <w:footnoteRef/>
      </w:r>
      <w:r w:rsidRPr="008E2B41">
        <w:rPr>
          <w:sz w:val="18"/>
          <w:szCs w:val="18"/>
        </w:rPr>
        <w:t xml:space="preserve"> The fir</w:t>
      </w:r>
      <w:r w:rsidR="00C538B6" w:rsidRPr="008E2B41">
        <w:rPr>
          <w:sz w:val="18"/>
          <w:szCs w:val="18"/>
        </w:rPr>
        <w:t xml:space="preserve">st phase of the 69 kV to 138 kV </w:t>
      </w:r>
      <w:r w:rsidRPr="008E2B41">
        <w:rPr>
          <w:sz w:val="18"/>
          <w:szCs w:val="18"/>
        </w:rPr>
        <w:t>conversion was approved by the Commission on June 25, 2009, at Docket No. A-2009-2100767.  The second phase of the conversion was approved by the Commission on April 15, 2010</w:t>
      </w:r>
      <w:r w:rsidR="00C538B6" w:rsidRPr="008E2B41">
        <w:rPr>
          <w:sz w:val="18"/>
          <w:szCs w:val="18"/>
        </w:rPr>
        <w:t xml:space="preserve">, at Docket No. 2010-2156418.  The third phase of the 69 kV to 138 kV conversion was approved by the Commission on October 28, 2011, at Docket No. A-2011-2248985.  The fourth phase of the 69 kV to 138 kV conversion was approved by the Commission on December 15, 2011, at Docket No. A-2011-2266900.    </w:t>
      </w:r>
    </w:p>
  </w:footnote>
  <w:footnote w:id="2">
    <w:p w:rsidR="009929F3" w:rsidRPr="00B5517D" w:rsidRDefault="009929F3" w:rsidP="009929F3">
      <w:pPr>
        <w:rPr>
          <w:sz w:val="18"/>
          <w:szCs w:val="18"/>
        </w:rPr>
      </w:pPr>
      <w:r w:rsidRPr="00B5517D">
        <w:rPr>
          <w:rStyle w:val="FootnoteReference"/>
          <w:sz w:val="18"/>
          <w:szCs w:val="18"/>
        </w:rPr>
        <w:footnoteRef/>
      </w:r>
      <w:r w:rsidRPr="00B5517D">
        <w:rPr>
          <w:sz w:val="18"/>
          <w:szCs w:val="18"/>
        </w:rPr>
        <w:t xml:space="preserve"> Kcmil wire size is the equivalent cross sectional area in thousands of circular mils.  A circular mil is the area of a  </w:t>
      </w:r>
    </w:p>
    <w:p w:rsidR="009929F3" w:rsidRPr="00B5517D" w:rsidRDefault="009929F3" w:rsidP="009929F3">
      <w:pPr>
        <w:rPr>
          <w:sz w:val="18"/>
          <w:szCs w:val="18"/>
        </w:rPr>
      </w:pPr>
      <w:r w:rsidRPr="00B5517D">
        <w:rPr>
          <w:sz w:val="18"/>
          <w:szCs w:val="18"/>
        </w:rPr>
        <w:t xml:space="preserve">  circle with a diameter of one thousandth (0.001) of an inch.  </w:t>
      </w:r>
    </w:p>
    <w:p w:rsidR="009929F3" w:rsidRPr="00B5517D" w:rsidRDefault="009929F3">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160C9"/>
    <w:rsid w:val="00020798"/>
    <w:rsid w:val="000363B2"/>
    <w:rsid w:val="00040BF9"/>
    <w:rsid w:val="0004317A"/>
    <w:rsid w:val="0004351B"/>
    <w:rsid w:val="00050508"/>
    <w:rsid w:val="0005379B"/>
    <w:rsid w:val="00054C70"/>
    <w:rsid w:val="00055AA7"/>
    <w:rsid w:val="00060D6C"/>
    <w:rsid w:val="000828C6"/>
    <w:rsid w:val="00083548"/>
    <w:rsid w:val="000A2CCA"/>
    <w:rsid w:val="000E504B"/>
    <w:rsid w:val="00102938"/>
    <w:rsid w:val="00105D44"/>
    <w:rsid w:val="00107589"/>
    <w:rsid w:val="00116334"/>
    <w:rsid w:val="00123DE2"/>
    <w:rsid w:val="001256FB"/>
    <w:rsid w:val="0013120F"/>
    <w:rsid w:val="00137256"/>
    <w:rsid w:val="00154025"/>
    <w:rsid w:val="001629DC"/>
    <w:rsid w:val="00163D23"/>
    <w:rsid w:val="0016756E"/>
    <w:rsid w:val="001708C0"/>
    <w:rsid w:val="00174860"/>
    <w:rsid w:val="00183E61"/>
    <w:rsid w:val="00192322"/>
    <w:rsid w:val="00194622"/>
    <w:rsid w:val="001970F3"/>
    <w:rsid w:val="001A34AF"/>
    <w:rsid w:val="001A7CCE"/>
    <w:rsid w:val="001C0517"/>
    <w:rsid w:val="001C3D0E"/>
    <w:rsid w:val="001D1FE5"/>
    <w:rsid w:val="001D506A"/>
    <w:rsid w:val="001E0E92"/>
    <w:rsid w:val="00205A69"/>
    <w:rsid w:val="002172DB"/>
    <w:rsid w:val="00222089"/>
    <w:rsid w:val="002353EA"/>
    <w:rsid w:val="0024793C"/>
    <w:rsid w:val="002609FA"/>
    <w:rsid w:val="00260C8C"/>
    <w:rsid w:val="0026203C"/>
    <w:rsid w:val="00274792"/>
    <w:rsid w:val="00275447"/>
    <w:rsid w:val="00285D59"/>
    <w:rsid w:val="002B1574"/>
    <w:rsid w:val="002B4021"/>
    <w:rsid w:val="002B5FAB"/>
    <w:rsid w:val="002C141D"/>
    <w:rsid w:val="002E0922"/>
    <w:rsid w:val="002E3423"/>
    <w:rsid w:val="003141CD"/>
    <w:rsid w:val="0031630D"/>
    <w:rsid w:val="00321781"/>
    <w:rsid w:val="0032210D"/>
    <w:rsid w:val="00330004"/>
    <w:rsid w:val="00330C72"/>
    <w:rsid w:val="003329EE"/>
    <w:rsid w:val="0034222B"/>
    <w:rsid w:val="00344A7E"/>
    <w:rsid w:val="0034786B"/>
    <w:rsid w:val="003521F2"/>
    <w:rsid w:val="0035612C"/>
    <w:rsid w:val="00363568"/>
    <w:rsid w:val="0037216B"/>
    <w:rsid w:val="003829A3"/>
    <w:rsid w:val="00383CDD"/>
    <w:rsid w:val="0039103C"/>
    <w:rsid w:val="003943E2"/>
    <w:rsid w:val="00394AC5"/>
    <w:rsid w:val="003A2568"/>
    <w:rsid w:val="003C3BE4"/>
    <w:rsid w:val="003C5B9F"/>
    <w:rsid w:val="003D5394"/>
    <w:rsid w:val="003D69D5"/>
    <w:rsid w:val="003D7F59"/>
    <w:rsid w:val="003F2C15"/>
    <w:rsid w:val="004170AB"/>
    <w:rsid w:val="00422734"/>
    <w:rsid w:val="00426AD3"/>
    <w:rsid w:val="00434B43"/>
    <w:rsid w:val="00435101"/>
    <w:rsid w:val="00440BDD"/>
    <w:rsid w:val="0044136D"/>
    <w:rsid w:val="00446B9E"/>
    <w:rsid w:val="00457D7B"/>
    <w:rsid w:val="00464D06"/>
    <w:rsid w:val="00477C1E"/>
    <w:rsid w:val="0049072C"/>
    <w:rsid w:val="004D20ED"/>
    <w:rsid w:val="004D284A"/>
    <w:rsid w:val="004D5510"/>
    <w:rsid w:val="004E6CD9"/>
    <w:rsid w:val="004F62AB"/>
    <w:rsid w:val="00502234"/>
    <w:rsid w:val="005103AA"/>
    <w:rsid w:val="005140BC"/>
    <w:rsid w:val="00517A6F"/>
    <w:rsid w:val="00524089"/>
    <w:rsid w:val="005245A5"/>
    <w:rsid w:val="00524D3E"/>
    <w:rsid w:val="00525875"/>
    <w:rsid w:val="00526937"/>
    <w:rsid w:val="0052723D"/>
    <w:rsid w:val="00527C67"/>
    <w:rsid w:val="00541A14"/>
    <w:rsid w:val="00547D84"/>
    <w:rsid w:val="00572E94"/>
    <w:rsid w:val="00575156"/>
    <w:rsid w:val="00575DFD"/>
    <w:rsid w:val="00586ECA"/>
    <w:rsid w:val="005A1BB0"/>
    <w:rsid w:val="005A690C"/>
    <w:rsid w:val="005B7FDE"/>
    <w:rsid w:val="005D0E97"/>
    <w:rsid w:val="005D2CE8"/>
    <w:rsid w:val="005D72F0"/>
    <w:rsid w:val="005E18BE"/>
    <w:rsid w:val="005E3A56"/>
    <w:rsid w:val="00600C3E"/>
    <w:rsid w:val="00603856"/>
    <w:rsid w:val="00612F4A"/>
    <w:rsid w:val="0061645E"/>
    <w:rsid w:val="00617473"/>
    <w:rsid w:val="00621E6A"/>
    <w:rsid w:val="006269F1"/>
    <w:rsid w:val="00631B3E"/>
    <w:rsid w:val="006550FC"/>
    <w:rsid w:val="006954DA"/>
    <w:rsid w:val="006A5019"/>
    <w:rsid w:val="006A7FB9"/>
    <w:rsid w:val="006B190C"/>
    <w:rsid w:val="006B7111"/>
    <w:rsid w:val="006E1F17"/>
    <w:rsid w:val="006E6455"/>
    <w:rsid w:val="006F0A58"/>
    <w:rsid w:val="0070093D"/>
    <w:rsid w:val="00703582"/>
    <w:rsid w:val="00745044"/>
    <w:rsid w:val="00761F03"/>
    <w:rsid w:val="007654B3"/>
    <w:rsid w:val="00765FF0"/>
    <w:rsid w:val="00766DF4"/>
    <w:rsid w:val="007749B1"/>
    <w:rsid w:val="007833DD"/>
    <w:rsid w:val="00793038"/>
    <w:rsid w:val="007B2F77"/>
    <w:rsid w:val="007C580D"/>
    <w:rsid w:val="007C76D8"/>
    <w:rsid w:val="007D2053"/>
    <w:rsid w:val="007D694F"/>
    <w:rsid w:val="007F4B91"/>
    <w:rsid w:val="007F6577"/>
    <w:rsid w:val="0081100A"/>
    <w:rsid w:val="00813E3C"/>
    <w:rsid w:val="0082121F"/>
    <w:rsid w:val="00822E2A"/>
    <w:rsid w:val="008234EF"/>
    <w:rsid w:val="00850742"/>
    <w:rsid w:val="0085406A"/>
    <w:rsid w:val="008706D5"/>
    <w:rsid w:val="00875B9B"/>
    <w:rsid w:val="00881FAE"/>
    <w:rsid w:val="00882D61"/>
    <w:rsid w:val="00890AFF"/>
    <w:rsid w:val="0089129C"/>
    <w:rsid w:val="008B1854"/>
    <w:rsid w:val="008B40B5"/>
    <w:rsid w:val="008B569F"/>
    <w:rsid w:val="008C262F"/>
    <w:rsid w:val="008C27FB"/>
    <w:rsid w:val="008C63C6"/>
    <w:rsid w:val="008D2ED6"/>
    <w:rsid w:val="008D4216"/>
    <w:rsid w:val="008E2B41"/>
    <w:rsid w:val="00916F10"/>
    <w:rsid w:val="00921CAA"/>
    <w:rsid w:val="009248C9"/>
    <w:rsid w:val="00934000"/>
    <w:rsid w:val="00943224"/>
    <w:rsid w:val="009564A9"/>
    <w:rsid w:val="00956A9B"/>
    <w:rsid w:val="009619AD"/>
    <w:rsid w:val="009758D3"/>
    <w:rsid w:val="00982C39"/>
    <w:rsid w:val="0098495C"/>
    <w:rsid w:val="009929F3"/>
    <w:rsid w:val="00996676"/>
    <w:rsid w:val="009A03D5"/>
    <w:rsid w:val="009A1BFB"/>
    <w:rsid w:val="009A3B80"/>
    <w:rsid w:val="009B1796"/>
    <w:rsid w:val="009C20FF"/>
    <w:rsid w:val="009C2919"/>
    <w:rsid w:val="009C64DC"/>
    <w:rsid w:val="009C69B4"/>
    <w:rsid w:val="009E0AC5"/>
    <w:rsid w:val="009F3C0B"/>
    <w:rsid w:val="009F3EC4"/>
    <w:rsid w:val="00A006E9"/>
    <w:rsid w:val="00A0071B"/>
    <w:rsid w:val="00A02A76"/>
    <w:rsid w:val="00A0785F"/>
    <w:rsid w:val="00A23828"/>
    <w:rsid w:val="00A2656E"/>
    <w:rsid w:val="00A45EAA"/>
    <w:rsid w:val="00A479E8"/>
    <w:rsid w:val="00A5306C"/>
    <w:rsid w:val="00A53E29"/>
    <w:rsid w:val="00A61AC9"/>
    <w:rsid w:val="00A658E4"/>
    <w:rsid w:val="00A65B71"/>
    <w:rsid w:val="00A67DCB"/>
    <w:rsid w:val="00A839F5"/>
    <w:rsid w:val="00A84D6A"/>
    <w:rsid w:val="00A859EE"/>
    <w:rsid w:val="00A92738"/>
    <w:rsid w:val="00AA0472"/>
    <w:rsid w:val="00AC26C9"/>
    <w:rsid w:val="00AD041A"/>
    <w:rsid w:val="00AD0743"/>
    <w:rsid w:val="00AD5BA8"/>
    <w:rsid w:val="00AD72EA"/>
    <w:rsid w:val="00AF300A"/>
    <w:rsid w:val="00AF79DF"/>
    <w:rsid w:val="00AF7CA4"/>
    <w:rsid w:val="00B02D5D"/>
    <w:rsid w:val="00B16FF6"/>
    <w:rsid w:val="00B277C6"/>
    <w:rsid w:val="00B346A4"/>
    <w:rsid w:val="00B37F16"/>
    <w:rsid w:val="00B43293"/>
    <w:rsid w:val="00B50AB6"/>
    <w:rsid w:val="00B54331"/>
    <w:rsid w:val="00B5517D"/>
    <w:rsid w:val="00B6746C"/>
    <w:rsid w:val="00B7763C"/>
    <w:rsid w:val="00B83710"/>
    <w:rsid w:val="00B958BB"/>
    <w:rsid w:val="00B95E84"/>
    <w:rsid w:val="00BC12B7"/>
    <w:rsid w:val="00BC2497"/>
    <w:rsid w:val="00BC51F2"/>
    <w:rsid w:val="00BD288A"/>
    <w:rsid w:val="00BD39B9"/>
    <w:rsid w:val="00BF24CA"/>
    <w:rsid w:val="00C045CE"/>
    <w:rsid w:val="00C159BE"/>
    <w:rsid w:val="00C21D0E"/>
    <w:rsid w:val="00C22155"/>
    <w:rsid w:val="00C3009C"/>
    <w:rsid w:val="00C453BE"/>
    <w:rsid w:val="00C537FE"/>
    <w:rsid w:val="00C538B6"/>
    <w:rsid w:val="00C57267"/>
    <w:rsid w:val="00C57993"/>
    <w:rsid w:val="00C67687"/>
    <w:rsid w:val="00C7066B"/>
    <w:rsid w:val="00C736A3"/>
    <w:rsid w:val="00C73961"/>
    <w:rsid w:val="00C77791"/>
    <w:rsid w:val="00C85D89"/>
    <w:rsid w:val="00C926A3"/>
    <w:rsid w:val="00C92E81"/>
    <w:rsid w:val="00CA1D66"/>
    <w:rsid w:val="00CA4C09"/>
    <w:rsid w:val="00CB1694"/>
    <w:rsid w:val="00D0280E"/>
    <w:rsid w:val="00D3486E"/>
    <w:rsid w:val="00D43132"/>
    <w:rsid w:val="00D43523"/>
    <w:rsid w:val="00D436DC"/>
    <w:rsid w:val="00D44D2B"/>
    <w:rsid w:val="00D51535"/>
    <w:rsid w:val="00D51D55"/>
    <w:rsid w:val="00D54887"/>
    <w:rsid w:val="00D66E14"/>
    <w:rsid w:val="00D71D0B"/>
    <w:rsid w:val="00D73F17"/>
    <w:rsid w:val="00D74B18"/>
    <w:rsid w:val="00D75261"/>
    <w:rsid w:val="00D75DCA"/>
    <w:rsid w:val="00D76F9A"/>
    <w:rsid w:val="00D860BB"/>
    <w:rsid w:val="00D861B4"/>
    <w:rsid w:val="00DA5CE3"/>
    <w:rsid w:val="00DC2E51"/>
    <w:rsid w:val="00DD305B"/>
    <w:rsid w:val="00DD6958"/>
    <w:rsid w:val="00DF35F5"/>
    <w:rsid w:val="00E04AF7"/>
    <w:rsid w:val="00E21DF1"/>
    <w:rsid w:val="00E23ABB"/>
    <w:rsid w:val="00E260CB"/>
    <w:rsid w:val="00E34115"/>
    <w:rsid w:val="00E37C0B"/>
    <w:rsid w:val="00E56BE1"/>
    <w:rsid w:val="00E63982"/>
    <w:rsid w:val="00E658B4"/>
    <w:rsid w:val="00E66AD3"/>
    <w:rsid w:val="00E67C2C"/>
    <w:rsid w:val="00E82BCB"/>
    <w:rsid w:val="00E868BF"/>
    <w:rsid w:val="00EB07ED"/>
    <w:rsid w:val="00EB1CD5"/>
    <w:rsid w:val="00EB7483"/>
    <w:rsid w:val="00EC1692"/>
    <w:rsid w:val="00EE325D"/>
    <w:rsid w:val="00EF625C"/>
    <w:rsid w:val="00F0230B"/>
    <w:rsid w:val="00F055E0"/>
    <w:rsid w:val="00F07D7C"/>
    <w:rsid w:val="00F1678C"/>
    <w:rsid w:val="00F401C9"/>
    <w:rsid w:val="00F425F8"/>
    <w:rsid w:val="00F43894"/>
    <w:rsid w:val="00F4783A"/>
    <w:rsid w:val="00F535F1"/>
    <w:rsid w:val="00F553C8"/>
    <w:rsid w:val="00F7572F"/>
    <w:rsid w:val="00F86313"/>
    <w:rsid w:val="00F91A2F"/>
    <w:rsid w:val="00F93461"/>
    <w:rsid w:val="00F957D3"/>
    <w:rsid w:val="00FA26AC"/>
    <w:rsid w:val="00FA52F4"/>
    <w:rsid w:val="00FA5B59"/>
    <w:rsid w:val="00FA6351"/>
    <w:rsid w:val="00FB5A9E"/>
    <w:rsid w:val="00FC480F"/>
    <w:rsid w:val="00FD0284"/>
    <w:rsid w:val="00FD5653"/>
    <w:rsid w:val="00FE32C9"/>
    <w:rsid w:val="00FE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B07ED"/>
    <w:rPr>
      <w:rFonts w:ascii="Tahoma" w:hAnsi="Tahoma" w:cs="Tahoma"/>
      <w:sz w:val="16"/>
      <w:szCs w:val="16"/>
    </w:rPr>
  </w:style>
  <w:style w:type="character" w:customStyle="1" w:styleId="BalloonTextChar">
    <w:name w:val="Balloon Text Char"/>
    <w:basedOn w:val="DefaultParagraphFont"/>
    <w:link w:val="BalloonText"/>
    <w:uiPriority w:val="99"/>
    <w:semiHidden/>
    <w:rsid w:val="00EB07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B07ED"/>
    <w:rPr>
      <w:rFonts w:ascii="Tahoma" w:hAnsi="Tahoma" w:cs="Tahoma"/>
      <w:sz w:val="16"/>
      <w:szCs w:val="16"/>
    </w:rPr>
  </w:style>
  <w:style w:type="character" w:customStyle="1" w:styleId="BalloonTextChar">
    <w:name w:val="Balloon Text Char"/>
    <w:basedOn w:val="DefaultParagraphFont"/>
    <w:link w:val="BalloonText"/>
    <w:uiPriority w:val="99"/>
    <w:semiHidden/>
    <w:rsid w:val="00EB07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0A0F-0C6E-4D23-8082-9A1332C5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14</cp:revision>
  <cp:lastPrinted>2012-11-08T16:56:00Z</cp:lastPrinted>
  <dcterms:created xsi:type="dcterms:W3CDTF">2012-10-25T17:46:00Z</dcterms:created>
  <dcterms:modified xsi:type="dcterms:W3CDTF">2012-11-08T16:56:00Z</dcterms:modified>
</cp:coreProperties>
</file>