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Default="005D711E">
      <w:pPr>
        <w:rPr>
          <w:b/>
        </w:rPr>
      </w:pPr>
    </w:p>
    <w:p w:rsidR="005D711E" w:rsidRDefault="005D711E">
      <w:pPr>
        <w:rPr>
          <w:b/>
        </w:rPr>
      </w:pPr>
    </w:p>
    <w:p w:rsidR="007A206B" w:rsidRDefault="007A206B">
      <w:pPr>
        <w:rPr>
          <w:b/>
        </w:rPr>
      </w:pPr>
    </w:p>
    <w:p w:rsidR="007A206B" w:rsidRDefault="007A206B">
      <w:pPr>
        <w:rPr>
          <w:b/>
        </w:rPr>
      </w:pPr>
    </w:p>
    <w:p w:rsidR="007A206B" w:rsidRDefault="007A206B">
      <w:pPr>
        <w:rPr>
          <w:b/>
        </w:rPr>
      </w:pPr>
    </w:p>
    <w:p w:rsidR="004B4861" w:rsidRDefault="004B4861">
      <w:pPr>
        <w:pStyle w:val="Heading8"/>
        <w:ind w:left="270"/>
        <w:jc w:val="center"/>
        <w:rPr>
          <w:sz w:val="32"/>
          <w:szCs w:val="32"/>
        </w:rPr>
      </w:pPr>
    </w:p>
    <w:p w:rsidR="004B4861" w:rsidRDefault="004B4861">
      <w:pPr>
        <w:pStyle w:val="Heading8"/>
        <w:ind w:left="270"/>
        <w:jc w:val="center"/>
        <w:rPr>
          <w:sz w:val="32"/>
          <w:szCs w:val="32"/>
        </w:rPr>
      </w:pPr>
    </w:p>
    <w:p w:rsidR="001032C8" w:rsidRPr="003F3344" w:rsidRDefault="00BC271B" w:rsidP="001032C8">
      <w:pPr>
        <w:pStyle w:val="Title"/>
        <w:rPr>
          <w:rFonts w:ascii="Arial" w:hAnsi="Arial" w:cs="Arial"/>
          <w:sz w:val="36"/>
          <w:szCs w:val="36"/>
          <w:u w:val="none"/>
        </w:rPr>
      </w:pPr>
      <w:r w:rsidRPr="003F3344">
        <w:rPr>
          <w:rFonts w:ascii="Arial" w:hAnsi="Arial" w:cs="Arial"/>
          <w:sz w:val="36"/>
          <w:szCs w:val="36"/>
          <w:u w:val="none"/>
        </w:rPr>
        <w:t>PPL ELECTRIC UTILITIES CORPORATION</w:t>
      </w:r>
    </w:p>
    <w:p w:rsidR="001032C8" w:rsidRPr="002243BA" w:rsidRDefault="001032C8" w:rsidP="001032C8">
      <w:pPr>
        <w:jc w:val="center"/>
        <w:rPr>
          <w:rFonts w:ascii="Arial" w:hAnsi="Arial" w:cs="Arial"/>
          <w:b/>
          <w:sz w:val="36"/>
          <w:szCs w:val="36"/>
        </w:rPr>
      </w:pPr>
    </w:p>
    <w:p w:rsidR="001032C8" w:rsidRPr="002243BA" w:rsidRDefault="001032C8" w:rsidP="001032C8">
      <w:pPr>
        <w:jc w:val="center"/>
        <w:rPr>
          <w:rFonts w:ascii="Arial" w:hAnsi="Arial" w:cs="Arial"/>
          <w:b/>
          <w:sz w:val="36"/>
          <w:szCs w:val="36"/>
        </w:rPr>
      </w:pPr>
    </w:p>
    <w:p w:rsidR="005D711E" w:rsidRPr="002243BA" w:rsidRDefault="005D711E" w:rsidP="007B2F04">
      <w:pPr>
        <w:pStyle w:val="Heading8"/>
        <w:jc w:val="center"/>
        <w:rPr>
          <w:rFonts w:ascii="Arial" w:hAnsi="Arial" w:cs="Arial"/>
          <w:szCs w:val="36"/>
        </w:rPr>
      </w:pPr>
    </w:p>
    <w:p w:rsidR="005D711E" w:rsidRPr="002243BA" w:rsidRDefault="005D711E" w:rsidP="007B2F04">
      <w:pPr>
        <w:pStyle w:val="BodyText2"/>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7A206B" w:rsidRPr="002243BA" w:rsidRDefault="007A206B" w:rsidP="00BC271B">
      <w:pPr>
        <w:pStyle w:val="BodyText2"/>
        <w:tabs>
          <w:tab w:val="clear" w:pos="4680"/>
        </w:tabs>
        <w:jc w:val="left"/>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7366D9" w:rsidRPr="003F3344" w:rsidRDefault="00CC781F" w:rsidP="00CC781F">
      <w:pPr>
        <w:tabs>
          <w:tab w:val="center" w:pos="4680"/>
        </w:tabs>
        <w:suppressAutoHyphens/>
        <w:rPr>
          <w:rFonts w:ascii="Arial" w:hAnsi="Arial" w:cs="Arial"/>
          <w:sz w:val="28"/>
          <w:szCs w:val="28"/>
        </w:rPr>
      </w:pPr>
      <w:r>
        <w:rPr>
          <w:rFonts w:ascii="Arial" w:hAnsi="Arial" w:cs="Arial"/>
          <w:b/>
          <w:sz w:val="32"/>
          <w:szCs w:val="28"/>
        </w:rPr>
        <w:tab/>
      </w:r>
      <w:r w:rsidR="00554B9B" w:rsidRPr="003F3344">
        <w:rPr>
          <w:rFonts w:ascii="Arial" w:hAnsi="Arial" w:cs="Arial"/>
          <w:b/>
          <w:sz w:val="28"/>
          <w:szCs w:val="28"/>
        </w:rPr>
        <w:t xml:space="preserve">A REPORT ON THE </w:t>
      </w:r>
      <w:r w:rsidR="00273FE8" w:rsidRPr="003F3344">
        <w:rPr>
          <w:rFonts w:ascii="Arial" w:hAnsi="Arial" w:cs="Arial"/>
          <w:b/>
          <w:sz w:val="28"/>
          <w:szCs w:val="28"/>
        </w:rPr>
        <w:t xml:space="preserve">UNIVERSAL </w:t>
      </w:r>
      <w:r w:rsidR="00BB133D" w:rsidRPr="003F3344">
        <w:rPr>
          <w:rFonts w:ascii="Arial" w:hAnsi="Arial" w:cs="Arial"/>
          <w:b/>
          <w:sz w:val="28"/>
          <w:szCs w:val="28"/>
        </w:rPr>
        <w:t>SERVICE</w:t>
      </w:r>
      <w:r w:rsidR="005D711E" w:rsidRPr="003F3344">
        <w:rPr>
          <w:rFonts w:ascii="Arial" w:hAnsi="Arial" w:cs="Arial"/>
          <w:b/>
          <w:sz w:val="28"/>
          <w:szCs w:val="28"/>
        </w:rPr>
        <w:t xml:space="preserve"> </w:t>
      </w:r>
      <w:r w:rsidR="00BC271B" w:rsidRPr="003F3344">
        <w:rPr>
          <w:rFonts w:ascii="Arial" w:hAnsi="Arial" w:cs="Arial"/>
          <w:b/>
          <w:sz w:val="28"/>
          <w:szCs w:val="28"/>
        </w:rPr>
        <w:t>RIDER</w:t>
      </w:r>
      <w:r w:rsidR="00554B9B" w:rsidRPr="003F3344">
        <w:rPr>
          <w:rFonts w:ascii="Arial" w:hAnsi="Arial" w:cs="Arial"/>
          <w:sz w:val="28"/>
          <w:szCs w:val="28"/>
        </w:rPr>
        <w:t xml:space="preserve"> </w:t>
      </w:r>
    </w:p>
    <w:p w:rsidR="00CC781F" w:rsidRPr="003F3344" w:rsidRDefault="00CC781F" w:rsidP="00CC781F">
      <w:pPr>
        <w:tabs>
          <w:tab w:val="center" w:pos="4680"/>
        </w:tabs>
        <w:suppressAutoHyphens/>
        <w:rPr>
          <w:rFonts w:ascii="Arial" w:hAnsi="Arial" w:cs="Arial"/>
          <w:sz w:val="28"/>
          <w:szCs w:val="28"/>
        </w:rPr>
      </w:pPr>
    </w:p>
    <w:p w:rsidR="00061843" w:rsidRPr="003F3344" w:rsidRDefault="00554B9B" w:rsidP="00554B9B">
      <w:pPr>
        <w:suppressAutoHyphens/>
        <w:jc w:val="center"/>
        <w:rPr>
          <w:rFonts w:ascii="Arial" w:hAnsi="Arial" w:cs="Arial"/>
          <w:b/>
          <w:sz w:val="28"/>
          <w:szCs w:val="28"/>
        </w:rPr>
      </w:pPr>
      <w:r w:rsidRPr="003F3344">
        <w:rPr>
          <w:rFonts w:ascii="Arial" w:hAnsi="Arial" w:cs="Arial"/>
          <w:b/>
          <w:sz w:val="28"/>
          <w:szCs w:val="28"/>
        </w:rPr>
        <w:t xml:space="preserve">FOR THE </w:t>
      </w:r>
      <w:r w:rsidR="00B5683C">
        <w:rPr>
          <w:rFonts w:ascii="Arial" w:hAnsi="Arial" w:cs="Arial"/>
          <w:b/>
          <w:sz w:val="28"/>
          <w:szCs w:val="28"/>
        </w:rPr>
        <w:t>TWELVE MONTHS</w:t>
      </w:r>
      <w:r w:rsidR="003463D1" w:rsidRPr="003F3344">
        <w:rPr>
          <w:rFonts w:ascii="Arial" w:hAnsi="Arial" w:cs="Arial"/>
          <w:b/>
          <w:sz w:val="28"/>
          <w:szCs w:val="28"/>
        </w:rPr>
        <w:t xml:space="preserve"> </w:t>
      </w:r>
      <w:r w:rsidR="00061843" w:rsidRPr="003F3344">
        <w:rPr>
          <w:rFonts w:ascii="Arial" w:hAnsi="Arial" w:cs="Arial"/>
          <w:b/>
          <w:sz w:val="28"/>
          <w:szCs w:val="28"/>
        </w:rPr>
        <w:t xml:space="preserve">ENDED </w:t>
      </w:r>
      <w:r w:rsidR="00BC271B" w:rsidRPr="003F3344">
        <w:rPr>
          <w:rFonts w:ascii="Arial" w:hAnsi="Arial" w:cs="Arial"/>
          <w:b/>
          <w:sz w:val="28"/>
          <w:szCs w:val="28"/>
        </w:rPr>
        <w:t>DECEMBER</w:t>
      </w:r>
      <w:r w:rsidR="009C0A77" w:rsidRPr="003F3344">
        <w:rPr>
          <w:rFonts w:ascii="Arial" w:hAnsi="Arial" w:cs="Arial"/>
          <w:b/>
          <w:sz w:val="28"/>
          <w:szCs w:val="28"/>
        </w:rPr>
        <w:t xml:space="preserve"> 31,</w:t>
      </w:r>
      <w:r w:rsidR="00061843" w:rsidRPr="003F3344">
        <w:rPr>
          <w:rFonts w:ascii="Arial" w:hAnsi="Arial" w:cs="Arial"/>
          <w:b/>
          <w:sz w:val="28"/>
          <w:szCs w:val="28"/>
        </w:rPr>
        <w:t xml:space="preserve"> 20</w:t>
      </w:r>
      <w:r w:rsidR="002A3F41">
        <w:rPr>
          <w:rFonts w:ascii="Arial" w:hAnsi="Arial" w:cs="Arial"/>
          <w:b/>
          <w:sz w:val="28"/>
          <w:szCs w:val="28"/>
        </w:rPr>
        <w:t>10</w:t>
      </w:r>
      <w:r w:rsidR="00061843" w:rsidRPr="003F3344">
        <w:rPr>
          <w:rFonts w:ascii="Arial" w:hAnsi="Arial" w:cs="Arial"/>
          <w:b/>
          <w:sz w:val="28"/>
          <w:szCs w:val="28"/>
        </w:rPr>
        <w:t xml:space="preserve"> </w:t>
      </w:r>
    </w:p>
    <w:p w:rsidR="005D711E" w:rsidRPr="003F3344" w:rsidRDefault="001062F3" w:rsidP="005B3234">
      <w:pPr>
        <w:pStyle w:val="BodyText2"/>
        <w:tabs>
          <w:tab w:val="clear" w:pos="4680"/>
          <w:tab w:val="left" w:pos="3960"/>
        </w:tabs>
        <w:jc w:val="left"/>
        <w:outlineLvl w:val="0"/>
        <w:rPr>
          <w:rFonts w:ascii="Arial" w:hAnsi="Arial" w:cs="Arial"/>
          <w:sz w:val="28"/>
          <w:szCs w:val="28"/>
        </w:rPr>
      </w:pPr>
      <w:r>
        <w:rPr>
          <w:rFonts w:ascii="Arial" w:hAnsi="Arial" w:cs="Arial"/>
          <w:sz w:val="28"/>
          <w:szCs w:val="28"/>
        </w:rPr>
        <w:tab/>
      </w:r>
    </w:p>
    <w:p w:rsidR="005D711E" w:rsidRPr="003F3344" w:rsidRDefault="005D711E" w:rsidP="007B2F04">
      <w:pPr>
        <w:pStyle w:val="BodyText2"/>
        <w:rPr>
          <w:rFonts w:ascii="Arial" w:hAnsi="Arial" w:cs="Arial"/>
          <w:sz w:val="28"/>
          <w:szCs w:val="28"/>
        </w:rPr>
      </w:pPr>
    </w:p>
    <w:p w:rsidR="002243BA" w:rsidRPr="003F3344" w:rsidRDefault="002243BA" w:rsidP="007B2F04">
      <w:pPr>
        <w:pStyle w:val="BodyText2"/>
        <w:rPr>
          <w:rFonts w:ascii="Arial" w:hAnsi="Arial" w:cs="Arial"/>
          <w:sz w:val="28"/>
          <w:szCs w:val="28"/>
        </w:rPr>
      </w:pPr>
    </w:p>
    <w:p w:rsidR="002243BA" w:rsidRPr="003F3344" w:rsidRDefault="002243BA" w:rsidP="007B2F04">
      <w:pPr>
        <w:pStyle w:val="BodyText2"/>
        <w:rPr>
          <w:rFonts w:ascii="Arial" w:hAnsi="Arial" w:cs="Arial"/>
          <w:sz w:val="28"/>
          <w:szCs w:val="28"/>
        </w:rPr>
      </w:pPr>
    </w:p>
    <w:p w:rsidR="005D711E" w:rsidRPr="003F3344" w:rsidRDefault="005D711E" w:rsidP="007B2F04">
      <w:pPr>
        <w:tabs>
          <w:tab w:val="center" w:pos="4680"/>
        </w:tabs>
        <w:suppressAutoHyphens/>
        <w:jc w:val="center"/>
        <w:rPr>
          <w:rFonts w:ascii="Arial" w:hAnsi="Arial" w:cs="Arial"/>
          <w:b/>
          <w:sz w:val="28"/>
          <w:szCs w:val="28"/>
        </w:rPr>
      </w:pPr>
    </w:p>
    <w:p w:rsidR="005D711E" w:rsidRPr="003F3344" w:rsidRDefault="005D711E" w:rsidP="007B2F04">
      <w:pPr>
        <w:tabs>
          <w:tab w:val="center" w:pos="4680"/>
        </w:tabs>
        <w:suppressAutoHyphens/>
        <w:jc w:val="center"/>
        <w:rPr>
          <w:rFonts w:ascii="Arial" w:hAnsi="Arial" w:cs="Arial"/>
          <w:b/>
          <w:sz w:val="28"/>
          <w:szCs w:val="28"/>
        </w:rPr>
      </w:pPr>
    </w:p>
    <w:p w:rsidR="009F6861" w:rsidRPr="003F3344" w:rsidRDefault="005D711E" w:rsidP="007B2F04">
      <w:pPr>
        <w:tabs>
          <w:tab w:val="center" w:pos="4680"/>
        </w:tabs>
        <w:suppressAutoHyphens/>
        <w:jc w:val="center"/>
        <w:outlineLvl w:val="0"/>
        <w:rPr>
          <w:rFonts w:ascii="Arial" w:hAnsi="Arial" w:cs="Arial"/>
          <w:b/>
          <w:sz w:val="28"/>
          <w:szCs w:val="28"/>
        </w:rPr>
      </w:pPr>
      <w:r w:rsidRPr="003F3344">
        <w:rPr>
          <w:rFonts w:ascii="Arial" w:hAnsi="Arial" w:cs="Arial"/>
          <w:b/>
          <w:sz w:val="28"/>
          <w:szCs w:val="28"/>
        </w:rPr>
        <w:t xml:space="preserve">Prepared </w:t>
      </w:r>
      <w:r w:rsidR="00C06521" w:rsidRPr="003F3344">
        <w:rPr>
          <w:rFonts w:ascii="Arial" w:hAnsi="Arial" w:cs="Arial"/>
          <w:b/>
          <w:sz w:val="28"/>
          <w:szCs w:val="28"/>
        </w:rPr>
        <w:t xml:space="preserve">By </w:t>
      </w:r>
      <w:r w:rsidRPr="003F3344">
        <w:rPr>
          <w:rFonts w:ascii="Arial" w:hAnsi="Arial" w:cs="Arial"/>
          <w:b/>
          <w:sz w:val="28"/>
          <w:szCs w:val="28"/>
        </w:rPr>
        <w:t>The</w:t>
      </w:r>
    </w:p>
    <w:p w:rsidR="005D711E" w:rsidRPr="003F3344" w:rsidRDefault="005D711E" w:rsidP="007B2F04">
      <w:pPr>
        <w:tabs>
          <w:tab w:val="center" w:pos="4680"/>
        </w:tabs>
        <w:suppressAutoHyphens/>
        <w:jc w:val="center"/>
        <w:outlineLvl w:val="0"/>
        <w:rPr>
          <w:rFonts w:ascii="Arial" w:hAnsi="Arial" w:cs="Arial"/>
          <w:b/>
          <w:sz w:val="28"/>
          <w:szCs w:val="28"/>
        </w:rPr>
      </w:pPr>
      <w:r w:rsidRPr="003F3344">
        <w:rPr>
          <w:rFonts w:ascii="Arial" w:hAnsi="Arial" w:cs="Arial"/>
          <w:b/>
          <w:sz w:val="28"/>
          <w:szCs w:val="28"/>
        </w:rPr>
        <w:t>Pennsylvania Public Utility Commission</w:t>
      </w:r>
    </w:p>
    <w:p w:rsidR="005D711E" w:rsidRPr="003F3344" w:rsidRDefault="00C06521" w:rsidP="00C06521">
      <w:pPr>
        <w:tabs>
          <w:tab w:val="center" w:pos="4680"/>
        </w:tabs>
        <w:suppressAutoHyphens/>
        <w:rPr>
          <w:rFonts w:ascii="Arial" w:hAnsi="Arial" w:cs="Arial"/>
          <w:b/>
          <w:sz w:val="28"/>
          <w:szCs w:val="28"/>
        </w:rPr>
      </w:pPr>
      <w:r w:rsidRPr="003F3344">
        <w:rPr>
          <w:rFonts w:ascii="Arial" w:hAnsi="Arial" w:cs="Arial"/>
          <w:b/>
          <w:sz w:val="28"/>
          <w:szCs w:val="28"/>
        </w:rPr>
        <w:tab/>
      </w:r>
      <w:r w:rsidR="005D711E" w:rsidRPr="003F3344">
        <w:rPr>
          <w:rFonts w:ascii="Arial" w:hAnsi="Arial" w:cs="Arial"/>
          <w:b/>
          <w:sz w:val="28"/>
          <w:szCs w:val="28"/>
        </w:rPr>
        <w:t xml:space="preserve">Bureau </w:t>
      </w:r>
      <w:proofErr w:type="gramStart"/>
      <w:r w:rsidR="005D711E" w:rsidRPr="003F3344">
        <w:rPr>
          <w:rFonts w:ascii="Arial" w:hAnsi="Arial" w:cs="Arial"/>
          <w:b/>
          <w:sz w:val="28"/>
          <w:szCs w:val="28"/>
        </w:rPr>
        <w:t>Of</w:t>
      </w:r>
      <w:proofErr w:type="gramEnd"/>
      <w:r w:rsidR="005D711E" w:rsidRPr="003F3344">
        <w:rPr>
          <w:rFonts w:ascii="Arial" w:hAnsi="Arial" w:cs="Arial"/>
          <w:b/>
          <w:sz w:val="28"/>
          <w:szCs w:val="28"/>
        </w:rPr>
        <w:t xml:space="preserve"> Audits</w:t>
      </w:r>
    </w:p>
    <w:p w:rsidR="00501A6C" w:rsidRPr="003F3344" w:rsidRDefault="00C06521" w:rsidP="00C06521">
      <w:pPr>
        <w:tabs>
          <w:tab w:val="center" w:pos="4680"/>
        </w:tabs>
        <w:suppressAutoHyphens/>
        <w:rPr>
          <w:rFonts w:ascii="Arial" w:hAnsi="Arial" w:cs="Arial"/>
          <w:b/>
          <w:sz w:val="28"/>
          <w:szCs w:val="28"/>
        </w:rPr>
      </w:pPr>
      <w:r w:rsidRPr="003F3344">
        <w:rPr>
          <w:rFonts w:ascii="Arial" w:hAnsi="Arial" w:cs="Arial"/>
          <w:b/>
          <w:sz w:val="28"/>
          <w:szCs w:val="28"/>
        </w:rPr>
        <w:tab/>
      </w:r>
      <w:r w:rsidR="00B5683C">
        <w:rPr>
          <w:rFonts w:ascii="Arial" w:hAnsi="Arial" w:cs="Arial"/>
          <w:b/>
          <w:sz w:val="28"/>
          <w:szCs w:val="28"/>
        </w:rPr>
        <w:t xml:space="preserve">Report Date: </w:t>
      </w:r>
      <w:r w:rsidR="006E2CE6" w:rsidRPr="003F3344">
        <w:rPr>
          <w:rFonts w:ascii="Arial" w:hAnsi="Arial" w:cs="Arial"/>
          <w:b/>
          <w:sz w:val="28"/>
          <w:szCs w:val="28"/>
        </w:rPr>
        <w:t xml:space="preserve"> </w:t>
      </w:r>
      <w:r w:rsidR="001F5D07">
        <w:rPr>
          <w:rFonts w:ascii="Arial" w:hAnsi="Arial" w:cs="Arial"/>
          <w:b/>
          <w:sz w:val="28"/>
          <w:szCs w:val="28"/>
        </w:rPr>
        <w:t>October 11, 2012</w:t>
      </w:r>
    </w:p>
    <w:p w:rsidR="009F6861" w:rsidRPr="003F3344" w:rsidRDefault="009F6861" w:rsidP="00C06521">
      <w:pPr>
        <w:tabs>
          <w:tab w:val="center" w:pos="4680"/>
        </w:tabs>
        <w:suppressAutoHyphens/>
        <w:rPr>
          <w:rFonts w:ascii="Arial" w:hAnsi="Arial" w:cs="Arial"/>
          <w:b/>
          <w:sz w:val="28"/>
          <w:szCs w:val="28"/>
        </w:rPr>
      </w:pPr>
    </w:p>
    <w:p w:rsidR="005D711E" w:rsidRPr="003F3344" w:rsidRDefault="00C06521" w:rsidP="00BB133D">
      <w:pPr>
        <w:tabs>
          <w:tab w:val="center" w:pos="4680"/>
        </w:tabs>
        <w:suppressAutoHyphens/>
        <w:rPr>
          <w:rFonts w:ascii="Arial" w:hAnsi="Arial" w:cs="Arial"/>
          <w:b/>
          <w:sz w:val="28"/>
          <w:szCs w:val="28"/>
        </w:rPr>
        <w:sectPr w:rsidR="005D711E" w:rsidRPr="003F3344" w:rsidSect="0047509D">
          <w:footerReference w:type="even" r:id="rId9"/>
          <w:footerReference w:type="default" r:id="rId10"/>
          <w:endnotePr>
            <w:numFmt w:val="decimal"/>
          </w:endnotePr>
          <w:pgSz w:w="12240" w:h="15840" w:code="1"/>
          <w:pgMar w:top="1440" w:right="1440" w:bottom="1440" w:left="1440" w:header="0" w:footer="720" w:gutter="0"/>
          <w:pgNumType w:start="1"/>
          <w:cols w:space="720"/>
          <w:noEndnote/>
        </w:sectPr>
      </w:pPr>
      <w:r w:rsidRPr="003F3344">
        <w:rPr>
          <w:rFonts w:ascii="Arial" w:hAnsi="Arial" w:cs="Arial"/>
          <w:b/>
          <w:sz w:val="28"/>
          <w:szCs w:val="28"/>
        </w:rPr>
        <w:tab/>
        <w:t>Docket D-</w:t>
      </w:r>
      <w:r w:rsidR="002A3F41">
        <w:rPr>
          <w:rFonts w:ascii="Arial" w:hAnsi="Arial" w:cs="Arial"/>
          <w:b/>
          <w:sz w:val="28"/>
          <w:szCs w:val="28"/>
        </w:rPr>
        <w:t>2011</w:t>
      </w:r>
      <w:r w:rsidR="0085746F" w:rsidRPr="003F3344">
        <w:rPr>
          <w:rFonts w:ascii="Arial" w:hAnsi="Arial" w:cs="Arial"/>
          <w:b/>
          <w:sz w:val="28"/>
          <w:szCs w:val="28"/>
        </w:rPr>
        <w:t>-</w:t>
      </w:r>
      <w:r w:rsidR="002A3F41">
        <w:rPr>
          <w:rFonts w:ascii="Arial" w:hAnsi="Arial" w:cs="Arial"/>
          <w:b/>
          <w:sz w:val="28"/>
          <w:szCs w:val="28"/>
        </w:rPr>
        <w:t>2264753</w:t>
      </w:r>
    </w:p>
    <w:p w:rsidR="005D711E" w:rsidRPr="002243BA" w:rsidRDefault="00BC271B" w:rsidP="009F6861">
      <w:pPr>
        <w:pStyle w:val="Heading1"/>
        <w:tabs>
          <w:tab w:val="left" w:pos="180"/>
          <w:tab w:val="left" w:pos="270"/>
        </w:tabs>
        <w:rPr>
          <w:rFonts w:ascii="Arial" w:hAnsi="Arial" w:cs="Arial"/>
          <w:sz w:val="26"/>
          <w:szCs w:val="26"/>
        </w:rPr>
      </w:pPr>
      <w:r>
        <w:rPr>
          <w:rFonts w:ascii="Arial" w:hAnsi="Arial" w:cs="Arial"/>
          <w:sz w:val="26"/>
          <w:szCs w:val="26"/>
        </w:rPr>
        <w:lastRenderedPageBreak/>
        <w:t>PPL ELECTRIC UTILITIES CORPORATION</w:t>
      </w:r>
    </w:p>
    <w:p w:rsidR="005D711E" w:rsidRPr="002243BA" w:rsidRDefault="005D711E" w:rsidP="009F6861">
      <w:pPr>
        <w:tabs>
          <w:tab w:val="left" w:pos="180"/>
          <w:tab w:val="left" w:pos="270"/>
        </w:tabs>
        <w:suppressAutoHyphens/>
        <w:rPr>
          <w:rFonts w:ascii="Arial" w:hAnsi="Arial" w:cs="Arial"/>
          <w:sz w:val="26"/>
          <w:szCs w:val="26"/>
        </w:rPr>
      </w:pPr>
    </w:p>
    <w:p w:rsidR="005D711E" w:rsidRPr="003F3344" w:rsidRDefault="005D711E" w:rsidP="009F6861">
      <w:pPr>
        <w:jc w:val="center"/>
        <w:rPr>
          <w:rFonts w:ascii="Arial" w:hAnsi="Arial" w:cs="Arial"/>
          <w:b/>
          <w:szCs w:val="24"/>
          <w:u w:val="single"/>
        </w:rPr>
      </w:pPr>
      <w:r w:rsidRPr="003F3344">
        <w:rPr>
          <w:rFonts w:ascii="Arial" w:hAnsi="Arial" w:cs="Arial"/>
          <w:b/>
          <w:szCs w:val="24"/>
          <w:u w:val="single"/>
        </w:rPr>
        <w:t>Contents</w:t>
      </w:r>
    </w:p>
    <w:p w:rsidR="005D711E" w:rsidRPr="003F3344" w:rsidRDefault="005D711E">
      <w:pPr>
        <w:tabs>
          <w:tab w:val="left" w:pos="-720"/>
          <w:tab w:val="left" w:pos="180"/>
          <w:tab w:val="left" w:pos="270"/>
        </w:tabs>
        <w:suppressAutoHyphens/>
        <w:ind w:right="-90"/>
        <w:rPr>
          <w:rFonts w:ascii="Arial" w:hAnsi="Arial" w:cs="Arial"/>
          <w:b/>
          <w:szCs w:val="24"/>
          <w:u w:val="single"/>
        </w:rPr>
      </w:pPr>
    </w:p>
    <w:p w:rsidR="00101D15" w:rsidRPr="003F3344" w:rsidRDefault="00101D15">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3F3344" w:rsidTr="001657F8">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F3344" w:rsidRDefault="005D711E">
            <w:pPr>
              <w:pStyle w:val="EndnoteText"/>
              <w:tabs>
                <w:tab w:val="left" w:pos="-720"/>
                <w:tab w:val="left" w:pos="180"/>
                <w:tab w:val="left" w:pos="270"/>
              </w:tabs>
              <w:suppressAutoHyphens/>
              <w:jc w:val="center"/>
              <w:rPr>
                <w:rFonts w:ascii="Arial" w:hAnsi="Arial" w:cs="Arial"/>
                <w:b/>
                <w:szCs w:val="24"/>
                <w:u w:val="single"/>
              </w:rPr>
            </w:pPr>
            <w:r w:rsidRPr="003F3344">
              <w:rPr>
                <w:rFonts w:ascii="Arial" w:hAnsi="Arial" w:cs="Arial"/>
                <w:b/>
                <w:szCs w:val="24"/>
                <w:u w:val="single"/>
              </w:rPr>
              <w:t>Page</w:t>
            </w:r>
          </w:p>
        </w:tc>
      </w:tr>
      <w:tr w:rsidR="005D711E" w:rsidRPr="003F3344" w:rsidTr="001657F8">
        <w:trPr>
          <w:trHeight w:hRule="exact" w:val="216"/>
        </w:trPr>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F3344"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3F3344" w:rsidTr="001657F8">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rPr>
            </w:pPr>
            <w:r w:rsidRPr="003F3344">
              <w:rPr>
                <w:rFonts w:ascii="Arial" w:hAnsi="Arial" w:cs="Arial"/>
                <w:b/>
                <w:szCs w:val="24"/>
                <w:u w:val="single"/>
              </w:rPr>
              <w:t>FINANCIAL REVIEW</w:t>
            </w:r>
            <w:r w:rsidRPr="003F3344">
              <w:rPr>
                <w:rFonts w:ascii="Arial" w:hAnsi="Arial" w:cs="Arial"/>
                <w:b/>
                <w:szCs w:val="24"/>
              </w:rPr>
              <w:t xml:space="preserve"> </w:t>
            </w:r>
          </w:p>
        </w:tc>
        <w:tc>
          <w:tcPr>
            <w:tcW w:w="1098" w:type="dxa"/>
            <w:tcBorders>
              <w:top w:val="nil"/>
              <w:left w:val="nil"/>
              <w:bottom w:val="nil"/>
              <w:right w:val="nil"/>
            </w:tcBorders>
          </w:tcPr>
          <w:p w:rsidR="005D711E" w:rsidRPr="003F3344" w:rsidRDefault="005D711E" w:rsidP="00101D15">
            <w:pPr>
              <w:pStyle w:val="EndnoteText"/>
              <w:tabs>
                <w:tab w:val="right" w:pos="562"/>
              </w:tabs>
              <w:suppressAutoHyphens/>
              <w:rPr>
                <w:rFonts w:ascii="Arial" w:hAnsi="Arial" w:cs="Arial"/>
                <w:szCs w:val="24"/>
              </w:rPr>
            </w:pPr>
          </w:p>
        </w:tc>
      </w:tr>
      <w:tr w:rsidR="00101D15" w:rsidRPr="003F3344" w:rsidTr="001657F8">
        <w:tc>
          <w:tcPr>
            <w:tcW w:w="8478" w:type="dxa"/>
            <w:tcBorders>
              <w:top w:val="nil"/>
              <w:left w:val="nil"/>
              <w:bottom w:val="nil"/>
              <w:right w:val="nil"/>
            </w:tcBorders>
          </w:tcPr>
          <w:p w:rsidR="00101D15" w:rsidRPr="003F3344"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3F3344" w:rsidRDefault="00101D15" w:rsidP="00101D15">
            <w:pPr>
              <w:pStyle w:val="EndnoteText"/>
              <w:tabs>
                <w:tab w:val="right" w:pos="562"/>
              </w:tabs>
              <w:suppressAutoHyphens/>
              <w:rPr>
                <w:rFonts w:ascii="Arial" w:hAnsi="Arial" w:cs="Arial"/>
                <w:szCs w:val="24"/>
              </w:rPr>
            </w:pPr>
          </w:p>
        </w:tc>
      </w:tr>
      <w:tr w:rsidR="005D711E" w:rsidRPr="003F3344" w:rsidTr="001657F8">
        <w:tc>
          <w:tcPr>
            <w:tcW w:w="8478" w:type="dxa"/>
            <w:tcBorders>
              <w:top w:val="nil"/>
              <w:left w:val="nil"/>
              <w:bottom w:val="nil"/>
              <w:right w:val="nil"/>
            </w:tcBorders>
          </w:tcPr>
          <w:p w:rsidR="005D711E" w:rsidRPr="003F3344"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3F3344">
              <w:rPr>
                <w:rFonts w:ascii="Arial" w:hAnsi="Arial" w:cs="Arial"/>
                <w:szCs w:val="24"/>
              </w:rPr>
              <w:tab/>
              <w:t>Auditor's Report</w:t>
            </w:r>
          </w:p>
        </w:tc>
        <w:tc>
          <w:tcPr>
            <w:tcW w:w="1098" w:type="dxa"/>
            <w:tcBorders>
              <w:top w:val="nil"/>
              <w:left w:val="nil"/>
              <w:bottom w:val="nil"/>
              <w:right w:val="nil"/>
            </w:tcBorders>
          </w:tcPr>
          <w:p w:rsidR="005D711E" w:rsidRPr="003F3344" w:rsidRDefault="004C4136" w:rsidP="00D342A5">
            <w:pPr>
              <w:pStyle w:val="EndnoteText"/>
              <w:tabs>
                <w:tab w:val="right" w:pos="612"/>
              </w:tabs>
              <w:suppressAutoHyphens/>
              <w:jc w:val="center"/>
              <w:rPr>
                <w:rFonts w:ascii="Arial" w:hAnsi="Arial" w:cs="Arial"/>
                <w:szCs w:val="24"/>
              </w:rPr>
            </w:pPr>
            <w:r w:rsidRPr="003F3344">
              <w:rPr>
                <w:rFonts w:ascii="Arial" w:hAnsi="Arial" w:cs="Arial"/>
                <w:szCs w:val="24"/>
              </w:rPr>
              <w:t>1</w:t>
            </w:r>
          </w:p>
        </w:tc>
      </w:tr>
      <w:tr w:rsidR="00A8202D" w:rsidRPr="003F3344" w:rsidTr="001657F8">
        <w:tc>
          <w:tcPr>
            <w:tcW w:w="8478" w:type="dxa"/>
            <w:tcBorders>
              <w:top w:val="nil"/>
              <w:left w:val="nil"/>
              <w:bottom w:val="nil"/>
              <w:right w:val="nil"/>
            </w:tcBorders>
          </w:tcPr>
          <w:p w:rsidR="00A8202D" w:rsidRPr="003F3344"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A8202D" w:rsidRPr="003F3344" w:rsidTr="001657F8">
        <w:tc>
          <w:tcPr>
            <w:tcW w:w="8478" w:type="dxa"/>
            <w:tcBorders>
              <w:top w:val="nil"/>
              <w:left w:val="nil"/>
              <w:bottom w:val="nil"/>
              <w:right w:val="nil"/>
            </w:tcBorders>
          </w:tcPr>
          <w:p w:rsidR="00A8202D" w:rsidRPr="003F3344" w:rsidRDefault="00061843" w:rsidP="00A8202D">
            <w:pPr>
              <w:pStyle w:val="EndnoteText"/>
              <w:tabs>
                <w:tab w:val="left" w:pos="9180"/>
              </w:tabs>
              <w:suppressAutoHyphens/>
              <w:ind w:left="360"/>
              <w:rPr>
                <w:rFonts w:ascii="Arial" w:hAnsi="Arial" w:cs="Arial"/>
                <w:szCs w:val="24"/>
              </w:rPr>
            </w:pPr>
            <w:r w:rsidRPr="003F3344">
              <w:rPr>
                <w:rFonts w:ascii="Arial" w:hAnsi="Arial" w:cs="Arial"/>
                <w:szCs w:val="24"/>
              </w:rPr>
              <w:t xml:space="preserve">Statement of </w:t>
            </w:r>
            <w:r w:rsidR="00273FE8" w:rsidRPr="003F3344">
              <w:rPr>
                <w:rFonts w:ascii="Arial" w:hAnsi="Arial" w:cs="Arial"/>
                <w:szCs w:val="24"/>
              </w:rPr>
              <w:t>Universal</w:t>
            </w:r>
            <w:r w:rsidR="00A8202D" w:rsidRPr="003F3344">
              <w:rPr>
                <w:rFonts w:ascii="Arial" w:hAnsi="Arial" w:cs="Arial"/>
                <w:szCs w:val="24"/>
              </w:rPr>
              <w:t xml:space="preserve"> Service </w:t>
            </w:r>
            <w:r w:rsidR="00BC271B" w:rsidRPr="003F3344">
              <w:rPr>
                <w:rFonts w:ascii="Arial" w:hAnsi="Arial" w:cs="Arial"/>
                <w:szCs w:val="24"/>
              </w:rPr>
              <w:t>Rider</w:t>
            </w:r>
            <w:r w:rsidR="00A8202D" w:rsidRPr="003F3344">
              <w:rPr>
                <w:rFonts w:ascii="Arial" w:hAnsi="Arial" w:cs="Arial"/>
                <w:szCs w:val="24"/>
              </w:rPr>
              <w:t xml:space="preserve"> </w:t>
            </w:r>
            <w:r w:rsidR="00454455">
              <w:rPr>
                <w:rFonts w:ascii="Arial" w:hAnsi="Arial" w:cs="Arial"/>
                <w:szCs w:val="24"/>
              </w:rPr>
              <w:t xml:space="preserve">(USR) </w:t>
            </w:r>
            <w:r w:rsidRPr="003F3344">
              <w:rPr>
                <w:rFonts w:ascii="Arial" w:hAnsi="Arial" w:cs="Arial"/>
                <w:szCs w:val="24"/>
              </w:rPr>
              <w:t>Over/</w:t>
            </w:r>
            <w:r w:rsidR="00CC781F" w:rsidRPr="003F3344">
              <w:rPr>
                <w:rFonts w:ascii="Arial" w:hAnsi="Arial" w:cs="Arial"/>
                <w:szCs w:val="24"/>
              </w:rPr>
              <w:t>(</w:t>
            </w:r>
            <w:r w:rsidRPr="003F3344">
              <w:rPr>
                <w:rFonts w:ascii="Arial" w:hAnsi="Arial" w:cs="Arial"/>
                <w:szCs w:val="24"/>
              </w:rPr>
              <w:t>Under</w:t>
            </w:r>
            <w:r w:rsidR="00CC781F" w:rsidRPr="003F3344">
              <w:rPr>
                <w:rFonts w:ascii="Arial" w:hAnsi="Arial" w:cs="Arial"/>
                <w:szCs w:val="24"/>
              </w:rPr>
              <w:t>)</w:t>
            </w:r>
            <w:r w:rsidRPr="003F3344">
              <w:rPr>
                <w:rFonts w:ascii="Arial" w:hAnsi="Arial" w:cs="Arial"/>
                <w:szCs w:val="24"/>
              </w:rPr>
              <w:t xml:space="preserve"> Collections </w:t>
            </w:r>
          </w:p>
          <w:p w:rsidR="00A8202D" w:rsidRPr="003F3344" w:rsidRDefault="00A8202D" w:rsidP="002A3F41">
            <w:pPr>
              <w:pStyle w:val="EndnoteText"/>
              <w:tabs>
                <w:tab w:val="left" w:pos="9180"/>
              </w:tabs>
              <w:suppressAutoHyphens/>
              <w:ind w:left="360"/>
              <w:rPr>
                <w:rFonts w:ascii="Arial" w:hAnsi="Arial" w:cs="Arial"/>
                <w:szCs w:val="24"/>
              </w:rPr>
            </w:pPr>
            <w:r w:rsidRPr="003F3344">
              <w:rPr>
                <w:rFonts w:ascii="Arial" w:hAnsi="Arial" w:cs="Arial"/>
                <w:szCs w:val="24"/>
              </w:rPr>
              <w:t xml:space="preserve">For The </w:t>
            </w:r>
            <w:r w:rsidR="00241E6D" w:rsidRPr="003F3344">
              <w:rPr>
                <w:rFonts w:ascii="Arial" w:hAnsi="Arial" w:cs="Arial"/>
                <w:szCs w:val="24"/>
              </w:rPr>
              <w:t>Twelve</w:t>
            </w:r>
            <w:r w:rsidRPr="003F3344">
              <w:rPr>
                <w:rFonts w:ascii="Arial" w:hAnsi="Arial" w:cs="Arial"/>
                <w:szCs w:val="24"/>
              </w:rPr>
              <w:t xml:space="preserve"> Months Ended </w:t>
            </w:r>
            <w:r w:rsidR="00BC271B" w:rsidRPr="003F3344">
              <w:rPr>
                <w:rFonts w:ascii="Arial" w:hAnsi="Arial" w:cs="Arial"/>
                <w:szCs w:val="24"/>
              </w:rPr>
              <w:t>December</w:t>
            </w:r>
            <w:r w:rsidR="00DF071D" w:rsidRPr="003F3344">
              <w:rPr>
                <w:rFonts w:ascii="Arial" w:hAnsi="Arial" w:cs="Arial"/>
                <w:szCs w:val="24"/>
              </w:rPr>
              <w:t xml:space="preserve"> 31</w:t>
            </w:r>
            <w:r w:rsidRPr="003F3344">
              <w:rPr>
                <w:rFonts w:ascii="Arial" w:hAnsi="Arial" w:cs="Arial"/>
                <w:szCs w:val="24"/>
              </w:rPr>
              <w:t>, 20</w:t>
            </w:r>
            <w:r w:rsidR="002A3F41">
              <w:rPr>
                <w:rFonts w:ascii="Arial" w:hAnsi="Arial" w:cs="Arial"/>
                <w:szCs w:val="24"/>
              </w:rPr>
              <w:t>10</w:t>
            </w:r>
          </w:p>
        </w:tc>
        <w:tc>
          <w:tcPr>
            <w:tcW w:w="1098" w:type="dxa"/>
            <w:tcBorders>
              <w:top w:val="nil"/>
              <w:left w:val="nil"/>
              <w:bottom w:val="nil"/>
              <w:right w:val="nil"/>
            </w:tcBorders>
          </w:tcPr>
          <w:p w:rsidR="00454455" w:rsidRDefault="00454455" w:rsidP="00D342A5">
            <w:pPr>
              <w:tabs>
                <w:tab w:val="right" w:pos="612"/>
              </w:tabs>
              <w:suppressAutoHyphens/>
              <w:jc w:val="center"/>
              <w:rPr>
                <w:rFonts w:ascii="Arial" w:hAnsi="Arial" w:cs="Arial"/>
                <w:szCs w:val="24"/>
              </w:rPr>
            </w:pPr>
          </w:p>
          <w:p w:rsidR="009075E7" w:rsidRPr="003F3344" w:rsidRDefault="004C4136" w:rsidP="00D342A5">
            <w:pPr>
              <w:tabs>
                <w:tab w:val="right" w:pos="612"/>
              </w:tabs>
              <w:suppressAutoHyphens/>
              <w:jc w:val="center"/>
              <w:rPr>
                <w:rFonts w:ascii="Arial" w:hAnsi="Arial" w:cs="Arial"/>
                <w:szCs w:val="24"/>
              </w:rPr>
            </w:pPr>
            <w:r w:rsidRPr="003F3344">
              <w:rPr>
                <w:rFonts w:ascii="Arial" w:hAnsi="Arial" w:cs="Arial"/>
                <w:szCs w:val="24"/>
              </w:rPr>
              <w:t>2</w:t>
            </w:r>
          </w:p>
        </w:tc>
      </w:tr>
      <w:tr w:rsidR="00A8202D" w:rsidRPr="003F3344" w:rsidTr="001657F8">
        <w:tc>
          <w:tcPr>
            <w:tcW w:w="8478" w:type="dxa"/>
            <w:tcBorders>
              <w:top w:val="nil"/>
              <w:left w:val="nil"/>
              <w:bottom w:val="nil"/>
              <w:right w:val="nil"/>
            </w:tcBorders>
          </w:tcPr>
          <w:p w:rsidR="00A8202D" w:rsidRPr="003F3344"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9075E7" w:rsidRPr="003F3344" w:rsidTr="00A8202D">
        <w:trPr>
          <w:trHeight w:val="252"/>
        </w:trPr>
        <w:tc>
          <w:tcPr>
            <w:tcW w:w="8478" w:type="dxa"/>
            <w:tcBorders>
              <w:top w:val="nil"/>
              <w:left w:val="nil"/>
              <w:bottom w:val="nil"/>
              <w:right w:val="nil"/>
            </w:tcBorders>
          </w:tcPr>
          <w:p w:rsidR="009075E7" w:rsidRPr="003F3344" w:rsidRDefault="009075E7" w:rsidP="00EF0761">
            <w:pPr>
              <w:tabs>
                <w:tab w:val="left" w:pos="390"/>
                <w:tab w:val="left" w:pos="9180"/>
              </w:tabs>
              <w:suppressAutoHyphens/>
              <w:ind w:left="360"/>
              <w:rPr>
                <w:rFonts w:ascii="Arial" w:hAnsi="Arial" w:cs="Arial"/>
                <w:szCs w:val="24"/>
              </w:rPr>
            </w:pPr>
            <w:r w:rsidRPr="003F3344">
              <w:rPr>
                <w:rFonts w:ascii="Arial" w:hAnsi="Arial" w:cs="Arial"/>
                <w:szCs w:val="24"/>
              </w:rPr>
              <w:t>Notes To The Financial Statements</w:t>
            </w:r>
          </w:p>
        </w:tc>
        <w:tc>
          <w:tcPr>
            <w:tcW w:w="1098" w:type="dxa"/>
            <w:tcBorders>
              <w:top w:val="nil"/>
              <w:left w:val="nil"/>
              <w:bottom w:val="nil"/>
              <w:right w:val="nil"/>
            </w:tcBorders>
          </w:tcPr>
          <w:p w:rsidR="009075E7" w:rsidRPr="003F3344" w:rsidRDefault="00451A89" w:rsidP="00D342A5">
            <w:pPr>
              <w:tabs>
                <w:tab w:val="right" w:pos="612"/>
              </w:tabs>
              <w:suppressAutoHyphens/>
              <w:jc w:val="center"/>
              <w:rPr>
                <w:rFonts w:ascii="Arial" w:hAnsi="Arial" w:cs="Arial"/>
                <w:szCs w:val="24"/>
              </w:rPr>
            </w:pPr>
            <w:r>
              <w:rPr>
                <w:rFonts w:ascii="Arial" w:hAnsi="Arial" w:cs="Arial"/>
                <w:szCs w:val="24"/>
              </w:rPr>
              <w:t>3</w:t>
            </w:r>
          </w:p>
        </w:tc>
      </w:tr>
      <w:tr w:rsidR="00A8202D" w:rsidRPr="003F3344" w:rsidTr="00A8202D">
        <w:trPr>
          <w:trHeight w:val="252"/>
        </w:trPr>
        <w:tc>
          <w:tcPr>
            <w:tcW w:w="8478" w:type="dxa"/>
            <w:tcBorders>
              <w:top w:val="nil"/>
              <w:left w:val="nil"/>
              <w:bottom w:val="nil"/>
              <w:right w:val="nil"/>
            </w:tcBorders>
          </w:tcPr>
          <w:p w:rsidR="00A8202D" w:rsidRPr="003F3344"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4C4136" w:rsidRPr="003F3344" w:rsidTr="001657F8">
        <w:tc>
          <w:tcPr>
            <w:tcW w:w="8478" w:type="dxa"/>
            <w:tcBorders>
              <w:top w:val="nil"/>
              <w:left w:val="nil"/>
              <w:bottom w:val="nil"/>
              <w:right w:val="nil"/>
            </w:tcBorders>
          </w:tcPr>
          <w:p w:rsidR="00B82555" w:rsidRPr="003F3344" w:rsidRDefault="00B82555">
            <w:pPr>
              <w:tabs>
                <w:tab w:val="left" w:pos="-720"/>
                <w:tab w:val="left" w:pos="360"/>
                <w:tab w:val="left" w:pos="1440"/>
                <w:tab w:val="left" w:pos="9180"/>
              </w:tabs>
              <w:suppressAutoHyphens/>
              <w:rPr>
                <w:rFonts w:ascii="Arial" w:hAnsi="Arial" w:cs="Arial"/>
                <w:b/>
                <w:szCs w:val="24"/>
                <w:u w:val="single"/>
              </w:rPr>
            </w:pPr>
          </w:p>
          <w:p w:rsidR="004C4136" w:rsidRPr="003F3344" w:rsidRDefault="004C4136">
            <w:pPr>
              <w:tabs>
                <w:tab w:val="left" w:pos="-720"/>
                <w:tab w:val="left" w:pos="360"/>
                <w:tab w:val="left" w:pos="1440"/>
                <w:tab w:val="left" w:pos="9180"/>
              </w:tabs>
              <w:suppressAutoHyphens/>
              <w:rPr>
                <w:rFonts w:ascii="Arial" w:hAnsi="Arial" w:cs="Arial"/>
                <w:b/>
                <w:szCs w:val="24"/>
                <w:u w:val="single"/>
              </w:rPr>
            </w:pPr>
            <w:r w:rsidRPr="003F3344">
              <w:rPr>
                <w:rFonts w:ascii="Arial" w:hAnsi="Arial" w:cs="Arial"/>
                <w:b/>
                <w:szCs w:val="24"/>
                <w:u w:val="single"/>
              </w:rPr>
              <w:t>BACKGROUND AND OPERATIONAL REVIEW</w:t>
            </w:r>
          </w:p>
        </w:tc>
        <w:tc>
          <w:tcPr>
            <w:tcW w:w="1098" w:type="dxa"/>
            <w:tcBorders>
              <w:top w:val="nil"/>
              <w:left w:val="nil"/>
              <w:bottom w:val="nil"/>
              <w:right w:val="nil"/>
            </w:tcBorders>
          </w:tcPr>
          <w:p w:rsidR="004C4136" w:rsidRPr="003F3344" w:rsidRDefault="004C4136" w:rsidP="00D342A5">
            <w:pPr>
              <w:tabs>
                <w:tab w:val="right" w:pos="612"/>
              </w:tabs>
              <w:suppressAutoHyphens/>
              <w:rPr>
                <w:rFonts w:ascii="Arial" w:hAnsi="Arial" w:cs="Arial"/>
                <w:szCs w:val="24"/>
              </w:rPr>
            </w:pPr>
          </w:p>
        </w:tc>
      </w:tr>
      <w:tr w:rsidR="004C4136" w:rsidRPr="003F3344" w:rsidTr="001657F8">
        <w:tc>
          <w:tcPr>
            <w:tcW w:w="8478" w:type="dxa"/>
            <w:tcBorders>
              <w:top w:val="nil"/>
              <w:left w:val="nil"/>
              <w:bottom w:val="nil"/>
              <w:right w:val="nil"/>
            </w:tcBorders>
          </w:tcPr>
          <w:p w:rsidR="004C4136" w:rsidRPr="003F3344"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3F3344" w:rsidRDefault="004C4136" w:rsidP="00D342A5">
            <w:pPr>
              <w:tabs>
                <w:tab w:val="right" w:pos="612"/>
              </w:tabs>
              <w:suppressAutoHyphens/>
              <w:rPr>
                <w:rFonts w:ascii="Arial" w:hAnsi="Arial" w:cs="Arial"/>
                <w:szCs w:val="24"/>
              </w:rPr>
            </w:pPr>
          </w:p>
        </w:tc>
      </w:tr>
      <w:tr w:rsidR="004C4136" w:rsidRPr="003F3344" w:rsidTr="001657F8">
        <w:tc>
          <w:tcPr>
            <w:tcW w:w="8478" w:type="dxa"/>
            <w:tcBorders>
              <w:top w:val="nil"/>
              <w:left w:val="nil"/>
              <w:bottom w:val="nil"/>
              <w:right w:val="nil"/>
            </w:tcBorders>
          </w:tcPr>
          <w:p w:rsidR="008209D8" w:rsidRPr="003F3344" w:rsidRDefault="008209D8" w:rsidP="008209D8">
            <w:pPr>
              <w:tabs>
                <w:tab w:val="left" w:pos="-720"/>
                <w:tab w:val="left" w:pos="360"/>
                <w:tab w:val="left" w:pos="1440"/>
                <w:tab w:val="left" w:pos="9180"/>
              </w:tabs>
              <w:suppressAutoHyphens/>
              <w:ind w:left="360"/>
              <w:rPr>
                <w:rFonts w:ascii="Arial" w:hAnsi="Arial" w:cs="Arial"/>
                <w:szCs w:val="24"/>
              </w:rPr>
            </w:pPr>
            <w:r w:rsidRPr="003F3344">
              <w:rPr>
                <w:rFonts w:ascii="Arial" w:hAnsi="Arial" w:cs="Arial"/>
                <w:szCs w:val="24"/>
              </w:rPr>
              <w:t>Background</w:t>
            </w:r>
          </w:p>
          <w:p w:rsidR="004C4136" w:rsidRPr="003F3344"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3F3344" w:rsidRDefault="00451A89" w:rsidP="008C7BF6">
            <w:pPr>
              <w:tabs>
                <w:tab w:val="right" w:pos="612"/>
              </w:tabs>
              <w:suppressAutoHyphens/>
              <w:jc w:val="center"/>
              <w:rPr>
                <w:rFonts w:ascii="Arial" w:hAnsi="Arial" w:cs="Arial"/>
                <w:szCs w:val="24"/>
              </w:rPr>
            </w:pPr>
            <w:r>
              <w:rPr>
                <w:rFonts w:ascii="Arial" w:hAnsi="Arial" w:cs="Arial"/>
                <w:szCs w:val="24"/>
              </w:rPr>
              <w:t>5</w:t>
            </w: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r w:rsidRPr="003F3344">
              <w:rPr>
                <w:rFonts w:ascii="Arial" w:hAnsi="Arial" w:cs="Arial"/>
                <w:b/>
                <w:szCs w:val="24"/>
                <w:u w:val="single"/>
              </w:rPr>
              <w:t>ACKNOWLEDGEMENTS</w:t>
            </w:r>
          </w:p>
        </w:tc>
        <w:tc>
          <w:tcPr>
            <w:tcW w:w="1098" w:type="dxa"/>
            <w:tcBorders>
              <w:top w:val="nil"/>
              <w:left w:val="nil"/>
              <w:bottom w:val="nil"/>
              <w:right w:val="nil"/>
            </w:tcBorders>
          </w:tcPr>
          <w:p w:rsidR="008209D8" w:rsidRPr="003F3344" w:rsidRDefault="00451A89" w:rsidP="00BD37B9">
            <w:pPr>
              <w:tabs>
                <w:tab w:val="right" w:pos="612"/>
              </w:tabs>
              <w:suppressAutoHyphens/>
              <w:jc w:val="center"/>
              <w:rPr>
                <w:rFonts w:ascii="Arial" w:hAnsi="Arial" w:cs="Arial"/>
                <w:szCs w:val="24"/>
              </w:rPr>
            </w:pPr>
            <w:r>
              <w:rPr>
                <w:rFonts w:ascii="Arial" w:hAnsi="Arial" w:cs="Arial"/>
                <w:szCs w:val="24"/>
              </w:rPr>
              <w:t>7</w:t>
            </w: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bl>
    <w:p w:rsidR="00FB1D8B" w:rsidRPr="003F3344" w:rsidRDefault="00FB1D8B" w:rsidP="00FB1D8B">
      <w:pPr>
        <w:tabs>
          <w:tab w:val="center" w:pos="4680"/>
        </w:tabs>
        <w:suppressAutoHyphens/>
        <w:rPr>
          <w:rFonts w:ascii="Arial" w:hAnsi="Arial" w:cs="Arial"/>
          <w:szCs w:val="24"/>
        </w:rPr>
      </w:pPr>
    </w:p>
    <w:p w:rsidR="00FB1D8B" w:rsidRPr="003F3344" w:rsidRDefault="00FB1D8B" w:rsidP="00FB1D8B">
      <w:pPr>
        <w:tabs>
          <w:tab w:val="center" w:pos="4680"/>
        </w:tabs>
        <w:suppressAutoHyphens/>
        <w:rPr>
          <w:rFonts w:ascii="Arial" w:hAnsi="Arial" w:cs="Arial"/>
          <w:szCs w:val="24"/>
        </w:rPr>
      </w:pPr>
    </w:p>
    <w:p w:rsidR="00FB1D8B" w:rsidRPr="003F3344" w:rsidRDefault="00FB1D8B" w:rsidP="00FB1D8B">
      <w:pPr>
        <w:tabs>
          <w:tab w:val="center" w:pos="4680"/>
        </w:tabs>
        <w:suppressAutoHyphens/>
        <w:rPr>
          <w:rFonts w:ascii="Arial" w:hAnsi="Arial" w:cs="Arial"/>
          <w:szCs w:val="24"/>
        </w:rPr>
      </w:pPr>
    </w:p>
    <w:p w:rsidR="005D711E" w:rsidRPr="003F3344" w:rsidRDefault="005D711E">
      <w:pPr>
        <w:tabs>
          <w:tab w:val="center" w:pos="4680"/>
        </w:tabs>
        <w:suppressAutoHyphens/>
        <w:rPr>
          <w:rFonts w:ascii="Arial" w:hAnsi="Arial" w:cs="Arial"/>
          <w:szCs w:val="24"/>
        </w:rPr>
      </w:pPr>
    </w:p>
    <w:p w:rsidR="00592663" w:rsidRPr="003F3344" w:rsidRDefault="00592663">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901A3F" w:rsidRPr="003F3344" w:rsidRDefault="00901A3F" w:rsidP="003213B5">
      <w:pPr>
        <w:tabs>
          <w:tab w:val="center" w:pos="4680"/>
        </w:tabs>
        <w:suppressAutoHyphens/>
        <w:jc w:val="center"/>
        <w:rPr>
          <w:rFonts w:ascii="Arial" w:hAnsi="Arial" w:cs="Arial"/>
          <w:szCs w:val="24"/>
        </w:rPr>
      </w:pPr>
    </w:p>
    <w:p w:rsidR="0071208D" w:rsidRDefault="0071208D">
      <w:pPr>
        <w:tabs>
          <w:tab w:val="center" w:pos="4680"/>
        </w:tabs>
        <w:suppressAutoHyphens/>
        <w:jc w:val="center"/>
        <w:rPr>
          <w:rFonts w:ascii="Arial" w:hAnsi="Arial" w:cs="Arial"/>
          <w:szCs w:val="24"/>
        </w:rPr>
        <w:sectPr w:rsidR="0071208D" w:rsidSect="00A914D1">
          <w:headerReference w:type="even" r:id="rId11"/>
          <w:headerReference w:type="default" r:id="rId12"/>
          <w:footerReference w:type="default" r:id="rId13"/>
          <w:headerReference w:type="first" r:id="rId14"/>
          <w:endnotePr>
            <w:numFmt w:val="decimal"/>
          </w:endnotePr>
          <w:pgSz w:w="12240" w:h="15840" w:code="1"/>
          <w:pgMar w:top="1440" w:right="1440" w:bottom="1152" w:left="1440" w:header="0" w:footer="720" w:gutter="0"/>
          <w:pgNumType w:start="1"/>
          <w:cols w:space="720"/>
          <w:noEndnote/>
        </w:sectPr>
      </w:pPr>
    </w:p>
    <w:p w:rsidR="005D711E" w:rsidRPr="002243BA" w:rsidRDefault="005D711E" w:rsidP="00E5265E">
      <w:pPr>
        <w:pStyle w:val="Heading4"/>
        <w:tabs>
          <w:tab w:val="clear" w:pos="4680"/>
        </w:tabs>
        <w:rPr>
          <w:rFonts w:ascii="Arial" w:hAnsi="Arial" w:cs="Arial"/>
          <w:sz w:val="36"/>
          <w:szCs w:val="36"/>
          <w:u w:val="none"/>
        </w:rPr>
      </w:pPr>
      <w:r w:rsidRPr="002243BA">
        <w:rPr>
          <w:rFonts w:ascii="Arial" w:hAnsi="Arial" w:cs="Arial"/>
          <w:sz w:val="36"/>
          <w:szCs w:val="36"/>
          <w:u w:val="none"/>
        </w:rPr>
        <w:lastRenderedPageBreak/>
        <w:t>FINANCIAL REVIEW</w:t>
      </w:r>
    </w:p>
    <w:p w:rsidR="005D711E" w:rsidRPr="007A206B" w:rsidRDefault="005D711E">
      <w:pPr>
        <w:tabs>
          <w:tab w:val="left" w:pos="-1440"/>
          <w:tab w:val="left" w:pos="-720"/>
        </w:tabs>
        <w:suppressAutoHyphens/>
        <w:jc w:val="center"/>
        <w:rPr>
          <w:rFonts w:ascii="Arial" w:hAnsi="Arial" w:cs="Arial"/>
          <w:szCs w:val="24"/>
        </w:rPr>
      </w:pPr>
    </w:p>
    <w:p w:rsidR="005D711E" w:rsidRPr="007A206B" w:rsidRDefault="005D711E">
      <w:pPr>
        <w:tabs>
          <w:tab w:val="left" w:pos="1440"/>
          <w:tab w:val="center" w:pos="4464"/>
        </w:tabs>
        <w:suppressAutoHyphens/>
        <w:rPr>
          <w:rFonts w:ascii="Arial" w:hAnsi="Arial" w:cs="Arial"/>
          <w:szCs w:val="24"/>
        </w:rPr>
        <w:sectPr w:rsidR="005D711E" w:rsidRPr="007A206B" w:rsidSect="0071208D">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7A206B">
        <w:trPr>
          <w:trHeight w:val="990"/>
        </w:trPr>
        <w:tc>
          <w:tcPr>
            <w:tcW w:w="1363" w:type="dxa"/>
          </w:tcPr>
          <w:p w:rsidR="005D711E" w:rsidRPr="007A206B" w:rsidRDefault="00C9327D">
            <w:pPr>
              <w:rPr>
                <w:rFonts w:ascii="Arial" w:hAnsi="Arial" w:cs="Arial"/>
                <w:szCs w:val="24"/>
              </w:rPr>
            </w:pPr>
            <w:r>
              <w:rPr>
                <w:rFonts w:ascii="Arial" w:hAnsi="Arial" w:cs="Arial"/>
                <w:noProof/>
                <w:spacing w:val="-2"/>
                <w:szCs w:val="24"/>
              </w:rPr>
              <w:lastRenderedPageBreak/>
              <w:drawing>
                <wp:inline distT="0" distB="0" distL="0" distR="0" wp14:anchorId="767C83DE" wp14:editId="21DBE00D">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7A206B" w:rsidRDefault="005D711E">
            <w:pPr>
              <w:suppressAutoHyphens/>
              <w:spacing w:line="204" w:lineRule="auto"/>
              <w:jc w:val="center"/>
              <w:rPr>
                <w:rFonts w:ascii="Arial" w:hAnsi="Arial" w:cs="Arial"/>
                <w:color w:val="000080"/>
                <w:spacing w:val="-3"/>
                <w:szCs w:val="24"/>
              </w:rPr>
            </w:pPr>
          </w:p>
          <w:p w:rsidR="005D711E" w:rsidRPr="007A206B" w:rsidRDefault="005D711E">
            <w:pPr>
              <w:suppressAutoHyphens/>
              <w:spacing w:line="204" w:lineRule="auto"/>
              <w:jc w:val="center"/>
              <w:rPr>
                <w:rFonts w:ascii="Arial" w:hAnsi="Arial" w:cs="Arial"/>
                <w:color w:val="000080"/>
                <w:spacing w:val="-3"/>
                <w:szCs w:val="24"/>
              </w:rPr>
            </w:pPr>
            <w:r w:rsidRPr="007A206B">
              <w:rPr>
                <w:rFonts w:ascii="Arial" w:hAnsi="Arial" w:cs="Arial"/>
                <w:color w:val="000080"/>
                <w:spacing w:val="-3"/>
                <w:szCs w:val="24"/>
              </w:rPr>
              <w:t>COMMONWEALTH OF PENNSYLVANIA</w:t>
            </w:r>
          </w:p>
          <w:p w:rsidR="005D711E" w:rsidRPr="007A206B" w:rsidRDefault="005D711E">
            <w:pPr>
              <w:suppressAutoHyphens/>
              <w:spacing w:line="204" w:lineRule="auto"/>
              <w:jc w:val="center"/>
              <w:rPr>
                <w:rFonts w:ascii="Arial" w:hAnsi="Arial" w:cs="Arial"/>
                <w:color w:val="000080"/>
                <w:spacing w:val="-3"/>
                <w:szCs w:val="24"/>
              </w:rPr>
            </w:pPr>
            <w:r w:rsidRPr="007A206B">
              <w:rPr>
                <w:rFonts w:ascii="Arial" w:hAnsi="Arial" w:cs="Arial"/>
                <w:color w:val="000080"/>
                <w:spacing w:val="-3"/>
                <w:szCs w:val="24"/>
              </w:rPr>
              <w:t>PENNSYLVANIA PUBLIC UTILITY COMMISSION</w:t>
            </w:r>
          </w:p>
          <w:p w:rsidR="005D711E" w:rsidRPr="007A206B" w:rsidRDefault="005D711E">
            <w:pPr>
              <w:jc w:val="center"/>
              <w:rPr>
                <w:rFonts w:ascii="Arial" w:hAnsi="Arial" w:cs="Arial"/>
                <w:szCs w:val="24"/>
              </w:rPr>
            </w:pPr>
            <w:r w:rsidRPr="007A206B">
              <w:rPr>
                <w:rFonts w:ascii="Arial" w:hAnsi="Arial" w:cs="Arial"/>
                <w:color w:val="000080"/>
                <w:spacing w:val="-3"/>
                <w:szCs w:val="24"/>
              </w:rPr>
              <w:t>P.O. BOX 3265, HARRISBURG, PA 17105-3265</w:t>
            </w:r>
          </w:p>
        </w:tc>
        <w:tc>
          <w:tcPr>
            <w:tcW w:w="1452" w:type="dxa"/>
          </w:tcPr>
          <w:p w:rsidR="005D711E" w:rsidRDefault="005D711E">
            <w:pPr>
              <w:rPr>
                <w:rFonts w:ascii="Arial" w:hAnsi="Arial" w:cs="Arial"/>
                <w:szCs w:val="24"/>
              </w:rPr>
            </w:pPr>
          </w:p>
          <w:p w:rsidR="0071208D" w:rsidRPr="007A206B" w:rsidRDefault="0071208D">
            <w:pPr>
              <w:rPr>
                <w:rFonts w:ascii="Arial" w:hAnsi="Arial" w:cs="Arial"/>
                <w:szCs w:val="24"/>
              </w:rPr>
            </w:pPr>
          </w:p>
          <w:p w:rsidR="005D711E" w:rsidRPr="007A206B" w:rsidRDefault="005D711E">
            <w:pPr>
              <w:jc w:val="center"/>
              <w:rPr>
                <w:rFonts w:ascii="Arial" w:hAnsi="Arial" w:cs="Arial"/>
                <w:szCs w:val="24"/>
              </w:rPr>
            </w:pPr>
            <w:r w:rsidRPr="0071208D">
              <w:rPr>
                <w:rFonts w:ascii="Arial" w:hAnsi="Arial" w:cs="Arial"/>
                <w:b/>
                <w:spacing w:val="-1"/>
                <w:sz w:val="14"/>
                <w:szCs w:val="24"/>
              </w:rPr>
              <w:t>IN REPLY PLEASE REFER TO OUR FILE</w:t>
            </w:r>
          </w:p>
        </w:tc>
      </w:tr>
    </w:tbl>
    <w:p w:rsidR="005D711E" w:rsidRPr="007A206B" w:rsidRDefault="005D711E">
      <w:pPr>
        <w:pStyle w:val="Heading1"/>
        <w:tabs>
          <w:tab w:val="clear" w:pos="4680"/>
        </w:tabs>
        <w:jc w:val="left"/>
        <w:rPr>
          <w:rFonts w:ascii="Arial" w:hAnsi="Arial" w:cs="Arial"/>
          <w:szCs w:val="24"/>
        </w:rPr>
      </w:pPr>
    </w:p>
    <w:p w:rsidR="005D711E" w:rsidRPr="002243BA" w:rsidRDefault="005D711E">
      <w:pPr>
        <w:pStyle w:val="Heading1"/>
        <w:tabs>
          <w:tab w:val="clear" w:pos="4680"/>
        </w:tabs>
        <w:rPr>
          <w:rFonts w:ascii="Arial" w:hAnsi="Arial" w:cs="Arial"/>
          <w:sz w:val="26"/>
          <w:szCs w:val="26"/>
        </w:rPr>
      </w:pPr>
      <w:r w:rsidRPr="002243BA">
        <w:rPr>
          <w:rFonts w:ascii="Arial" w:hAnsi="Arial" w:cs="Arial"/>
          <w:sz w:val="26"/>
          <w:szCs w:val="26"/>
        </w:rPr>
        <w:t>AUDITOR'S REPORT</w:t>
      </w:r>
    </w:p>
    <w:p w:rsidR="005D711E" w:rsidRPr="002243BA" w:rsidRDefault="005D711E" w:rsidP="00CF2F5B">
      <w:pPr>
        <w:suppressAutoHyphens/>
        <w:rPr>
          <w:rFonts w:ascii="Arial" w:hAnsi="Arial" w:cs="Arial"/>
          <w:b/>
          <w:sz w:val="26"/>
          <w:szCs w:val="26"/>
        </w:rPr>
      </w:pPr>
    </w:p>
    <w:p w:rsidR="005D711E" w:rsidRPr="0071208D" w:rsidRDefault="005D711E" w:rsidP="00CF2F5B">
      <w:pPr>
        <w:pStyle w:val="Heading1"/>
        <w:tabs>
          <w:tab w:val="clear" w:pos="4680"/>
        </w:tabs>
        <w:rPr>
          <w:rFonts w:ascii="Arial" w:hAnsi="Arial" w:cs="Arial"/>
          <w:szCs w:val="26"/>
        </w:rPr>
      </w:pPr>
      <w:r w:rsidRPr="0071208D">
        <w:rPr>
          <w:rFonts w:ascii="Arial" w:hAnsi="Arial" w:cs="Arial"/>
          <w:szCs w:val="26"/>
        </w:rPr>
        <w:t xml:space="preserve">To The </w:t>
      </w:r>
      <w:r w:rsidR="00D14815">
        <w:rPr>
          <w:rFonts w:ascii="Arial" w:hAnsi="Arial" w:cs="Arial"/>
          <w:szCs w:val="26"/>
        </w:rPr>
        <w:t xml:space="preserve">Pennsylvania </w:t>
      </w:r>
      <w:r w:rsidRPr="0071208D">
        <w:rPr>
          <w:rFonts w:ascii="Arial" w:hAnsi="Arial" w:cs="Arial"/>
          <w:szCs w:val="26"/>
        </w:rPr>
        <w:t>Public Utility Commission</w:t>
      </w:r>
    </w:p>
    <w:p w:rsidR="005D711E" w:rsidRPr="007A206B" w:rsidRDefault="005D711E" w:rsidP="00CF2F5B">
      <w:pPr>
        <w:suppressAutoHyphens/>
        <w:rPr>
          <w:rFonts w:ascii="Arial" w:hAnsi="Arial" w:cs="Arial"/>
          <w:szCs w:val="24"/>
        </w:rPr>
      </w:pPr>
    </w:p>
    <w:p w:rsidR="00CF2F5B" w:rsidRPr="007A206B" w:rsidRDefault="00CF2F5B" w:rsidP="00CF2F5B">
      <w:pPr>
        <w:suppressAutoHyphens/>
        <w:rPr>
          <w:rFonts w:ascii="Arial" w:hAnsi="Arial" w:cs="Arial"/>
          <w:szCs w:val="24"/>
        </w:rPr>
      </w:pPr>
    </w:p>
    <w:p w:rsidR="005D711E" w:rsidRPr="007A206B" w:rsidRDefault="005D711E" w:rsidP="00CF2F5B">
      <w:pPr>
        <w:suppressAutoHyphens/>
        <w:ind w:firstLine="720"/>
        <w:rPr>
          <w:rFonts w:ascii="Arial" w:hAnsi="Arial" w:cs="Arial"/>
          <w:szCs w:val="24"/>
        </w:rPr>
      </w:pPr>
      <w:r w:rsidRPr="007A206B">
        <w:rPr>
          <w:rFonts w:ascii="Arial" w:hAnsi="Arial" w:cs="Arial"/>
          <w:szCs w:val="24"/>
        </w:rPr>
        <w:t xml:space="preserve">We have audited </w:t>
      </w:r>
      <w:r w:rsidR="00BC271B">
        <w:rPr>
          <w:rFonts w:ascii="Arial" w:hAnsi="Arial" w:cs="Arial"/>
          <w:szCs w:val="24"/>
        </w:rPr>
        <w:t xml:space="preserve">PPL Electric Utilities Corporation’s </w:t>
      </w:r>
      <w:r w:rsidR="007F0B64">
        <w:rPr>
          <w:rFonts w:ascii="Arial" w:hAnsi="Arial" w:cs="Arial"/>
          <w:szCs w:val="24"/>
        </w:rPr>
        <w:t xml:space="preserve">Statement of </w:t>
      </w:r>
      <w:r w:rsidR="00BC271B">
        <w:rPr>
          <w:rFonts w:ascii="Arial" w:hAnsi="Arial" w:cs="Arial"/>
          <w:szCs w:val="24"/>
        </w:rPr>
        <w:t>Universal Service Rider</w:t>
      </w:r>
      <w:r w:rsidR="000B1499">
        <w:rPr>
          <w:rFonts w:ascii="Arial" w:hAnsi="Arial" w:cs="Arial"/>
          <w:szCs w:val="24"/>
        </w:rPr>
        <w:t xml:space="preserve"> </w:t>
      </w:r>
      <w:r w:rsidR="00454455">
        <w:rPr>
          <w:rFonts w:ascii="Arial" w:hAnsi="Arial" w:cs="Arial"/>
          <w:szCs w:val="24"/>
        </w:rPr>
        <w:t xml:space="preserve">(USR) </w:t>
      </w:r>
      <w:r w:rsidR="00BC271B">
        <w:rPr>
          <w:rFonts w:ascii="Arial" w:hAnsi="Arial" w:cs="Arial"/>
          <w:szCs w:val="24"/>
        </w:rPr>
        <w:t>Over</w:t>
      </w:r>
      <w:r w:rsidR="00872000" w:rsidRPr="007A206B">
        <w:rPr>
          <w:rFonts w:ascii="Arial" w:hAnsi="Arial" w:cs="Arial"/>
          <w:szCs w:val="24"/>
        </w:rPr>
        <w:t>/</w:t>
      </w:r>
      <w:r w:rsidR="00A27F48" w:rsidRPr="007A206B">
        <w:rPr>
          <w:rFonts w:ascii="Arial" w:hAnsi="Arial" w:cs="Arial"/>
          <w:szCs w:val="24"/>
        </w:rPr>
        <w:t xml:space="preserve">Under Collections for </w:t>
      </w:r>
      <w:r w:rsidR="001C5737" w:rsidRPr="007A206B">
        <w:rPr>
          <w:rFonts w:ascii="Arial" w:hAnsi="Arial" w:cs="Arial"/>
          <w:szCs w:val="24"/>
        </w:rPr>
        <w:t xml:space="preserve">the </w:t>
      </w:r>
      <w:r w:rsidR="00596AA5">
        <w:rPr>
          <w:rFonts w:ascii="Arial" w:hAnsi="Arial" w:cs="Arial"/>
          <w:szCs w:val="24"/>
        </w:rPr>
        <w:t xml:space="preserve">twelve months </w:t>
      </w:r>
      <w:r w:rsidR="00B62271" w:rsidRPr="007A206B">
        <w:rPr>
          <w:rFonts w:ascii="Arial" w:hAnsi="Arial" w:cs="Arial"/>
          <w:szCs w:val="24"/>
        </w:rPr>
        <w:t>e</w:t>
      </w:r>
      <w:r w:rsidRPr="007A206B">
        <w:rPr>
          <w:rFonts w:ascii="Arial" w:hAnsi="Arial" w:cs="Arial"/>
          <w:szCs w:val="24"/>
        </w:rPr>
        <w:t xml:space="preserve">nded </w:t>
      </w:r>
      <w:r w:rsidR="00BC271B">
        <w:rPr>
          <w:rFonts w:ascii="Arial" w:hAnsi="Arial" w:cs="Arial"/>
          <w:szCs w:val="24"/>
        </w:rPr>
        <w:t>December</w:t>
      </w:r>
      <w:r w:rsidR="00822ADF" w:rsidRPr="007A206B">
        <w:rPr>
          <w:rFonts w:ascii="Arial" w:hAnsi="Arial" w:cs="Arial"/>
          <w:szCs w:val="24"/>
        </w:rPr>
        <w:t xml:space="preserve"> 31,</w:t>
      </w:r>
      <w:r w:rsidR="002A3F41">
        <w:rPr>
          <w:rFonts w:ascii="Arial" w:hAnsi="Arial" w:cs="Arial"/>
          <w:szCs w:val="24"/>
        </w:rPr>
        <w:t xml:space="preserve"> 2010</w:t>
      </w:r>
      <w:r w:rsidRPr="007A206B">
        <w:rPr>
          <w:rFonts w:ascii="Arial" w:hAnsi="Arial" w:cs="Arial"/>
          <w:szCs w:val="24"/>
        </w:rPr>
        <w:t xml:space="preserve">.  </w:t>
      </w:r>
      <w:r w:rsidR="007F0B64" w:rsidRPr="007A206B">
        <w:rPr>
          <w:rFonts w:ascii="Arial" w:hAnsi="Arial" w:cs="Arial"/>
          <w:szCs w:val="24"/>
        </w:rPr>
        <w:t>Th</w:t>
      </w:r>
      <w:r w:rsidR="007F0B64">
        <w:rPr>
          <w:rFonts w:ascii="Arial" w:hAnsi="Arial" w:cs="Arial"/>
          <w:szCs w:val="24"/>
        </w:rPr>
        <w:t>is</w:t>
      </w:r>
      <w:r w:rsidR="007F0B64" w:rsidRPr="007A206B">
        <w:rPr>
          <w:rFonts w:ascii="Arial" w:hAnsi="Arial" w:cs="Arial"/>
          <w:szCs w:val="24"/>
        </w:rPr>
        <w:t xml:space="preserve"> </w:t>
      </w:r>
      <w:r w:rsidRPr="007A206B">
        <w:rPr>
          <w:rFonts w:ascii="Arial" w:hAnsi="Arial" w:cs="Arial"/>
          <w:szCs w:val="24"/>
        </w:rPr>
        <w:t>statement</w:t>
      </w:r>
      <w:r w:rsidR="00060885">
        <w:rPr>
          <w:rFonts w:ascii="Arial" w:hAnsi="Arial" w:cs="Arial"/>
          <w:szCs w:val="24"/>
        </w:rPr>
        <w:t xml:space="preserve"> </w:t>
      </w:r>
      <w:r w:rsidR="007F0B64">
        <w:rPr>
          <w:rFonts w:ascii="Arial" w:hAnsi="Arial" w:cs="Arial"/>
          <w:szCs w:val="24"/>
        </w:rPr>
        <w:t>is</w:t>
      </w:r>
      <w:r w:rsidR="007F0B64" w:rsidRPr="007A206B">
        <w:rPr>
          <w:rFonts w:ascii="Arial" w:hAnsi="Arial" w:cs="Arial"/>
          <w:szCs w:val="24"/>
        </w:rPr>
        <w:t xml:space="preserve"> </w:t>
      </w:r>
      <w:r w:rsidRPr="007A206B">
        <w:rPr>
          <w:rFonts w:ascii="Arial" w:hAnsi="Arial" w:cs="Arial"/>
          <w:szCs w:val="24"/>
        </w:rPr>
        <w:t>the responsibility of the Company's management.  Our responsibility is to express an opinion on the statement based on our audit.</w:t>
      </w:r>
    </w:p>
    <w:p w:rsidR="005D711E" w:rsidRPr="007A206B" w:rsidRDefault="005D711E" w:rsidP="00CF2F5B">
      <w:pPr>
        <w:suppressAutoHyphens/>
        <w:rPr>
          <w:rFonts w:ascii="Arial" w:hAnsi="Arial" w:cs="Arial"/>
          <w:szCs w:val="24"/>
        </w:rPr>
      </w:pPr>
    </w:p>
    <w:p w:rsidR="00370CC2" w:rsidRPr="003D4D7B" w:rsidRDefault="005D711E" w:rsidP="00370CC2">
      <w:pPr>
        <w:suppressAutoHyphens/>
        <w:rPr>
          <w:rFonts w:ascii="Arial" w:hAnsi="Arial" w:cs="Arial"/>
          <w:szCs w:val="24"/>
        </w:rPr>
      </w:pPr>
      <w:r w:rsidRPr="007A206B">
        <w:rPr>
          <w:rFonts w:ascii="Arial" w:hAnsi="Arial" w:cs="Arial"/>
          <w:szCs w:val="24"/>
        </w:rPr>
        <w:tab/>
      </w:r>
      <w:r w:rsidR="00370CC2" w:rsidRPr="00905409">
        <w:rPr>
          <w:rFonts w:ascii="Arial" w:hAnsi="Arial" w:cs="Arial"/>
          <w:szCs w:val="24"/>
        </w:rPr>
        <w:t xml:space="preserve">We conducted our audit in accordance with auditing standards </w:t>
      </w:r>
      <w:r w:rsidR="007F0B64" w:rsidRPr="00905409">
        <w:rPr>
          <w:rFonts w:ascii="Arial" w:hAnsi="Arial" w:cs="Arial"/>
          <w:szCs w:val="24"/>
        </w:rPr>
        <w:t>generally accepted</w:t>
      </w:r>
      <w:r w:rsidR="00370CC2" w:rsidRPr="00905409">
        <w:rPr>
          <w:rFonts w:ascii="Arial" w:hAnsi="Arial" w:cs="Arial"/>
          <w:szCs w:val="24"/>
        </w:rPr>
        <w:t xml:space="preserve"> in the United States of America.  These standards require that we plan and perform the audit to obtain reasonable assurance about whether the specified statement </w:t>
      </w:r>
      <w:r w:rsidR="007F0B64">
        <w:rPr>
          <w:rFonts w:ascii="Arial" w:hAnsi="Arial" w:cs="Arial"/>
          <w:szCs w:val="24"/>
        </w:rPr>
        <w:t>is</w:t>
      </w:r>
      <w:r w:rsidR="00370CC2" w:rsidRPr="00905409">
        <w:rPr>
          <w:rFonts w:ascii="Arial" w:hAnsi="Arial" w:cs="Arial"/>
          <w:szCs w:val="24"/>
        </w:rPr>
        <w:t xml:space="preserve"> free of material misstatement.  </w:t>
      </w:r>
      <w:r w:rsidR="00370CC2">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00370CC2" w:rsidRPr="00905409">
        <w:rPr>
          <w:rFonts w:ascii="Arial" w:hAnsi="Arial" w:cs="Arial"/>
          <w:szCs w:val="24"/>
        </w:rPr>
        <w:t>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r w:rsidRPr="007A206B">
        <w:rPr>
          <w:rFonts w:ascii="Arial" w:hAnsi="Arial" w:cs="Arial"/>
          <w:szCs w:val="24"/>
        </w:rPr>
        <w:tab/>
        <w:t xml:space="preserve">The accompanying statement </w:t>
      </w:r>
      <w:r w:rsidR="007F0B64" w:rsidRPr="007A206B">
        <w:rPr>
          <w:rFonts w:ascii="Arial" w:hAnsi="Arial" w:cs="Arial"/>
          <w:szCs w:val="24"/>
        </w:rPr>
        <w:t>w</w:t>
      </w:r>
      <w:r w:rsidR="007F0B64">
        <w:rPr>
          <w:rFonts w:ascii="Arial" w:hAnsi="Arial" w:cs="Arial"/>
          <w:szCs w:val="24"/>
        </w:rPr>
        <w:t>as</w:t>
      </w:r>
      <w:r w:rsidR="007F0B64" w:rsidRPr="007A206B">
        <w:rPr>
          <w:rFonts w:ascii="Arial" w:hAnsi="Arial" w:cs="Arial"/>
          <w:szCs w:val="24"/>
        </w:rPr>
        <w:t xml:space="preserve"> </w:t>
      </w:r>
      <w:r w:rsidRPr="007A206B">
        <w:rPr>
          <w:rFonts w:ascii="Arial" w:hAnsi="Arial" w:cs="Arial"/>
          <w:szCs w:val="24"/>
        </w:rPr>
        <w:t>prepared for the purpose of complying with the rules and regulations of the Pennsylvania Public Utility Commission</w:t>
      </w:r>
      <w:r w:rsidR="007F0B64">
        <w:rPr>
          <w:rFonts w:ascii="Arial" w:hAnsi="Arial" w:cs="Arial"/>
          <w:szCs w:val="24"/>
        </w:rPr>
        <w:t>,</w:t>
      </w:r>
      <w:r w:rsidRPr="007A206B">
        <w:rPr>
          <w:rFonts w:ascii="Arial" w:hAnsi="Arial" w:cs="Arial"/>
          <w:szCs w:val="24"/>
        </w:rPr>
        <w:t xml:space="preserve"> and </w:t>
      </w:r>
      <w:r w:rsidR="007F0B64">
        <w:rPr>
          <w:rFonts w:ascii="Arial" w:hAnsi="Arial" w:cs="Arial"/>
          <w:szCs w:val="24"/>
        </w:rPr>
        <w:t>is</w:t>
      </w:r>
      <w:r w:rsidR="007F0B64" w:rsidRPr="007A206B">
        <w:rPr>
          <w:rFonts w:ascii="Arial" w:hAnsi="Arial" w:cs="Arial"/>
          <w:szCs w:val="24"/>
        </w:rPr>
        <w:t xml:space="preserve"> </w:t>
      </w:r>
      <w:r w:rsidRPr="007A206B">
        <w:rPr>
          <w:rFonts w:ascii="Arial" w:hAnsi="Arial" w:cs="Arial"/>
          <w:szCs w:val="24"/>
        </w:rPr>
        <w:t>not intended to be a complete presentation of the Company's revenues</w:t>
      </w:r>
      <w:r w:rsidR="00060885">
        <w:rPr>
          <w:rFonts w:ascii="Arial" w:hAnsi="Arial" w:cs="Arial"/>
          <w:szCs w:val="24"/>
        </w:rPr>
        <w:t xml:space="preserve"> and expenses</w:t>
      </w:r>
      <w:r w:rsidRPr="007A206B">
        <w:rPr>
          <w:rFonts w:ascii="Arial" w:hAnsi="Arial" w:cs="Arial"/>
          <w:szCs w:val="24"/>
        </w:rPr>
        <w:t>.</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r w:rsidRPr="007A206B">
        <w:rPr>
          <w:rFonts w:ascii="Arial" w:hAnsi="Arial" w:cs="Arial"/>
          <w:szCs w:val="24"/>
        </w:rPr>
        <w:tab/>
        <w:t xml:space="preserve">In our opinion, the accompanying statement of </w:t>
      </w:r>
      <w:r w:rsidR="001B12BC">
        <w:rPr>
          <w:rFonts w:ascii="Arial" w:hAnsi="Arial" w:cs="Arial"/>
          <w:szCs w:val="24"/>
        </w:rPr>
        <w:t xml:space="preserve">PPL Electric Utilities Corporation </w:t>
      </w:r>
      <w:r w:rsidRPr="007A206B">
        <w:rPr>
          <w:rFonts w:ascii="Arial" w:hAnsi="Arial" w:cs="Arial"/>
          <w:szCs w:val="24"/>
        </w:rPr>
        <w:t>present</w:t>
      </w:r>
      <w:r w:rsidR="001C5737" w:rsidRPr="007A206B">
        <w:rPr>
          <w:rFonts w:ascii="Arial" w:hAnsi="Arial" w:cs="Arial"/>
          <w:szCs w:val="24"/>
        </w:rPr>
        <w:t>s</w:t>
      </w:r>
      <w:r w:rsidRPr="007A206B">
        <w:rPr>
          <w:rFonts w:ascii="Arial" w:hAnsi="Arial" w:cs="Arial"/>
          <w:szCs w:val="24"/>
        </w:rPr>
        <w:t xml:space="preserve"> fairly, in all material respects, the </w:t>
      </w:r>
      <w:r w:rsidR="00454455">
        <w:rPr>
          <w:rFonts w:ascii="Arial" w:hAnsi="Arial" w:cs="Arial"/>
          <w:szCs w:val="24"/>
        </w:rPr>
        <w:t>USR</w:t>
      </w:r>
      <w:r w:rsidR="006B62BE">
        <w:rPr>
          <w:rFonts w:ascii="Arial" w:hAnsi="Arial" w:cs="Arial"/>
          <w:szCs w:val="24"/>
        </w:rPr>
        <w:t>’s</w:t>
      </w:r>
      <w:r w:rsidR="001B12BC">
        <w:rPr>
          <w:rFonts w:ascii="Arial" w:hAnsi="Arial" w:cs="Arial"/>
          <w:szCs w:val="24"/>
        </w:rPr>
        <w:t xml:space="preserve"> </w:t>
      </w:r>
      <w:r w:rsidR="007F0B64">
        <w:rPr>
          <w:rFonts w:ascii="Arial" w:hAnsi="Arial" w:cs="Arial"/>
          <w:szCs w:val="24"/>
        </w:rPr>
        <w:t>r</w:t>
      </w:r>
      <w:r w:rsidR="000640DB">
        <w:rPr>
          <w:rFonts w:ascii="Arial" w:hAnsi="Arial" w:cs="Arial"/>
          <w:szCs w:val="24"/>
        </w:rPr>
        <w:t xml:space="preserve">evenues, </w:t>
      </w:r>
      <w:r w:rsidR="007F0B64">
        <w:rPr>
          <w:rFonts w:ascii="Arial" w:hAnsi="Arial" w:cs="Arial"/>
          <w:szCs w:val="24"/>
        </w:rPr>
        <w:t>e</w:t>
      </w:r>
      <w:r w:rsidR="000640DB">
        <w:rPr>
          <w:rFonts w:ascii="Arial" w:hAnsi="Arial" w:cs="Arial"/>
          <w:szCs w:val="24"/>
        </w:rPr>
        <w:t xml:space="preserve">xpenses and </w:t>
      </w:r>
      <w:r w:rsidR="007F0B64">
        <w:rPr>
          <w:rFonts w:ascii="Arial" w:hAnsi="Arial" w:cs="Arial"/>
          <w:szCs w:val="24"/>
        </w:rPr>
        <w:t>o</w:t>
      </w:r>
      <w:r w:rsidR="001B12BC">
        <w:rPr>
          <w:rFonts w:ascii="Arial" w:hAnsi="Arial" w:cs="Arial"/>
          <w:szCs w:val="24"/>
        </w:rPr>
        <w:t>ver/</w:t>
      </w:r>
      <w:r w:rsidR="007F0B64">
        <w:rPr>
          <w:rFonts w:ascii="Arial" w:hAnsi="Arial" w:cs="Arial"/>
          <w:szCs w:val="24"/>
        </w:rPr>
        <w:t>u</w:t>
      </w:r>
      <w:r w:rsidRPr="007A206B">
        <w:rPr>
          <w:rFonts w:ascii="Arial" w:hAnsi="Arial" w:cs="Arial"/>
          <w:szCs w:val="24"/>
        </w:rPr>
        <w:t xml:space="preserve">nder collections resulting from the </w:t>
      </w:r>
      <w:r w:rsidR="00501A6C" w:rsidRPr="007A206B">
        <w:rPr>
          <w:rFonts w:ascii="Arial" w:hAnsi="Arial" w:cs="Arial"/>
          <w:szCs w:val="24"/>
        </w:rPr>
        <w:t>Company’s a</w:t>
      </w:r>
      <w:r w:rsidRPr="007A206B">
        <w:rPr>
          <w:rFonts w:ascii="Arial" w:hAnsi="Arial" w:cs="Arial"/>
          <w:szCs w:val="24"/>
        </w:rPr>
        <w:t xml:space="preserve">pplication of the </w:t>
      </w:r>
      <w:r w:rsidR="00454455">
        <w:rPr>
          <w:rFonts w:ascii="Arial" w:hAnsi="Arial" w:cs="Arial"/>
          <w:szCs w:val="24"/>
        </w:rPr>
        <w:t>USR</w:t>
      </w:r>
      <w:r w:rsidRPr="007A206B">
        <w:rPr>
          <w:rFonts w:ascii="Arial" w:hAnsi="Arial" w:cs="Arial"/>
          <w:szCs w:val="24"/>
        </w:rPr>
        <w:t xml:space="preserve"> </w:t>
      </w:r>
      <w:r w:rsidR="004B4861" w:rsidRPr="007A206B">
        <w:rPr>
          <w:rFonts w:ascii="Arial" w:hAnsi="Arial" w:cs="Arial"/>
          <w:szCs w:val="24"/>
        </w:rPr>
        <w:t>r</w:t>
      </w:r>
      <w:r w:rsidRPr="007A206B">
        <w:rPr>
          <w:rFonts w:ascii="Arial" w:hAnsi="Arial" w:cs="Arial"/>
          <w:szCs w:val="24"/>
        </w:rPr>
        <w:t>ates in accordance with the provision</w:t>
      </w:r>
      <w:r w:rsidR="006C2439" w:rsidRPr="007A206B">
        <w:rPr>
          <w:rFonts w:ascii="Arial" w:hAnsi="Arial" w:cs="Arial"/>
          <w:szCs w:val="24"/>
        </w:rPr>
        <w:t>s</w:t>
      </w:r>
      <w:r w:rsidRPr="007A206B">
        <w:rPr>
          <w:rFonts w:ascii="Arial" w:hAnsi="Arial" w:cs="Arial"/>
          <w:szCs w:val="24"/>
        </w:rPr>
        <w:t xml:space="preserve"> of its Schedule of Rates </w:t>
      </w:r>
      <w:r w:rsidR="006C2439" w:rsidRPr="007A206B">
        <w:rPr>
          <w:rFonts w:ascii="Arial" w:hAnsi="Arial" w:cs="Arial"/>
          <w:szCs w:val="24"/>
        </w:rPr>
        <w:t xml:space="preserve">as </w:t>
      </w:r>
      <w:r w:rsidRPr="007A206B">
        <w:rPr>
          <w:rFonts w:ascii="Arial" w:hAnsi="Arial" w:cs="Arial"/>
          <w:szCs w:val="24"/>
        </w:rPr>
        <w:t>approved by the Pennsylvania Public Utility Commission.</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p>
    <w:p w:rsidR="005D711E" w:rsidRDefault="005D711E" w:rsidP="00CF2F5B">
      <w:pPr>
        <w:suppressAutoHyphens/>
        <w:rPr>
          <w:rFonts w:ascii="Arial" w:hAnsi="Arial" w:cs="Arial"/>
          <w:szCs w:val="24"/>
        </w:rPr>
      </w:pPr>
    </w:p>
    <w:p w:rsidR="0071208D" w:rsidRPr="007A206B" w:rsidRDefault="0071208D" w:rsidP="00CF2F5B">
      <w:pPr>
        <w:suppressAutoHyphens/>
        <w:rPr>
          <w:rFonts w:ascii="Arial" w:hAnsi="Arial" w:cs="Arial"/>
          <w:szCs w:val="24"/>
        </w:rPr>
      </w:pPr>
    </w:p>
    <w:p w:rsidR="005D711E" w:rsidRPr="007A206B" w:rsidRDefault="005D711E" w:rsidP="00CF2F5B">
      <w:pPr>
        <w:suppressAutoHyphens/>
        <w:outlineLvl w:val="0"/>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00835C89" w:rsidRPr="007A206B">
        <w:rPr>
          <w:rFonts w:ascii="Arial" w:hAnsi="Arial" w:cs="Arial"/>
          <w:szCs w:val="24"/>
        </w:rPr>
        <w:t>M. Carl Lesney</w:t>
      </w:r>
      <w:r w:rsidRPr="007A206B">
        <w:rPr>
          <w:rFonts w:ascii="Arial" w:hAnsi="Arial" w:cs="Arial"/>
          <w:szCs w:val="24"/>
        </w:rPr>
        <w:t>, CPA</w:t>
      </w:r>
    </w:p>
    <w:p w:rsidR="005D711E" w:rsidRPr="007A206B" w:rsidRDefault="005D711E" w:rsidP="00CF2F5B">
      <w:pPr>
        <w:suppressAutoHyphens/>
        <w:outlineLvl w:val="0"/>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t xml:space="preserve">Director </w:t>
      </w:r>
    </w:p>
    <w:p w:rsidR="005D711E" w:rsidRPr="007A206B" w:rsidRDefault="005D711E" w:rsidP="00CF2F5B">
      <w:pPr>
        <w:suppressAutoHyphens/>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t>Bureau of Audits</w:t>
      </w:r>
    </w:p>
    <w:p w:rsidR="005D711E" w:rsidRPr="007A206B" w:rsidRDefault="005D711E" w:rsidP="00CF2F5B">
      <w:pPr>
        <w:suppressAutoHyphens/>
        <w:rPr>
          <w:rFonts w:ascii="Arial" w:hAnsi="Arial" w:cs="Arial"/>
          <w:szCs w:val="24"/>
        </w:rPr>
      </w:pPr>
    </w:p>
    <w:p w:rsidR="0047509D" w:rsidRPr="007A206B" w:rsidRDefault="0047509D" w:rsidP="00CF2F5B">
      <w:pPr>
        <w:suppressAutoHyphens/>
        <w:rPr>
          <w:rFonts w:ascii="Arial" w:hAnsi="Arial" w:cs="Arial"/>
          <w:szCs w:val="24"/>
        </w:rPr>
        <w:sectPr w:rsidR="0047509D" w:rsidRPr="007A206B" w:rsidSect="0047509D">
          <w:headerReference w:type="even" r:id="rId16"/>
          <w:headerReference w:type="default" r:id="rId17"/>
          <w:footerReference w:type="default" r:id="rId18"/>
          <w:headerReference w:type="first" r:id="rId19"/>
          <w:endnotePr>
            <w:numFmt w:val="decimal"/>
          </w:endnotePr>
          <w:pgSz w:w="12240" w:h="15840" w:code="1"/>
          <w:pgMar w:top="432" w:right="1440" w:bottom="1440" w:left="1440" w:header="0" w:footer="720" w:gutter="0"/>
          <w:pgNumType w:start="3"/>
          <w:cols w:space="720"/>
          <w:noEndnote/>
        </w:sectPr>
      </w:pPr>
    </w:p>
    <w:tbl>
      <w:tblPr>
        <w:tblW w:w="9648" w:type="dxa"/>
        <w:tblLook w:val="0000" w:firstRow="0" w:lastRow="0" w:firstColumn="0" w:lastColumn="0" w:noHBand="0" w:noVBand="0"/>
      </w:tblPr>
      <w:tblGrid>
        <w:gridCol w:w="9648"/>
      </w:tblGrid>
      <w:tr w:rsidR="008B2A09" w:rsidRPr="007A206B" w:rsidTr="001B0888">
        <w:trPr>
          <w:trHeight w:val="277"/>
        </w:trPr>
        <w:tc>
          <w:tcPr>
            <w:tcW w:w="9648" w:type="dxa"/>
            <w:tcBorders>
              <w:top w:val="nil"/>
              <w:left w:val="nil"/>
              <w:bottom w:val="nil"/>
              <w:right w:val="nil"/>
            </w:tcBorders>
            <w:shd w:val="clear" w:color="auto" w:fill="auto"/>
            <w:noWrap/>
            <w:vAlign w:val="bottom"/>
          </w:tcPr>
          <w:p w:rsidR="008B2A09" w:rsidRDefault="001B12BC" w:rsidP="008B2A09">
            <w:pPr>
              <w:overflowPunct/>
              <w:autoSpaceDE/>
              <w:autoSpaceDN/>
              <w:adjustRightInd/>
              <w:jc w:val="center"/>
              <w:textAlignment w:val="auto"/>
              <w:rPr>
                <w:rFonts w:ascii="Arial" w:hAnsi="Arial" w:cs="Arial"/>
                <w:b/>
                <w:sz w:val="26"/>
                <w:szCs w:val="26"/>
                <w:u w:val="single"/>
              </w:rPr>
            </w:pPr>
            <w:r>
              <w:rPr>
                <w:rFonts w:ascii="Arial" w:hAnsi="Arial" w:cs="Arial"/>
                <w:b/>
                <w:sz w:val="26"/>
                <w:szCs w:val="26"/>
                <w:u w:val="single"/>
              </w:rPr>
              <w:lastRenderedPageBreak/>
              <w:t>PPL ELECTRIC UTILITIES CORPORATION</w:t>
            </w:r>
          </w:p>
          <w:p w:rsidR="002A168B" w:rsidRPr="002A168B" w:rsidRDefault="002A168B" w:rsidP="008B2A09">
            <w:pPr>
              <w:overflowPunct/>
              <w:autoSpaceDE/>
              <w:autoSpaceDN/>
              <w:adjustRightInd/>
              <w:jc w:val="center"/>
              <w:textAlignment w:val="auto"/>
              <w:rPr>
                <w:rFonts w:ascii="Arial" w:hAnsi="Arial" w:cs="Arial"/>
                <w:b/>
                <w:sz w:val="20"/>
                <w:szCs w:val="26"/>
                <w:u w:val="single"/>
              </w:rPr>
            </w:pPr>
          </w:p>
        </w:tc>
      </w:tr>
      <w:tr w:rsidR="008B2A09" w:rsidRPr="00874BC6" w:rsidTr="001B0888">
        <w:trPr>
          <w:trHeight w:val="277"/>
        </w:trPr>
        <w:tc>
          <w:tcPr>
            <w:tcW w:w="9648" w:type="dxa"/>
            <w:tcBorders>
              <w:top w:val="nil"/>
              <w:left w:val="nil"/>
              <w:bottom w:val="nil"/>
              <w:right w:val="nil"/>
            </w:tcBorders>
            <w:shd w:val="clear" w:color="auto" w:fill="auto"/>
            <w:noWrap/>
            <w:vAlign w:val="bottom"/>
          </w:tcPr>
          <w:p w:rsidR="008B2A09" w:rsidRPr="00874BC6" w:rsidRDefault="001B12BC">
            <w:pPr>
              <w:overflowPunct/>
              <w:autoSpaceDE/>
              <w:autoSpaceDN/>
              <w:adjustRightInd/>
              <w:jc w:val="center"/>
              <w:textAlignment w:val="auto"/>
              <w:rPr>
                <w:rFonts w:ascii="Arial" w:hAnsi="Arial" w:cs="Arial"/>
                <w:b/>
                <w:szCs w:val="26"/>
                <w:u w:val="single"/>
              </w:rPr>
            </w:pPr>
            <w:r>
              <w:rPr>
                <w:rFonts w:ascii="Arial" w:hAnsi="Arial" w:cs="Arial"/>
                <w:b/>
                <w:szCs w:val="26"/>
                <w:u w:val="single"/>
              </w:rPr>
              <w:t xml:space="preserve">Statement </w:t>
            </w:r>
            <w:r w:rsidR="00C1047D">
              <w:rPr>
                <w:rFonts w:ascii="Arial" w:hAnsi="Arial" w:cs="Arial"/>
                <w:b/>
                <w:szCs w:val="26"/>
                <w:u w:val="single"/>
              </w:rPr>
              <w:t>O</w:t>
            </w:r>
            <w:r>
              <w:rPr>
                <w:rFonts w:ascii="Arial" w:hAnsi="Arial" w:cs="Arial"/>
                <w:b/>
                <w:szCs w:val="26"/>
                <w:u w:val="single"/>
              </w:rPr>
              <w:t>f Universal Service Rider</w:t>
            </w:r>
            <w:r w:rsidR="000640DB">
              <w:rPr>
                <w:rFonts w:ascii="Arial" w:hAnsi="Arial" w:cs="Arial"/>
                <w:b/>
                <w:szCs w:val="26"/>
                <w:u w:val="single"/>
              </w:rPr>
              <w:t xml:space="preserve"> </w:t>
            </w:r>
            <w:r w:rsidR="00777B58">
              <w:rPr>
                <w:rFonts w:ascii="Arial" w:hAnsi="Arial" w:cs="Arial"/>
                <w:b/>
                <w:szCs w:val="26"/>
                <w:u w:val="single"/>
              </w:rPr>
              <w:t xml:space="preserve">(USR) </w:t>
            </w:r>
            <w:r w:rsidR="001F176D" w:rsidRPr="00874BC6">
              <w:rPr>
                <w:rFonts w:ascii="Arial" w:hAnsi="Arial" w:cs="Arial"/>
                <w:b/>
                <w:szCs w:val="26"/>
                <w:u w:val="single"/>
              </w:rPr>
              <w:t>Over/</w:t>
            </w:r>
            <w:r w:rsidR="00D9515C">
              <w:rPr>
                <w:rFonts w:ascii="Arial" w:hAnsi="Arial" w:cs="Arial"/>
                <w:b/>
                <w:szCs w:val="26"/>
                <w:u w:val="single"/>
              </w:rPr>
              <w:t>(</w:t>
            </w:r>
            <w:r w:rsidR="001F176D" w:rsidRPr="00874BC6">
              <w:rPr>
                <w:rFonts w:ascii="Arial" w:hAnsi="Arial" w:cs="Arial"/>
                <w:b/>
                <w:szCs w:val="26"/>
                <w:u w:val="single"/>
              </w:rPr>
              <w:t>Under</w:t>
            </w:r>
            <w:r w:rsidR="00D9515C">
              <w:rPr>
                <w:rFonts w:ascii="Arial" w:hAnsi="Arial" w:cs="Arial"/>
                <w:b/>
                <w:szCs w:val="26"/>
                <w:u w:val="single"/>
              </w:rPr>
              <w:t>)</w:t>
            </w:r>
            <w:r w:rsidR="001F176D" w:rsidRPr="00874BC6">
              <w:rPr>
                <w:rFonts w:ascii="Arial" w:hAnsi="Arial" w:cs="Arial"/>
                <w:b/>
                <w:szCs w:val="26"/>
                <w:u w:val="single"/>
              </w:rPr>
              <w:t xml:space="preserve"> Collections</w:t>
            </w:r>
          </w:p>
        </w:tc>
      </w:tr>
      <w:tr w:rsidR="008B2A09" w:rsidRPr="00874BC6" w:rsidTr="001B0888">
        <w:trPr>
          <w:trHeight w:val="277"/>
        </w:trPr>
        <w:tc>
          <w:tcPr>
            <w:tcW w:w="9648" w:type="dxa"/>
            <w:tcBorders>
              <w:top w:val="nil"/>
              <w:left w:val="nil"/>
              <w:bottom w:val="nil"/>
              <w:right w:val="nil"/>
            </w:tcBorders>
            <w:shd w:val="clear" w:color="auto" w:fill="auto"/>
            <w:noWrap/>
            <w:vAlign w:val="bottom"/>
          </w:tcPr>
          <w:p w:rsidR="008B2A09" w:rsidRPr="00874BC6" w:rsidRDefault="008B2A09">
            <w:pPr>
              <w:overflowPunct/>
              <w:autoSpaceDE/>
              <w:autoSpaceDN/>
              <w:adjustRightInd/>
              <w:jc w:val="center"/>
              <w:textAlignment w:val="auto"/>
              <w:rPr>
                <w:rFonts w:ascii="Arial" w:hAnsi="Arial" w:cs="Arial"/>
                <w:b/>
                <w:szCs w:val="26"/>
                <w:u w:val="single"/>
              </w:rPr>
            </w:pPr>
            <w:r w:rsidRPr="00874BC6">
              <w:rPr>
                <w:rFonts w:ascii="Arial" w:hAnsi="Arial" w:cs="Arial"/>
                <w:b/>
                <w:szCs w:val="26"/>
                <w:u w:val="single"/>
              </w:rPr>
              <w:t xml:space="preserve">For </w:t>
            </w:r>
            <w:r w:rsidR="00C1047D">
              <w:rPr>
                <w:rFonts w:ascii="Arial" w:hAnsi="Arial" w:cs="Arial"/>
                <w:b/>
                <w:szCs w:val="26"/>
                <w:u w:val="single"/>
              </w:rPr>
              <w:t>T</w:t>
            </w:r>
            <w:r w:rsidRPr="00874BC6">
              <w:rPr>
                <w:rFonts w:ascii="Arial" w:hAnsi="Arial" w:cs="Arial"/>
                <w:b/>
                <w:szCs w:val="26"/>
                <w:u w:val="single"/>
              </w:rPr>
              <w:t xml:space="preserve">he </w:t>
            </w:r>
            <w:r w:rsidR="00732CB7">
              <w:rPr>
                <w:rFonts w:ascii="Arial" w:hAnsi="Arial" w:cs="Arial"/>
                <w:b/>
                <w:szCs w:val="26"/>
                <w:u w:val="single"/>
              </w:rPr>
              <w:t>Twelve</w:t>
            </w:r>
            <w:r w:rsidRPr="00874BC6">
              <w:rPr>
                <w:rFonts w:ascii="Arial" w:hAnsi="Arial" w:cs="Arial"/>
                <w:b/>
                <w:szCs w:val="26"/>
                <w:u w:val="single"/>
              </w:rPr>
              <w:t xml:space="preserve"> Months Ended </w:t>
            </w:r>
            <w:r w:rsidR="001B12BC">
              <w:rPr>
                <w:rFonts w:ascii="Arial" w:hAnsi="Arial" w:cs="Arial"/>
                <w:b/>
                <w:szCs w:val="26"/>
                <w:u w:val="single"/>
              </w:rPr>
              <w:t>December</w:t>
            </w:r>
            <w:r w:rsidR="00240719" w:rsidRPr="00874BC6">
              <w:rPr>
                <w:rFonts w:ascii="Arial" w:hAnsi="Arial" w:cs="Arial"/>
                <w:b/>
                <w:szCs w:val="26"/>
                <w:u w:val="single"/>
              </w:rPr>
              <w:t xml:space="preserve"> </w:t>
            </w:r>
            <w:r w:rsidRPr="00874BC6">
              <w:rPr>
                <w:rFonts w:ascii="Arial" w:hAnsi="Arial" w:cs="Arial"/>
                <w:b/>
                <w:szCs w:val="26"/>
                <w:u w:val="single"/>
              </w:rPr>
              <w:t>3</w:t>
            </w:r>
            <w:r w:rsidR="00537A1F" w:rsidRPr="00874BC6">
              <w:rPr>
                <w:rFonts w:ascii="Arial" w:hAnsi="Arial" w:cs="Arial"/>
                <w:b/>
                <w:szCs w:val="26"/>
                <w:u w:val="single"/>
              </w:rPr>
              <w:t>1</w:t>
            </w:r>
            <w:r w:rsidR="00240719" w:rsidRPr="00874BC6">
              <w:rPr>
                <w:rFonts w:ascii="Arial" w:hAnsi="Arial" w:cs="Arial"/>
                <w:b/>
                <w:szCs w:val="26"/>
                <w:u w:val="single"/>
              </w:rPr>
              <w:t xml:space="preserve">, </w:t>
            </w:r>
            <w:r w:rsidRPr="00874BC6">
              <w:rPr>
                <w:rFonts w:ascii="Arial" w:hAnsi="Arial" w:cs="Arial"/>
                <w:b/>
                <w:szCs w:val="26"/>
                <w:u w:val="single"/>
              </w:rPr>
              <w:t>20</w:t>
            </w:r>
            <w:r w:rsidR="002A3F41">
              <w:rPr>
                <w:rFonts w:ascii="Arial" w:hAnsi="Arial" w:cs="Arial"/>
                <w:b/>
                <w:szCs w:val="26"/>
                <w:u w:val="single"/>
              </w:rPr>
              <w:t>10</w:t>
            </w:r>
            <w:r w:rsidR="00C1047D">
              <w:rPr>
                <w:rFonts w:ascii="Arial" w:hAnsi="Arial" w:cs="Arial"/>
                <w:b/>
                <w:szCs w:val="26"/>
                <w:u w:val="single"/>
              </w:rPr>
              <w:t>*</w:t>
            </w:r>
          </w:p>
        </w:tc>
      </w:tr>
    </w:tbl>
    <w:p w:rsidR="00B852ED" w:rsidRPr="007A206B" w:rsidRDefault="00B852ED">
      <w:pPr>
        <w:rPr>
          <w:rFonts w:ascii="Arial" w:hAnsi="Arial" w:cs="Arial"/>
          <w:szCs w:val="24"/>
        </w:rPr>
      </w:pPr>
    </w:p>
    <w:tbl>
      <w:tblPr>
        <w:tblpPr w:leftFromText="180" w:rightFromText="180" w:vertAnchor="text" w:horzAnchor="page" w:tblpX="1885" w:tblpY="215"/>
        <w:tblW w:w="8858" w:type="dxa"/>
        <w:tblLayout w:type="fixed"/>
        <w:tblLook w:val="04A0" w:firstRow="1" w:lastRow="0" w:firstColumn="1" w:lastColumn="0" w:noHBand="0" w:noVBand="1"/>
      </w:tblPr>
      <w:tblGrid>
        <w:gridCol w:w="1772"/>
        <w:gridCol w:w="2436"/>
        <w:gridCol w:w="2547"/>
        <w:gridCol w:w="2103"/>
      </w:tblGrid>
      <w:tr w:rsidR="00471BA3" w:rsidRPr="005F3659" w:rsidTr="009A22FF">
        <w:trPr>
          <w:trHeight w:val="1397"/>
        </w:trPr>
        <w:tc>
          <w:tcPr>
            <w:tcW w:w="1772" w:type="dxa"/>
            <w:vAlign w:val="bottom"/>
          </w:tcPr>
          <w:p w:rsidR="00471BA3" w:rsidRPr="009A22FF" w:rsidRDefault="00471BA3" w:rsidP="00471BA3">
            <w:pPr>
              <w:tabs>
                <w:tab w:val="center" w:pos="4680"/>
              </w:tabs>
              <w:suppressAutoHyphens/>
              <w:jc w:val="center"/>
              <w:rPr>
                <w:rFonts w:ascii="Arial" w:hAnsi="Arial" w:cs="Arial"/>
                <w:b/>
                <w:szCs w:val="24"/>
                <w:u w:val="single"/>
              </w:rPr>
            </w:pPr>
            <w:r w:rsidRPr="009A22FF">
              <w:rPr>
                <w:rFonts w:ascii="Arial" w:hAnsi="Arial" w:cs="Arial"/>
                <w:b/>
                <w:szCs w:val="24"/>
                <w:u w:val="single"/>
              </w:rPr>
              <w:t>Month</w:t>
            </w:r>
          </w:p>
        </w:tc>
        <w:tc>
          <w:tcPr>
            <w:tcW w:w="2436" w:type="dxa"/>
            <w:vAlign w:val="bottom"/>
          </w:tcPr>
          <w:p w:rsidR="00CA539B" w:rsidRDefault="00CA539B" w:rsidP="00CA539B">
            <w:pPr>
              <w:jc w:val="center"/>
              <w:rPr>
                <w:rFonts w:ascii="Arial" w:hAnsi="Arial" w:cs="Arial"/>
                <w:b/>
                <w:bCs/>
                <w:szCs w:val="24"/>
              </w:rPr>
            </w:pPr>
            <w:r>
              <w:rPr>
                <w:rFonts w:ascii="Arial" w:hAnsi="Arial" w:cs="Arial"/>
                <w:b/>
                <w:bCs/>
                <w:szCs w:val="24"/>
              </w:rPr>
              <w:t xml:space="preserve">Residential Distribution </w:t>
            </w:r>
          </w:p>
          <w:p w:rsidR="00CA539B" w:rsidRDefault="00CA539B" w:rsidP="00CA539B">
            <w:pPr>
              <w:jc w:val="center"/>
              <w:rPr>
                <w:rFonts w:ascii="Arial" w:hAnsi="Arial" w:cs="Arial"/>
                <w:b/>
                <w:bCs/>
                <w:szCs w:val="24"/>
              </w:rPr>
            </w:pPr>
            <w:r>
              <w:rPr>
                <w:rFonts w:ascii="Arial" w:hAnsi="Arial" w:cs="Arial"/>
                <w:b/>
                <w:bCs/>
                <w:szCs w:val="24"/>
              </w:rPr>
              <w:t xml:space="preserve">Revenue </w:t>
            </w:r>
          </w:p>
          <w:p w:rsidR="00471BA3" w:rsidRPr="005F3659" w:rsidRDefault="00CA539B" w:rsidP="00CA539B">
            <w:pPr>
              <w:tabs>
                <w:tab w:val="center" w:pos="4680"/>
              </w:tabs>
              <w:suppressAutoHyphens/>
              <w:jc w:val="center"/>
              <w:rPr>
                <w:rFonts w:ascii="Arial" w:hAnsi="Arial" w:cs="Arial"/>
                <w:b/>
                <w:szCs w:val="24"/>
              </w:rPr>
            </w:pPr>
            <w:r w:rsidRPr="00C052B2">
              <w:rPr>
                <w:rFonts w:ascii="Arial" w:hAnsi="Arial" w:cs="Arial"/>
                <w:b/>
                <w:bCs/>
                <w:szCs w:val="24"/>
                <w:u w:val="single"/>
              </w:rPr>
              <w:t xml:space="preserve">Applicable </w:t>
            </w:r>
            <w:r>
              <w:rPr>
                <w:rFonts w:ascii="Arial" w:hAnsi="Arial" w:cs="Arial"/>
                <w:b/>
                <w:bCs/>
                <w:szCs w:val="24"/>
                <w:u w:val="single"/>
              </w:rPr>
              <w:t>T</w:t>
            </w:r>
            <w:r w:rsidRPr="00C052B2">
              <w:rPr>
                <w:rFonts w:ascii="Arial" w:hAnsi="Arial" w:cs="Arial"/>
                <w:b/>
                <w:bCs/>
                <w:szCs w:val="24"/>
                <w:u w:val="single"/>
              </w:rPr>
              <w:t>o USR</w:t>
            </w:r>
          </w:p>
        </w:tc>
        <w:tc>
          <w:tcPr>
            <w:tcW w:w="2547" w:type="dxa"/>
            <w:vAlign w:val="bottom"/>
          </w:tcPr>
          <w:p w:rsidR="00471BA3" w:rsidRPr="005F3659" w:rsidRDefault="00471BA3" w:rsidP="00471BA3">
            <w:pPr>
              <w:tabs>
                <w:tab w:val="center" w:pos="4680"/>
              </w:tabs>
              <w:suppressAutoHyphens/>
              <w:jc w:val="center"/>
              <w:rPr>
                <w:rFonts w:ascii="Arial" w:hAnsi="Arial" w:cs="Arial"/>
                <w:b/>
                <w:szCs w:val="24"/>
              </w:rPr>
            </w:pPr>
            <w:proofErr w:type="spellStart"/>
            <w:r w:rsidRPr="005F3659">
              <w:rPr>
                <w:rFonts w:ascii="Arial" w:hAnsi="Arial" w:cs="Arial"/>
                <w:b/>
                <w:bCs/>
                <w:szCs w:val="24"/>
              </w:rPr>
              <w:t>OnTrack</w:t>
            </w:r>
            <w:proofErr w:type="spellEnd"/>
            <w:r w:rsidRPr="005F3659">
              <w:rPr>
                <w:rFonts w:ascii="Arial" w:hAnsi="Arial" w:cs="Arial"/>
                <w:b/>
                <w:bCs/>
                <w:szCs w:val="24"/>
              </w:rPr>
              <w:t xml:space="preserve">/WRAP </w:t>
            </w:r>
            <w:r w:rsidRPr="009A22FF">
              <w:rPr>
                <w:rFonts w:ascii="Arial" w:hAnsi="Arial" w:cs="Arial"/>
                <w:b/>
                <w:bCs/>
                <w:szCs w:val="24"/>
                <w:u w:val="single"/>
              </w:rPr>
              <w:t>Expenses</w:t>
            </w:r>
          </w:p>
        </w:tc>
        <w:tc>
          <w:tcPr>
            <w:tcW w:w="2103" w:type="dxa"/>
            <w:vAlign w:val="bottom"/>
          </w:tcPr>
          <w:p w:rsidR="00596AA5" w:rsidRDefault="00596AA5" w:rsidP="00596AA5">
            <w:pPr>
              <w:jc w:val="center"/>
              <w:rPr>
                <w:rFonts w:ascii="Arial" w:hAnsi="Arial" w:cs="Arial"/>
                <w:b/>
                <w:bCs/>
                <w:szCs w:val="24"/>
              </w:rPr>
            </w:pPr>
          </w:p>
          <w:p w:rsidR="00596AA5" w:rsidRDefault="00596AA5" w:rsidP="00596AA5">
            <w:pPr>
              <w:jc w:val="center"/>
              <w:rPr>
                <w:rFonts w:ascii="Arial" w:hAnsi="Arial" w:cs="Arial"/>
                <w:b/>
                <w:bCs/>
                <w:szCs w:val="24"/>
              </w:rPr>
            </w:pPr>
            <w:r>
              <w:rPr>
                <w:rFonts w:ascii="Arial" w:hAnsi="Arial" w:cs="Arial"/>
                <w:b/>
                <w:bCs/>
                <w:szCs w:val="24"/>
              </w:rPr>
              <w:t>USR</w:t>
            </w:r>
          </w:p>
          <w:p w:rsidR="00471BA3" w:rsidRPr="005F3659" w:rsidRDefault="00596AA5" w:rsidP="00596AA5">
            <w:pPr>
              <w:tabs>
                <w:tab w:val="center" w:pos="4680"/>
              </w:tabs>
              <w:suppressAutoHyphens/>
              <w:jc w:val="center"/>
              <w:rPr>
                <w:rFonts w:ascii="Arial" w:hAnsi="Arial" w:cs="Arial"/>
                <w:b/>
                <w:szCs w:val="24"/>
              </w:rPr>
            </w:pPr>
            <w:r w:rsidRPr="00397A01">
              <w:rPr>
                <w:rFonts w:ascii="Arial" w:hAnsi="Arial" w:cs="Arial"/>
                <w:b/>
                <w:bCs/>
                <w:szCs w:val="24"/>
              </w:rPr>
              <w:t xml:space="preserve">Over/(Under) </w:t>
            </w:r>
            <w:r w:rsidRPr="009A22FF">
              <w:rPr>
                <w:rFonts w:ascii="Arial" w:hAnsi="Arial" w:cs="Arial"/>
                <w:b/>
                <w:bCs/>
                <w:szCs w:val="24"/>
                <w:u w:val="single"/>
              </w:rPr>
              <w:t>Collection</w:t>
            </w:r>
            <w:r w:rsidR="004138A7">
              <w:rPr>
                <w:rFonts w:ascii="Arial" w:hAnsi="Arial" w:cs="Arial"/>
                <w:b/>
                <w:bCs/>
                <w:szCs w:val="24"/>
                <w:u w:val="single"/>
              </w:rPr>
              <w:t>s</w:t>
            </w:r>
            <w:bookmarkStart w:id="0" w:name="_GoBack"/>
            <w:bookmarkEnd w:id="0"/>
          </w:p>
        </w:tc>
      </w:tr>
      <w:tr w:rsidR="00471BA3" w:rsidRPr="005F3659" w:rsidTr="009A22FF">
        <w:trPr>
          <w:trHeight w:val="279"/>
        </w:trPr>
        <w:tc>
          <w:tcPr>
            <w:tcW w:w="1772" w:type="dxa"/>
          </w:tcPr>
          <w:p w:rsidR="00471BA3" w:rsidRPr="000640DB" w:rsidRDefault="00471BA3" w:rsidP="00471BA3">
            <w:pPr>
              <w:tabs>
                <w:tab w:val="center" w:pos="4680"/>
              </w:tabs>
              <w:suppressAutoHyphens/>
              <w:rPr>
                <w:rFonts w:ascii="Arial" w:hAnsi="Arial" w:cs="Arial"/>
                <w:szCs w:val="24"/>
              </w:rPr>
            </w:pPr>
          </w:p>
        </w:tc>
        <w:tc>
          <w:tcPr>
            <w:tcW w:w="2436" w:type="dxa"/>
          </w:tcPr>
          <w:p w:rsidR="00471BA3" w:rsidRPr="005F3659" w:rsidRDefault="00471BA3" w:rsidP="00471BA3">
            <w:pPr>
              <w:tabs>
                <w:tab w:val="center" w:pos="4680"/>
              </w:tabs>
              <w:suppressAutoHyphens/>
              <w:jc w:val="center"/>
              <w:rPr>
                <w:rFonts w:ascii="Arial" w:hAnsi="Arial" w:cs="Arial"/>
                <w:szCs w:val="24"/>
              </w:rPr>
            </w:pPr>
            <w:r w:rsidRPr="005F3659">
              <w:rPr>
                <w:rFonts w:ascii="Arial" w:hAnsi="Arial" w:cs="Arial"/>
                <w:szCs w:val="24"/>
              </w:rPr>
              <w:t xml:space="preserve">(Note </w:t>
            </w:r>
            <w:r>
              <w:rPr>
                <w:rFonts w:ascii="Arial" w:hAnsi="Arial" w:cs="Arial"/>
                <w:szCs w:val="24"/>
              </w:rPr>
              <w:t>1</w:t>
            </w:r>
            <w:r w:rsidRPr="005F3659">
              <w:rPr>
                <w:rFonts w:ascii="Arial" w:hAnsi="Arial" w:cs="Arial"/>
                <w:szCs w:val="24"/>
              </w:rPr>
              <w:t>)</w:t>
            </w:r>
          </w:p>
        </w:tc>
        <w:tc>
          <w:tcPr>
            <w:tcW w:w="2547" w:type="dxa"/>
          </w:tcPr>
          <w:p w:rsidR="00471BA3" w:rsidRPr="005F3659" w:rsidRDefault="00471BA3" w:rsidP="003A0344">
            <w:pPr>
              <w:tabs>
                <w:tab w:val="center" w:pos="4680"/>
              </w:tabs>
              <w:suppressAutoHyphens/>
              <w:jc w:val="center"/>
              <w:rPr>
                <w:rFonts w:ascii="Arial" w:hAnsi="Arial" w:cs="Arial"/>
                <w:szCs w:val="24"/>
              </w:rPr>
            </w:pPr>
            <w:r w:rsidRPr="005F3659">
              <w:rPr>
                <w:rFonts w:ascii="Arial" w:hAnsi="Arial" w:cs="Arial"/>
                <w:szCs w:val="24"/>
              </w:rPr>
              <w:t xml:space="preserve">(Note </w:t>
            </w:r>
            <w:r w:rsidR="003A0344">
              <w:rPr>
                <w:rFonts w:ascii="Arial" w:hAnsi="Arial" w:cs="Arial"/>
                <w:szCs w:val="24"/>
              </w:rPr>
              <w:t>2</w:t>
            </w:r>
            <w:r w:rsidRPr="005F3659">
              <w:rPr>
                <w:rFonts w:ascii="Arial" w:hAnsi="Arial" w:cs="Arial"/>
                <w:szCs w:val="24"/>
              </w:rPr>
              <w:t>)</w:t>
            </w:r>
          </w:p>
        </w:tc>
        <w:tc>
          <w:tcPr>
            <w:tcW w:w="2103" w:type="dxa"/>
          </w:tcPr>
          <w:p w:rsidR="00471BA3" w:rsidRPr="005F3659" w:rsidRDefault="00471BA3" w:rsidP="003A0344">
            <w:pPr>
              <w:tabs>
                <w:tab w:val="center" w:pos="4680"/>
              </w:tabs>
              <w:suppressAutoHyphens/>
              <w:jc w:val="center"/>
              <w:rPr>
                <w:rFonts w:ascii="Arial" w:hAnsi="Arial" w:cs="Arial"/>
                <w:szCs w:val="24"/>
              </w:rPr>
            </w:pPr>
            <w:r w:rsidRPr="005F3659">
              <w:rPr>
                <w:rFonts w:ascii="Arial" w:hAnsi="Arial" w:cs="Arial"/>
                <w:szCs w:val="24"/>
              </w:rPr>
              <w:t xml:space="preserve">(Note </w:t>
            </w:r>
            <w:r w:rsidR="003A0344">
              <w:rPr>
                <w:rFonts w:ascii="Arial" w:hAnsi="Arial" w:cs="Arial"/>
                <w:szCs w:val="24"/>
              </w:rPr>
              <w:t>3</w:t>
            </w:r>
            <w:r w:rsidRPr="005F3659">
              <w:rPr>
                <w:rFonts w:ascii="Arial" w:hAnsi="Arial" w:cs="Arial"/>
                <w:szCs w:val="24"/>
              </w:rPr>
              <w:t>)</w:t>
            </w:r>
          </w:p>
        </w:tc>
      </w:tr>
      <w:tr w:rsidR="00471BA3" w:rsidRPr="005F3659" w:rsidTr="009A22FF">
        <w:trPr>
          <w:trHeight w:val="279"/>
        </w:trPr>
        <w:tc>
          <w:tcPr>
            <w:tcW w:w="1772" w:type="dxa"/>
          </w:tcPr>
          <w:p w:rsidR="00471BA3" w:rsidRPr="005F3659" w:rsidRDefault="00471BA3" w:rsidP="00471BA3">
            <w:pPr>
              <w:tabs>
                <w:tab w:val="center" w:pos="4680"/>
              </w:tabs>
              <w:suppressAutoHyphens/>
              <w:rPr>
                <w:rFonts w:ascii="Arial" w:hAnsi="Arial" w:cs="Arial"/>
                <w:szCs w:val="24"/>
              </w:rPr>
            </w:pPr>
          </w:p>
        </w:tc>
        <w:tc>
          <w:tcPr>
            <w:tcW w:w="2436" w:type="dxa"/>
          </w:tcPr>
          <w:p w:rsidR="00471BA3" w:rsidRPr="005F3659" w:rsidRDefault="00471BA3" w:rsidP="00471BA3">
            <w:pPr>
              <w:tabs>
                <w:tab w:val="center" w:pos="4680"/>
              </w:tabs>
              <w:suppressAutoHyphens/>
              <w:rPr>
                <w:rFonts w:ascii="Arial" w:hAnsi="Arial" w:cs="Arial"/>
                <w:szCs w:val="24"/>
              </w:rPr>
            </w:pPr>
          </w:p>
        </w:tc>
        <w:tc>
          <w:tcPr>
            <w:tcW w:w="2547" w:type="dxa"/>
          </w:tcPr>
          <w:p w:rsidR="00471BA3" w:rsidRPr="005F3659" w:rsidRDefault="00471BA3" w:rsidP="00471BA3">
            <w:pPr>
              <w:tabs>
                <w:tab w:val="center" w:pos="4680"/>
              </w:tabs>
              <w:suppressAutoHyphens/>
              <w:rPr>
                <w:rFonts w:ascii="Arial" w:hAnsi="Arial" w:cs="Arial"/>
                <w:szCs w:val="24"/>
              </w:rPr>
            </w:pPr>
          </w:p>
        </w:tc>
        <w:tc>
          <w:tcPr>
            <w:tcW w:w="2103" w:type="dxa"/>
          </w:tcPr>
          <w:p w:rsidR="00471BA3" w:rsidRPr="005F3659" w:rsidRDefault="00471BA3" w:rsidP="00471BA3">
            <w:pPr>
              <w:tabs>
                <w:tab w:val="center" w:pos="4680"/>
              </w:tabs>
              <w:suppressAutoHyphens/>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January</w:t>
            </w:r>
            <w:r w:rsidR="002A3F41">
              <w:rPr>
                <w:rFonts w:ascii="Arial" w:hAnsi="Arial" w:cs="Arial"/>
                <w:szCs w:val="24"/>
              </w:rPr>
              <w:t>*</w:t>
            </w:r>
            <w:r w:rsidR="00C1047D">
              <w:rPr>
                <w:rFonts w:ascii="Arial" w:hAnsi="Arial" w:cs="Arial"/>
                <w:szCs w:val="24"/>
              </w:rPr>
              <w:t>*</w:t>
            </w:r>
          </w:p>
        </w:tc>
        <w:tc>
          <w:tcPr>
            <w:tcW w:w="2436" w:type="dxa"/>
            <w:vAlign w:val="center"/>
          </w:tcPr>
          <w:p w:rsidR="00471BA3" w:rsidRPr="005F3659" w:rsidRDefault="009A7D8C" w:rsidP="00C703F1">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xml:space="preserve">$   </w:t>
            </w:r>
            <w:r w:rsidR="00C703F1">
              <w:rPr>
                <w:rFonts w:ascii="Arial" w:hAnsi="Arial" w:cs="Arial"/>
                <w:szCs w:val="24"/>
              </w:rPr>
              <w:t>4,469,659</w:t>
            </w:r>
          </w:p>
        </w:tc>
        <w:tc>
          <w:tcPr>
            <w:tcW w:w="2547" w:type="dxa"/>
            <w:vAlign w:val="center"/>
          </w:tcPr>
          <w:p w:rsidR="00471BA3" w:rsidRPr="005F3659" w:rsidRDefault="00952A48" w:rsidP="00C703F1">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xml:space="preserve">$  </w:t>
            </w:r>
            <w:r w:rsidR="00C703F1">
              <w:rPr>
                <w:rFonts w:ascii="Arial" w:hAnsi="Arial" w:cs="Arial"/>
                <w:szCs w:val="24"/>
              </w:rPr>
              <w:t>6,446,723</w:t>
            </w:r>
          </w:p>
        </w:tc>
        <w:tc>
          <w:tcPr>
            <w:tcW w:w="2103"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w:t>
            </w:r>
            <w:r w:rsidR="00C703F1">
              <w:rPr>
                <w:rFonts w:ascii="Arial" w:hAnsi="Arial" w:cs="Arial"/>
                <w:szCs w:val="24"/>
              </w:rPr>
              <w:t>1,977,064</w:t>
            </w:r>
            <w:r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February</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4,174,711</w:t>
            </w:r>
          </w:p>
        </w:tc>
        <w:tc>
          <w:tcPr>
            <w:tcW w:w="2547" w:type="dxa"/>
            <w:vAlign w:val="center"/>
          </w:tcPr>
          <w:p w:rsidR="00471BA3" w:rsidRPr="005F3659" w:rsidRDefault="00370CC2" w:rsidP="00471BA3">
            <w:pPr>
              <w:tabs>
                <w:tab w:val="center" w:pos="4680"/>
              </w:tabs>
              <w:suppressAutoHyphens/>
              <w:jc w:val="center"/>
              <w:rPr>
                <w:rFonts w:ascii="Arial" w:hAnsi="Arial" w:cs="Arial"/>
                <w:szCs w:val="24"/>
              </w:rPr>
            </w:pPr>
            <w:r>
              <w:rPr>
                <w:rFonts w:ascii="Arial" w:hAnsi="Arial" w:cs="Arial"/>
                <w:szCs w:val="24"/>
              </w:rPr>
              <w:t xml:space="preserve">     </w:t>
            </w:r>
            <w:r w:rsidR="00C703F1">
              <w:rPr>
                <w:rFonts w:ascii="Arial" w:hAnsi="Arial" w:cs="Arial"/>
                <w:szCs w:val="24"/>
              </w:rPr>
              <w:t>5,627,531</w:t>
            </w:r>
          </w:p>
        </w:tc>
        <w:tc>
          <w:tcPr>
            <w:tcW w:w="2103" w:type="dxa"/>
            <w:vAlign w:val="center"/>
          </w:tcPr>
          <w:p w:rsidR="00471BA3" w:rsidRPr="005F3659" w:rsidRDefault="008D0408" w:rsidP="00C703F1">
            <w:pPr>
              <w:tabs>
                <w:tab w:val="center" w:pos="4680"/>
              </w:tabs>
              <w:suppressAutoHyphens/>
              <w:jc w:val="center"/>
              <w:rPr>
                <w:rFonts w:ascii="Arial" w:hAnsi="Arial" w:cs="Arial"/>
                <w:szCs w:val="24"/>
              </w:rPr>
            </w:pPr>
            <w:r>
              <w:rPr>
                <w:rFonts w:ascii="Arial" w:hAnsi="Arial" w:cs="Arial"/>
                <w:szCs w:val="24"/>
              </w:rPr>
              <w:t xml:space="preserve"> </w:t>
            </w:r>
            <w:r w:rsidR="00454455">
              <w:rPr>
                <w:rFonts w:ascii="Arial" w:hAnsi="Arial" w:cs="Arial"/>
                <w:szCs w:val="24"/>
              </w:rPr>
              <w:t xml:space="preserve"> </w:t>
            </w:r>
            <w:r>
              <w:rPr>
                <w:rFonts w:ascii="Arial" w:hAnsi="Arial" w:cs="Arial"/>
                <w:szCs w:val="24"/>
              </w:rPr>
              <w:t xml:space="preserve">  (</w:t>
            </w:r>
            <w:r w:rsidR="00C703F1">
              <w:rPr>
                <w:rFonts w:ascii="Arial" w:hAnsi="Arial" w:cs="Arial"/>
                <w:szCs w:val="24"/>
              </w:rPr>
              <w:t>1,452,820</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March</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3,783,451</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5,069,039</w:t>
            </w:r>
          </w:p>
        </w:tc>
        <w:tc>
          <w:tcPr>
            <w:tcW w:w="2103" w:type="dxa"/>
            <w:vAlign w:val="center"/>
          </w:tcPr>
          <w:p w:rsidR="00471BA3" w:rsidRPr="005F3659" w:rsidRDefault="00454455" w:rsidP="00C703F1">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xml:space="preserve">   (</w:t>
            </w:r>
            <w:r w:rsidR="00C703F1">
              <w:rPr>
                <w:rFonts w:ascii="Arial" w:hAnsi="Arial" w:cs="Arial"/>
                <w:szCs w:val="24"/>
              </w:rPr>
              <w:t>1,285,588</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April</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3,028,062</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3,407,705</w:t>
            </w:r>
          </w:p>
        </w:tc>
        <w:tc>
          <w:tcPr>
            <w:tcW w:w="2103"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454455">
              <w:rPr>
                <w:rFonts w:ascii="Arial" w:hAnsi="Arial" w:cs="Arial"/>
                <w:szCs w:val="24"/>
              </w:rPr>
              <w:t xml:space="preserve">   </w:t>
            </w:r>
            <w:r w:rsidRPr="005F3659">
              <w:rPr>
                <w:rFonts w:ascii="Arial" w:hAnsi="Arial" w:cs="Arial"/>
                <w:szCs w:val="24"/>
              </w:rPr>
              <w:t xml:space="preserve">  (</w:t>
            </w:r>
            <w:r w:rsidR="00C703F1">
              <w:rPr>
                <w:rFonts w:ascii="Arial" w:hAnsi="Arial" w:cs="Arial"/>
                <w:szCs w:val="24"/>
              </w:rPr>
              <w:t>379,643</w:t>
            </w:r>
            <w:r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May</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2,777,589</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3,259,430</w:t>
            </w:r>
          </w:p>
        </w:tc>
        <w:tc>
          <w:tcPr>
            <w:tcW w:w="2103"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454455">
              <w:rPr>
                <w:rFonts w:ascii="Arial" w:hAnsi="Arial" w:cs="Arial"/>
                <w:szCs w:val="24"/>
              </w:rPr>
              <w:t xml:space="preserve"> </w:t>
            </w:r>
            <w:r w:rsidRPr="005F3659">
              <w:rPr>
                <w:rFonts w:ascii="Arial" w:hAnsi="Arial" w:cs="Arial"/>
                <w:szCs w:val="24"/>
              </w:rPr>
              <w:t xml:space="preserve"> </w:t>
            </w:r>
            <w:r w:rsidR="00454455">
              <w:rPr>
                <w:rFonts w:ascii="Arial" w:hAnsi="Arial" w:cs="Arial"/>
                <w:szCs w:val="24"/>
              </w:rPr>
              <w:t xml:space="preserve"> </w:t>
            </w:r>
            <w:r w:rsidRPr="005F3659">
              <w:rPr>
                <w:rFonts w:ascii="Arial" w:hAnsi="Arial" w:cs="Arial"/>
                <w:szCs w:val="24"/>
              </w:rPr>
              <w:t xml:space="preserve">   </w:t>
            </w:r>
            <w:r w:rsidR="00C703F1">
              <w:rPr>
                <w:rFonts w:ascii="Arial" w:hAnsi="Arial" w:cs="Arial"/>
                <w:szCs w:val="24"/>
              </w:rPr>
              <w:t>(481,841)</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June</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3,108,830</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3,455,944</w:t>
            </w:r>
          </w:p>
        </w:tc>
        <w:tc>
          <w:tcPr>
            <w:tcW w:w="2103" w:type="dxa"/>
            <w:vAlign w:val="center"/>
          </w:tcPr>
          <w:p w:rsidR="00471BA3" w:rsidRPr="005F3659" w:rsidRDefault="00454455" w:rsidP="00C703F1">
            <w:pPr>
              <w:tabs>
                <w:tab w:val="center" w:pos="4680"/>
              </w:tabs>
              <w:suppressAutoHyphens/>
              <w:jc w:val="center"/>
              <w:rPr>
                <w:rFonts w:ascii="Arial" w:hAnsi="Arial" w:cs="Arial"/>
                <w:szCs w:val="24"/>
              </w:rPr>
            </w:pPr>
            <w:r>
              <w:rPr>
                <w:rFonts w:ascii="Arial" w:hAnsi="Arial" w:cs="Arial"/>
                <w:szCs w:val="24"/>
              </w:rPr>
              <w:t xml:space="preserve">  </w:t>
            </w:r>
            <w:r w:rsidR="009257D0">
              <w:rPr>
                <w:rFonts w:ascii="Arial" w:hAnsi="Arial" w:cs="Arial"/>
                <w:szCs w:val="24"/>
              </w:rPr>
              <w:t xml:space="preserve"> </w:t>
            </w:r>
            <w:r>
              <w:rPr>
                <w:rFonts w:ascii="Arial" w:hAnsi="Arial" w:cs="Arial"/>
                <w:szCs w:val="24"/>
              </w:rPr>
              <w:t xml:space="preserve">   </w:t>
            </w:r>
            <w:r w:rsidR="009257D0">
              <w:rPr>
                <w:rFonts w:ascii="Arial" w:hAnsi="Arial" w:cs="Arial"/>
                <w:szCs w:val="24"/>
              </w:rPr>
              <w:t xml:space="preserve"> (</w:t>
            </w:r>
            <w:r w:rsidR="00C703F1">
              <w:rPr>
                <w:rFonts w:ascii="Arial" w:hAnsi="Arial" w:cs="Arial"/>
                <w:szCs w:val="24"/>
              </w:rPr>
              <w:t>347,114</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July</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3,603,433</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3,957,819</w:t>
            </w:r>
          </w:p>
        </w:tc>
        <w:tc>
          <w:tcPr>
            <w:tcW w:w="2103"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454455">
              <w:rPr>
                <w:rFonts w:ascii="Arial" w:hAnsi="Arial" w:cs="Arial"/>
                <w:szCs w:val="24"/>
              </w:rPr>
              <w:t xml:space="preserve">  </w:t>
            </w:r>
            <w:r w:rsidRPr="005F3659">
              <w:rPr>
                <w:rFonts w:ascii="Arial" w:hAnsi="Arial" w:cs="Arial"/>
                <w:szCs w:val="24"/>
              </w:rPr>
              <w:t xml:space="preserve">    (</w:t>
            </w:r>
            <w:r w:rsidR="00C703F1">
              <w:rPr>
                <w:rFonts w:ascii="Arial" w:hAnsi="Arial" w:cs="Arial"/>
                <w:szCs w:val="24"/>
              </w:rPr>
              <w:t>354,386</w:t>
            </w:r>
            <w:r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August</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3,572,726</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4,301,900</w:t>
            </w:r>
          </w:p>
        </w:tc>
        <w:tc>
          <w:tcPr>
            <w:tcW w:w="2103" w:type="dxa"/>
            <w:vAlign w:val="center"/>
          </w:tcPr>
          <w:p w:rsidR="00471BA3" w:rsidRPr="005F3659" w:rsidRDefault="00454455" w:rsidP="00C703F1">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xml:space="preserve">  (</w:t>
            </w:r>
            <w:r w:rsidR="00C703F1">
              <w:rPr>
                <w:rFonts w:ascii="Arial" w:hAnsi="Arial" w:cs="Arial"/>
                <w:szCs w:val="24"/>
              </w:rPr>
              <w:t>729,174</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September</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3,200,155</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3,657,544</w:t>
            </w:r>
          </w:p>
        </w:tc>
        <w:tc>
          <w:tcPr>
            <w:tcW w:w="2103" w:type="dxa"/>
            <w:vAlign w:val="center"/>
          </w:tcPr>
          <w:p w:rsidR="00471BA3" w:rsidRPr="005F3659" w:rsidRDefault="00454455" w:rsidP="00C703F1">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xml:space="preserve">  (</w:t>
            </w:r>
            <w:r w:rsidR="00C703F1">
              <w:rPr>
                <w:rFonts w:ascii="Arial" w:hAnsi="Arial" w:cs="Arial"/>
                <w:szCs w:val="24"/>
              </w:rPr>
              <w:t>457,389</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October</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2,792,876</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3,408,040</w:t>
            </w:r>
          </w:p>
        </w:tc>
        <w:tc>
          <w:tcPr>
            <w:tcW w:w="2103"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454455">
              <w:rPr>
                <w:rFonts w:ascii="Arial" w:hAnsi="Arial" w:cs="Arial"/>
                <w:szCs w:val="24"/>
              </w:rPr>
              <w:t xml:space="preserve">    </w:t>
            </w:r>
            <w:r w:rsidRPr="005F3659">
              <w:rPr>
                <w:rFonts w:ascii="Arial" w:hAnsi="Arial" w:cs="Arial"/>
                <w:szCs w:val="24"/>
              </w:rPr>
              <w:t xml:space="preserve">  (</w:t>
            </w:r>
            <w:r w:rsidR="00C703F1">
              <w:rPr>
                <w:rFonts w:ascii="Arial" w:hAnsi="Arial" w:cs="Arial"/>
                <w:szCs w:val="24"/>
              </w:rPr>
              <w:t>615,164</w:t>
            </w:r>
            <w:r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November</w:t>
            </w:r>
          </w:p>
        </w:tc>
        <w:tc>
          <w:tcPr>
            <w:tcW w:w="2436"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2,939,901</w:t>
            </w:r>
          </w:p>
        </w:tc>
        <w:tc>
          <w:tcPr>
            <w:tcW w:w="2547" w:type="dxa"/>
            <w:vAlign w:val="center"/>
          </w:tcPr>
          <w:p w:rsidR="00471BA3" w:rsidRPr="005F3659" w:rsidRDefault="00471BA3" w:rsidP="00C703F1">
            <w:pPr>
              <w:tabs>
                <w:tab w:val="center" w:pos="4680"/>
              </w:tabs>
              <w:suppressAutoHyphens/>
              <w:jc w:val="center"/>
              <w:rPr>
                <w:rFonts w:ascii="Arial" w:hAnsi="Arial" w:cs="Arial"/>
                <w:szCs w:val="24"/>
              </w:rPr>
            </w:pPr>
            <w:r w:rsidRPr="005F3659">
              <w:rPr>
                <w:rFonts w:ascii="Arial" w:hAnsi="Arial" w:cs="Arial"/>
                <w:szCs w:val="24"/>
              </w:rPr>
              <w:t xml:space="preserve">     </w:t>
            </w:r>
            <w:r w:rsidR="00C703F1">
              <w:rPr>
                <w:rFonts w:ascii="Arial" w:hAnsi="Arial" w:cs="Arial"/>
                <w:szCs w:val="24"/>
              </w:rPr>
              <w:t>3,840,854</w:t>
            </w:r>
          </w:p>
        </w:tc>
        <w:tc>
          <w:tcPr>
            <w:tcW w:w="2103" w:type="dxa"/>
            <w:vAlign w:val="center"/>
          </w:tcPr>
          <w:p w:rsidR="00471BA3" w:rsidRPr="005F3659" w:rsidRDefault="00454455" w:rsidP="00C703F1">
            <w:pPr>
              <w:tabs>
                <w:tab w:val="center" w:pos="4680"/>
              </w:tabs>
              <w:suppressAutoHyphens/>
              <w:jc w:val="center"/>
              <w:rPr>
                <w:rFonts w:ascii="Arial" w:hAnsi="Arial" w:cs="Arial"/>
                <w:szCs w:val="24"/>
              </w:rPr>
            </w:pPr>
            <w:r>
              <w:rPr>
                <w:rFonts w:ascii="Arial" w:hAnsi="Arial" w:cs="Arial"/>
                <w:szCs w:val="24"/>
              </w:rPr>
              <w:t xml:space="preserve">     </w:t>
            </w:r>
            <w:r w:rsidR="00471BA3" w:rsidRPr="005F3659">
              <w:rPr>
                <w:rFonts w:ascii="Arial" w:hAnsi="Arial" w:cs="Arial"/>
                <w:szCs w:val="24"/>
              </w:rPr>
              <w:t xml:space="preserve">  (</w:t>
            </w:r>
            <w:r w:rsidR="00C703F1">
              <w:rPr>
                <w:rFonts w:ascii="Arial" w:hAnsi="Arial" w:cs="Arial"/>
                <w:szCs w:val="24"/>
              </w:rPr>
              <w:t>900,953</w:t>
            </w:r>
            <w:r w:rsidR="00471BA3" w:rsidRPr="005F3659">
              <w:rPr>
                <w:rFonts w:ascii="Arial" w:hAnsi="Arial" w:cs="Arial"/>
                <w:szCs w:val="24"/>
              </w:rPr>
              <w:t>)</w:t>
            </w:r>
          </w:p>
        </w:tc>
      </w:tr>
      <w:tr w:rsidR="00471BA3" w:rsidRPr="005F3659" w:rsidTr="00471BA3">
        <w:trPr>
          <w:trHeight w:val="279"/>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szCs w:val="24"/>
              </w:rPr>
            </w:pPr>
            <w:r w:rsidRPr="005F3659">
              <w:rPr>
                <w:rFonts w:ascii="Arial" w:hAnsi="Arial" w:cs="Arial"/>
                <w:szCs w:val="24"/>
              </w:rPr>
              <w:t>December</w:t>
            </w:r>
            <w:r w:rsidR="00162686">
              <w:rPr>
                <w:rFonts w:ascii="Arial" w:hAnsi="Arial" w:cs="Arial"/>
                <w:szCs w:val="24"/>
              </w:rPr>
              <w:t>***</w:t>
            </w:r>
          </w:p>
        </w:tc>
        <w:tc>
          <w:tcPr>
            <w:tcW w:w="2436" w:type="dxa"/>
            <w:vAlign w:val="center"/>
          </w:tcPr>
          <w:p w:rsidR="00471BA3" w:rsidRPr="007C3408" w:rsidRDefault="00471BA3" w:rsidP="00C703F1">
            <w:pPr>
              <w:tabs>
                <w:tab w:val="center" w:pos="4680"/>
              </w:tabs>
              <w:suppressAutoHyphens/>
              <w:jc w:val="center"/>
              <w:rPr>
                <w:rFonts w:ascii="Arial" w:hAnsi="Arial" w:cs="Arial"/>
                <w:szCs w:val="24"/>
                <w:u w:val="single"/>
              </w:rPr>
            </w:pPr>
            <w:r w:rsidRPr="007C3408">
              <w:rPr>
                <w:rFonts w:ascii="Arial" w:hAnsi="Arial" w:cs="Arial"/>
                <w:szCs w:val="24"/>
              </w:rPr>
              <w:t xml:space="preserve">    </w:t>
            </w:r>
            <w:r w:rsidRPr="007C3408">
              <w:rPr>
                <w:rFonts w:ascii="Arial" w:hAnsi="Arial" w:cs="Arial"/>
                <w:szCs w:val="24"/>
                <w:u w:val="single"/>
              </w:rPr>
              <w:t xml:space="preserve">  </w:t>
            </w:r>
            <w:r w:rsidR="00C703F1">
              <w:rPr>
                <w:rFonts w:ascii="Arial" w:hAnsi="Arial" w:cs="Arial"/>
                <w:szCs w:val="24"/>
                <w:u w:val="single"/>
              </w:rPr>
              <w:t>4,061,341</w:t>
            </w:r>
          </w:p>
        </w:tc>
        <w:tc>
          <w:tcPr>
            <w:tcW w:w="2547" w:type="dxa"/>
            <w:vAlign w:val="center"/>
          </w:tcPr>
          <w:p w:rsidR="00471BA3" w:rsidRPr="007C3408" w:rsidRDefault="00471BA3" w:rsidP="00C703F1">
            <w:pPr>
              <w:tabs>
                <w:tab w:val="center" w:pos="4680"/>
              </w:tabs>
              <w:suppressAutoHyphens/>
              <w:jc w:val="center"/>
              <w:rPr>
                <w:rFonts w:ascii="Arial" w:hAnsi="Arial" w:cs="Arial"/>
                <w:szCs w:val="24"/>
                <w:u w:val="single"/>
              </w:rPr>
            </w:pPr>
            <w:r w:rsidRPr="007C3408">
              <w:rPr>
                <w:rFonts w:ascii="Arial" w:hAnsi="Arial" w:cs="Arial"/>
                <w:szCs w:val="24"/>
              </w:rPr>
              <w:t xml:space="preserve">   </w:t>
            </w:r>
            <w:r w:rsidRPr="007C3408">
              <w:rPr>
                <w:rFonts w:ascii="Arial" w:hAnsi="Arial" w:cs="Arial"/>
                <w:szCs w:val="24"/>
                <w:u w:val="single"/>
              </w:rPr>
              <w:t xml:space="preserve">  </w:t>
            </w:r>
            <w:r w:rsidR="00C703F1">
              <w:rPr>
                <w:rFonts w:ascii="Arial" w:hAnsi="Arial" w:cs="Arial"/>
                <w:szCs w:val="24"/>
                <w:u w:val="single"/>
              </w:rPr>
              <w:t>4,950,500</w:t>
            </w:r>
          </w:p>
        </w:tc>
        <w:tc>
          <w:tcPr>
            <w:tcW w:w="2103" w:type="dxa"/>
            <w:vAlign w:val="center"/>
          </w:tcPr>
          <w:p w:rsidR="00471BA3" w:rsidRPr="007C3408" w:rsidRDefault="00454455" w:rsidP="00454455">
            <w:pPr>
              <w:tabs>
                <w:tab w:val="center" w:pos="4680"/>
              </w:tabs>
              <w:suppressAutoHyphens/>
              <w:jc w:val="center"/>
              <w:rPr>
                <w:rFonts w:ascii="Arial" w:hAnsi="Arial" w:cs="Arial"/>
                <w:szCs w:val="24"/>
                <w:u w:val="single"/>
              </w:rPr>
            </w:pPr>
            <w:r>
              <w:rPr>
                <w:rFonts w:ascii="Arial" w:hAnsi="Arial" w:cs="Arial"/>
                <w:szCs w:val="24"/>
              </w:rPr>
              <w:t xml:space="preserve">  </w:t>
            </w:r>
            <w:r w:rsidR="00471BA3" w:rsidRPr="007C3408">
              <w:rPr>
                <w:rFonts w:ascii="Arial" w:hAnsi="Arial" w:cs="Arial"/>
                <w:szCs w:val="24"/>
              </w:rPr>
              <w:t xml:space="preserve">  </w:t>
            </w:r>
            <w:r w:rsidR="00471BA3" w:rsidRPr="00073ED2">
              <w:rPr>
                <w:rFonts w:ascii="Arial" w:hAnsi="Arial" w:cs="Arial"/>
                <w:szCs w:val="24"/>
                <w:u w:val="single"/>
              </w:rPr>
              <w:t xml:space="preserve"> </w:t>
            </w:r>
            <w:r>
              <w:rPr>
                <w:rFonts w:ascii="Arial" w:hAnsi="Arial" w:cs="Arial"/>
                <w:szCs w:val="24"/>
                <w:u w:val="single"/>
              </w:rPr>
              <w:t xml:space="preserve"> </w:t>
            </w:r>
            <w:r w:rsidR="00471BA3" w:rsidRPr="00073ED2">
              <w:rPr>
                <w:rFonts w:ascii="Arial" w:hAnsi="Arial" w:cs="Arial"/>
                <w:szCs w:val="24"/>
                <w:u w:val="single"/>
              </w:rPr>
              <w:t xml:space="preserve"> </w:t>
            </w:r>
            <w:r w:rsidR="00471BA3" w:rsidRPr="007C3408">
              <w:rPr>
                <w:rFonts w:ascii="Arial" w:hAnsi="Arial" w:cs="Arial"/>
                <w:szCs w:val="24"/>
                <w:u w:val="single"/>
              </w:rPr>
              <w:t>(</w:t>
            </w:r>
            <w:r w:rsidR="00DE2493">
              <w:rPr>
                <w:rFonts w:ascii="Arial" w:hAnsi="Arial" w:cs="Arial"/>
                <w:szCs w:val="24"/>
                <w:u w:val="single"/>
              </w:rPr>
              <w:t>889,159</w:t>
            </w:r>
            <w:r w:rsidR="00471BA3" w:rsidRPr="007C3408">
              <w:rPr>
                <w:rFonts w:ascii="Arial" w:hAnsi="Arial" w:cs="Arial"/>
                <w:szCs w:val="24"/>
                <w:u w:val="single"/>
              </w:rPr>
              <w:t>)</w:t>
            </w:r>
          </w:p>
        </w:tc>
      </w:tr>
      <w:tr w:rsidR="00471BA3" w:rsidRPr="005F3659" w:rsidTr="00952A48">
        <w:trPr>
          <w:trHeight w:val="273"/>
        </w:trPr>
        <w:tc>
          <w:tcPr>
            <w:tcW w:w="1772" w:type="dxa"/>
          </w:tcPr>
          <w:p w:rsidR="00471BA3" w:rsidRPr="005F3659" w:rsidRDefault="00471BA3" w:rsidP="00471BA3">
            <w:pPr>
              <w:rPr>
                <w:rFonts w:ascii="Arial" w:hAnsi="Arial" w:cs="Arial"/>
                <w:szCs w:val="24"/>
              </w:rPr>
            </w:pPr>
          </w:p>
        </w:tc>
        <w:tc>
          <w:tcPr>
            <w:tcW w:w="2436" w:type="dxa"/>
            <w:vAlign w:val="center"/>
          </w:tcPr>
          <w:p w:rsidR="00471BA3" w:rsidRPr="005F3659" w:rsidRDefault="00471BA3" w:rsidP="00471BA3">
            <w:pPr>
              <w:tabs>
                <w:tab w:val="center" w:pos="4680"/>
              </w:tabs>
              <w:suppressAutoHyphens/>
              <w:jc w:val="center"/>
              <w:rPr>
                <w:rFonts w:ascii="Arial" w:hAnsi="Arial" w:cs="Arial"/>
                <w:szCs w:val="24"/>
              </w:rPr>
            </w:pPr>
          </w:p>
        </w:tc>
        <w:tc>
          <w:tcPr>
            <w:tcW w:w="2547" w:type="dxa"/>
            <w:vAlign w:val="center"/>
          </w:tcPr>
          <w:p w:rsidR="00471BA3" w:rsidRPr="005F3659" w:rsidRDefault="00471BA3" w:rsidP="00471BA3">
            <w:pPr>
              <w:tabs>
                <w:tab w:val="center" w:pos="4680"/>
              </w:tabs>
              <w:suppressAutoHyphens/>
              <w:jc w:val="center"/>
              <w:rPr>
                <w:rFonts w:ascii="Arial" w:hAnsi="Arial" w:cs="Arial"/>
                <w:szCs w:val="24"/>
              </w:rPr>
            </w:pPr>
          </w:p>
        </w:tc>
        <w:tc>
          <w:tcPr>
            <w:tcW w:w="2103" w:type="dxa"/>
            <w:vAlign w:val="center"/>
          </w:tcPr>
          <w:p w:rsidR="00471BA3" w:rsidRPr="005F3659" w:rsidRDefault="00471BA3" w:rsidP="00471BA3">
            <w:pPr>
              <w:tabs>
                <w:tab w:val="center" w:pos="4680"/>
              </w:tabs>
              <w:suppressAutoHyphens/>
              <w:jc w:val="center"/>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bCs/>
                <w:szCs w:val="24"/>
              </w:rPr>
            </w:pPr>
            <w:r w:rsidRPr="005F3659">
              <w:rPr>
                <w:rFonts w:ascii="Arial" w:hAnsi="Arial" w:cs="Arial"/>
                <w:bCs/>
                <w:szCs w:val="24"/>
              </w:rPr>
              <w:t>Totals</w:t>
            </w:r>
          </w:p>
        </w:tc>
        <w:tc>
          <w:tcPr>
            <w:tcW w:w="2436" w:type="dxa"/>
            <w:vAlign w:val="center"/>
          </w:tcPr>
          <w:p w:rsidR="00471BA3" w:rsidRPr="007C3408" w:rsidRDefault="00582AE6" w:rsidP="00DE2493">
            <w:pPr>
              <w:tabs>
                <w:tab w:val="center" w:pos="4680"/>
              </w:tabs>
              <w:suppressAutoHyphens/>
              <w:jc w:val="center"/>
              <w:rPr>
                <w:rFonts w:ascii="Arial" w:hAnsi="Arial" w:cs="Arial"/>
                <w:szCs w:val="24"/>
              </w:rPr>
            </w:pPr>
            <w:r>
              <w:rPr>
                <w:rFonts w:ascii="Arial" w:hAnsi="Arial" w:cs="Arial"/>
                <w:szCs w:val="24"/>
              </w:rPr>
              <w:t xml:space="preserve"> </w:t>
            </w:r>
            <w:r w:rsidRPr="007C3408">
              <w:rPr>
                <w:rFonts w:ascii="Arial" w:hAnsi="Arial" w:cs="Arial"/>
                <w:szCs w:val="24"/>
              </w:rPr>
              <w:t>$</w:t>
            </w:r>
            <w:r w:rsidR="00471BA3" w:rsidRPr="007C3408">
              <w:rPr>
                <w:rFonts w:ascii="Arial" w:hAnsi="Arial" w:cs="Arial"/>
                <w:szCs w:val="24"/>
              </w:rPr>
              <w:t xml:space="preserve"> </w:t>
            </w:r>
            <w:r w:rsidR="00DE2493">
              <w:rPr>
                <w:rFonts w:ascii="Arial" w:hAnsi="Arial" w:cs="Arial"/>
                <w:szCs w:val="24"/>
                <w:u w:val="double"/>
              </w:rPr>
              <w:t>41,512,734</w:t>
            </w:r>
          </w:p>
        </w:tc>
        <w:tc>
          <w:tcPr>
            <w:tcW w:w="2547" w:type="dxa"/>
            <w:vAlign w:val="center"/>
          </w:tcPr>
          <w:p w:rsidR="00471BA3" w:rsidRPr="005F3659" w:rsidRDefault="00582AE6" w:rsidP="00DE2493">
            <w:pPr>
              <w:tabs>
                <w:tab w:val="center" w:pos="4680"/>
              </w:tabs>
              <w:suppressAutoHyphens/>
              <w:jc w:val="center"/>
              <w:rPr>
                <w:rFonts w:ascii="Arial" w:hAnsi="Arial" w:cs="Arial"/>
                <w:szCs w:val="24"/>
                <w:u w:val="double"/>
              </w:rPr>
            </w:pPr>
            <w:r w:rsidRPr="005F3659">
              <w:rPr>
                <w:rFonts w:ascii="Arial" w:hAnsi="Arial" w:cs="Arial"/>
                <w:szCs w:val="24"/>
              </w:rPr>
              <w:t>$</w:t>
            </w:r>
            <w:r w:rsidR="009A7D8C">
              <w:rPr>
                <w:rFonts w:ascii="Arial" w:hAnsi="Arial" w:cs="Arial"/>
                <w:szCs w:val="24"/>
              </w:rPr>
              <w:t xml:space="preserve"> </w:t>
            </w:r>
            <w:r w:rsidR="00DE2493">
              <w:rPr>
                <w:rFonts w:ascii="Arial" w:hAnsi="Arial" w:cs="Arial"/>
                <w:szCs w:val="24"/>
                <w:u w:val="double"/>
              </w:rPr>
              <w:t>51,383,029</w:t>
            </w:r>
          </w:p>
        </w:tc>
        <w:tc>
          <w:tcPr>
            <w:tcW w:w="2103" w:type="dxa"/>
            <w:vAlign w:val="center"/>
          </w:tcPr>
          <w:p w:rsidR="00471BA3" w:rsidRPr="005F3659" w:rsidRDefault="00454455" w:rsidP="00DE2493">
            <w:pPr>
              <w:tabs>
                <w:tab w:val="center" w:pos="4680"/>
              </w:tabs>
              <w:suppressAutoHyphens/>
              <w:jc w:val="center"/>
              <w:rPr>
                <w:rFonts w:ascii="Arial" w:hAnsi="Arial" w:cs="Arial"/>
                <w:szCs w:val="24"/>
                <w:u w:val="double"/>
              </w:rPr>
            </w:pPr>
            <w:r>
              <w:rPr>
                <w:rFonts w:ascii="Arial" w:hAnsi="Arial" w:cs="Arial"/>
                <w:szCs w:val="24"/>
              </w:rPr>
              <w:t xml:space="preserve">  </w:t>
            </w:r>
            <w:r w:rsidR="00512E12" w:rsidRPr="005F3659">
              <w:rPr>
                <w:rFonts w:ascii="Arial" w:hAnsi="Arial" w:cs="Arial"/>
                <w:szCs w:val="24"/>
              </w:rPr>
              <w:t>$</w:t>
            </w:r>
            <w:r w:rsidR="009A7D8C">
              <w:rPr>
                <w:rFonts w:ascii="Arial" w:hAnsi="Arial" w:cs="Arial"/>
                <w:szCs w:val="24"/>
                <w:u w:val="double"/>
              </w:rPr>
              <w:t>(</w:t>
            </w:r>
            <w:r w:rsidR="00DE2493">
              <w:rPr>
                <w:rFonts w:ascii="Arial" w:hAnsi="Arial" w:cs="Arial"/>
                <w:szCs w:val="24"/>
                <w:u w:val="double"/>
              </w:rPr>
              <w:t>9,870,295</w:t>
            </w:r>
            <w:r w:rsidR="00471BA3" w:rsidRPr="005F3659">
              <w:rPr>
                <w:rFonts w:ascii="Arial" w:hAnsi="Arial" w:cs="Arial"/>
                <w:szCs w:val="24"/>
                <w:u w:val="double"/>
              </w:rPr>
              <w:t>)</w:t>
            </w:r>
          </w:p>
        </w:tc>
      </w:tr>
      <w:tr w:rsidR="00471BA3" w:rsidRPr="005F3659" w:rsidTr="00471BA3">
        <w:trPr>
          <w:trHeight w:val="279"/>
        </w:trPr>
        <w:tc>
          <w:tcPr>
            <w:tcW w:w="1772" w:type="dxa"/>
          </w:tcPr>
          <w:p w:rsidR="00471BA3" w:rsidRPr="005F3659" w:rsidRDefault="00471BA3" w:rsidP="00471BA3">
            <w:pPr>
              <w:rPr>
                <w:rFonts w:ascii="Arial" w:hAnsi="Arial" w:cs="Arial"/>
                <w:bCs/>
                <w:szCs w:val="24"/>
              </w:rPr>
            </w:pPr>
          </w:p>
        </w:tc>
        <w:tc>
          <w:tcPr>
            <w:tcW w:w="2436" w:type="dxa"/>
          </w:tcPr>
          <w:p w:rsidR="00471BA3" w:rsidRPr="005F3659" w:rsidRDefault="00471BA3" w:rsidP="00471BA3">
            <w:pPr>
              <w:tabs>
                <w:tab w:val="center" w:pos="4680"/>
              </w:tabs>
              <w:suppressAutoHyphens/>
              <w:rPr>
                <w:rFonts w:ascii="Arial" w:hAnsi="Arial" w:cs="Arial"/>
                <w:szCs w:val="24"/>
              </w:rPr>
            </w:pPr>
          </w:p>
        </w:tc>
        <w:tc>
          <w:tcPr>
            <w:tcW w:w="2547" w:type="dxa"/>
          </w:tcPr>
          <w:p w:rsidR="00471BA3" w:rsidRPr="005F3659" w:rsidRDefault="00471BA3" w:rsidP="00471BA3">
            <w:pPr>
              <w:tabs>
                <w:tab w:val="center" w:pos="4680"/>
              </w:tabs>
              <w:suppressAutoHyphens/>
              <w:rPr>
                <w:rFonts w:ascii="Arial" w:hAnsi="Arial" w:cs="Arial"/>
                <w:szCs w:val="24"/>
              </w:rPr>
            </w:pPr>
          </w:p>
        </w:tc>
        <w:tc>
          <w:tcPr>
            <w:tcW w:w="2103" w:type="dxa"/>
          </w:tcPr>
          <w:p w:rsidR="00471BA3" w:rsidRPr="005F3659" w:rsidRDefault="00471BA3" w:rsidP="00471BA3">
            <w:pPr>
              <w:tabs>
                <w:tab w:val="center" w:pos="4680"/>
              </w:tabs>
              <w:suppressAutoHyphens/>
              <w:rPr>
                <w:rFonts w:ascii="Arial" w:hAnsi="Arial" w:cs="Arial"/>
                <w:szCs w:val="24"/>
              </w:rPr>
            </w:pPr>
          </w:p>
        </w:tc>
      </w:tr>
      <w:tr w:rsidR="00471BA3" w:rsidRPr="005F3659" w:rsidTr="00471BA3">
        <w:trPr>
          <w:trHeight w:val="279"/>
        </w:trPr>
        <w:tc>
          <w:tcPr>
            <w:tcW w:w="1772" w:type="dxa"/>
          </w:tcPr>
          <w:p w:rsidR="00471BA3" w:rsidRPr="005F3659" w:rsidRDefault="00471BA3" w:rsidP="00471BA3">
            <w:pPr>
              <w:rPr>
                <w:rFonts w:ascii="Arial" w:hAnsi="Arial" w:cs="Arial"/>
                <w:bCs/>
                <w:szCs w:val="24"/>
              </w:rPr>
            </w:pPr>
          </w:p>
        </w:tc>
        <w:tc>
          <w:tcPr>
            <w:tcW w:w="2436" w:type="dxa"/>
          </w:tcPr>
          <w:p w:rsidR="00471BA3" w:rsidRPr="005F3659" w:rsidRDefault="00471BA3" w:rsidP="00471BA3">
            <w:pPr>
              <w:tabs>
                <w:tab w:val="center" w:pos="4680"/>
              </w:tabs>
              <w:suppressAutoHyphens/>
              <w:rPr>
                <w:rFonts w:ascii="Arial" w:hAnsi="Arial" w:cs="Arial"/>
                <w:szCs w:val="24"/>
              </w:rPr>
            </w:pPr>
          </w:p>
        </w:tc>
        <w:tc>
          <w:tcPr>
            <w:tcW w:w="2547" w:type="dxa"/>
          </w:tcPr>
          <w:p w:rsidR="00471BA3" w:rsidRPr="005F3659" w:rsidRDefault="00471BA3" w:rsidP="00471BA3">
            <w:pPr>
              <w:tabs>
                <w:tab w:val="center" w:pos="4680"/>
              </w:tabs>
              <w:suppressAutoHyphens/>
              <w:rPr>
                <w:rFonts w:ascii="Arial" w:hAnsi="Arial" w:cs="Arial"/>
                <w:szCs w:val="24"/>
              </w:rPr>
            </w:pPr>
          </w:p>
        </w:tc>
        <w:tc>
          <w:tcPr>
            <w:tcW w:w="2103" w:type="dxa"/>
          </w:tcPr>
          <w:p w:rsidR="00471BA3" w:rsidRPr="005F3659" w:rsidRDefault="00471BA3" w:rsidP="00471BA3">
            <w:pPr>
              <w:tabs>
                <w:tab w:val="center" w:pos="4680"/>
              </w:tabs>
              <w:suppressAutoHyphens/>
              <w:rPr>
                <w:rFonts w:ascii="Arial" w:hAnsi="Arial" w:cs="Arial"/>
                <w:szCs w:val="24"/>
              </w:rPr>
            </w:pPr>
          </w:p>
        </w:tc>
      </w:tr>
    </w:tbl>
    <w:p w:rsidR="00361DBA" w:rsidRDefault="00361DBA" w:rsidP="00361DBA">
      <w:pPr>
        <w:jc w:val="center"/>
        <w:rPr>
          <w:rFonts w:ascii="Arial" w:hAnsi="Arial" w:cs="Arial"/>
          <w:szCs w:val="24"/>
        </w:rPr>
      </w:pPr>
    </w:p>
    <w:p w:rsidR="00777B58" w:rsidRPr="007A206B" w:rsidRDefault="00777B58" w:rsidP="00361DBA">
      <w:pPr>
        <w:jc w:val="center"/>
        <w:rPr>
          <w:rFonts w:ascii="Arial" w:hAnsi="Arial" w:cs="Arial"/>
          <w:szCs w:val="24"/>
        </w:rPr>
      </w:pPr>
    </w:p>
    <w:p w:rsidR="00DD1E89" w:rsidRPr="007A206B" w:rsidRDefault="00C1047D" w:rsidP="005B3234">
      <w:pPr>
        <w:tabs>
          <w:tab w:val="left" w:pos="360"/>
          <w:tab w:val="center" w:pos="4680"/>
        </w:tabs>
        <w:suppressAutoHyphens/>
        <w:rPr>
          <w:rFonts w:ascii="Arial" w:hAnsi="Arial" w:cs="Arial"/>
          <w:szCs w:val="24"/>
        </w:rPr>
      </w:pPr>
      <w:r>
        <w:rPr>
          <w:rFonts w:ascii="Arial" w:hAnsi="Arial" w:cs="Arial"/>
          <w:szCs w:val="24"/>
        </w:rPr>
        <w:t>*</w:t>
      </w:r>
      <w:r w:rsidR="004E072F">
        <w:rPr>
          <w:rFonts w:ascii="Arial" w:hAnsi="Arial" w:cs="Arial"/>
          <w:szCs w:val="24"/>
        </w:rPr>
        <w:t xml:space="preserve">   </w:t>
      </w:r>
      <w:r w:rsidR="00162686">
        <w:rPr>
          <w:rFonts w:ascii="Arial" w:hAnsi="Arial" w:cs="Arial"/>
          <w:szCs w:val="24"/>
        </w:rPr>
        <w:t xml:space="preserve"> </w:t>
      </w:r>
      <w:r>
        <w:rPr>
          <w:rFonts w:ascii="Arial" w:hAnsi="Arial" w:cs="Arial"/>
          <w:szCs w:val="24"/>
        </w:rPr>
        <w:t>As reported to the Commission at Docket No.</w:t>
      </w:r>
      <w:r w:rsidR="004E072F">
        <w:rPr>
          <w:rFonts w:ascii="Arial" w:hAnsi="Arial" w:cs="Arial"/>
          <w:szCs w:val="24"/>
        </w:rPr>
        <w:t xml:space="preserve"> </w:t>
      </w:r>
      <w:proofErr w:type="gramStart"/>
      <w:r w:rsidR="004E072F">
        <w:rPr>
          <w:rFonts w:ascii="Arial" w:hAnsi="Arial" w:cs="Arial"/>
          <w:szCs w:val="24"/>
        </w:rPr>
        <w:t>M-2010-2213701.</w:t>
      </w:r>
      <w:proofErr w:type="gramEnd"/>
    </w:p>
    <w:p w:rsidR="00874BC6" w:rsidRDefault="00874BC6" w:rsidP="002A3F41">
      <w:pPr>
        <w:tabs>
          <w:tab w:val="center" w:pos="4680"/>
        </w:tabs>
        <w:suppressAutoHyphens/>
        <w:rPr>
          <w:rFonts w:ascii="Arial" w:hAnsi="Arial" w:cs="Arial"/>
          <w:szCs w:val="24"/>
        </w:rPr>
      </w:pPr>
    </w:p>
    <w:p w:rsidR="00804F95" w:rsidRDefault="002A3F41" w:rsidP="005B3234">
      <w:pPr>
        <w:tabs>
          <w:tab w:val="left" w:pos="360"/>
          <w:tab w:val="center" w:pos="4680"/>
        </w:tabs>
        <w:suppressAutoHyphens/>
        <w:rPr>
          <w:rFonts w:ascii="Arial" w:hAnsi="Arial" w:cs="Arial"/>
          <w:szCs w:val="24"/>
        </w:rPr>
      </w:pPr>
      <w:r>
        <w:rPr>
          <w:rFonts w:ascii="Arial" w:hAnsi="Arial" w:cs="Arial"/>
          <w:szCs w:val="24"/>
        </w:rPr>
        <w:t>*</w:t>
      </w:r>
      <w:r w:rsidR="00C1047D">
        <w:rPr>
          <w:rFonts w:ascii="Arial" w:hAnsi="Arial" w:cs="Arial"/>
          <w:szCs w:val="24"/>
        </w:rPr>
        <w:t>*</w:t>
      </w:r>
      <w:r>
        <w:rPr>
          <w:rFonts w:ascii="Arial" w:hAnsi="Arial" w:cs="Arial"/>
          <w:szCs w:val="24"/>
        </w:rPr>
        <w:t xml:space="preserve"> </w:t>
      </w:r>
      <w:r w:rsidR="00162686">
        <w:rPr>
          <w:rFonts w:ascii="Arial" w:hAnsi="Arial" w:cs="Arial"/>
          <w:szCs w:val="24"/>
        </w:rPr>
        <w:t xml:space="preserve">  </w:t>
      </w:r>
      <w:r>
        <w:rPr>
          <w:rFonts w:ascii="Arial" w:hAnsi="Arial" w:cs="Arial"/>
          <w:szCs w:val="24"/>
        </w:rPr>
        <w:t xml:space="preserve">January data includes December 2009 true-up </w:t>
      </w:r>
      <w:r w:rsidR="0082601A">
        <w:rPr>
          <w:rFonts w:ascii="Arial" w:hAnsi="Arial" w:cs="Arial"/>
          <w:szCs w:val="24"/>
        </w:rPr>
        <w:t>of</w:t>
      </w:r>
      <w:r>
        <w:rPr>
          <w:rFonts w:ascii="Arial" w:hAnsi="Arial" w:cs="Arial"/>
          <w:szCs w:val="24"/>
        </w:rPr>
        <w:t xml:space="preserve"> estimated data</w:t>
      </w:r>
      <w:r w:rsidR="0082601A">
        <w:rPr>
          <w:rFonts w:ascii="Arial" w:hAnsi="Arial" w:cs="Arial"/>
          <w:szCs w:val="24"/>
        </w:rPr>
        <w:t xml:space="preserve"> to actual data</w:t>
      </w:r>
      <w:r>
        <w:rPr>
          <w:rFonts w:ascii="Arial" w:hAnsi="Arial" w:cs="Arial"/>
          <w:szCs w:val="24"/>
        </w:rPr>
        <w:t>.</w:t>
      </w:r>
    </w:p>
    <w:p w:rsidR="00804F95" w:rsidRDefault="00804F95" w:rsidP="001B78F9">
      <w:pPr>
        <w:tabs>
          <w:tab w:val="center" w:pos="4680"/>
        </w:tabs>
        <w:suppressAutoHyphens/>
        <w:rPr>
          <w:rFonts w:ascii="Arial" w:hAnsi="Arial" w:cs="Arial"/>
          <w:szCs w:val="24"/>
        </w:rPr>
      </w:pPr>
    </w:p>
    <w:p w:rsidR="00162686" w:rsidRDefault="00162686" w:rsidP="005B3234">
      <w:pPr>
        <w:tabs>
          <w:tab w:val="center" w:pos="4680"/>
        </w:tabs>
        <w:suppressAutoHyphens/>
        <w:ind w:left="360" w:hanging="360"/>
        <w:rPr>
          <w:rFonts w:ascii="Arial" w:hAnsi="Arial" w:cs="Arial"/>
          <w:szCs w:val="24"/>
        </w:rPr>
      </w:pPr>
      <w:r>
        <w:rPr>
          <w:rFonts w:ascii="Arial" w:hAnsi="Arial" w:cs="Arial"/>
          <w:szCs w:val="24"/>
        </w:rPr>
        <w:t xml:space="preserve">*** December 2010 reflects estimated data that will be trued-up in the 2011 </w:t>
      </w:r>
      <w:r w:rsidR="00454455">
        <w:rPr>
          <w:rFonts w:ascii="Arial" w:hAnsi="Arial" w:cs="Arial"/>
          <w:szCs w:val="24"/>
        </w:rPr>
        <w:t>r</w:t>
      </w:r>
      <w:r>
        <w:rPr>
          <w:rFonts w:ascii="Arial" w:hAnsi="Arial" w:cs="Arial"/>
          <w:szCs w:val="24"/>
        </w:rPr>
        <w:t>econciliation filing.</w:t>
      </w:r>
    </w:p>
    <w:p w:rsidR="00162686" w:rsidRDefault="00162686" w:rsidP="001B78F9">
      <w:pPr>
        <w:tabs>
          <w:tab w:val="center" w:pos="4680"/>
        </w:tabs>
        <w:suppressAutoHyphens/>
        <w:rPr>
          <w:rFonts w:ascii="Arial" w:hAnsi="Arial" w:cs="Arial"/>
          <w:szCs w:val="24"/>
        </w:rPr>
      </w:pPr>
    </w:p>
    <w:p w:rsidR="0090493D" w:rsidRDefault="007F65D9" w:rsidP="001B78F9">
      <w:pPr>
        <w:tabs>
          <w:tab w:val="center" w:pos="4680"/>
        </w:tabs>
        <w:suppressAutoHyphens/>
        <w:rPr>
          <w:rFonts w:ascii="Arial" w:hAnsi="Arial" w:cs="Arial"/>
          <w:szCs w:val="24"/>
        </w:rPr>
      </w:pPr>
      <w:r w:rsidRPr="007A206B">
        <w:rPr>
          <w:rFonts w:ascii="Arial" w:hAnsi="Arial" w:cs="Arial"/>
          <w:szCs w:val="24"/>
        </w:rPr>
        <w:t>Notes to the Financial Statements are an integral part of this report.</w:t>
      </w:r>
    </w:p>
    <w:p w:rsidR="005C789F" w:rsidRDefault="005C789F" w:rsidP="005C789F">
      <w:pPr>
        <w:tabs>
          <w:tab w:val="left" w:pos="4104"/>
        </w:tabs>
        <w:suppressAutoHyphens/>
        <w:rPr>
          <w:rFonts w:ascii="Arial" w:hAnsi="Arial" w:cs="Arial"/>
          <w:szCs w:val="24"/>
        </w:rPr>
        <w:sectPr w:rsidR="005C789F" w:rsidSect="00E42FEF">
          <w:headerReference w:type="even" r:id="rId20"/>
          <w:headerReference w:type="default" r:id="rId21"/>
          <w:footerReference w:type="default" r:id="rId22"/>
          <w:headerReference w:type="first" r:id="rId23"/>
          <w:endnotePr>
            <w:numFmt w:val="decimal"/>
          </w:endnotePr>
          <w:pgSz w:w="12240" w:h="15840" w:code="1"/>
          <w:pgMar w:top="1008" w:right="1440" w:bottom="1008" w:left="1440" w:header="0" w:footer="720" w:gutter="0"/>
          <w:pgNumType w:start="3"/>
          <w:cols w:space="720"/>
          <w:noEndnote/>
        </w:sectPr>
      </w:pPr>
    </w:p>
    <w:p w:rsidR="0031644D" w:rsidRPr="002243BA" w:rsidRDefault="00D9515C" w:rsidP="002A3F41">
      <w:pPr>
        <w:pStyle w:val="Heading1"/>
        <w:rPr>
          <w:rFonts w:ascii="Arial" w:hAnsi="Arial" w:cs="Arial"/>
          <w:sz w:val="26"/>
          <w:szCs w:val="26"/>
        </w:rPr>
      </w:pPr>
      <w:r>
        <w:rPr>
          <w:rFonts w:ascii="Arial" w:hAnsi="Arial" w:cs="Arial"/>
          <w:sz w:val="26"/>
          <w:szCs w:val="26"/>
        </w:rPr>
        <w:lastRenderedPageBreak/>
        <w:t>PPL Electric Utilities Corporation</w:t>
      </w:r>
    </w:p>
    <w:p w:rsidR="0031644D" w:rsidRPr="002243BA" w:rsidRDefault="0031644D" w:rsidP="00245AE1">
      <w:pPr>
        <w:pStyle w:val="Heading1"/>
        <w:rPr>
          <w:rFonts w:ascii="Arial" w:hAnsi="Arial" w:cs="Arial"/>
          <w:sz w:val="26"/>
          <w:szCs w:val="26"/>
        </w:rPr>
      </w:pPr>
    </w:p>
    <w:p w:rsidR="005D711E" w:rsidRPr="00874BC6" w:rsidRDefault="005D711E" w:rsidP="00245AE1">
      <w:pPr>
        <w:pStyle w:val="Heading1"/>
        <w:rPr>
          <w:rFonts w:ascii="Arial" w:hAnsi="Arial" w:cs="Arial"/>
          <w:szCs w:val="26"/>
        </w:rPr>
      </w:pPr>
      <w:r w:rsidRPr="00874BC6">
        <w:rPr>
          <w:rFonts w:ascii="Arial" w:hAnsi="Arial" w:cs="Arial"/>
          <w:szCs w:val="26"/>
        </w:rPr>
        <w:t>Notes To The Financial Statements</w:t>
      </w:r>
    </w:p>
    <w:p w:rsidR="005D711E" w:rsidRPr="007A206B" w:rsidRDefault="005D711E" w:rsidP="00245AE1">
      <w:pPr>
        <w:tabs>
          <w:tab w:val="center" w:pos="4680"/>
        </w:tabs>
        <w:suppressAutoHyphens/>
        <w:outlineLvl w:val="0"/>
        <w:rPr>
          <w:rFonts w:ascii="Arial" w:hAnsi="Arial" w:cs="Arial"/>
          <w:b/>
          <w:szCs w:val="24"/>
        </w:rPr>
      </w:pPr>
    </w:p>
    <w:p w:rsidR="003731A5" w:rsidRPr="007A206B" w:rsidRDefault="003731A5" w:rsidP="00245AE1">
      <w:pPr>
        <w:tabs>
          <w:tab w:val="center" w:pos="4680"/>
        </w:tabs>
        <w:suppressAutoHyphens/>
        <w:outlineLvl w:val="0"/>
        <w:rPr>
          <w:rFonts w:ascii="Arial" w:hAnsi="Arial" w:cs="Arial"/>
          <w:b/>
          <w:szCs w:val="24"/>
        </w:rPr>
      </w:pPr>
    </w:p>
    <w:p w:rsidR="00C82D14" w:rsidRPr="007A206B" w:rsidRDefault="00C82D14" w:rsidP="00C82D14">
      <w:pPr>
        <w:tabs>
          <w:tab w:val="left" w:pos="360"/>
        </w:tabs>
        <w:jc w:val="both"/>
        <w:rPr>
          <w:rFonts w:ascii="Arial" w:hAnsi="Arial" w:cs="Arial"/>
          <w:b/>
          <w:szCs w:val="24"/>
          <w:u w:val="single"/>
        </w:rPr>
      </w:pPr>
      <w:r w:rsidRPr="007A206B">
        <w:rPr>
          <w:rFonts w:ascii="Arial" w:hAnsi="Arial" w:cs="Arial"/>
          <w:b/>
          <w:szCs w:val="24"/>
          <w:u w:val="single"/>
        </w:rPr>
        <w:t>1 -</w:t>
      </w:r>
      <w:r w:rsidRPr="007A206B">
        <w:rPr>
          <w:rFonts w:ascii="Arial" w:hAnsi="Arial" w:cs="Arial"/>
          <w:b/>
          <w:szCs w:val="24"/>
          <w:u w:val="single"/>
        </w:rPr>
        <w:tab/>
      </w:r>
      <w:r w:rsidR="00B52A52">
        <w:rPr>
          <w:rFonts w:ascii="Arial" w:hAnsi="Arial" w:cs="Arial"/>
          <w:b/>
          <w:szCs w:val="24"/>
          <w:u w:val="single"/>
        </w:rPr>
        <w:t xml:space="preserve">Residential Distribution Revenue Applicable </w:t>
      </w:r>
      <w:r w:rsidR="00353835">
        <w:rPr>
          <w:rFonts w:ascii="Arial" w:hAnsi="Arial" w:cs="Arial"/>
          <w:b/>
          <w:szCs w:val="24"/>
          <w:u w:val="single"/>
        </w:rPr>
        <w:t>T</w:t>
      </w:r>
      <w:r w:rsidR="00B52A52">
        <w:rPr>
          <w:rFonts w:ascii="Arial" w:hAnsi="Arial" w:cs="Arial"/>
          <w:b/>
          <w:szCs w:val="24"/>
          <w:u w:val="single"/>
        </w:rPr>
        <w:t>o U</w:t>
      </w:r>
      <w:r w:rsidR="00454455">
        <w:rPr>
          <w:rFonts w:ascii="Arial" w:hAnsi="Arial" w:cs="Arial"/>
          <w:b/>
          <w:szCs w:val="24"/>
          <w:u w:val="single"/>
        </w:rPr>
        <w:t>SR</w:t>
      </w:r>
    </w:p>
    <w:p w:rsidR="00C82D14" w:rsidRPr="007A206B" w:rsidRDefault="00C82D14" w:rsidP="00C82D14">
      <w:pPr>
        <w:tabs>
          <w:tab w:val="left" w:pos="360"/>
        </w:tabs>
        <w:jc w:val="both"/>
        <w:rPr>
          <w:rFonts w:ascii="Arial" w:hAnsi="Arial" w:cs="Arial"/>
          <w:b/>
          <w:szCs w:val="24"/>
          <w:highlight w:val="lightGray"/>
          <w:u w:val="single"/>
        </w:rPr>
      </w:pPr>
    </w:p>
    <w:p w:rsidR="00C82D14" w:rsidRDefault="00C368BE" w:rsidP="00C82D14">
      <w:pPr>
        <w:tabs>
          <w:tab w:val="left" w:pos="360"/>
        </w:tabs>
        <w:ind w:left="360"/>
        <w:rPr>
          <w:rFonts w:ascii="Arial" w:hAnsi="Arial" w:cs="Arial"/>
          <w:szCs w:val="24"/>
        </w:rPr>
      </w:pPr>
      <w:r>
        <w:rPr>
          <w:rFonts w:ascii="Arial" w:hAnsi="Arial" w:cs="Arial"/>
          <w:szCs w:val="24"/>
        </w:rPr>
        <w:t xml:space="preserve">The </w:t>
      </w:r>
      <w:r w:rsidR="00C82D14" w:rsidRPr="007A206B">
        <w:rPr>
          <w:rFonts w:ascii="Arial" w:hAnsi="Arial" w:cs="Arial"/>
          <w:szCs w:val="24"/>
        </w:rPr>
        <w:t>U</w:t>
      </w:r>
      <w:r w:rsidR="007F19DE">
        <w:rPr>
          <w:rFonts w:ascii="Arial" w:hAnsi="Arial" w:cs="Arial"/>
          <w:szCs w:val="24"/>
        </w:rPr>
        <w:t xml:space="preserve">niversal </w:t>
      </w:r>
      <w:r w:rsidR="00C82D14" w:rsidRPr="007A206B">
        <w:rPr>
          <w:rFonts w:ascii="Arial" w:hAnsi="Arial" w:cs="Arial"/>
          <w:szCs w:val="24"/>
        </w:rPr>
        <w:t>S</w:t>
      </w:r>
      <w:r w:rsidR="007F19DE">
        <w:rPr>
          <w:rFonts w:ascii="Arial" w:hAnsi="Arial" w:cs="Arial"/>
          <w:szCs w:val="24"/>
        </w:rPr>
        <w:t xml:space="preserve">ervice </w:t>
      </w:r>
      <w:r w:rsidR="007B5353">
        <w:rPr>
          <w:rFonts w:ascii="Arial" w:hAnsi="Arial" w:cs="Arial"/>
          <w:szCs w:val="24"/>
        </w:rPr>
        <w:t>Rider</w:t>
      </w:r>
      <w:r w:rsidR="00C82D14" w:rsidRPr="007A206B">
        <w:rPr>
          <w:rFonts w:ascii="Arial" w:hAnsi="Arial" w:cs="Arial"/>
          <w:szCs w:val="24"/>
        </w:rPr>
        <w:t xml:space="preserve"> </w:t>
      </w:r>
      <w:r w:rsidR="007B5353">
        <w:rPr>
          <w:rFonts w:ascii="Arial" w:hAnsi="Arial" w:cs="Arial"/>
          <w:szCs w:val="24"/>
        </w:rPr>
        <w:t>(USR</w:t>
      </w:r>
      <w:r w:rsidR="007F19DE">
        <w:rPr>
          <w:rFonts w:ascii="Arial" w:hAnsi="Arial" w:cs="Arial"/>
          <w:szCs w:val="24"/>
        </w:rPr>
        <w:t xml:space="preserve">) </w:t>
      </w:r>
      <w:r w:rsidR="002B22B6">
        <w:rPr>
          <w:rFonts w:ascii="Arial" w:hAnsi="Arial" w:cs="Arial"/>
          <w:szCs w:val="24"/>
        </w:rPr>
        <w:t>charge</w:t>
      </w:r>
      <w:r w:rsidR="001D0870">
        <w:rPr>
          <w:rFonts w:ascii="Arial" w:hAnsi="Arial" w:cs="Arial"/>
          <w:szCs w:val="24"/>
        </w:rPr>
        <w:t>,</w:t>
      </w:r>
      <w:r>
        <w:rPr>
          <w:rFonts w:ascii="Arial" w:hAnsi="Arial" w:cs="Arial"/>
          <w:szCs w:val="24"/>
        </w:rPr>
        <w:t xml:space="preserve"> stated as a percentage</w:t>
      </w:r>
      <w:r w:rsidR="001D0870">
        <w:rPr>
          <w:rFonts w:ascii="Arial" w:hAnsi="Arial" w:cs="Arial"/>
          <w:szCs w:val="24"/>
        </w:rPr>
        <w:t>, is added to all the distribution charges of each customer who takes distribution service under Residential Rate Schedules R, RTS(R), and RTD(R)</w:t>
      </w:r>
      <w:r>
        <w:rPr>
          <w:rFonts w:ascii="Arial" w:hAnsi="Arial" w:cs="Arial"/>
          <w:szCs w:val="24"/>
        </w:rPr>
        <w:t xml:space="preserve">.  The Residential Distribution Revenue Applicable to USR </w:t>
      </w:r>
      <w:r w:rsidR="00C82D14" w:rsidRPr="007A206B">
        <w:rPr>
          <w:rFonts w:ascii="Arial" w:hAnsi="Arial" w:cs="Arial"/>
          <w:szCs w:val="24"/>
        </w:rPr>
        <w:t xml:space="preserve">are the amounts </w:t>
      </w:r>
      <w:r w:rsidR="00B335AD">
        <w:rPr>
          <w:rFonts w:ascii="Arial" w:hAnsi="Arial" w:cs="Arial"/>
          <w:szCs w:val="24"/>
        </w:rPr>
        <w:t>resulting from a</w:t>
      </w:r>
      <w:r w:rsidR="00C82D14" w:rsidRPr="007A206B">
        <w:rPr>
          <w:rFonts w:ascii="Arial" w:hAnsi="Arial" w:cs="Arial"/>
          <w:szCs w:val="24"/>
        </w:rPr>
        <w:t xml:space="preserve">pplying the </w:t>
      </w:r>
      <w:r w:rsidR="005769D3">
        <w:rPr>
          <w:rFonts w:ascii="Arial" w:hAnsi="Arial" w:cs="Arial"/>
          <w:szCs w:val="24"/>
        </w:rPr>
        <w:t xml:space="preserve">approved USR </w:t>
      </w:r>
      <w:r w:rsidR="00C16D48">
        <w:rPr>
          <w:rFonts w:ascii="Arial" w:hAnsi="Arial" w:cs="Arial"/>
          <w:szCs w:val="24"/>
        </w:rPr>
        <w:t xml:space="preserve">charge </w:t>
      </w:r>
      <w:r w:rsidR="00C16D48" w:rsidRPr="007A206B">
        <w:rPr>
          <w:rFonts w:ascii="Arial" w:hAnsi="Arial" w:cs="Arial"/>
          <w:szCs w:val="24"/>
        </w:rPr>
        <w:t>to</w:t>
      </w:r>
      <w:r w:rsidR="00C82D14" w:rsidRPr="007A206B">
        <w:rPr>
          <w:rFonts w:ascii="Arial" w:hAnsi="Arial" w:cs="Arial"/>
          <w:szCs w:val="24"/>
        </w:rPr>
        <w:t xml:space="preserve"> </w:t>
      </w:r>
      <w:r w:rsidR="005769D3">
        <w:rPr>
          <w:rFonts w:ascii="Arial" w:hAnsi="Arial" w:cs="Arial"/>
          <w:szCs w:val="24"/>
        </w:rPr>
        <w:t>actual residential distribution revenue billed</w:t>
      </w:r>
      <w:r w:rsidR="002B22B6">
        <w:rPr>
          <w:rFonts w:ascii="Arial" w:hAnsi="Arial" w:cs="Arial"/>
          <w:szCs w:val="24"/>
        </w:rPr>
        <w:t>.</w:t>
      </w:r>
      <w:r w:rsidR="00C82D14" w:rsidRPr="007A206B">
        <w:rPr>
          <w:rFonts w:ascii="Arial" w:hAnsi="Arial" w:cs="Arial"/>
          <w:szCs w:val="24"/>
        </w:rPr>
        <w:t xml:space="preserve"> </w:t>
      </w:r>
      <w:r w:rsidR="00F87417">
        <w:rPr>
          <w:rFonts w:ascii="Arial" w:hAnsi="Arial" w:cs="Arial"/>
          <w:szCs w:val="24"/>
        </w:rPr>
        <w:t xml:space="preserve"> The USR charge is adjusted annually</w:t>
      </w:r>
      <w:r w:rsidR="002500C4">
        <w:rPr>
          <w:rFonts w:ascii="Arial" w:hAnsi="Arial" w:cs="Arial"/>
          <w:szCs w:val="24"/>
        </w:rPr>
        <w:t xml:space="preserve"> and </w:t>
      </w:r>
      <w:r w:rsidR="00F87417">
        <w:rPr>
          <w:rFonts w:ascii="Arial" w:hAnsi="Arial" w:cs="Arial"/>
          <w:szCs w:val="24"/>
        </w:rPr>
        <w:t>provides for an E-Factor</w:t>
      </w:r>
      <w:r w:rsidR="002500C4">
        <w:rPr>
          <w:rFonts w:ascii="Arial" w:hAnsi="Arial" w:cs="Arial"/>
          <w:szCs w:val="24"/>
        </w:rPr>
        <w:t xml:space="preserve"> adjustment for the refunding or recoupment of over or under collection</w:t>
      </w:r>
      <w:r w:rsidR="00341AE9">
        <w:rPr>
          <w:rFonts w:ascii="Arial" w:hAnsi="Arial" w:cs="Arial"/>
          <w:szCs w:val="24"/>
        </w:rPr>
        <w:t>s</w:t>
      </w:r>
      <w:r w:rsidR="002500C4">
        <w:rPr>
          <w:rFonts w:ascii="Arial" w:hAnsi="Arial" w:cs="Arial"/>
          <w:szCs w:val="24"/>
        </w:rPr>
        <w:t xml:space="preserve"> of USR expenses.</w:t>
      </w:r>
      <w:r w:rsidR="002500C4" w:rsidRPr="002500C4">
        <w:rPr>
          <w:rFonts w:ascii="Arial" w:hAnsi="Arial" w:cs="Arial"/>
          <w:szCs w:val="24"/>
        </w:rPr>
        <w:t xml:space="preserve"> </w:t>
      </w:r>
      <w:r w:rsidR="002500C4">
        <w:rPr>
          <w:rFonts w:ascii="Arial" w:hAnsi="Arial" w:cs="Arial"/>
          <w:szCs w:val="24"/>
        </w:rPr>
        <w:t xml:space="preserve"> The Residential Distribution Revenue Applicable to USR </w:t>
      </w:r>
      <w:r w:rsidR="00341AE9">
        <w:rPr>
          <w:rFonts w:ascii="Arial" w:hAnsi="Arial" w:cs="Arial"/>
          <w:szCs w:val="24"/>
        </w:rPr>
        <w:t xml:space="preserve">amounts are </w:t>
      </w:r>
      <w:r w:rsidR="002500C4">
        <w:rPr>
          <w:rFonts w:ascii="Arial" w:hAnsi="Arial" w:cs="Arial"/>
          <w:szCs w:val="24"/>
        </w:rPr>
        <w:t>exclusive of the E-Factor revenues.</w:t>
      </w:r>
    </w:p>
    <w:p w:rsidR="005769D3" w:rsidRDefault="005769D3" w:rsidP="00C82D14">
      <w:pPr>
        <w:tabs>
          <w:tab w:val="left" w:pos="360"/>
        </w:tabs>
        <w:ind w:left="360"/>
        <w:rPr>
          <w:rFonts w:ascii="Arial" w:hAnsi="Arial" w:cs="Arial"/>
          <w:szCs w:val="24"/>
        </w:rPr>
      </w:pPr>
    </w:p>
    <w:p w:rsidR="00C82D14" w:rsidRPr="007A206B" w:rsidRDefault="00C82D14" w:rsidP="00C82D14">
      <w:pPr>
        <w:tabs>
          <w:tab w:val="left" w:pos="360"/>
        </w:tabs>
        <w:ind w:left="360"/>
        <w:rPr>
          <w:rFonts w:ascii="Arial" w:hAnsi="Arial" w:cs="Arial"/>
          <w:szCs w:val="24"/>
        </w:rPr>
      </w:pPr>
    </w:p>
    <w:p w:rsidR="005D711E" w:rsidRDefault="00F44605" w:rsidP="00245AE1">
      <w:pPr>
        <w:pStyle w:val="EndnoteText"/>
        <w:tabs>
          <w:tab w:val="left" w:pos="-720"/>
        </w:tabs>
        <w:suppressAutoHyphens/>
        <w:rPr>
          <w:rFonts w:ascii="Arial" w:hAnsi="Arial" w:cs="Arial"/>
          <w:b/>
          <w:szCs w:val="24"/>
          <w:u w:val="single"/>
        </w:rPr>
      </w:pPr>
      <w:r>
        <w:rPr>
          <w:rFonts w:ascii="Arial" w:hAnsi="Arial" w:cs="Arial"/>
          <w:b/>
          <w:szCs w:val="24"/>
          <w:u w:val="single"/>
        </w:rPr>
        <w:t>2</w:t>
      </w:r>
      <w:r w:rsidR="00B52A52">
        <w:rPr>
          <w:rFonts w:ascii="Arial" w:hAnsi="Arial" w:cs="Arial"/>
          <w:b/>
          <w:szCs w:val="24"/>
          <w:u w:val="single"/>
        </w:rPr>
        <w:t xml:space="preserve"> </w:t>
      </w:r>
      <w:r w:rsidR="008A4CFC">
        <w:rPr>
          <w:rFonts w:ascii="Arial" w:hAnsi="Arial" w:cs="Arial"/>
          <w:b/>
          <w:szCs w:val="24"/>
          <w:u w:val="single"/>
        </w:rPr>
        <w:t xml:space="preserve">- </w:t>
      </w:r>
      <w:proofErr w:type="spellStart"/>
      <w:r w:rsidR="00B52A52">
        <w:rPr>
          <w:rFonts w:ascii="Arial" w:hAnsi="Arial" w:cs="Arial"/>
          <w:b/>
          <w:szCs w:val="24"/>
          <w:u w:val="single"/>
        </w:rPr>
        <w:t>OnTrack</w:t>
      </w:r>
      <w:proofErr w:type="spellEnd"/>
      <w:r w:rsidR="00B52A52">
        <w:rPr>
          <w:rFonts w:ascii="Arial" w:hAnsi="Arial" w:cs="Arial"/>
          <w:b/>
          <w:szCs w:val="24"/>
          <w:u w:val="single"/>
        </w:rPr>
        <w:t>/WRAP Expenses</w:t>
      </w:r>
    </w:p>
    <w:p w:rsidR="00A52486" w:rsidRDefault="00A52486" w:rsidP="00245AE1">
      <w:pPr>
        <w:pStyle w:val="EndnoteText"/>
        <w:tabs>
          <w:tab w:val="left" w:pos="-720"/>
        </w:tabs>
        <w:suppressAutoHyphens/>
        <w:rPr>
          <w:rFonts w:ascii="Arial" w:hAnsi="Arial" w:cs="Arial"/>
          <w:b/>
          <w:szCs w:val="24"/>
          <w:u w:val="single"/>
        </w:rPr>
      </w:pPr>
    </w:p>
    <w:p w:rsidR="00F44605" w:rsidRDefault="00F74508" w:rsidP="00A52486">
      <w:pPr>
        <w:tabs>
          <w:tab w:val="left" w:pos="360"/>
        </w:tabs>
        <w:ind w:left="360"/>
        <w:rPr>
          <w:rFonts w:ascii="Arial" w:hAnsi="Arial" w:cs="Arial"/>
          <w:szCs w:val="24"/>
        </w:rPr>
      </w:pPr>
      <w:r>
        <w:rPr>
          <w:rFonts w:ascii="Arial" w:hAnsi="Arial" w:cs="Arial"/>
          <w:szCs w:val="24"/>
        </w:rPr>
        <w:t>The USR charge provides for the recovery of the costs</w:t>
      </w:r>
      <w:r w:rsidR="003A0344">
        <w:rPr>
          <w:rFonts w:ascii="Arial" w:hAnsi="Arial" w:cs="Arial"/>
          <w:szCs w:val="24"/>
        </w:rPr>
        <w:t>, except for internal administrative costs,</w:t>
      </w:r>
      <w:r w:rsidR="00A52486" w:rsidRPr="007A206B">
        <w:rPr>
          <w:rFonts w:ascii="Arial" w:hAnsi="Arial" w:cs="Arial"/>
          <w:szCs w:val="24"/>
        </w:rPr>
        <w:t xml:space="preserve"> </w:t>
      </w:r>
      <w:r>
        <w:rPr>
          <w:rFonts w:ascii="Arial" w:hAnsi="Arial" w:cs="Arial"/>
          <w:szCs w:val="24"/>
        </w:rPr>
        <w:t>associated with the universal service programs</w:t>
      </w:r>
      <w:r w:rsidR="00B20C63">
        <w:rPr>
          <w:rFonts w:ascii="Arial" w:hAnsi="Arial" w:cs="Arial"/>
          <w:szCs w:val="24"/>
        </w:rPr>
        <w:t xml:space="preserve"> </w:t>
      </w:r>
      <w:proofErr w:type="spellStart"/>
      <w:r w:rsidR="00B20C63">
        <w:rPr>
          <w:rFonts w:ascii="Arial" w:hAnsi="Arial" w:cs="Arial"/>
          <w:szCs w:val="24"/>
        </w:rPr>
        <w:t>OnTrack</w:t>
      </w:r>
      <w:proofErr w:type="spellEnd"/>
      <w:r w:rsidR="00B20C63">
        <w:rPr>
          <w:rFonts w:ascii="Arial" w:hAnsi="Arial" w:cs="Arial"/>
          <w:szCs w:val="24"/>
        </w:rPr>
        <w:t xml:space="preserve"> and the Winter Relief Assistance Program (WRAP) </w:t>
      </w:r>
      <w:r>
        <w:rPr>
          <w:rFonts w:ascii="Arial" w:hAnsi="Arial" w:cs="Arial"/>
          <w:szCs w:val="24"/>
        </w:rPr>
        <w:t xml:space="preserve">provided by the Company </w:t>
      </w:r>
      <w:r w:rsidR="00A52486" w:rsidRPr="007A206B">
        <w:rPr>
          <w:rFonts w:ascii="Arial" w:hAnsi="Arial" w:cs="Arial"/>
          <w:szCs w:val="24"/>
        </w:rPr>
        <w:t xml:space="preserve">to </w:t>
      </w:r>
      <w:r>
        <w:rPr>
          <w:rFonts w:ascii="Arial" w:hAnsi="Arial" w:cs="Arial"/>
          <w:szCs w:val="24"/>
        </w:rPr>
        <w:t xml:space="preserve">qualified </w:t>
      </w:r>
      <w:r w:rsidR="00A52486" w:rsidRPr="007A206B">
        <w:rPr>
          <w:rFonts w:ascii="Arial" w:hAnsi="Arial" w:cs="Arial"/>
          <w:szCs w:val="24"/>
        </w:rPr>
        <w:t xml:space="preserve">residential customers. </w:t>
      </w:r>
      <w:proofErr w:type="spellStart"/>
      <w:r w:rsidR="00200188">
        <w:rPr>
          <w:rFonts w:ascii="Arial" w:hAnsi="Arial" w:cs="Arial"/>
          <w:szCs w:val="24"/>
        </w:rPr>
        <w:t>OnTrack</w:t>
      </w:r>
      <w:proofErr w:type="spellEnd"/>
      <w:r w:rsidR="00200188">
        <w:rPr>
          <w:rFonts w:ascii="Arial" w:hAnsi="Arial" w:cs="Arial"/>
          <w:szCs w:val="24"/>
        </w:rPr>
        <w:t xml:space="preserve"> is PPL</w:t>
      </w:r>
      <w:r w:rsidR="00187689">
        <w:rPr>
          <w:rFonts w:ascii="Arial" w:hAnsi="Arial" w:cs="Arial"/>
          <w:szCs w:val="24"/>
        </w:rPr>
        <w:t xml:space="preserve"> Electric</w:t>
      </w:r>
      <w:r w:rsidR="00BA1E23">
        <w:rPr>
          <w:rFonts w:ascii="Arial" w:hAnsi="Arial" w:cs="Arial"/>
          <w:szCs w:val="24"/>
        </w:rPr>
        <w:t xml:space="preserve"> Utilities Corporation</w:t>
      </w:r>
      <w:r w:rsidR="00200188">
        <w:rPr>
          <w:rFonts w:ascii="Arial" w:hAnsi="Arial" w:cs="Arial"/>
          <w:szCs w:val="24"/>
        </w:rPr>
        <w:t xml:space="preserve">’s Customer Assistance Program (CAP). It is available to low-income households at or below 150 percent of the federal poverty level. The primary features of </w:t>
      </w:r>
      <w:proofErr w:type="spellStart"/>
      <w:r w:rsidR="00200188">
        <w:rPr>
          <w:rFonts w:ascii="Arial" w:hAnsi="Arial" w:cs="Arial"/>
          <w:szCs w:val="24"/>
        </w:rPr>
        <w:t>OnTrack</w:t>
      </w:r>
      <w:proofErr w:type="spellEnd"/>
      <w:r w:rsidR="00200188">
        <w:rPr>
          <w:rFonts w:ascii="Arial" w:hAnsi="Arial" w:cs="Arial"/>
          <w:szCs w:val="24"/>
        </w:rPr>
        <w:t xml:space="preserve"> are a reduced payment arrangement and arrearage forgiveness</w:t>
      </w:r>
      <w:r w:rsidR="00CC2558">
        <w:rPr>
          <w:rFonts w:ascii="Arial" w:hAnsi="Arial" w:cs="Arial"/>
          <w:szCs w:val="24"/>
        </w:rPr>
        <w:t xml:space="preserve"> over a specified period of time. </w:t>
      </w:r>
    </w:p>
    <w:p w:rsidR="00F44605" w:rsidRDefault="00F44605" w:rsidP="00A52486">
      <w:pPr>
        <w:tabs>
          <w:tab w:val="left" w:pos="360"/>
        </w:tabs>
        <w:ind w:left="360"/>
        <w:rPr>
          <w:rFonts w:ascii="Arial" w:hAnsi="Arial" w:cs="Arial"/>
          <w:szCs w:val="24"/>
        </w:rPr>
      </w:pPr>
    </w:p>
    <w:p w:rsidR="005C789F" w:rsidRDefault="00CC2558" w:rsidP="005C789F">
      <w:pPr>
        <w:tabs>
          <w:tab w:val="left" w:pos="360"/>
        </w:tabs>
        <w:ind w:left="360"/>
        <w:rPr>
          <w:rFonts w:ascii="Arial" w:hAnsi="Arial" w:cs="Arial"/>
          <w:szCs w:val="24"/>
        </w:rPr>
      </w:pPr>
      <w:r>
        <w:rPr>
          <w:rFonts w:ascii="Arial" w:hAnsi="Arial" w:cs="Arial"/>
          <w:szCs w:val="24"/>
        </w:rPr>
        <w:t xml:space="preserve">WRAP </w:t>
      </w:r>
      <w:r w:rsidR="00F44605">
        <w:rPr>
          <w:rFonts w:ascii="Arial" w:hAnsi="Arial" w:cs="Arial"/>
          <w:szCs w:val="24"/>
        </w:rPr>
        <w:t xml:space="preserve">is designed to </w:t>
      </w:r>
      <w:r>
        <w:rPr>
          <w:rFonts w:ascii="Arial" w:hAnsi="Arial" w:cs="Arial"/>
          <w:szCs w:val="24"/>
        </w:rPr>
        <w:t>reduce electric bills for low income customers. Contractors install various weatherization measures</w:t>
      </w:r>
      <w:r w:rsidR="00F44605">
        <w:rPr>
          <w:rFonts w:ascii="Arial" w:hAnsi="Arial" w:cs="Arial"/>
          <w:szCs w:val="24"/>
        </w:rPr>
        <w:t>,</w:t>
      </w:r>
      <w:r>
        <w:rPr>
          <w:rFonts w:ascii="Arial" w:hAnsi="Arial" w:cs="Arial"/>
          <w:szCs w:val="24"/>
        </w:rPr>
        <w:t xml:space="preserve"> </w:t>
      </w:r>
      <w:r w:rsidR="00F44605">
        <w:rPr>
          <w:rFonts w:ascii="Arial" w:hAnsi="Arial" w:cs="Arial"/>
          <w:szCs w:val="24"/>
        </w:rPr>
        <w:t xml:space="preserve">such as insulation and efficient appliances, </w:t>
      </w:r>
      <w:r>
        <w:rPr>
          <w:rFonts w:ascii="Arial" w:hAnsi="Arial" w:cs="Arial"/>
          <w:szCs w:val="24"/>
        </w:rPr>
        <w:t>and provide energy education services depending on the customer’s use and the results of a home energy audit.</w:t>
      </w:r>
      <w:r w:rsidR="00A52486" w:rsidRPr="007A206B">
        <w:rPr>
          <w:rFonts w:ascii="Arial" w:hAnsi="Arial" w:cs="Arial"/>
          <w:szCs w:val="24"/>
        </w:rPr>
        <w:t xml:space="preserve"> </w:t>
      </w:r>
    </w:p>
    <w:p w:rsidR="002500C4" w:rsidRDefault="002500C4" w:rsidP="005C789F">
      <w:pPr>
        <w:tabs>
          <w:tab w:val="left" w:pos="360"/>
        </w:tabs>
        <w:ind w:left="360"/>
        <w:rPr>
          <w:rFonts w:ascii="Arial" w:hAnsi="Arial" w:cs="Arial"/>
          <w:szCs w:val="24"/>
        </w:rPr>
        <w:sectPr w:rsidR="002500C4" w:rsidSect="001C347D">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start="6"/>
          <w:cols w:space="720"/>
          <w:noEndnote/>
        </w:sectPr>
      </w:pPr>
    </w:p>
    <w:p w:rsidR="005C789F" w:rsidRDefault="005C789F" w:rsidP="005C789F">
      <w:pPr>
        <w:tabs>
          <w:tab w:val="left" w:pos="360"/>
        </w:tabs>
        <w:ind w:left="360"/>
        <w:rPr>
          <w:rFonts w:ascii="Arial" w:hAnsi="Arial" w:cs="Arial"/>
          <w:sz w:val="26"/>
          <w:szCs w:val="26"/>
        </w:rPr>
      </w:pPr>
    </w:p>
    <w:p w:rsidR="00F44605" w:rsidRPr="002243BA" w:rsidRDefault="00F44605" w:rsidP="00F44605">
      <w:pPr>
        <w:pStyle w:val="Heading1"/>
        <w:rPr>
          <w:rFonts w:ascii="Arial" w:hAnsi="Arial" w:cs="Arial"/>
          <w:sz w:val="26"/>
          <w:szCs w:val="26"/>
        </w:rPr>
      </w:pPr>
      <w:r>
        <w:rPr>
          <w:rFonts w:ascii="Arial" w:hAnsi="Arial" w:cs="Arial"/>
          <w:sz w:val="26"/>
          <w:szCs w:val="26"/>
        </w:rPr>
        <w:t>PPL Electric Utilities Corporation</w:t>
      </w:r>
    </w:p>
    <w:p w:rsidR="00F44605" w:rsidRPr="002243BA" w:rsidRDefault="00F44605" w:rsidP="00F44605">
      <w:pPr>
        <w:pStyle w:val="Heading1"/>
        <w:rPr>
          <w:rFonts w:ascii="Arial" w:hAnsi="Arial" w:cs="Arial"/>
          <w:sz w:val="26"/>
          <w:szCs w:val="26"/>
        </w:rPr>
      </w:pPr>
    </w:p>
    <w:p w:rsidR="00F44605" w:rsidRPr="00874BC6" w:rsidRDefault="00F44605" w:rsidP="00F44605">
      <w:pPr>
        <w:pStyle w:val="Heading1"/>
        <w:rPr>
          <w:rFonts w:ascii="Arial" w:hAnsi="Arial" w:cs="Arial"/>
          <w:szCs w:val="26"/>
        </w:rPr>
      </w:pPr>
      <w:r w:rsidRPr="00874BC6">
        <w:rPr>
          <w:rFonts w:ascii="Arial" w:hAnsi="Arial" w:cs="Arial"/>
          <w:szCs w:val="26"/>
        </w:rPr>
        <w:t>Notes To The Financial Statements</w:t>
      </w:r>
    </w:p>
    <w:p w:rsidR="00F44605" w:rsidRDefault="00F44605" w:rsidP="00245AE1">
      <w:pPr>
        <w:pStyle w:val="EndnoteText"/>
        <w:tabs>
          <w:tab w:val="left" w:pos="-720"/>
        </w:tabs>
        <w:suppressAutoHyphens/>
        <w:rPr>
          <w:rFonts w:ascii="Arial" w:hAnsi="Arial" w:cs="Arial"/>
          <w:b/>
          <w:szCs w:val="24"/>
          <w:u w:val="single"/>
        </w:rPr>
      </w:pPr>
    </w:p>
    <w:p w:rsidR="00215791" w:rsidRDefault="00215791" w:rsidP="00245AE1">
      <w:pPr>
        <w:pStyle w:val="EndnoteText"/>
        <w:tabs>
          <w:tab w:val="left" w:pos="-720"/>
        </w:tabs>
        <w:suppressAutoHyphens/>
        <w:rPr>
          <w:rFonts w:ascii="Arial" w:hAnsi="Arial" w:cs="Arial"/>
          <w:b/>
          <w:szCs w:val="24"/>
          <w:u w:val="single"/>
        </w:rPr>
      </w:pPr>
    </w:p>
    <w:p w:rsidR="00BF2068" w:rsidRPr="00B52A52" w:rsidRDefault="00F44605" w:rsidP="00245AE1">
      <w:pPr>
        <w:pStyle w:val="EndnoteText"/>
        <w:tabs>
          <w:tab w:val="left" w:pos="-720"/>
        </w:tabs>
        <w:suppressAutoHyphens/>
        <w:rPr>
          <w:rFonts w:ascii="Arial" w:hAnsi="Arial" w:cs="Arial"/>
          <w:b/>
          <w:szCs w:val="24"/>
          <w:u w:val="single"/>
        </w:rPr>
      </w:pPr>
      <w:r>
        <w:rPr>
          <w:rFonts w:ascii="Arial" w:hAnsi="Arial" w:cs="Arial"/>
          <w:b/>
          <w:szCs w:val="24"/>
          <w:u w:val="single"/>
        </w:rPr>
        <w:t>3</w:t>
      </w:r>
      <w:r w:rsidR="00BF2068">
        <w:rPr>
          <w:rFonts w:ascii="Arial" w:hAnsi="Arial" w:cs="Arial"/>
          <w:b/>
          <w:szCs w:val="24"/>
          <w:u w:val="single"/>
        </w:rPr>
        <w:t xml:space="preserve"> – USR Over</w:t>
      </w:r>
      <w:proofErr w:type="gramStart"/>
      <w:r w:rsidR="00BF2068">
        <w:rPr>
          <w:rFonts w:ascii="Arial" w:hAnsi="Arial" w:cs="Arial"/>
          <w:b/>
          <w:szCs w:val="24"/>
          <w:u w:val="single"/>
        </w:rPr>
        <w:t>/(</w:t>
      </w:r>
      <w:proofErr w:type="gramEnd"/>
      <w:r w:rsidR="00BF2068">
        <w:rPr>
          <w:rFonts w:ascii="Arial" w:hAnsi="Arial" w:cs="Arial"/>
          <w:b/>
          <w:szCs w:val="24"/>
          <w:u w:val="single"/>
        </w:rPr>
        <w:t>Under) Collection</w:t>
      </w:r>
      <w:r w:rsidR="00454455">
        <w:rPr>
          <w:rFonts w:ascii="Arial" w:hAnsi="Arial" w:cs="Arial"/>
          <w:b/>
          <w:szCs w:val="24"/>
          <w:u w:val="single"/>
        </w:rPr>
        <w:t>s</w:t>
      </w:r>
    </w:p>
    <w:p w:rsidR="00A52486" w:rsidRDefault="00A52486" w:rsidP="00245AE1">
      <w:pPr>
        <w:pStyle w:val="EndnoteText"/>
        <w:tabs>
          <w:tab w:val="left" w:pos="475"/>
        </w:tabs>
        <w:suppressAutoHyphens/>
        <w:ind w:left="475"/>
        <w:jc w:val="both"/>
        <w:rPr>
          <w:rFonts w:ascii="Arial" w:hAnsi="Arial" w:cs="Arial"/>
          <w:szCs w:val="24"/>
        </w:rPr>
      </w:pPr>
    </w:p>
    <w:p w:rsidR="00A52486" w:rsidRDefault="00A52486" w:rsidP="00A52486">
      <w:pPr>
        <w:tabs>
          <w:tab w:val="left" w:pos="360"/>
        </w:tabs>
        <w:ind w:left="360"/>
        <w:rPr>
          <w:rFonts w:ascii="Arial" w:hAnsi="Arial" w:cs="Arial"/>
          <w:szCs w:val="24"/>
        </w:rPr>
      </w:pPr>
      <w:r w:rsidRPr="007A206B">
        <w:rPr>
          <w:rFonts w:ascii="Arial" w:hAnsi="Arial" w:cs="Arial"/>
          <w:szCs w:val="24"/>
        </w:rPr>
        <w:t>The Over/</w:t>
      </w:r>
      <w:r>
        <w:rPr>
          <w:rFonts w:ascii="Arial" w:hAnsi="Arial" w:cs="Arial"/>
          <w:szCs w:val="24"/>
        </w:rPr>
        <w:t>(</w:t>
      </w:r>
      <w:r w:rsidRPr="007A206B">
        <w:rPr>
          <w:rFonts w:ascii="Arial" w:hAnsi="Arial" w:cs="Arial"/>
          <w:szCs w:val="24"/>
        </w:rPr>
        <w:t>Under</w:t>
      </w:r>
      <w:r>
        <w:rPr>
          <w:rFonts w:ascii="Arial" w:hAnsi="Arial" w:cs="Arial"/>
          <w:szCs w:val="24"/>
        </w:rPr>
        <w:t>)</w:t>
      </w:r>
      <w:r w:rsidRPr="007A206B">
        <w:rPr>
          <w:rFonts w:ascii="Arial" w:hAnsi="Arial" w:cs="Arial"/>
          <w:szCs w:val="24"/>
        </w:rPr>
        <w:t xml:space="preserve"> Collections are the </w:t>
      </w:r>
      <w:r>
        <w:rPr>
          <w:rFonts w:ascii="Arial" w:hAnsi="Arial" w:cs="Arial"/>
          <w:szCs w:val="24"/>
        </w:rPr>
        <w:t xml:space="preserve">monthly </w:t>
      </w:r>
      <w:r w:rsidRPr="007A206B">
        <w:rPr>
          <w:rFonts w:ascii="Arial" w:hAnsi="Arial" w:cs="Arial"/>
          <w:szCs w:val="24"/>
        </w:rPr>
        <w:t xml:space="preserve">differences between the </w:t>
      </w:r>
      <w:r w:rsidR="00D8215F">
        <w:rPr>
          <w:rFonts w:ascii="Arial" w:hAnsi="Arial" w:cs="Arial"/>
          <w:szCs w:val="24"/>
        </w:rPr>
        <w:t xml:space="preserve">Residential Distribution Revenue Applicable To </w:t>
      </w:r>
      <w:r w:rsidRPr="007A206B">
        <w:rPr>
          <w:rFonts w:ascii="Arial" w:hAnsi="Arial" w:cs="Arial"/>
          <w:szCs w:val="24"/>
        </w:rPr>
        <w:t>US</w:t>
      </w:r>
      <w:r>
        <w:rPr>
          <w:rFonts w:ascii="Arial" w:hAnsi="Arial" w:cs="Arial"/>
          <w:szCs w:val="24"/>
        </w:rPr>
        <w:t>R</w:t>
      </w:r>
      <w:r w:rsidRPr="007A206B">
        <w:rPr>
          <w:rFonts w:ascii="Arial" w:hAnsi="Arial" w:cs="Arial"/>
          <w:szCs w:val="24"/>
        </w:rPr>
        <w:t xml:space="preserve"> </w:t>
      </w:r>
      <w:r w:rsidR="00B335AD">
        <w:rPr>
          <w:rFonts w:ascii="Arial" w:hAnsi="Arial" w:cs="Arial"/>
          <w:szCs w:val="24"/>
        </w:rPr>
        <w:t>r</w:t>
      </w:r>
      <w:r w:rsidRPr="007A206B">
        <w:rPr>
          <w:rFonts w:ascii="Arial" w:hAnsi="Arial" w:cs="Arial"/>
          <w:szCs w:val="24"/>
        </w:rPr>
        <w:t>e</w:t>
      </w:r>
      <w:r>
        <w:rPr>
          <w:rFonts w:ascii="Arial" w:hAnsi="Arial" w:cs="Arial"/>
          <w:szCs w:val="24"/>
        </w:rPr>
        <w:t>venues and the USR</w:t>
      </w:r>
      <w:r w:rsidRPr="007A206B">
        <w:rPr>
          <w:rFonts w:ascii="Arial" w:hAnsi="Arial" w:cs="Arial"/>
          <w:szCs w:val="24"/>
        </w:rPr>
        <w:t xml:space="preserve"> </w:t>
      </w:r>
      <w:r w:rsidR="00D8215F">
        <w:rPr>
          <w:rFonts w:ascii="Arial" w:hAnsi="Arial" w:cs="Arial"/>
          <w:szCs w:val="24"/>
        </w:rPr>
        <w:t>On Track/WRAP</w:t>
      </w:r>
      <w:r w:rsidR="00F87417">
        <w:rPr>
          <w:rFonts w:ascii="Arial" w:hAnsi="Arial" w:cs="Arial"/>
          <w:szCs w:val="24"/>
        </w:rPr>
        <w:t xml:space="preserve"> </w:t>
      </w:r>
      <w:r w:rsidR="00B335AD">
        <w:rPr>
          <w:rFonts w:ascii="Arial" w:hAnsi="Arial" w:cs="Arial"/>
          <w:szCs w:val="24"/>
        </w:rPr>
        <w:t>e</w:t>
      </w:r>
      <w:r>
        <w:rPr>
          <w:rFonts w:ascii="Arial" w:hAnsi="Arial" w:cs="Arial"/>
          <w:szCs w:val="24"/>
        </w:rPr>
        <w:t>xpenses</w:t>
      </w:r>
      <w:r w:rsidRPr="007A206B">
        <w:rPr>
          <w:rFonts w:ascii="Arial" w:hAnsi="Arial" w:cs="Arial"/>
          <w:szCs w:val="24"/>
        </w:rPr>
        <w:t xml:space="preserve"> incurred.</w:t>
      </w:r>
      <w:r>
        <w:rPr>
          <w:rFonts w:ascii="Arial" w:hAnsi="Arial" w:cs="Arial"/>
          <w:szCs w:val="24"/>
        </w:rPr>
        <w:t xml:space="preserve">  Interest is </w:t>
      </w:r>
      <w:r w:rsidR="00332FE8">
        <w:rPr>
          <w:rFonts w:ascii="Arial" w:hAnsi="Arial" w:cs="Arial"/>
          <w:szCs w:val="24"/>
        </w:rPr>
        <w:t xml:space="preserve">refundable on net over collections </w:t>
      </w:r>
      <w:r>
        <w:rPr>
          <w:rFonts w:ascii="Arial" w:hAnsi="Arial" w:cs="Arial"/>
          <w:szCs w:val="24"/>
        </w:rPr>
        <w:t>or</w:t>
      </w:r>
      <w:r w:rsidR="00332FE8" w:rsidRPr="00332FE8">
        <w:rPr>
          <w:rFonts w:ascii="Arial" w:hAnsi="Arial" w:cs="Arial"/>
          <w:szCs w:val="24"/>
        </w:rPr>
        <w:t xml:space="preserve"> </w:t>
      </w:r>
      <w:r w:rsidR="00332FE8">
        <w:rPr>
          <w:rFonts w:ascii="Arial" w:hAnsi="Arial" w:cs="Arial"/>
          <w:szCs w:val="24"/>
        </w:rPr>
        <w:t>recoverable on net under collections</w:t>
      </w:r>
      <w:r>
        <w:rPr>
          <w:rFonts w:ascii="Arial" w:hAnsi="Arial" w:cs="Arial"/>
          <w:szCs w:val="24"/>
        </w:rPr>
        <w:t xml:space="preserve">.  </w:t>
      </w:r>
      <w:r w:rsidR="00D14815">
        <w:rPr>
          <w:rFonts w:ascii="Arial" w:hAnsi="Arial" w:cs="Arial"/>
          <w:szCs w:val="24"/>
        </w:rPr>
        <w:t xml:space="preserve">The resulting net amount represents the portion of USR </w:t>
      </w:r>
      <w:r w:rsidR="00B335AD">
        <w:rPr>
          <w:rFonts w:ascii="Arial" w:hAnsi="Arial" w:cs="Arial"/>
          <w:szCs w:val="24"/>
        </w:rPr>
        <w:t>e</w:t>
      </w:r>
      <w:r w:rsidR="00D14815">
        <w:rPr>
          <w:rFonts w:ascii="Arial" w:hAnsi="Arial" w:cs="Arial"/>
          <w:szCs w:val="24"/>
        </w:rPr>
        <w:t xml:space="preserve">xpenses that the E-Factor is designed to refund to, or recoup from, customers.  </w:t>
      </w:r>
      <w:r>
        <w:rPr>
          <w:rFonts w:ascii="Arial" w:hAnsi="Arial" w:cs="Arial"/>
          <w:szCs w:val="24"/>
        </w:rPr>
        <w:t>Differences arise for two primary reasons:</w:t>
      </w:r>
    </w:p>
    <w:p w:rsidR="00A52486" w:rsidRDefault="00A52486" w:rsidP="00A52486">
      <w:pPr>
        <w:tabs>
          <w:tab w:val="left" w:pos="360"/>
        </w:tabs>
        <w:ind w:left="360"/>
        <w:rPr>
          <w:rFonts w:ascii="Arial" w:hAnsi="Arial" w:cs="Arial"/>
          <w:szCs w:val="24"/>
        </w:rPr>
      </w:pPr>
    </w:p>
    <w:p w:rsidR="00A52486" w:rsidRDefault="00A52486" w:rsidP="00A52486">
      <w:pPr>
        <w:numPr>
          <w:ilvl w:val="0"/>
          <w:numId w:val="6"/>
        </w:numPr>
        <w:tabs>
          <w:tab w:val="left" w:pos="360"/>
        </w:tabs>
        <w:rPr>
          <w:rFonts w:ascii="Arial" w:hAnsi="Arial" w:cs="Arial"/>
          <w:szCs w:val="24"/>
        </w:rPr>
      </w:pPr>
      <w:r>
        <w:rPr>
          <w:rFonts w:ascii="Arial" w:hAnsi="Arial" w:cs="Arial"/>
          <w:szCs w:val="24"/>
        </w:rPr>
        <w:t xml:space="preserve">Variations between the actual month-to-month </w:t>
      </w:r>
      <w:r w:rsidR="00D06F3D">
        <w:rPr>
          <w:rFonts w:ascii="Arial" w:hAnsi="Arial" w:cs="Arial"/>
          <w:szCs w:val="24"/>
        </w:rPr>
        <w:t>Distribution Revenues</w:t>
      </w:r>
      <w:r>
        <w:rPr>
          <w:rFonts w:ascii="Arial" w:hAnsi="Arial" w:cs="Arial"/>
          <w:szCs w:val="24"/>
        </w:rPr>
        <w:t xml:space="preserve"> </w:t>
      </w:r>
      <w:r w:rsidR="00E372F7">
        <w:rPr>
          <w:rFonts w:ascii="Arial" w:hAnsi="Arial" w:cs="Arial"/>
          <w:szCs w:val="24"/>
        </w:rPr>
        <w:t xml:space="preserve">billed </w:t>
      </w:r>
      <w:r>
        <w:rPr>
          <w:rFonts w:ascii="Arial" w:hAnsi="Arial" w:cs="Arial"/>
          <w:szCs w:val="24"/>
        </w:rPr>
        <w:t xml:space="preserve">to </w:t>
      </w:r>
      <w:r w:rsidR="00E372F7">
        <w:rPr>
          <w:rFonts w:ascii="Arial" w:hAnsi="Arial" w:cs="Arial"/>
          <w:szCs w:val="24"/>
        </w:rPr>
        <w:t>Residential C</w:t>
      </w:r>
      <w:r>
        <w:rPr>
          <w:rFonts w:ascii="Arial" w:hAnsi="Arial" w:cs="Arial"/>
          <w:szCs w:val="24"/>
        </w:rPr>
        <w:t xml:space="preserve">ustomers and the </w:t>
      </w:r>
      <w:r w:rsidR="00D06F3D">
        <w:rPr>
          <w:rFonts w:ascii="Arial" w:hAnsi="Arial" w:cs="Arial"/>
          <w:szCs w:val="24"/>
        </w:rPr>
        <w:t>budgeted</w:t>
      </w:r>
      <w:r>
        <w:rPr>
          <w:rFonts w:ascii="Arial" w:hAnsi="Arial" w:cs="Arial"/>
          <w:szCs w:val="24"/>
        </w:rPr>
        <w:t xml:space="preserve"> </w:t>
      </w:r>
      <w:r w:rsidR="00F87417">
        <w:rPr>
          <w:rFonts w:ascii="Arial" w:hAnsi="Arial" w:cs="Arial"/>
          <w:szCs w:val="24"/>
        </w:rPr>
        <w:t xml:space="preserve">revenues </w:t>
      </w:r>
      <w:r>
        <w:rPr>
          <w:rFonts w:ascii="Arial" w:hAnsi="Arial" w:cs="Arial"/>
          <w:szCs w:val="24"/>
        </w:rPr>
        <w:t>used to determine the US</w:t>
      </w:r>
      <w:r w:rsidR="00D06F3D">
        <w:rPr>
          <w:rFonts w:ascii="Arial" w:hAnsi="Arial" w:cs="Arial"/>
          <w:szCs w:val="24"/>
        </w:rPr>
        <w:t>R</w:t>
      </w:r>
      <w:r>
        <w:rPr>
          <w:rFonts w:ascii="Arial" w:hAnsi="Arial" w:cs="Arial"/>
          <w:szCs w:val="24"/>
        </w:rPr>
        <w:t xml:space="preserve"> rate.</w:t>
      </w:r>
    </w:p>
    <w:p w:rsidR="00A52486" w:rsidRDefault="00A52486" w:rsidP="00A52486">
      <w:pPr>
        <w:tabs>
          <w:tab w:val="left" w:pos="360"/>
        </w:tabs>
        <w:ind w:left="360"/>
        <w:rPr>
          <w:rFonts w:ascii="Arial" w:hAnsi="Arial" w:cs="Arial"/>
          <w:szCs w:val="24"/>
        </w:rPr>
      </w:pPr>
    </w:p>
    <w:p w:rsidR="00A52486" w:rsidRPr="007A206B" w:rsidRDefault="00A52486" w:rsidP="00A52486">
      <w:pPr>
        <w:numPr>
          <w:ilvl w:val="0"/>
          <w:numId w:val="6"/>
        </w:numPr>
        <w:tabs>
          <w:tab w:val="left" w:pos="360"/>
        </w:tabs>
        <w:rPr>
          <w:rFonts w:ascii="Arial" w:hAnsi="Arial" w:cs="Arial"/>
          <w:szCs w:val="24"/>
        </w:rPr>
      </w:pPr>
      <w:r>
        <w:rPr>
          <w:rFonts w:ascii="Arial" w:hAnsi="Arial" w:cs="Arial"/>
          <w:szCs w:val="24"/>
        </w:rPr>
        <w:t xml:space="preserve">Variations between the actual USR expenses incurred and the </w:t>
      </w:r>
      <w:r w:rsidR="00D06F3D">
        <w:rPr>
          <w:rFonts w:ascii="Arial" w:hAnsi="Arial" w:cs="Arial"/>
          <w:szCs w:val="24"/>
        </w:rPr>
        <w:t xml:space="preserve">budgeted </w:t>
      </w:r>
      <w:r>
        <w:rPr>
          <w:rFonts w:ascii="Arial" w:hAnsi="Arial" w:cs="Arial"/>
          <w:szCs w:val="24"/>
        </w:rPr>
        <w:t xml:space="preserve">expenses used to determine the USR rate.  </w:t>
      </w:r>
    </w:p>
    <w:p w:rsidR="00A52486" w:rsidRPr="007A206B" w:rsidRDefault="00A52486" w:rsidP="00245AE1">
      <w:pPr>
        <w:pStyle w:val="EndnoteText"/>
        <w:tabs>
          <w:tab w:val="left" w:pos="475"/>
        </w:tabs>
        <w:suppressAutoHyphens/>
        <w:ind w:left="475"/>
        <w:jc w:val="both"/>
        <w:rPr>
          <w:rFonts w:ascii="Arial" w:hAnsi="Arial" w:cs="Arial"/>
          <w:szCs w:val="24"/>
        </w:rPr>
      </w:pPr>
    </w:p>
    <w:p w:rsidR="0022155A" w:rsidRPr="007A206B" w:rsidRDefault="0022155A" w:rsidP="0014334C">
      <w:pPr>
        <w:pStyle w:val="EndnoteText"/>
        <w:tabs>
          <w:tab w:val="left" w:pos="331"/>
        </w:tabs>
        <w:suppressAutoHyphens/>
        <w:jc w:val="center"/>
        <w:rPr>
          <w:rFonts w:ascii="Arial" w:hAnsi="Arial" w:cs="Arial"/>
          <w:b/>
          <w:szCs w:val="24"/>
          <w:u w:val="single"/>
        </w:rPr>
      </w:pPr>
    </w:p>
    <w:p w:rsidR="004F0882" w:rsidRPr="007A206B" w:rsidRDefault="004F0882" w:rsidP="00E5265E">
      <w:pPr>
        <w:pStyle w:val="EndnoteText"/>
        <w:tabs>
          <w:tab w:val="left" w:pos="331"/>
          <w:tab w:val="left" w:pos="4680"/>
        </w:tabs>
        <w:suppressAutoHyphens/>
        <w:jc w:val="center"/>
        <w:rPr>
          <w:rFonts w:ascii="Arial" w:hAnsi="Arial" w:cs="Arial"/>
          <w:b/>
          <w:szCs w:val="24"/>
          <w:u w:val="single"/>
        </w:rPr>
      </w:pPr>
    </w:p>
    <w:p w:rsidR="004F0882" w:rsidRPr="007A206B" w:rsidRDefault="004F0882" w:rsidP="00E5265E">
      <w:pPr>
        <w:pStyle w:val="EndnoteText"/>
        <w:tabs>
          <w:tab w:val="left" w:pos="331"/>
          <w:tab w:val="left" w:pos="4680"/>
        </w:tabs>
        <w:suppressAutoHyphens/>
        <w:jc w:val="center"/>
        <w:rPr>
          <w:rFonts w:ascii="Arial" w:hAnsi="Arial" w:cs="Arial"/>
          <w:b/>
          <w:szCs w:val="24"/>
          <w:u w:val="single"/>
        </w:rPr>
      </w:pPr>
    </w:p>
    <w:p w:rsidR="006D1F5A" w:rsidRPr="007A206B" w:rsidRDefault="006D1F5A" w:rsidP="00E5265E">
      <w:pPr>
        <w:pStyle w:val="EndnoteText"/>
        <w:tabs>
          <w:tab w:val="left" w:pos="331"/>
          <w:tab w:val="left" w:pos="4680"/>
        </w:tabs>
        <w:suppressAutoHyphens/>
        <w:jc w:val="center"/>
        <w:rPr>
          <w:rFonts w:ascii="Arial" w:hAnsi="Arial" w:cs="Arial"/>
          <w:b/>
          <w:szCs w:val="24"/>
          <w:u w:val="single"/>
        </w:rPr>
      </w:pPr>
    </w:p>
    <w:p w:rsidR="006D1F5A" w:rsidRPr="007A206B" w:rsidRDefault="006D1F5A" w:rsidP="00E5265E">
      <w:pPr>
        <w:pStyle w:val="EndnoteText"/>
        <w:tabs>
          <w:tab w:val="left" w:pos="331"/>
          <w:tab w:val="left" w:pos="4680"/>
        </w:tabs>
        <w:suppressAutoHyphens/>
        <w:jc w:val="center"/>
        <w:rPr>
          <w:rFonts w:ascii="Arial" w:hAnsi="Arial" w:cs="Arial"/>
          <w:b/>
          <w:szCs w:val="24"/>
          <w:u w:val="single"/>
        </w:rPr>
      </w:pPr>
    </w:p>
    <w:p w:rsidR="002A0E7A" w:rsidRDefault="002A0E7A" w:rsidP="00E5265E">
      <w:pPr>
        <w:pStyle w:val="EndnoteText"/>
        <w:tabs>
          <w:tab w:val="left" w:pos="331"/>
          <w:tab w:val="left" w:pos="4680"/>
        </w:tabs>
        <w:suppressAutoHyphens/>
        <w:jc w:val="center"/>
        <w:rPr>
          <w:rFonts w:ascii="Arial" w:hAnsi="Arial" w:cs="Arial"/>
          <w:b/>
          <w:szCs w:val="24"/>
          <w:u w:val="single"/>
        </w:rPr>
        <w:sectPr w:rsidR="002A0E7A" w:rsidSect="001C347D">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start="6"/>
          <w:cols w:space="720"/>
          <w:noEndnote/>
        </w:sect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b w:val="0"/>
          <w:szCs w:val="24"/>
        </w:rPr>
      </w:pPr>
    </w:p>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2A5D93" w:rsidRPr="005B3234" w:rsidRDefault="002A5D93" w:rsidP="005B3234"/>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2A5D93" w:rsidRDefault="002A5D93" w:rsidP="005B3234"/>
    <w:p w:rsidR="002A5D93" w:rsidRDefault="002A5D93" w:rsidP="005B3234"/>
    <w:p w:rsidR="002A5D93" w:rsidRPr="005B3234" w:rsidRDefault="002A5D93" w:rsidP="005B3234"/>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3213B5" w:rsidRPr="00FC7F94" w:rsidRDefault="003213B5" w:rsidP="003213B5">
      <w:pPr>
        <w:pStyle w:val="Heading4"/>
        <w:tabs>
          <w:tab w:val="clear" w:pos="4680"/>
        </w:tabs>
        <w:rPr>
          <w:rFonts w:ascii="Arial" w:hAnsi="Arial" w:cs="Arial"/>
          <w:sz w:val="36"/>
          <w:szCs w:val="36"/>
          <w:u w:val="none"/>
        </w:rPr>
      </w:pPr>
      <w:r>
        <w:rPr>
          <w:rFonts w:ascii="Arial" w:hAnsi="Arial" w:cs="Arial"/>
          <w:sz w:val="36"/>
          <w:szCs w:val="36"/>
          <w:u w:val="none"/>
        </w:rPr>
        <w:t>BACKGROUND</w:t>
      </w: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2A0E7A" w:rsidRDefault="002A0E7A" w:rsidP="00E5265E">
      <w:pPr>
        <w:pStyle w:val="EndnoteText"/>
        <w:tabs>
          <w:tab w:val="left" w:pos="331"/>
          <w:tab w:val="left" w:pos="4680"/>
        </w:tabs>
        <w:suppressAutoHyphens/>
        <w:jc w:val="center"/>
        <w:rPr>
          <w:rFonts w:ascii="Arial" w:hAnsi="Arial" w:cs="Arial"/>
          <w:b/>
          <w:szCs w:val="24"/>
          <w:u w:val="single"/>
        </w:rPr>
        <w:sectPr w:rsidR="002A0E7A" w:rsidSect="001C347D">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start="6"/>
          <w:cols w:space="720"/>
          <w:noEndnote/>
        </w:sectPr>
      </w:pPr>
    </w:p>
    <w:p w:rsidR="00524208" w:rsidRPr="00A914D1" w:rsidRDefault="00D9515C" w:rsidP="00524208">
      <w:pPr>
        <w:tabs>
          <w:tab w:val="center" w:pos="4680"/>
        </w:tabs>
        <w:suppressAutoHyphens/>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524208" w:rsidRPr="002243BA"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524208" w:rsidRPr="00F22815" w:rsidRDefault="00524208" w:rsidP="00524208">
      <w:pPr>
        <w:tabs>
          <w:tab w:val="left" w:pos="-1440"/>
          <w:tab w:val="left" w:pos="-720"/>
        </w:tabs>
        <w:suppressAutoHyphens/>
        <w:jc w:val="center"/>
        <w:rPr>
          <w:rFonts w:ascii="Arial" w:hAnsi="Arial" w:cs="Arial"/>
          <w:szCs w:val="26"/>
        </w:rPr>
      </w:pPr>
      <w:r w:rsidRPr="00F22815">
        <w:rPr>
          <w:rFonts w:ascii="Arial" w:hAnsi="Arial" w:cs="Arial"/>
          <w:b/>
          <w:szCs w:val="26"/>
          <w:u w:val="single"/>
        </w:rPr>
        <w:t>Background</w:t>
      </w:r>
    </w:p>
    <w:p w:rsidR="00524208" w:rsidRDefault="00524208" w:rsidP="00524208">
      <w:pPr>
        <w:tabs>
          <w:tab w:val="left" w:pos="-1440"/>
          <w:tab w:val="left" w:pos="-720"/>
        </w:tabs>
        <w:suppressAutoHyphens/>
        <w:rPr>
          <w:rFonts w:ascii="Arial" w:hAnsi="Arial" w:cs="Arial"/>
          <w:szCs w:val="24"/>
        </w:rPr>
      </w:pPr>
    </w:p>
    <w:p w:rsidR="00606D39" w:rsidRDefault="00606D39" w:rsidP="00454455">
      <w:pPr>
        <w:tabs>
          <w:tab w:val="left" w:pos="-1440"/>
          <w:tab w:val="left" w:pos="-720"/>
        </w:tabs>
        <w:suppressAutoHyphens/>
        <w:ind w:firstLine="720"/>
        <w:rPr>
          <w:rFonts w:ascii="Arial" w:hAnsi="Arial" w:cs="Arial"/>
          <w:szCs w:val="24"/>
        </w:rPr>
      </w:pPr>
      <w:r>
        <w:rPr>
          <w:rFonts w:ascii="Arial" w:hAnsi="Arial" w:cs="Arial"/>
          <w:szCs w:val="24"/>
        </w:rPr>
        <w:t>PPL Electric Utilities Corporation (PPL Electric or Company) implemented the Winter Relief Assistance Program (WRAP) in 1984 to help reduce electric bills and improve home comfort for low income customers.  The objectives of the WRAP are to reduce energy usage and bills of low income customers and to increase low income customers’ ability to pay their electric bills, resulting in reduced arrearages.</w:t>
      </w:r>
    </w:p>
    <w:p w:rsidR="00606D39" w:rsidRDefault="00606D39" w:rsidP="00A33A0D">
      <w:pPr>
        <w:tabs>
          <w:tab w:val="left" w:pos="-1440"/>
          <w:tab w:val="left" w:pos="-720"/>
        </w:tabs>
        <w:suppressAutoHyphens/>
        <w:rPr>
          <w:rFonts w:ascii="Arial" w:hAnsi="Arial" w:cs="Arial"/>
          <w:szCs w:val="24"/>
        </w:rPr>
      </w:pPr>
    </w:p>
    <w:p w:rsidR="00524208" w:rsidRDefault="00454455" w:rsidP="005B3234">
      <w:pPr>
        <w:tabs>
          <w:tab w:val="left" w:pos="-1440"/>
          <w:tab w:val="left" w:pos="-720"/>
        </w:tabs>
        <w:suppressAutoHyphens/>
        <w:ind w:firstLine="720"/>
        <w:rPr>
          <w:rFonts w:ascii="Arial" w:hAnsi="Arial" w:cs="Arial"/>
          <w:szCs w:val="24"/>
        </w:rPr>
      </w:pPr>
      <w:r>
        <w:rPr>
          <w:rFonts w:ascii="Arial" w:hAnsi="Arial" w:cs="Arial"/>
          <w:szCs w:val="24"/>
        </w:rPr>
        <w:t>I</w:t>
      </w:r>
      <w:r w:rsidR="00606D39">
        <w:rPr>
          <w:rFonts w:ascii="Arial" w:hAnsi="Arial" w:cs="Arial"/>
          <w:szCs w:val="24"/>
        </w:rPr>
        <w:t xml:space="preserve">n </w:t>
      </w:r>
      <w:r w:rsidR="00A33A0D">
        <w:rPr>
          <w:rFonts w:ascii="Arial" w:hAnsi="Arial" w:cs="Arial"/>
          <w:szCs w:val="24"/>
        </w:rPr>
        <w:t xml:space="preserve">July 1992, the </w:t>
      </w:r>
      <w:r w:rsidR="00BA1E23">
        <w:rPr>
          <w:rFonts w:ascii="Arial" w:hAnsi="Arial" w:cs="Arial"/>
          <w:szCs w:val="24"/>
        </w:rPr>
        <w:t xml:space="preserve">Pennsylvania </w:t>
      </w:r>
      <w:r w:rsidR="00A33A0D">
        <w:rPr>
          <w:rFonts w:ascii="Arial" w:hAnsi="Arial" w:cs="Arial"/>
          <w:szCs w:val="24"/>
        </w:rPr>
        <w:t>Public Utility Commission (Commission) adopted a Policy Statement that established guidelines for Customer Assistance Programs</w:t>
      </w:r>
      <w:r w:rsidR="00000FB1">
        <w:rPr>
          <w:rFonts w:ascii="Arial" w:hAnsi="Arial" w:cs="Arial"/>
          <w:szCs w:val="24"/>
        </w:rPr>
        <w:t xml:space="preserve"> (CAP)</w:t>
      </w:r>
      <w:r w:rsidR="00A33A0D">
        <w:rPr>
          <w:rFonts w:ascii="Arial" w:hAnsi="Arial" w:cs="Arial"/>
          <w:szCs w:val="24"/>
        </w:rPr>
        <w:t>.  The Commission encouraged all electric and gas utilities to implement CAP pilots.</w:t>
      </w:r>
    </w:p>
    <w:p w:rsidR="00A33A0D" w:rsidRDefault="00A33A0D" w:rsidP="00A33A0D">
      <w:pPr>
        <w:tabs>
          <w:tab w:val="left" w:pos="-1440"/>
          <w:tab w:val="left" w:pos="-720"/>
        </w:tabs>
        <w:suppressAutoHyphens/>
        <w:rPr>
          <w:rFonts w:ascii="Arial" w:hAnsi="Arial" w:cs="Arial"/>
          <w:szCs w:val="24"/>
        </w:rPr>
      </w:pPr>
    </w:p>
    <w:p w:rsidR="00A33A0D" w:rsidRDefault="00A33A0D" w:rsidP="00454455">
      <w:pPr>
        <w:tabs>
          <w:tab w:val="left" w:pos="-1440"/>
          <w:tab w:val="left" w:pos="-720"/>
        </w:tabs>
        <w:suppressAutoHyphens/>
        <w:ind w:firstLine="720"/>
        <w:rPr>
          <w:rFonts w:ascii="Arial" w:hAnsi="Arial" w:cs="Arial"/>
          <w:szCs w:val="24"/>
        </w:rPr>
      </w:pPr>
      <w:r>
        <w:rPr>
          <w:rFonts w:ascii="Arial" w:hAnsi="Arial" w:cs="Arial"/>
          <w:szCs w:val="24"/>
        </w:rPr>
        <w:t>After receiving approval from the Commission for its pilot proposal, PPL Electric</w:t>
      </w:r>
      <w:r w:rsidR="00B335AD">
        <w:rPr>
          <w:rFonts w:ascii="Arial" w:hAnsi="Arial" w:cs="Arial"/>
          <w:szCs w:val="24"/>
        </w:rPr>
        <w:t xml:space="preserve"> </w:t>
      </w:r>
      <w:r>
        <w:rPr>
          <w:rFonts w:ascii="Arial" w:hAnsi="Arial" w:cs="Arial"/>
          <w:szCs w:val="24"/>
        </w:rPr>
        <w:t xml:space="preserve">implemented </w:t>
      </w:r>
      <w:proofErr w:type="spellStart"/>
      <w:r>
        <w:rPr>
          <w:rFonts w:ascii="Arial" w:hAnsi="Arial" w:cs="Arial"/>
          <w:szCs w:val="24"/>
        </w:rPr>
        <w:t>OnTrack</w:t>
      </w:r>
      <w:proofErr w:type="spellEnd"/>
      <w:r>
        <w:rPr>
          <w:rFonts w:ascii="Arial" w:hAnsi="Arial" w:cs="Arial"/>
          <w:szCs w:val="24"/>
        </w:rPr>
        <w:t xml:space="preserve"> in December 1993.  The pilot began in one region and expanded to all regions by June 1994.  The Company agreed to enroll 2,000 low-income customers in </w:t>
      </w:r>
      <w:proofErr w:type="spellStart"/>
      <w:r>
        <w:rPr>
          <w:rFonts w:ascii="Arial" w:hAnsi="Arial" w:cs="Arial"/>
          <w:szCs w:val="24"/>
        </w:rPr>
        <w:t>OnTrack</w:t>
      </w:r>
      <w:proofErr w:type="spellEnd"/>
      <w:r>
        <w:rPr>
          <w:rFonts w:ascii="Arial" w:hAnsi="Arial" w:cs="Arial"/>
          <w:szCs w:val="24"/>
        </w:rPr>
        <w:t xml:space="preserve">.  PPL Electric </w:t>
      </w:r>
      <w:r w:rsidR="00187689">
        <w:rPr>
          <w:rFonts w:ascii="Arial" w:hAnsi="Arial" w:cs="Arial"/>
          <w:szCs w:val="24"/>
        </w:rPr>
        <w:t>end</w:t>
      </w:r>
      <w:r>
        <w:rPr>
          <w:rFonts w:ascii="Arial" w:hAnsi="Arial" w:cs="Arial"/>
          <w:szCs w:val="24"/>
        </w:rPr>
        <w:t>ed the pilot program enrollments on July 31, 1995.</w:t>
      </w:r>
    </w:p>
    <w:p w:rsidR="00A33A0D" w:rsidRDefault="00A33A0D" w:rsidP="00A33A0D">
      <w:pPr>
        <w:tabs>
          <w:tab w:val="left" w:pos="-1440"/>
          <w:tab w:val="left" w:pos="-720"/>
        </w:tabs>
        <w:suppressAutoHyphens/>
        <w:rPr>
          <w:rFonts w:ascii="Arial" w:hAnsi="Arial" w:cs="Arial"/>
          <w:szCs w:val="24"/>
        </w:rPr>
      </w:pPr>
    </w:p>
    <w:p w:rsidR="00A33A0D" w:rsidRDefault="00A33A0D" w:rsidP="00454455">
      <w:pPr>
        <w:tabs>
          <w:tab w:val="left" w:pos="-1440"/>
          <w:tab w:val="left" w:pos="-720"/>
        </w:tabs>
        <w:suppressAutoHyphens/>
        <w:ind w:firstLine="720"/>
        <w:rPr>
          <w:rFonts w:ascii="Arial" w:hAnsi="Arial" w:cs="Arial"/>
          <w:szCs w:val="24"/>
        </w:rPr>
      </w:pPr>
      <w:r>
        <w:rPr>
          <w:rFonts w:ascii="Arial" w:hAnsi="Arial" w:cs="Arial"/>
          <w:szCs w:val="24"/>
        </w:rPr>
        <w:t xml:space="preserve">On December 3, 1996, </w:t>
      </w:r>
      <w:r w:rsidR="00CB4E18">
        <w:rPr>
          <w:rFonts w:ascii="Arial" w:hAnsi="Arial" w:cs="Arial"/>
          <w:szCs w:val="24"/>
        </w:rPr>
        <w:t>the Electricity Generation Customer Choice and Competition Act (Competition Act)</w:t>
      </w:r>
      <w:r w:rsidR="0045052A">
        <w:rPr>
          <w:rFonts w:ascii="Arial" w:hAnsi="Arial" w:cs="Arial"/>
          <w:szCs w:val="24"/>
        </w:rPr>
        <w:t xml:space="preserve"> was signed into Law</w:t>
      </w:r>
      <w:r w:rsidR="00CB4E18">
        <w:rPr>
          <w:rFonts w:ascii="Arial" w:hAnsi="Arial" w:cs="Arial"/>
          <w:szCs w:val="24"/>
        </w:rPr>
        <w:t>.</w:t>
      </w:r>
      <w:r>
        <w:rPr>
          <w:rFonts w:ascii="Arial" w:hAnsi="Arial" w:cs="Arial"/>
          <w:szCs w:val="24"/>
        </w:rPr>
        <w:t xml:space="preserve">  The </w:t>
      </w:r>
      <w:r w:rsidR="00CB4E18">
        <w:rPr>
          <w:rFonts w:ascii="Arial" w:hAnsi="Arial" w:cs="Arial"/>
          <w:szCs w:val="24"/>
        </w:rPr>
        <w:t>Competition Act</w:t>
      </w:r>
      <w:r>
        <w:rPr>
          <w:rFonts w:ascii="Arial" w:hAnsi="Arial" w:cs="Arial"/>
          <w:szCs w:val="24"/>
        </w:rPr>
        <w:t xml:space="preserve"> gave consumers the opportunity to choose their electric generation supplier.  The legislation urged the electric distribution companies to continue their various assistance programs (e.g., </w:t>
      </w:r>
      <w:r w:rsidR="00D959F0">
        <w:rPr>
          <w:rFonts w:ascii="Arial" w:hAnsi="Arial" w:cs="Arial"/>
          <w:szCs w:val="24"/>
        </w:rPr>
        <w:t xml:space="preserve">CARES, Operation HELP, </w:t>
      </w:r>
      <w:proofErr w:type="spellStart"/>
      <w:r w:rsidR="00D959F0">
        <w:rPr>
          <w:rFonts w:ascii="Arial" w:hAnsi="Arial" w:cs="Arial"/>
          <w:szCs w:val="24"/>
        </w:rPr>
        <w:t>OnTrack</w:t>
      </w:r>
      <w:proofErr w:type="spellEnd"/>
      <w:r w:rsidR="00D959F0">
        <w:rPr>
          <w:rFonts w:ascii="Arial" w:hAnsi="Arial" w:cs="Arial"/>
          <w:szCs w:val="24"/>
        </w:rPr>
        <w:t xml:space="preserve"> and WRAP).</w:t>
      </w:r>
    </w:p>
    <w:p w:rsidR="00D959F0" w:rsidRDefault="00D959F0" w:rsidP="00A33A0D">
      <w:pPr>
        <w:tabs>
          <w:tab w:val="left" w:pos="-1440"/>
          <w:tab w:val="left" w:pos="-720"/>
        </w:tabs>
        <w:suppressAutoHyphens/>
        <w:rPr>
          <w:rFonts w:ascii="Arial" w:hAnsi="Arial" w:cs="Arial"/>
          <w:szCs w:val="24"/>
        </w:rPr>
      </w:pPr>
    </w:p>
    <w:p w:rsidR="00D959F0" w:rsidRDefault="004F3499" w:rsidP="00454455">
      <w:pPr>
        <w:tabs>
          <w:tab w:val="left" w:pos="-1440"/>
          <w:tab w:val="left" w:pos="-720"/>
        </w:tabs>
        <w:suppressAutoHyphens/>
        <w:ind w:firstLine="720"/>
        <w:rPr>
          <w:rFonts w:ascii="Arial" w:hAnsi="Arial" w:cs="Arial"/>
          <w:szCs w:val="24"/>
        </w:rPr>
      </w:pPr>
      <w:r>
        <w:rPr>
          <w:rFonts w:ascii="Arial" w:hAnsi="Arial" w:cs="Arial"/>
          <w:szCs w:val="24"/>
        </w:rPr>
        <w:t>On</w:t>
      </w:r>
      <w:r w:rsidR="00D959F0">
        <w:rPr>
          <w:rFonts w:ascii="Arial" w:hAnsi="Arial" w:cs="Arial"/>
          <w:szCs w:val="24"/>
        </w:rPr>
        <w:t xml:space="preserve"> August 12, 1998</w:t>
      </w:r>
      <w:r w:rsidR="00187689">
        <w:rPr>
          <w:rFonts w:ascii="Arial" w:hAnsi="Arial" w:cs="Arial"/>
          <w:szCs w:val="24"/>
        </w:rPr>
        <w:t>,</w:t>
      </w:r>
      <w:r w:rsidR="00D959F0">
        <w:rPr>
          <w:rFonts w:ascii="Arial" w:hAnsi="Arial" w:cs="Arial"/>
          <w:szCs w:val="24"/>
        </w:rPr>
        <w:t xml:space="preserve"> </w:t>
      </w:r>
      <w:r>
        <w:rPr>
          <w:rFonts w:ascii="Arial" w:hAnsi="Arial" w:cs="Arial"/>
          <w:szCs w:val="24"/>
        </w:rPr>
        <w:t xml:space="preserve">PPL Electric and the parties to its Restructuring Plan proceeding filed a Joint Petition </w:t>
      </w:r>
      <w:proofErr w:type="gramStart"/>
      <w:r>
        <w:rPr>
          <w:rFonts w:ascii="Arial" w:hAnsi="Arial" w:cs="Arial"/>
          <w:szCs w:val="24"/>
        </w:rPr>
        <w:t>For</w:t>
      </w:r>
      <w:proofErr w:type="gramEnd"/>
      <w:r>
        <w:rPr>
          <w:rFonts w:ascii="Arial" w:hAnsi="Arial" w:cs="Arial"/>
          <w:szCs w:val="24"/>
        </w:rPr>
        <w:t xml:space="preserve"> Full </w:t>
      </w:r>
      <w:r w:rsidR="00D959F0">
        <w:rPr>
          <w:rFonts w:ascii="Arial" w:hAnsi="Arial" w:cs="Arial"/>
          <w:szCs w:val="24"/>
        </w:rPr>
        <w:t>Settlement</w:t>
      </w:r>
      <w:r>
        <w:rPr>
          <w:rFonts w:ascii="Arial" w:hAnsi="Arial" w:cs="Arial"/>
          <w:szCs w:val="24"/>
        </w:rPr>
        <w:t xml:space="preserve"> which included </w:t>
      </w:r>
      <w:r w:rsidR="003A1868">
        <w:rPr>
          <w:rFonts w:ascii="Arial" w:hAnsi="Arial" w:cs="Arial"/>
          <w:szCs w:val="24"/>
        </w:rPr>
        <w:t>the Company</w:t>
      </w:r>
      <w:r>
        <w:rPr>
          <w:rFonts w:ascii="Arial" w:hAnsi="Arial" w:cs="Arial"/>
          <w:szCs w:val="24"/>
        </w:rPr>
        <w:t xml:space="preserve">’s </w:t>
      </w:r>
      <w:r w:rsidR="00D959F0">
        <w:rPr>
          <w:rFonts w:ascii="Arial" w:hAnsi="Arial" w:cs="Arial"/>
          <w:szCs w:val="24"/>
        </w:rPr>
        <w:t>agree</w:t>
      </w:r>
      <w:r>
        <w:rPr>
          <w:rFonts w:ascii="Arial" w:hAnsi="Arial" w:cs="Arial"/>
          <w:szCs w:val="24"/>
        </w:rPr>
        <w:t>ment</w:t>
      </w:r>
      <w:r w:rsidR="00D959F0">
        <w:rPr>
          <w:rFonts w:ascii="Arial" w:hAnsi="Arial" w:cs="Arial"/>
          <w:szCs w:val="24"/>
        </w:rPr>
        <w:t xml:space="preserve"> to significantly expand </w:t>
      </w:r>
      <w:proofErr w:type="spellStart"/>
      <w:r w:rsidR="00D959F0">
        <w:rPr>
          <w:rFonts w:ascii="Arial" w:hAnsi="Arial" w:cs="Arial"/>
          <w:szCs w:val="24"/>
        </w:rPr>
        <w:t>OnTrack</w:t>
      </w:r>
      <w:proofErr w:type="spellEnd"/>
      <w:r w:rsidR="00D959F0">
        <w:rPr>
          <w:rFonts w:ascii="Arial" w:hAnsi="Arial" w:cs="Arial"/>
          <w:szCs w:val="24"/>
        </w:rPr>
        <w:t xml:space="preserve"> expenditures from 1999 through 2002.  During this four-year period, the program’s annual budget increased from $5.875 million in 1999 to $11.7 million in 2002.  In December 2004, as part of </w:t>
      </w:r>
      <w:r>
        <w:rPr>
          <w:rFonts w:ascii="Arial" w:hAnsi="Arial" w:cs="Arial"/>
          <w:szCs w:val="24"/>
        </w:rPr>
        <w:t xml:space="preserve">the </w:t>
      </w:r>
      <w:r w:rsidR="00D959F0">
        <w:rPr>
          <w:rFonts w:ascii="Arial" w:hAnsi="Arial" w:cs="Arial"/>
          <w:szCs w:val="24"/>
        </w:rPr>
        <w:t xml:space="preserve">base rate case proceeding at Docket No. R-0049255, the Commission approved an annual funding level of $13.2 million for </w:t>
      </w:r>
      <w:proofErr w:type="spellStart"/>
      <w:r w:rsidR="00D959F0">
        <w:rPr>
          <w:rFonts w:ascii="Arial" w:hAnsi="Arial" w:cs="Arial"/>
          <w:szCs w:val="24"/>
        </w:rPr>
        <w:t>OnTrack</w:t>
      </w:r>
      <w:proofErr w:type="spellEnd"/>
      <w:r w:rsidR="00D959F0">
        <w:rPr>
          <w:rFonts w:ascii="Arial" w:hAnsi="Arial" w:cs="Arial"/>
          <w:szCs w:val="24"/>
        </w:rPr>
        <w:t>.</w:t>
      </w:r>
    </w:p>
    <w:p w:rsidR="00D959F0" w:rsidRDefault="00D959F0" w:rsidP="00A33A0D">
      <w:pPr>
        <w:tabs>
          <w:tab w:val="left" w:pos="-1440"/>
          <w:tab w:val="left" w:pos="-720"/>
        </w:tabs>
        <w:suppressAutoHyphens/>
        <w:rPr>
          <w:rFonts w:ascii="Arial" w:hAnsi="Arial" w:cs="Arial"/>
          <w:szCs w:val="24"/>
        </w:rPr>
      </w:pPr>
    </w:p>
    <w:p w:rsidR="00D959F0" w:rsidRDefault="00D959F0" w:rsidP="00454455">
      <w:pPr>
        <w:tabs>
          <w:tab w:val="left" w:pos="-1440"/>
          <w:tab w:val="left" w:pos="-720"/>
        </w:tabs>
        <w:suppressAutoHyphens/>
        <w:ind w:firstLine="720"/>
        <w:rPr>
          <w:rFonts w:ascii="Arial" w:hAnsi="Arial" w:cs="Arial"/>
          <w:szCs w:val="24"/>
        </w:rPr>
      </w:pPr>
      <w:r>
        <w:rPr>
          <w:rFonts w:ascii="Arial" w:hAnsi="Arial" w:cs="Arial"/>
          <w:szCs w:val="24"/>
        </w:rPr>
        <w:t>On January 13, 2005, PPL Electric submitted a proposal to the Commission to amend its Universal Service and Energy Conservation Plan by conducting a pilot program.  In addition to reducing energy usage for certain CAP participants, the pilot program’s other key objectives included managing the expenditure of CAP credits, improving customer’s understanding of their CAP benefits and energy usage, and motivating customers to save energy.</w:t>
      </w:r>
    </w:p>
    <w:p w:rsidR="00D959F0" w:rsidRDefault="00D959F0" w:rsidP="00A33A0D">
      <w:pPr>
        <w:tabs>
          <w:tab w:val="left" w:pos="-1440"/>
          <w:tab w:val="left" w:pos="-720"/>
        </w:tabs>
        <w:suppressAutoHyphens/>
        <w:rPr>
          <w:rFonts w:ascii="Arial" w:hAnsi="Arial" w:cs="Arial"/>
          <w:szCs w:val="24"/>
        </w:rPr>
      </w:pPr>
    </w:p>
    <w:p w:rsidR="0045052A" w:rsidRDefault="00D959F0" w:rsidP="005B3234">
      <w:pPr>
        <w:tabs>
          <w:tab w:val="center" w:pos="4680"/>
        </w:tabs>
        <w:suppressAutoHyphens/>
        <w:ind w:firstLine="720"/>
        <w:rPr>
          <w:rFonts w:ascii="Arial" w:hAnsi="Arial" w:cs="Arial"/>
          <w:szCs w:val="24"/>
        </w:rPr>
      </w:pPr>
      <w:r>
        <w:rPr>
          <w:rFonts w:ascii="Arial" w:hAnsi="Arial" w:cs="Arial"/>
          <w:szCs w:val="24"/>
        </w:rPr>
        <w:t xml:space="preserve">On February 9, 2005, the Commission approved PPL Electric’s request to implement this two-year pilot program to manage CAP credits.  The Commission’s Secretarial Letter directed </w:t>
      </w:r>
      <w:r w:rsidR="003A1868">
        <w:rPr>
          <w:rFonts w:ascii="Arial" w:hAnsi="Arial" w:cs="Arial"/>
          <w:szCs w:val="24"/>
        </w:rPr>
        <w:t>the Company</w:t>
      </w:r>
      <w:r>
        <w:rPr>
          <w:rFonts w:ascii="Arial" w:hAnsi="Arial" w:cs="Arial"/>
          <w:szCs w:val="24"/>
        </w:rPr>
        <w:t xml:space="preserve"> to implement this program on March 1, 2005 and to conclude it on March 31, 2007.  The Commission also directed </w:t>
      </w:r>
      <w:r w:rsidR="003A1868">
        <w:rPr>
          <w:rFonts w:ascii="Arial" w:hAnsi="Arial" w:cs="Arial"/>
          <w:szCs w:val="24"/>
        </w:rPr>
        <w:t>the Company</w:t>
      </w:r>
      <w:r>
        <w:rPr>
          <w:rFonts w:ascii="Arial" w:hAnsi="Arial" w:cs="Arial"/>
          <w:szCs w:val="24"/>
        </w:rPr>
        <w:t xml:space="preserve"> to </w:t>
      </w:r>
    </w:p>
    <w:p w:rsidR="0045052A" w:rsidRDefault="0045052A" w:rsidP="0045052A">
      <w:pPr>
        <w:tabs>
          <w:tab w:val="center" w:pos="4680"/>
        </w:tabs>
        <w:suppressAutoHyphens/>
        <w:rPr>
          <w:rFonts w:ascii="Arial" w:hAnsi="Arial" w:cs="Arial"/>
          <w:szCs w:val="24"/>
        </w:rPr>
      </w:pPr>
    </w:p>
    <w:p w:rsidR="0045052A" w:rsidRPr="00A914D1" w:rsidRDefault="0045052A" w:rsidP="0045052A">
      <w:pPr>
        <w:tabs>
          <w:tab w:val="center" w:pos="4680"/>
        </w:tabs>
        <w:suppressAutoHyphens/>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45052A" w:rsidRPr="002243BA" w:rsidRDefault="0045052A" w:rsidP="0045052A">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45052A" w:rsidRDefault="0045052A" w:rsidP="0045052A">
      <w:pPr>
        <w:tabs>
          <w:tab w:val="left" w:pos="-1440"/>
          <w:tab w:val="left" w:pos="-720"/>
        </w:tabs>
        <w:suppressAutoHyphens/>
        <w:jc w:val="center"/>
        <w:rPr>
          <w:rFonts w:ascii="Arial" w:hAnsi="Arial" w:cs="Arial"/>
          <w:b/>
          <w:szCs w:val="26"/>
          <w:u w:val="single"/>
        </w:rPr>
      </w:pPr>
      <w:r w:rsidRPr="00F22815">
        <w:rPr>
          <w:rFonts w:ascii="Arial" w:hAnsi="Arial" w:cs="Arial"/>
          <w:b/>
          <w:szCs w:val="26"/>
          <w:u w:val="single"/>
        </w:rPr>
        <w:t>Background</w:t>
      </w:r>
      <w:r>
        <w:rPr>
          <w:rFonts w:ascii="Arial" w:hAnsi="Arial" w:cs="Arial"/>
          <w:b/>
          <w:szCs w:val="26"/>
          <w:u w:val="single"/>
        </w:rPr>
        <w:t xml:space="preserve"> (Continued)</w:t>
      </w:r>
    </w:p>
    <w:p w:rsidR="0045052A" w:rsidRDefault="0045052A" w:rsidP="0045052A">
      <w:pPr>
        <w:tabs>
          <w:tab w:val="left" w:pos="-1440"/>
          <w:tab w:val="left" w:pos="-720"/>
        </w:tabs>
        <w:suppressAutoHyphens/>
        <w:jc w:val="center"/>
        <w:rPr>
          <w:rFonts w:ascii="Arial" w:hAnsi="Arial" w:cs="Arial"/>
          <w:b/>
          <w:szCs w:val="26"/>
          <w:u w:val="single"/>
        </w:rPr>
      </w:pPr>
    </w:p>
    <w:p w:rsidR="0045052A" w:rsidRDefault="0045052A" w:rsidP="0045052A">
      <w:pPr>
        <w:tabs>
          <w:tab w:val="left" w:pos="-1440"/>
          <w:tab w:val="left" w:pos="-720"/>
        </w:tabs>
        <w:suppressAutoHyphens/>
        <w:jc w:val="center"/>
        <w:rPr>
          <w:rFonts w:ascii="Arial" w:hAnsi="Arial" w:cs="Arial"/>
          <w:b/>
          <w:szCs w:val="26"/>
          <w:u w:val="single"/>
        </w:rPr>
      </w:pPr>
    </w:p>
    <w:p w:rsidR="0045052A" w:rsidRDefault="0045052A" w:rsidP="0045052A">
      <w:pPr>
        <w:tabs>
          <w:tab w:val="center" w:pos="4680"/>
        </w:tabs>
        <w:suppressAutoHyphens/>
        <w:rPr>
          <w:rFonts w:ascii="Arial" w:hAnsi="Arial" w:cs="Arial"/>
          <w:szCs w:val="24"/>
        </w:rPr>
      </w:pPr>
    </w:p>
    <w:p w:rsidR="00D959F0" w:rsidRDefault="00D959F0" w:rsidP="0045052A">
      <w:pPr>
        <w:tabs>
          <w:tab w:val="center" w:pos="4680"/>
        </w:tabs>
        <w:suppressAutoHyphens/>
        <w:rPr>
          <w:rFonts w:ascii="Arial" w:hAnsi="Arial" w:cs="Arial"/>
          <w:szCs w:val="24"/>
        </w:rPr>
      </w:pPr>
      <w:r>
        <w:rPr>
          <w:rFonts w:ascii="Arial" w:hAnsi="Arial" w:cs="Arial"/>
          <w:szCs w:val="24"/>
        </w:rPr>
        <w:t>submit its internal evaluation of the pilot program to the Bureau of Consumer Service no later than April 1, 2007.  On February 1, 2007, the Company submitted the final pilot evaluation to the Commission.</w:t>
      </w:r>
    </w:p>
    <w:p w:rsidR="00451A89" w:rsidRDefault="00451A89">
      <w:pPr>
        <w:tabs>
          <w:tab w:val="left" w:pos="-1440"/>
          <w:tab w:val="left" w:pos="-720"/>
        </w:tabs>
        <w:suppressAutoHyphens/>
        <w:rPr>
          <w:rFonts w:ascii="Arial" w:hAnsi="Arial" w:cs="Arial"/>
          <w:szCs w:val="24"/>
        </w:rPr>
      </w:pPr>
    </w:p>
    <w:p w:rsidR="00451A89" w:rsidRDefault="00451A89" w:rsidP="00451A89">
      <w:pPr>
        <w:pStyle w:val="EndnoteText"/>
        <w:tabs>
          <w:tab w:val="left" w:pos="810"/>
          <w:tab w:val="left" w:pos="4680"/>
        </w:tabs>
        <w:suppressAutoHyphens/>
        <w:ind w:firstLine="810"/>
        <w:rPr>
          <w:rFonts w:ascii="Arial" w:hAnsi="Arial" w:cs="Arial"/>
          <w:szCs w:val="24"/>
        </w:rPr>
      </w:pPr>
      <w:r w:rsidRPr="00A873D8">
        <w:rPr>
          <w:rFonts w:ascii="Arial" w:hAnsi="Arial" w:cs="Arial"/>
          <w:szCs w:val="24"/>
        </w:rPr>
        <w:t xml:space="preserve">By Order entered </w:t>
      </w:r>
      <w:r>
        <w:rPr>
          <w:rFonts w:ascii="Arial" w:hAnsi="Arial" w:cs="Arial"/>
          <w:szCs w:val="24"/>
        </w:rPr>
        <w:t xml:space="preserve">on </w:t>
      </w:r>
      <w:r w:rsidRPr="00A873D8">
        <w:rPr>
          <w:rFonts w:ascii="Arial" w:hAnsi="Arial" w:cs="Arial"/>
          <w:szCs w:val="24"/>
        </w:rPr>
        <w:t>October 19, 2007 at R-00072155, the Commission approved PPL Electric</w:t>
      </w:r>
      <w:r>
        <w:rPr>
          <w:rFonts w:ascii="Arial" w:hAnsi="Arial" w:cs="Arial"/>
          <w:szCs w:val="24"/>
        </w:rPr>
        <w:t>’s</w:t>
      </w:r>
      <w:r w:rsidRPr="00A873D8">
        <w:rPr>
          <w:rFonts w:ascii="Arial" w:hAnsi="Arial" w:cs="Arial"/>
          <w:szCs w:val="24"/>
        </w:rPr>
        <w:t xml:space="preserve"> request to establish a Universal Service Rider (USR) Rate to become effective </w:t>
      </w:r>
      <w:r>
        <w:rPr>
          <w:rFonts w:ascii="Arial" w:hAnsi="Arial" w:cs="Arial"/>
          <w:szCs w:val="24"/>
        </w:rPr>
        <w:t xml:space="preserve">for service rendered on and after </w:t>
      </w:r>
      <w:r w:rsidRPr="00A873D8">
        <w:rPr>
          <w:rFonts w:ascii="Arial" w:hAnsi="Arial" w:cs="Arial"/>
          <w:szCs w:val="24"/>
        </w:rPr>
        <w:t xml:space="preserve">January 1, 2008.  The USR permits </w:t>
      </w:r>
      <w:r>
        <w:rPr>
          <w:rFonts w:ascii="Arial" w:hAnsi="Arial" w:cs="Arial"/>
          <w:szCs w:val="24"/>
        </w:rPr>
        <w:t xml:space="preserve">the Company </w:t>
      </w:r>
      <w:r w:rsidRPr="00A873D8">
        <w:rPr>
          <w:rFonts w:ascii="Arial" w:hAnsi="Arial" w:cs="Arial"/>
          <w:szCs w:val="24"/>
        </w:rPr>
        <w:t>to recover the costs</w:t>
      </w:r>
      <w:r>
        <w:rPr>
          <w:rFonts w:ascii="Arial" w:hAnsi="Arial" w:cs="Arial"/>
          <w:szCs w:val="24"/>
        </w:rPr>
        <w:t>, except internal administrative costs,</w:t>
      </w:r>
      <w:r w:rsidRPr="00A873D8">
        <w:rPr>
          <w:rFonts w:ascii="Arial" w:hAnsi="Arial" w:cs="Arial"/>
          <w:szCs w:val="24"/>
        </w:rPr>
        <w:t xml:space="preserve"> associated with providing</w:t>
      </w:r>
      <w:r>
        <w:rPr>
          <w:rFonts w:ascii="Arial" w:hAnsi="Arial" w:cs="Arial"/>
          <w:szCs w:val="24"/>
        </w:rPr>
        <w:t xml:space="preserve"> electric</w:t>
      </w:r>
      <w:r w:rsidRPr="00A873D8">
        <w:rPr>
          <w:rFonts w:ascii="Arial" w:hAnsi="Arial" w:cs="Arial"/>
          <w:szCs w:val="24"/>
        </w:rPr>
        <w:t xml:space="preserve"> service to </w:t>
      </w:r>
      <w:r>
        <w:rPr>
          <w:rFonts w:ascii="Arial" w:hAnsi="Arial" w:cs="Arial"/>
          <w:szCs w:val="24"/>
        </w:rPr>
        <w:t xml:space="preserve">residential </w:t>
      </w:r>
      <w:r w:rsidRPr="00A873D8">
        <w:rPr>
          <w:rFonts w:ascii="Arial" w:hAnsi="Arial" w:cs="Arial"/>
          <w:szCs w:val="24"/>
        </w:rPr>
        <w:t xml:space="preserve">customers participating in </w:t>
      </w:r>
      <w:r>
        <w:rPr>
          <w:rFonts w:ascii="Arial" w:hAnsi="Arial" w:cs="Arial"/>
          <w:szCs w:val="24"/>
        </w:rPr>
        <w:t>the Company’s</w:t>
      </w:r>
      <w:r w:rsidRPr="00A873D8">
        <w:rPr>
          <w:rFonts w:ascii="Arial" w:hAnsi="Arial" w:cs="Arial"/>
          <w:szCs w:val="24"/>
        </w:rPr>
        <w:t xml:space="preserve"> CAP</w:t>
      </w:r>
      <w:r>
        <w:rPr>
          <w:rFonts w:ascii="Arial" w:hAnsi="Arial" w:cs="Arial"/>
          <w:szCs w:val="24"/>
        </w:rPr>
        <w:t xml:space="preserve">, i.e., WRAP and </w:t>
      </w:r>
      <w:proofErr w:type="spellStart"/>
      <w:r>
        <w:rPr>
          <w:rFonts w:ascii="Arial" w:hAnsi="Arial" w:cs="Arial"/>
          <w:szCs w:val="24"/>
        </w:rPr>
        <w:t>OnTrack</w:t>
      </w:r>
      <w:proofErr w:type="spellEnd"/>
      <w:r w:rsidRPr="00A873D8">
        <w:rPr>
          <w:rFonts w:ascii="Arial" w:hAnsi="Arial" w:cs="Arial"/>
          <w:szCs w:val="24"/>
        </w:rPr>
        <w:t>.</w:t>
      </w:r>
    </w:p>
    <w:p w:rsidR="00060B3D" w:rsidRPr="00F22815" w:rsidRDefault="00060B3D" w:rsidP="00060B3D">
      <w:pPr>
        <w:tabs>
          <w:tab w:val="left" w:pos="-1440"/>
          <w:tab w:val="left" w:pos="-720"/>
        </w:tabs>
        <w:suppressAutoHyphens/>
        <w:jc w:val="center"/>
        <w:rPr>
          <w:rFonts w:ascii="Arial" w:hAnsi="Arial" w:cs="Arial"/>
          <w:szCs w:val="26"/>
        </w:rPr>
      </w:pPr>
    </w:p>
    <w:p w:rsidR="0044093D" w:rsidRDefault="0044093D" w:rsidP="00A873D8">
      <w:pPr>
        <w:pStyle w:val="EndnoteText"/>
        <w:tabs>
          <w:tab w:val="left" w:pos="0"/>
          <w:tab w:val="left" w:pos="4680"/>
        </w:tabs>
        <w:suppressAutoHyphens/>
        <w:rPr>
          <w:rFonts w:ascii="Arial" w:hAnsi="Arial" w:cs="Arial"/>
          <w:szCs w:val="24"/>
        </w:rPr>
      </w:pPr>
    </w:p>
    <w:p w:rsidR="0044093D" w:rsidRDefault="0044093D" w:rsidP="00A873D8">
      <w:pPr>
        <w:pStyle w:val="EndnoteText"/>
        <w:tabs>
          <w:tab w:val="left" w:pos="0"/>
          <w:tab w:val="left" w:pos="4680"/>
        </w:tabs>
        <w:suppressAutoHyphens/>
        <w:rPr>
          <w:rFonts w:ascii="Arial" w:hAnsi="Arial" w:cs="Arial"/>
          <w:szCs w:val="24"/>
        </w:rPr>
      </w:pPr>
    </w:p>
    <w:p w:rsidR="0044093D" w:rsidRPr="00A873D8" w:rsidRDefault="0044093D" w:rsidP="00A873D8">
      <w:pPr>
        <w:pStyle w:val="EndnoteText"/>
        <w:tabs>
          <w:tab w:val="left" w:pos="0"/>
          <w:tab w:val="left" w:pos="4680"/>
        </w:tabs>
        <w:suppressAutoHyphens/>
        <w:rPr>
          <w:rFonts w:ascii="Arial" w:hAnsi="Arial" w:cs="Arial"/>
          <w:szCs w:val="24"/>
        </w:rPr>
        <w:sectPr w:rsidR="0044093D" w:rsidRPr="00A873D8" w:rsidSect="00C90E17">
          <w:headerReference w:type="even" r:id="rId36"/>
          <w:headerReference w:type="default" r:id="rId37"/>
          <w:footerReference w:type="default" r:id="rId38"/>
          <w:headerReference w:type="first" r:id="rId39"/>
          <w:endnotePr>
            <w:numFmt w:val="decimal"/>
          </w:endnotePr>
          <w:pgSz w:w="12240" w:h="15840" w:code="1"/>
          <w:pgMar w:top="1440" w:right="1440" w:bottom="1152" w:left="1440" w:header="0" w:footer="720" w:gutter="0"/>
          <w:pgNumType w:start="5"/>
          <w:cols w:space="720"/>
          <w:noEndnote/>
        </w:sectPr>
      </w:pPr>
    </w:p>
    <w:p w:rsidR="006D78BE" w:rsidRPr="00A452FE" w:rsidRDefault="006D78BE" w:rsidP="006D78BE">
      <w:pPr>
        <w:ind w:firstLine="720"/>
        <w:rPr>
          <w:rFonts w:ascii="Arial" w:hAnsi="Arial" w:cs="Arial"/>
        </w:rPr>
      </w:pPr>
    </w:p>
    <w:p w:rsidR="005D711E" w:rsidRPr="007A206B" w:rsidRDefault="007603E9" w:rsidP="004858E3">
      <w:pPr>
        <w:pStyle w:val="Heading1"/>
        <w:rPr>
          <w:rFonts w:ascii="Arial" w:hAnsi="Arial" w:cs="Arial"/>
          <w:szCs w:val="24"/>
        </w:rPr>
      </w:pPr>
      <w:r w:rsidRPr="002243BA">
        <w:rPr>
          <w:rFonts w:ascii="Arial" w:hAnsi="Arial" w:cs="Arial"/>
          <w:sz w:val="26"/>
          <w:szCs w:val="26"/>
        </w:rPr>
        <w:t>ACKNOWLEDGEMENTS</w:t>
      </w:r>
    </w:p>
    <w:p w:rsidR="007603E9" w:rsidRDefault="007603E9" w:rsidP="000453E2">
      <w:pPr>
        <w:rPr>
          <w:rFonts w:ascii="Arial" w:hAnsi="Arial" w:cs="Arial"/>
          <w:b/>
          <w:szCs w:val="24"/>
          <w:u w:val="single"/>
        </w:rPr>
      </w:pPr>
    </w:p>
    <w:p w:rsidR="00EB6F4D" w:rsidRPr="007A206B" w:rsidRDefault="00EB6F4D" w:rsidP="000453E2">
      <w:pPr>
        <w:rPr>
          <w:rFonts w:ascii="Arial" w:hAnsi="Arial" w:cs="Arial"/>
          <w:b/>
          <w:szCs w:val="24"/>
          <w:u w:val="single"/>
        </w:rPr>
      </w:pPr>
    </w:p>
    <w:p w:rsidR="009B24A2" w:rsidRPr="007A206B" w:rsidRDefault="007603E9" w:rsidP="009B24A2">
      <w:pPr>
        <w:rPr>
          <w:rFonts w:ascii="Arial" w:hAnsi="Arial" w:cs="Arial"/>
          <w:szCs w:val="24"/>
        </w:rPr>
      </w:pPr>
      <w:r w:rsidRPr="007A206B">
        <w:rPr>
          <w:rFonts w:ascii="Arial" w:hAnsi="Arial" w:cs="Arial"/>
          <w:szCs w:val="24"/>
        </w:rPr>
        <w:tab/>
        <w:t>We wish to express our appreciation to the officers and staff of</w:t>
      </w:r>
      <w:r w:rsidR="003750E7">
        <w:rPr>
          <w:rFonts w:ascii="Arial" w:hAnsi="Arial" w:cs="Arial"/>
          <w:szCs w:val="24"/>
        </w:rPr>
        <w:t xml:space="preserve"> </w:t>
      </w:r>
      <w:r w:rsidR="00D9515C">
        <w:rPr>
          <w:rFonts w:ascii="Arial" w:hAnsi="Arial" w:cs="Arial"/>
          <w:szCs w:val="24"/>
        </w:rPr>
        <w:t>PPL Electric Utilities Corporation</w:t>
      </w:r>
      <w:r w:rsidRPr="007A206B">
        <w:rPr>
          <w:rFonts w:ascii="Arial" w:hAnsi="Arial" w:cs="Arial"/>
          <w:szCs w:val="24"/>
        </w:rPr>
        <w:t xml:space="preserve"> </w:t>
      </w:r>
      <w:r w:rsidR="001C4178">
        <w:rPr>
          <w:rFonts w:ascii="Arial" w:hAnsi="Arial" w:cs="Arial"/>
          <w:szCs w:val="24"/>
        </w:rPr>
        <w:t xml:space="preserve">and PPL Services Corporation </w:t>
      </w:r>
      <w:r w:rsidRPr="007A206B">
        <w:rPr>
          <w:rFonts w:ascii="Arial" w:hAnsi="Arial" w:cs="Arial"/>
          <w:szCs w:val="24"/>
        </w:rPr>
        <w:t>for the cooperation and assistance given</w:t>
      </w:r>
      <w:r w:rsidR="00CF7432" w:rsidRPr="007A206B">
        <w:rPr>
          <w:rFonts w:ascii="Arial" w:hAnsi="Arial" w:cs="Arial"/>
          <w:szCs w:val="24"/>
        </w:rPr>
        <w:t xml:space="preserve"> to </w:t>
      </w:r>
      <w:r w:rsidRPr="007A206B">
        <w:rPr>
          <w:rFonts w:ascii="Arial" w:hAnsi="Arial" w:cs="Arial"/>
          <w:szCs w:val="24"/>
        </w:rPr>
        <w:t xml:space="preserve">us during the course of our examination.  </w:t>
      </w:r>
      <w:r w:rsidR="00806B37">
        <w:rPr>
          <w:rFonts w:ascii="Arial" w:hAnsi="Arial" w:cs="Arial"/>
          <w:szCs w:val="24"/>
        </w:rPr>
        <w:t xml:space="preserve">The audit was conducted by </w:t>
      </w:r>
      <w:r w:rsidR="0044093D">
        <w:rPr>
          <w:rFonts w:ascii="Arial" w:hAnsi="Arial" w:cs="Arial"/>
          <w:szCs w:val="24"/>
        </w:rPr>
        <w:t>Brian T. Shuey</w:t>
      </w:r>
      <w:r w:rsidR="000D5324">
        <w:rPr>
          <w:rFonts w:ascii="Arial" w:hAnsi="Arial" w:cs="Arial"/>
          <w:szCs w:val="24"/>
        </w:rPr>
        <w:t xml:space="preserve">, </w:t>
      </w:r>
      <w:r w:rsidR="009B24A2" w:rsidRPr="007A206B">
        <w:rPr>
          <w:rFonts w:ascii="Arial" w:hAnsi="Arial" w:cs="Arial"/>
          <w:szCs w:val="24"/>
        </w:rPr>
        <w:t xml:space="preserve">assisted by </w:t>
      </w:r>
      <w:r w:rsidR="0044093D">
        <w:rPr>
          <w:rFonts w:ascii="Arial" w:hAnsi="Arial" w:cs="Arial"/>
          <w:szCs w:val="24"/>
        </w:rPr>
        <w:t>Michael B. Daley</w:t>
      </w:r>
      <w:r w:rsidR="00BB0023">
        <w:rPr>
          <w:rFonts w:ascii="Arial" w:hAnsi="Arial" w:cs="Arial"/>
          <w:szCs w:val="24"/>
        </w:rPr>
        <w:t>.</w:t>
      </w:r>
    </w:p>
    <w:p w:rsidR="00D21BB1" w:rsidRPr="007A206B" w:rsidRDefault="00D21BB1" w:rsidP="000453E2">
      <w:pPr>
        <w:rPr>
          <w:rFonts w:ascii="Arial" w:hAnsi="Arial" w:cs="Arial"/>
          <w:szCs w:val="24"/>
        </w:rPr>
      </w:pPr>
    </w:p>
    <w:sectPr w:rsidR="00D21BB1" w:rsidRPr="007A206B" w:rsidSect="008C25A7">
      <w:headerReference w:type="even" r:id="rId40"/>
      <w:headerReference w:type="default" r:id="rId41"/>
      <w:footerReference w:type="default" r:id="rId42"/>
      <w:headerReference w:type="first" r:id="rId43"/>
      <w:endnotePr>
        <w:numFmt w:val="decimal"/>
      </w:endnotePr>
      <w:pgSz w:w="12240" w:h="15840" w:code="1"/>
      <w:pgMar w:top="1440" w:right="1440" w:bottom="1152" w:left="1440" w:header="0" w:footer="72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F4" w:rsidRDefault="00A928F4">
      <w:r>
        <w:separator/>
      </w:r>
    </w:p>
  </w:endnote>
  <w:endnote w:type="continuationSeparator" w:id="0">
    <w:p w:rsidR="00A928F4" w:rsidRDefault="00A9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6E4551" w:rsidP="004858E3">
    <w:pPr>
      <w:pStyle w:val="Footer"/>
      <w:framePr w:wrap="around" w:vAnchor="text" w:hAnchor="margin" w:xAlign="center" w:y="1"/>
      <w:rPr>
        <w:rStyle w:val="PageNumber"/>
      </w:rPr>
    </w:pPr>
    <w:r>
      <w:rPr>
        <w:rStyle w:val="PageNumber"/>
      </w:rPr>
      <w:fldChar w:fldCharType="begin"/>
    </w:r>
    <w:r w:rsidR="008E2E2A">
      <w:rPr>
        <w:rStyle w:val="PageNumber"/>
      </w:rPr>
      <w:instrText xml:space="preserve">PAGE  </w:instrText>
    </w:r>
    <w:r>
      <w:rPr>
        <w:rStyle w:val="PageNumber"/>
      </w:rPr>
      <w:fldChar w:fldCharType="separate"/>
    </w:r>
    <w:r w:rsidR="008E2E2A">
      <w:rPr>
        <w:rStyle w:val="PageNumber"/>
        <w:noProof/>
      </w:rPr>
      <w:t>1</w:t>
    </w:r>
    <w:r>
      <w:rPr>
        <w:rStyle w:val="PageNumber"/>
      </w:rPr>
      <w:fldChar w:fldCharType="end"/>
    </w:r>
  </w:p>
  <w:p w:rsidR="008E2E2A" w:rsidRDefault="008E2E2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21" w:rsidRPr="009122BA" w:rsidRDefault="001062F3" w:rsidP="001C4E9B">
    <w:pPr>
      <w:pStyle w:val="Footer"/>
      <w:jc w:val="center"/>
      <w:rPr>
        <w:rFonts w:ascii="Arial" w:hAnsi="Arial" w:cs="Arial"/>
      </w:rPr>
    </w:pPr>
    <w:r>
      <w:rPr>
        <w:rFonts w:ascii="Arial" w:hAnsi="Arial" w:cs="Arial"/>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Pr="00EB6F4D" w:rsidRDefault="008E2E2A">
    <w:pPr>
      <w:pStyle w:val="Footer"/>
      <w:tabs>
        <w:tab w:val="clear" w:pos="4320"/>
        <w:tab w:val="clear" w:pos="8640"/>
      </w:tabs>
      <w:jc w:val="cen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C4" w:rsidRPr="00EB6F4D" w:rsidRDefault="00055FDB" w:rsidP="00055FDB">
    <w:pPr>
      <w:pStyle w:val="Footer"/>
      <w:tabs>
        <w:tab w:val="clear" w:pos="4320"/>
        <w:tab w:val="clear" w:pos="8640"/>
        <w:tab w:val="left" w:pos="4365"/>
        <w:tab w:val="center" w:pos="4680"/>
      </w:tabs>
      <w:rPr>
        <w:rFonts w:ascii="Arial" w:hAnsi="Arial" w:cs="Arial"/>
      </w:rPr>
    </w:pPr>
    <w:r>
      <w:rPr>
        <w:rFonts w:ascii="Arial" w:hAnsi="Arial" w:cs="Arial"/>
      </w:rPr>
      <w:tab/>
    </w:r>
    <w:r>
      <w:rPr>
        <w:rFonts w:ascii="Arial" w:hAnsi="Arial" w:cs="Arial"/>
      </w:rPr>
      <w:tab/>
    </w:r>
    <w:r w:rsidR="001C0FC4">
      <w:rPr>
        <w:rFonts w:ascii="Arial" w:hAnsi="Arial" w:cs="Arial"/>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Pr="009122BA" w:rsidRDefault="001062F3" w:rsidP="001C4E9B">
    <w:pPr>
      <w:pStyle w:val="Footer"/>
      <w:jc w:val="center"/>
      <w:rPr>
        <w:rFonts w:ascii="Arial" w:hAnsi="Arial" w:cs="Arial"/>
      </w:rPr>
    </w:pPr>
    <w:r>
      <w:rPr>
        <w:rFonts w:ascii="Arial" w:hAnsi="Arial" w:cs="Arial"/>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C4" w:rsidRPr="009122BA" w:rsidRDefault="001062F3" w:rsidP="001C4E9B">
    <w:pPr>
      <w:pStyle w:val="Footer"/>
      <w:jc w:val="center"/>
      <w:rPr>
        <w:rFonts w:ascii="Arial" w:hAnsi="Arial" w:cs="Arial"/>
      </w:rPr>
    </w:pPr>
    <w:r>
      <w:rPr>
        <w:rFonts w:ascii="Arial" w:hAnsi="Arial" w:cs="Arial"/>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E7A" w:rsidRPr="00C46B81" w:rsidRDefault="002A0E7A" w:rsidP="001C4E9B">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906354"/>
      <w:docPartObj>
        <w:docPartGallery w:val="Page Numbers (Bottom of Page)"/>
        <w:docPartUnique/>
      </w:docPartObj>
    </w:sdtPr>
    <w:sdtEndPr>
      <w:rPr>
        <w:rFonts w:ascii="Arial" w:hAnsi="Arial" w:cs="Arial"/>
        <w:noProof/>
      </w:rPr>
    </w:sdtEndPr>
    <w:sdtContent>
      <w:p w:rsidR="00C90E17" w:rsidRPr="00C90E17" w:rsidRDefault="00C90E17">
        <w:pPr>
          <w:pStyle w:val="Footer"/>
          <w:jc w:val="center"/>
          <w:rPr>
            <w:rFonts w:ascii="Arial" w:hAnsi="Arial" w:cs="Arial"/>
          </w:rPr>
        </w:pPr>
        <w:r w:rsidRPr="00C90E17">
          <w:rPr>
            <w:rFonts w:ascii="Arial" w:hAnsi="Arial" w:cs="Arial"/>
          </w:rPr>
          <w:fldChar w:fldCharType="begin"/>
        </w:r>
        <w:r w:rsidRPr="00C90E17">
          <w:rPr>
            <w:rFonts w:ascii="Arial" w:hAnsi="Arial" w:cs="Arial"/>
          </w:rPr>
          <w:instrText xml:space="preserve"> PAGE   \* MERGEFORMAT </w:instrText>
        </w:r>
        <w:r w:rsidRPr="00C90E17">
          <w:rPr>
            <w:rFonts w:ascii="Arial" w:hAnsi="Arial" w:cs="Arial"/>
          </w:rPr>
          <w:fldChar w:fldCharType="separate"/>
        </w:r>
        <w:r w:rsidR="004138A7">
          <w:rPr>
            <w:rFonts w:ascii="Arial" w:hAnsi="Arial" w:cs="Arial"/>
            <w:noProof/>
          </w:rPr>
          <w:t>6</w:t>
        </w:r>
        <w:r w:rsidRPr="00C90E17">
          <w:rPr>
            <w:rFonts w:ascii="Arial" w:hAnsi="Arial" w:cs="Arial"/>
            <w:noProof/>
          </w:rPr>
          <w:fldChar w:fldCharType="end"/>
        </w:r>
      </w:p>
    </w:sdtContent>
  </w:sdt>
  <w:p w:rsidR="002A0E7A" w:rsidRPr="00C90E17" w:rsidRDefault="002A0E7A" w:rsidP="00C90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F4" w:rsidRDefault="00A928F4">
      <w:r>
        <w:separator/>
      </w:r>
    </w:p>
  </w:footnote>
  <w:footnote w:type="continuationSeparator" w:id="0">
    <w:p w:rsidR="00A928F4" w:rsidRDefault="00A9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6F" w:rsidRDefault="0038796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140651"/>
    <w:multiLevelType w:val="hybridMultilevel"/>
    <w:tmpl w:val="2BB0598E"/>
    <w:lvl w:ilvl="0" w:tplc="18F613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E7B3C"/>
    <w:multiLevelType w:val="hybridMultilevel"/>
    <w:tmpl w:val="40882CF6"/>
    <w:lvl w:ilvl="0" w:tplc="2A6E1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656DD"/>
    <w:multiLevelType w:val="hybridMultilevel"/>
    <w:tmpl w:val="3ADEB582"/>
    <w:lvl w:ilvl="0" w:tplc="F10A8D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0FB1"/>
    <w:rsid w:val="000058DD"/>
    <w:rsid w:val="000065D6"/>
    <w:rsid w:val="000068CE"/>
    <w:rsid w:val="00011623"/>
    <w:rsid w:val="00013201"/>
    <w:rsid w:val="00015CB1"/>
    <w:rsid w:val="000162AB"/>
    <w:rsid w:val="00020419"/>
    <w:rsid w:val="00020E5C"/>
    <w:rsid w:val="000244C4"/>
    <w:rsid w:val="0002626A"/>
    <w:rsid w:val="00031D01"/>
    <w:rsid w:val="00031DE8"/>
    <w:rsid w:val="0003354D"/>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40DB"/>
    <w:rsid w:val="00064A95"/>
    <w:rsid w:val="00066F74"/>
    <w:rsid w:val="00067A82"/>
    <w:rsid w:val="00070064"/>
    <w:rsid w:val="00070C8F"/>
    <w:rsid w:val="00073ED2"/>
    <w:rsid w:val="00082BDC"/>
    <w:rsid w:val="000830F4"/>
    <w:rsid w:val="00086D47"/>
    <w:rsid w:val="000935FF"/>
    <w:rsid w:val="00096785"/>
    <w:rsid w:val="00097593"/>
    <w:rsid w:val="00097B77"/>
    <w:rsid w:val="000A038A"/>
    <w:rsid w:val="000A09E9"/>
    <w:rsid w:val="000A3382"/>
    <w:rsid w:val="000A47F7"/>
    <w:rsid w:val="000A6A87"/>
    <w:rsid w:val="000B1499"/>
    <w:rsid w:val="000B4766"/>
    <w:rsid w:val="000B5397"/>
    <w:rsid w:val="000B54F7"/>
    <w:rsid w:val="000C0673"/>
    <w:rsid w:val="000C20F2"/>
    <w:rsid w:val="000C7C23"/>
    <w:rsid w:val="000D3162"/>
    <w:rsid w:val="000D389D"/>
    <w:rsid w:val="000D404D"/>
    <w:rsid w:val="000D5324"/>
    <w:rsid w:val="000D7A5D"/>
    <w:rsid w:val="000E2BAA"/>
    <w:rsid w:val="000E3E48"/>
    <w:rsid w:val="000E6571"/>
    <w:rsid w:val="000E6A55"/>
    <w:rsid w:val="000E7FF1"/>
    <w:rsid w:val="000F11FD"/>
    <w:rsid w:val="000F2F3B"/>
    <w:rsid w:val="000F6CC8"/>
    <w:rsid w:val="00101D15"/>
    <w:rsid w:val="001032C8"/>
    <w:rsid w:val="0010499E"/>
    <w:rsid w:val="001062F3"/>
    <w:rsid w:val="00106ADD"/>
    <w:rsid w:val="00107CAA"/>
    <w:rsid w:val="00114448"/>
    <w:rsid w:val="0012026E"/>
    <w:rsid w:val="001231C3"/>
    <w:rsid w:val="00123B55"/>
    <w:rsid w:val="00123DA5"/>
    <w:rsid w:val="00124112"/>
    <w:rsid w:val="00126D58"/>
    <w:rsid w:val="0013081F"/>
    <w:rsid w:val="00131E66"/>
    <w:rsid w:val="00133126"/>
    <w:rsid w:val="001339AE"/>
    <w:rsid w:val="001428D7"/>
    <w:rsid w:val="0014334C"/>
    <w:rsid w:val="0014482D"/>
    <w:rsid w:val="00150332"/>
    <w:rsid w:val="00150CFD"/>
    <w:rsid w:val="00154609"/>
    <w:rsid w:val="00157380"/>
    <w:rsid w:val="00157397"/>
    <w:rsid w:val="00157BF1"/>
    <w:rsid w:val="00160BCB"/>
    <w:rsid w:val="00160FFA"/>
    <w:rsid w:val="00161B74"/>
    <w:rsid w:val="00162686"/>
    <w:rsid w:val="0016361B"/>
    <w:rsid w:val="00164754"/>
    <w:rsid w:val="001657F8"/>
    <w:rsid w:val="00167017"/>
    <w:rsid w:val="001704DD"/>
    <w:rsid w:val="0017305E"/>
    <w:rsid w:val="00173A1E"/>
    <w:rsid w:val="00173D64"/>
    <w:rsid w:val="00173F1D"/>
    <w:rsid w:val="00174F9F"/>
    <w:rsid w:val="0017608D"/>
    <w:rsid w:val="00176829"/>
    <w:rsid w:val="00177533"/>
    <w:rsid w:val="00180395"/>
    <w:rsid w:val="00183F7C"/>
    <w:rsid w:val="00185BD0"/>
    <w:rsid w:val="00186FF1"/>
    <w:rsid w:val="00187689"/>
    <w:rsid w:val="001877B4"/>
    <w:rsid w:val="001915D2"/>
    <w:rsid w:val="0019208C"/>
    <w:rsid w:val="00192144"/>
    <w:rsid w:val="001A1B0A"/>
    <w:rsid w:val="001A3EEE"/>
    <w:rsid w:val="001A75EA"/>
    <w:rsid w:val="001B0888"/>
    <w:rsid w:val="001B12BC"/>
    <w:rsid w:val="001B78F9"/>
    <w:rsid w:val="001C0FC4"/>
    <w:rsid w:val="001C1B3F"/>
    <w:rsid w:val="001C26EA"/>
    <w:rsid w:val="001C2BFE"/>
    <w:rsid w:val="001C347D"/>
    <w:rsid w:val="001C4178"/>
    <w:rsid w:val="001C4E9B"/>
    <w:rsid w:val="001C5737"/>
    <w:rsid w:val="001C7D51"/>
    <w:rsid w:val="001D0870"/>
    <w:rsid w:val="001D1537"/>
    <w:rsid w:val="001D52A4"/>
    <w:rsid w:val="001D60BF"/>
    <w:rsid w:val="001D6360"/>
    <w:rsid w:val="001D6F30"/>
    <w:rsid w:val="001D7FF5"/>
    <w:rsid w:val="001E0223"/>
    <w:rsid w:val="001E3A8D"/>
    <w:rsid w:val="001F176D"/>
    <w:rsid w:val="001F5D07"/>
    <w:rsid w:val="001F5E83"/>
    <w:rsid w:val="001F781E"/>
    <w:rsid w:val="00200188"/>
    <w:rsid w:val="00212D01"/>
    <w:rsid w:val="00215791"/>
    <w:rsid w:val="00216E3F"/>
    <w:rsid w:val="00217317"/>
    <w:rsid w:val="0022155A"/>
    <w:rsid w:val="002243BA"/>
    <w:rsid w:val="0023081F"/>
    <w:rsid w:val="0023522A"/>
    <w:rsid w:val="002377F4"/>
    <w:rsid w:val="00240719"/>
    <w:rsid w:val="00241E6D"/>
    <w:rsid w:val="002429F0"/>
    <w:rsid w:val="0024555E"/>
    <w:rsid w:val="00245AE1"/>
    <w:rsid w:val="002500C4"/>
    <w:rsid w:val="00250177"/>
    <w:rsid w:val="0025024F"/>
    <w:rsid w:val="00252B00"/>
    <w:rsid w:val="00252B74"/>
    <w:rsid w:val="00252C04"/>
    <w:rsid w:val="00253999"/>
    <w:rsid w:val="00253B13"/>
    <w:rsid w:val="002558AF"/>
    <w:rsid w:val="002575DC"/>
    <w:rsid w:val="0025778E"/>
    <w:rsid w:val="00260F97"/>
    <w:rsid w:val="00261451"/>
    <w:rsid w:val="002675D2"/>
    <w:rsid w:val="0027021E"/>
    <w:rsid w:val="00273213"/>
    <w:rsid w:val="00273FE8"/>
    <w:rsid w:val="00275DC6"/>
    <w:rsid w:val="002763DC"/>
    <w:rsid w:val="0027690F"/>
    <w:rsid w:val="00281FDF"/>
    <w:rsid w:val="002831D2"/>
    <w:rsid w:val="00285B4A"/>
    <w:rsid w:val="002910CA"/>
    <w:rsid w:val="00291895"/>
    <w:rsid w:val="00291BD5"/>
    <w:rsid w:val="0029497C"/>
    <w:rsid w:val="00295927"/>
    <w:rsid w:val="00297D96"/>
    <w:rsid w:val="002A0E7A"/>
    <w:rsid w:val="002A168B"/>
    <w:rsid w:val="002A31D3"/>
    <w:rsid w:val="002A3361"/>
    <w:rsid w:val="002A38F4"/>
    <w:rsid w:val="002A3BE1"/>
    <w:rsid w:val="002A3F41"/>
    <w:rsid w:val="002A476C"/>
    <w:rsid w:val="002A5D45"/>
    <w:rsid w:val="002A5D93"/>
    <w:rsid w:val="002B0DC9"/>
    <w:rsid w:val="002B1718"/>
    <w:rsid w:val="002B22B6"/>
    <w:rsid w:val="002B636E"/>
    <w:rsid w:val="002B751E"/>
    <w:rsid w:val="002C0E2D"/>
    <w:rsid w:val="002C1FC4"/>
    <w:rsid w:val="002C6C45"/>
    <w:rsid w:val="002D15BF"/>
    <w:rsid w:val="002D27C7"/>
    <w:rsid w:val="002D3DD6"/>
    <w:rsid w:val="002D42ED"/>
    <w:rsid w:val="002D7921"/>
    <w:rsid w:val="002E0448"/>
    <w:rsid w:val="002E0F06"/>
    <w:rsid w:val="002E32E8"/>
    <w:rsid w:val="002E55D4"/>
    <w:rsid w:val="002E6D73"/>
    <w:rsid w:val="002F4079"/>
    <w:rsid w:val="002F4924"/>
    <w:rsid w:val="002F5E97"/>
    <w:rsid w:val="002F7968"/>
    <w:rsid w:val="002F7AC1"/>
    <w:rsid w:val="00301D0E"/>
    <w:rsid w:val="00304C93"/>
    <w:rsid w:val="00307929"/>
    <w:rsid w:val="003135D1"/>
    <w:rsid w:val="0031644D"/>
    <w:rsid w:val="00316BC6"/>
    <w:rsid w:val="00316D8B"/>
    <w:rsid w:val="003213B5"/>
    <w:rsid w:val="003262ED"/>
    <w:rsid w:val="003276AC"/>
    <w:rsid w:val="0033273B"/>
    <w:rsid w:val="00332FE8"/>
    <w:rsid w:val="003344D7"/>
    <w:rsid w:val="00341AE9"/>
    <w:rsid w:val="00342746"/>
    <w:rsid w:val="00344C6D"/>
    <w:rsid w:val="003463D1"/>
    <w:rsid w:val="0035017F"/>
    <w:rsid w:val="0035218A"/>
    <w:rsid w:val="00353835"/>
    <w:rsid w:val="00355B6F"/>
    <w:rsid w:val="00356922"/>
    <w:rsid w:val="00361CAF"/>
    <w:rsid w:val="00361D21"/>
    <w:rsid w:val="00361DBA"/>
    <w:rsid w:val="00362F3F"/>
    <w:rsid w:val="00363CAE"/>
    <w:rsid w:val="00367C8F"/>
    <w:rsid w:val="00370CC2"/>
    <w:rsid w:val="003731A5"/>
    <w:rsid w:val="00374D40"/>
    <w:rsid w:val="003750E7"/>
    <w:rsid w:val="00376F0C"/>
    <w:rsid w:val="003802FE"/>
    <w:rsid w:val="00387064"/>
    <w:rsid w:val="0038796F"/>
    <w:rsid w:val="0039358B"/>
    <w:rsid w:val="00397A01"/>
    <w:rsid w:val="003A02FC"/>
    <w:rsid w:val="003A0344"/>
    <w:rsid w:val="003A1868"/>
    <w:rsid w:val="003A4AC6"/>
    <w:rsid w:val="003A4AFE"/>
    <w:rsid w:val="003A6C20"/>
    <w:rsid w:val="003B303A"/>
    <w:rsid w:val="003B443E"/>
    <w:rsid w:val="003B7861"/>
    <w:rsid w:val="003C1098"/>
    <w:rsid w:val="003C161B"/>
    <w:rsid w:val="003C3017"/>
    <w:rsid w:val="003C3DC4"/>
    <w:rsid w:val="003C52E3"/>
    <w:rsid w:val="003D0081"/>
    <w:rsid w:val="003D176F"/>
    <w:rsid w:val="003D2564"/>
    <w:rsid w:val="003E03C6"/>
    <w:rsid w:val="003E0515"/>
    <w:rsid w:val="003E2E29"/>
    <w:rsid w:val="003E33E2"/>
    <w:rsid w:val="003E36D7"/>
    <w:rsid w:val="003E391F"/>
    <w:rsid w:val="003E50FE"/>
    <w:rsid w:val="003E5960"/>
    <w:rsid w:val="003E644B"/>
    <w:rsid w:val="003F3344"/>
    <w:rsid w:val="003F35F8"/>
    <w:rsid w:val="003F53D2"/>
    <w:rsid w:val="003F746B"/>
    <w:rsid w:val="0040217E"/>
    <w:rsid w:val="00403526"/>
    <w:rsid w:val="00410BE2"/>
    <w:rsid w:val="00411C7F"/>
    <w:rsid w:val="004138A7"/>
    <w:rsid w:val="00420F93"/>
    <w:rsid w:val="0042256B"/>
    <w:rsid w:val="00423EEA"/>
    <w:rsid w:val="004245EE"/>
    <w:rsid w:val="004318ED"/>
    <w:rsid w:val="00436C21"/>
    <w:rsid w:val="004377B1"/>
    <w:rsid w:val="0044093D"/>
    <w:rsid w:val="00441128"/>
    <w:rsid w:val="00442806"/>
    <w:rsid w:val="00445300"/>
    <w:rsid w:val="0044583C"/>
    <w:rsid w:val="00445D8B"/>
    <w:rsid w:val="004470AA"/>
    <w:rsid w:val="0045052A"/>
    <w:rsid w:val="00451A89"/>
    <w:rsid w:val="00454455"/>
    <w:rsid w:val="00455785"/>
    <w:rsid w:val="004564DF"/>
    <w:rsid w:val="0045739D"/>
    <w:rsid w:val="00460158"/>
    <w:rsid w:val="004602B7"/>
    <w:rsid w:val="0046123D"/>
    <w:rsid w:val="00465B09"/>
    <w:rsid w:val="00471BA3"/>
    <w:rsid w:val="00472C70"/>
    <w:rsid w:val="0047509D"/>
    <w:rsid w:val="004777EE"/>
    <w:rsid w:val="00480FF5"/>
    <w:rsid w:val="0048119C"/>
    <w:rsid w:val="004857D7"/>
    <w:rsid w:val="004858E3"/>
    <w:rsid w:val="0048643E"/>
    <w:rsid w:val="00486C56"/>
    <w:rsid w:val="00487733"/>
    <w:rsid w:val="004927B0"/>
    <w:rsid w:val="00492AC9"/>
    <w:rsid w:val="00495071"/>
    <w:rsid w:val="004A0144"/>
    <w:rsid w:val="004A3A3E"/>
    <w:rsid w:val="004A7300"/>
    <w:rsid w:val="004B1995"/>
    <w:rsid w:val="004B31BE"/>
    <w:rsid w:val="004B3F28"/>
    <w:rsid w:val="004B4861"/>
    <w:rsid w:val="004C386C"/>
    <w:rsid w:val="004C4136"/>
    <w:rsid w:val="004C4B10"/>
    <w:rsid w:val="004D1051"/>
    <w:rsid w:val="004D2740"/>
    <w:rsid w:val="004D69E2"/>
    <w:rsid w:val="004E072F"/>
    <w:rsid w:val="004E1A7A"/>
    <w:rsid w:val="004E6054"/>
    <w:rsid w:val="004E6B95"/>
    <w:rsid w:val="004F0882"/>
    <w:rsid w:val="004F263B"/>
    <w:rsid w:val="004F3499"/>
    <w:rsid w:val="004F79E7"/>
    <w:rsid w:val="00500349"/>
    <w:rsid w:val="005005F5"/>
    <w:rsid w:val="00500E36"/>
    <w:rsid w:val="00501A6C"/>
    <w:rsid w:val="00504692"/>
    <w:rsid w:val="00507EFF"/>
    <w:rsid w:val="00510A2C"/>
    <w:rsid w:val="00512E12"/>
    <w:rsid w:val="005173A0"/>
    <w:rsid w:val="00520E00"/>
    <w:rsid w:val="005234BE"/>
    <w:rsid w:val="00524208"/>
    <w:rsid w:val="00525BF4"/>
    <w:rsid w:val="00531263"/>
    <w:rsid w:val="00532849"/>
    <w:rsid w:val="00535AD0"/>
    <w:rsid w:val="005374DD"/>
    <w:rsid w:val="00537A1F"/>
    <w:rsid w:val="005407AE"/>
    <w:rsid w:val="005421EE"/>
    <w:rsid w:val="005446D7"/>
    <w:rsid w:val="005447BA"/>
    <w:rsid w:val="00544883"/>
    <w:rsid w:val="0054539C"/>
    <w:rsid w:val="00546C02"/>
    <w:rsid w:val="00552C84"/>
    <w:rsid w:val="00554B9B"/>
    <w:rsid w:val="00555001"/>
    <w:rsid w:val="00555F8F"/>
    <w:rsid w:val="00561001"/>
    <w:rsid w:val="005614D4"/>
    <w:rsid w:val="00566C8A"/>
    <w:rsid w:val="00571BD8"/>
    <w:rsid w:val="00574F4B"/>
    <w:rsid w:val="005769D3"/>
    <w:rsid w:val="00576E48"/>
    <w:rsid w:val="00580B56"/>
    <w:rsid w:val="005818DF"/>
    <w:rsid w:val="00582AE6"/>
    <w:rsid w:val="0058323E"/>
    <w:rsid w:val="00583FDA"/>
    <w:rsid w:val="00585989"/>
    <w:rsid w:val="005871D3"/>
    <w:rsid w:val="00590BA2"/>
    <w:rsid w:val="00591BA5"/>
    <w:rsid w:val="00592663"/>
    <w:rsid w:val="00592F8D"/>
    <w:rsid w:val="00596AA5"/>
    <w:rsid w:val="005A1973"/>
    <w:rsid w:val="005B113F"/>
    <w:rsid w:val="005B3234"/>
    <w:rsid w:val="005B3330"/>
    <w:rsid w:val="005B35E4"/>
    <w:rsid w:val="005B54A8"/>
    <w:rsid w:val="005C0FBD"/>
    <w:rsid w:val="005C1AEC"/>
    <w:rsid w:val="005C33C4"/>
    <w:rsid w:val="005C3A56"/>
    <w:rsid w:val="005C5771"/>
    <w:rsid w:val="005C6620"/>
    <w:rsid w:val="005C66F7"/>
    <w:rsid w:val="005C748D"/>
    <w:rsid w:val="005C789F"/>
    <w:rsid w:val="005D0648"/>
    <w:rsid w:val="005D52DB"/>
    <w:rsid w:val="005D711E"/>
    <w:rsid w:val="005E1292"/>
    <w:rsid w:val="005E1F17"/>
    <w:rsid w:val="005E5817"/>
    <w:rsid w:val="005E5F65"/>
    <w:rsid w:val="005E7842"/>
    <w:rsid w:val="005F18B4"/>
    <w:rsid w:val="005F3659"/>
    <w:rsid w:val="005F64E9"/>
    <w:rsid w:val="00600004"/>
    <w:rsid w:val="0060027E"/>
    <w:rsid w:val="0060335E"/>
    <w:rsid w:val="00605269"/>
    <w:rsid w:val="00605511"/>
    <w:rsid w:val="00606D39"/>
    <w:rsid w:val="0061371D"/>
    <w:rsid w:val="0061471D"/>
    <w:rsid w:val="00615083"/>
    <w:rsid w:val="00621867"/>
    <w:rsid w:val="00623D9E"/>
    <w:rsid w:val="00624BD8"/>
    <w:rsid w:val="00625359"/>
    <w:rsid w:val="00625F07"/>
    <w:rsid w:val="00630251"/>
    <w:rsid w:val="0063521D"/>
    <w:rsid w:val="006355A7"/>
    <w:rsid w:val="006412E2"/>
    <w:rsid w:val="00641A33"/>
    <w:rsid w:val="00643356"/>
    <w:rsid w:val="0065070F"/>
    <w:rsid w:val="00654254"/>
    <w:rsid w:val="006545F0"/>
    <w:rsid w:val="00654F7C"/>
    <w:rsid w:val="00655DB5"/>
    <w:rsid w:val="00662297"/>
    <w:rsid w:val="00662A08"/>
    <w:rsid w:val="00664314"/>
    <w:rsid w:val="0066596A"/>
    <w:rsid w:val="00665AF5"/>
    <w:rsid w:val="00671777"/>
    <w:rsid w:val="0067371F"/>
    <w:rsid w:val="00673E1B"/>
    <w:rsid w:val="00674574"/>
    <w:rsid w:val="006753BD"/>
    <w:rsid w:val="00684737"/>
    <w:rsid w:val="006867DB"/>
    <w:rsid w:val="00687C41"/>
    <w:rsid w:val="00691323"/>
    <w:rsid w:val="00691DAF"/>
    <w:rsid w:val="0069313C"/>
    <w:rsid w:val="0069704B"/>
    <w:rsid w:val="006A0815"/>
    <w:rsid w:val="006A0CD9"/>
    <w:rsid w:val="006A32F2"/>
    <w:rsid w:val="006A41BF"/>
    <w:rsid w:val="006B0A81"/>
    <w:rsid w:val="006B2E63"/>
    <w:rsid w:val="006B3E0C"/>
    <w:rsid w:val="006B424B"/>
    <w:rsid w:val="006B62BE"/>
    <w:rsid w:val="006C166D"/>
    <w:rsid w:val="006C2439"/>
    <w:rsid w:val="006C3541"/>
    <w:rsid w:val="006C6B97"/>
    <w:rsid w:val="006D0AB8"/>
    <w:rsid w:val="006D1F5A"/>
    <w:rsid w:val="006D2784"/>
    <w:rsid w:val="006D2A3F"/>
    <w:rsid w:val="006D3F92"/>
    <w:rsid w:val="006D4292"/>
    <w:rsid w:val="006D78BE"/>
    <w:rsid w:val="006E1E8D"/>
    <w:rsid w:val="006E2CE6"/>
    <w:rsid w:val="006E4551"/>
    <w:rsid w:val="006E4A8B"/>
    <w:rsid w:val="006E62CD"/>
    <w:rsid w:val="006F3515"/>
    <w:rsid w:val="006F4759"/>
    <w:rsid w:val="006F61BC"/>
    <w:rsid w:val="006F6F81"/>
    <w:rsid w:val="007007F2"/>
    <w:rsid w:val="00700C83"/>
    <w:rsid w:val="0070132F"/>
    <w:rsid w:val="007015D2"/>
    <w:rsid w:val="007025CC"/>
    <w:rsid w:val="00703E69"/>
    <w:rsid w:val="0071208D"/>
    <w:rsid w:val="00712A0F"/>
    <w:rsid w:val="00716960"/>
    <w:rsid w:val="0071759B"/>
    <w:rsid w:val="00723477"/>
    <w:rsid w:val="0072512E"/>
    <w:rsid w:val="0072553E"/>
    <w:rsid w:val="00730A92"/>
    <w:rsid w:val="00731AF2"/>
    <w:rsid w:val="00732CB7"/>
    <w:rsid w:val="0073359D"/>
    <w:rsid w:val="00735C95"/>
    <w:rsid w:val="007366D9"/>
    <w:rsid w:val="00740C7A"/>
    <w:rsid w:val="00742A08"/>
    <w:rsid w:val="007505D7"/>
    <w:rsid w:val="00750DBA"/>
    <w:rsid w:val="00753A79"/>
    <w:rsid w:val="007541A8"/>
    <w:rsid w:val="007579F5"/>
    <w:rsid w:val="00757D2E"/>
    <w:rsid w:val="007603E9"/>
    <w:rsid w:val="007604ED"/>
    <w:rsid w:val="00764203"/>
    <w:rsid w:val="00765AFD"/>
    <w:rsid w:val="00767729"/>
    <w:rsid w:val="00767C68"/>
    <w:rsid w:val="007715E0"/>
    <w:rsid w:val="00772053"/>
    <w:rsid w:val="00775F5F"/>
    <w:rsid w:val="0077606C"/>
    <w:rsid w:val="007763C0"/>
    <w:rsid w:val="00777B58"/>
    <w:rsid w:val="007806A6"/>
    <w:rsid w:val="007834DA"/>
    <w:rsid w:val="007879DD"/>
    <w:rsid w:val="00792451"/>
    <w:rsid w:val="007931ED"/>
    <w:rsid w:val="00794D80"/>
    <w:rsid w:val="007A06B9"/>
    <w:rsid w:val="007A160D"/>
    <w:rsid w:val="007A206B"/>
    <w:rsid w:val="007A4B16"/>
    <w:rsid w:val="007A50AF"/>
    <w:rsid w:val="007A5A37"/>
    <w:rsid w:val="007A67BC"/>
    <w:rsid w:val="007B004B"/>
    <w:rsid w:val="007B01FE"/>
    <w:rsid w:val="007B2F04"/>
    <w:rsid w:val="007B3F93"/>
    <w:rsid w:val="007B5353"/>
    <w:rsid w:val="007B77B9"/>
    <w:rsid w:val="007C3408"/>
    <w:rsid w:val="007C5192"/>
    <w:rsid w:val="007C59F8"/>
    <w:rsid w:val="007D1B26"/>
    <w:rsid w:val="007D3802"/>
    <w:rsid w:val="007D7CA5"/>
    <w:rsid w:val="007D7F02"/>
    <w:rsid w:val="007E092B"/>
    <w:rsid w:val="007E676E"/>
    <w:rsid w:val="007F0B25"/>
    <w:rsid w:val="007F0B64"/>
    <w:rsid w:val="007F19DE"/>
    <w:rsid w:val="007F5D10"/>
    <w:rsid w:val="007F65D9"/>
    <w:rsid w:val="007F73D3"/>
    <w:rsid w:val="00801743"/>
    <w:rsid w:val="008044F5"/>
    <w:rsid w:val="00804F95"/>
    <w:rsid w:val="00805024"/>
    <w:rsid w:val="00806B37"/>
    <w:rsid w:val="008074D5"/>
    <w:rsid w:val="00813F37"/>
    <w:rsid w:val="008150DF"/>
    <w:rsid w:val="00816EBC"/>
    <w:rsid w:val="00816F02"/>
    <w:rsid w:val="0081700E"/>
    <w:rsid w:val="008209D8"/>
    <w:rsid w:val="00821BDE"/>
    <w:rsid w:val="00822ADF"/>
    <w:rsid w:val="00823F05"/>
    <w:rsid w:val="0082601A"/>
    <w:rsid w:val="00835C89"/>
    <w:rsid w:val="0084376D"/>
    <w:rsid w:val="00845343"/>
    <w:rsid w:val="008461BF"/>
    <w:rsid w:val="008531DF"/>
    <w:rsid w:val="00854102"/>
    <w:rsid w:val="00854316"/>
    <w:rsid w:val="00855B52"/>
    <w:rsid w:val="00855CF7"/>
    <w:rsid w:val="0085746F"/>
    <w:rsid w:val="008705B1"/>
    <w:rsid w:val="00872000"/>
    <w:rsid w:val="00872343"/>
    <w:rsid w:val="008735C8"/>
    <w:rsid w:val="00874BC6"/>
    <w:rsid w:val="00874DA9"/>
    <w:rsid w:val="00876BA5"/>
    <w:rsid w:val="008866BE"/>
    <w:rsid w:val="00887D4B"/>
    <w:rsid w:val="00891368"/>
    <w:rsid w:val="008913DB"/>
    <w:rsid w:val="00892454"/>
    <w:rsid w:val="00892639"/>
    <w:rsid w:val="0089271B"/>
    <w:rsid w:val="008974FE"/>
    <w:rsid w:val="008A00F3"/>
    <w:rsid w:val="008A14FF"/>
    <w:rsid w:val="008A2423"/>
    <w:rsid w:val="008A409C"/>
    <w:rsid w:val="008A4646"/>
    <w:rsid w:val="008A4CFC"/>
    <w:rsid w:val="008A7B02"/>
    <w:rsid w:val="008B2A09"/>
    <w:rsid w:val="008B36EA"/>
    <w:rsid w:val="008B72FD"/>
    <w:rsid w:val="008C1241"/>
    <w:rsid w:val="008C25A7"/>
    <w:rsid w:val="008C3229"/>
    <w:rsid w:val="008C5213"/>
    <w:rsid w:val="008C5757"/>
    <w:rsid w:val="008C7BF6"/>
    <w:rsid w:val="008D0408"/>
    <w:rsid w:val="008D078A"/>
    <w:rsid w:val="008D14D4"/>
    <w:rsid w:val="008D1FB8"/>
    <w:rsid w:val="008D2253"/>
    <w:rsid w:val="008D5474"/>
    <w:rsid w:val="008D6BA7"/>
    <w:rsid w:val="008D70B5"/>
    <w:rsid w:val="008D7534"/>
    <w:rsid w:val="008D7927"/>
    <w:rsid w:val="008E2C9F"/>
    <w:rsid w:val="008E2E2A"/>
    <w:rsid w:val="008E6056"/>
    <w:rsid w:val="008E662D"/>
    <w:rsid w:val="008E7347"/>
    <w:rsid w:val="008F666E"/>
    <w:rsid w:val="008F66C5"/>
    <w:rsid w:val="00901A3F"/>
    <w:rsid w:val="00902770"/>
    <w:rsid w:val="0090279A"/>
    <w:rsid w:val="00904907"/>
    <w:rsid w:val="0090493D"/>
    <w:rsid w:val="00907289"/>
    <w:rsid w:val="009075E7"/>
    <w:rsid w:val="009112B6"/>
    <w:rsid w:val="009114C4"/>
    <w:rsid w:val="009122BA"/>
    <w:rsid w:val="00914AB5"/>
    <w:rsid w:val="0091649F"/>
    <w:rsid w:val="0091691E"/>
    <w:rsid w:val="009257D0"/>
    <w:rsid w:val="00926789"/>
    <w:rsid w:val="0092798C"/>
    <w:rsid w:val="00932214"/>
    <w:rsid w:val="00932ECB"/>
    <w:rsid w:val="0093461C"/>
    <w:rsid w:val="00936392"/>
    <w:rsid w:val="00937F1C"/>
    <w:rsid w:val="009429D2"/>
    <w:rsid w:val="00947F96"/>
    <w:rsid w:val="00950B59"/>
    <w:rsid w:val="00952A48"/>
    <w:rsid w:val="00953A95"/>
    <w:rsid w:val="0095798D"/>
    <w:rsid w:val="00966F11"/>
    <w:rsid w:val="0096766A"/>
    <w:rsid w:val="00970C54"/>
    <w:rsid w:val="00970F02"/>
    <w:rsid w:val="00970FEF"/>
    <w:rsid w:val="00971C4C"/>
    <w:rsid w:val="00973B32"/>
    <w:rsid w:val="00973D31"/>
    <w:rsid w:val="00973ECE"/>
    <w:rsid w:val="009747BE"/>
    <w:rsid w:val="0097630B"/>
    <w:rsid w:val="00977476"/>
    <w:rsid w:val="00982B42"/>
    <w:rsid w:val="00984CD8"/>
    <w:rsid w:val="0098587E"/>
    <w:rsid w:val="009919F5"/>
    <w:rsid w:val="00995400"/>
    <w:rsid w:val="00997736"/>
    <w:rsid w:val="009A09E2"/>
    <w:rsid w:val="009A1009"/>
    <w:rsid w:val="009A22FF"/>
    <w:rsid w:val="009A6AFD"/>
    <w:rsid w:val="009A7234"/>
    <w:rsid w:val="009A7D8C"/>
    <w:rsid w:val="009B0770"/>
    <w:rsid w:val="009B0F62"/>
    <w:rsid w:val="009B24A2"/>
    <w:rsid w:val="009B5259"/>
    <w:rsid w:val="009B5AD2"/>
    <w:rsid w:val="009B7A49"/>
    <w:rsid w:val="009C05E4"/>
    <w:rsid w:val="009C0A77"/>
    <w:rsid w:val="009C62A4"/>
    <w:rsid w:val="009D1319"/>
    <w:rsid w:val="009D2E47"/>
    <w:rsid w:val="009D5AB4"/>
    <w:rsid w:val="009E1499"/>
    <w:rsid w:val="009E14B7"/>
    <w:rsid w:val="009E3032"/>
    <w:rsid w:val="009E32C6"/>
    <w:rsid w:val="009E7B26"/>
    <w:rsid w:val="009F253A"/>
    <w:rsid w:val="009F2A30"/>
    <w:rsid w:val="009F33F0"/>
    <w:rsid w:val="009F4AF1"/>
    <w:rsid w:val="009F536A"/>
    <w:rsid w:val="009F6861"/>
    <w:rsid w:val="00A00D16"/>
    <w:rsid w:val="00A0439C"/>
    <w:rsid w:val="00A05988"/>
    <w:rsid w:val="00A11529"/>
    <w:rsid w:val="00A16145"/>
    <w:rsid w:val="00A21075"/>
    <w:rsid w:val="00A260E6"/>
    <w:rsid w:val="00A27F48"/>
    <w:rsid w:val="00A339F3"/>
    <w:rsid w:val="00A33A0D"/>
    <w:rsid w:val="00A357AE"/>
    <w:rsid w:val="00A36A73"/>
    <w:rsid w:val="00A46FBE"/>
    <w:rsid w:val="00A47EAF"/>
    <w:rsid w:val="00A50D11"/>
    <w:rsid w:val="00A52486"/>
    <w:rsid w:val="00A564C8"/>
    <w:rsid w:val="00A64342"/>
    <w:rsid w:val="00A65C17"/>
    <w:rsid w:val="00A72630"/>
    <w:rsid w:val="00A74669"/>
    <w:rsid w:val="00A75438"/>
    <w:rsid w:val="00A755B0"/>
    <w:rsid w:val="00A8202D"/>
    <w:rsid w:val="00A843FC"/>
    <w:rsid w:val="00A873D8"/>
    <w:rsid w:val="00A87FC2"/>
    <w:rsid w:val="00A909BC"/>
    <w:rsid w:val="00A914D1"/>
    <w:rsid w:val="00A92289"/>
    <w:rsid w:val="00A928F4"/>
    <w:rsid w:val="00A93E54"/>
    <w:rsid w:val="00A9474F"/>
    <w:rsid w:val="00A96B4E"/>
    <w:rsid w:val="00A978C4"/>
    <w:rsid w:val="00AA6A63"/>
    <w:rsid w:val="00AA6B3F"/>
    <w:rsid w:val="00AB1283"/>
    <w:rsid w:val="00AB1FC0"/>
    <w:rsid w:val="00AB257B"/>
    <w:rsid w:val="00AB3B4D"/>
    <w:rsid w:val="00AB3E64"/>
    <w:rsid w:val="00AC1E23"/>
    <w:rsid w:val="00AC54CE"/>
    <w:rsid w:val="00AC7708"/>
    <w:rsid w:val="00AC7E00"/>
    <w:rsid w:val="00AC7F46"/>
    <w:rsid w:val="00AD1CC6"/>
    <w:rsid w:val="00AD70D0"/>
    <w:rsid w:val="00AD7C85"/>
    <w:rsid w:val="00AE0C38"/>
    <w:rsid w:val="00AE4091"/>
    <w:rsid w:val="00AE5C4B"/>
    <w:rsid w:val="00AF0CD9"/>
    <w:rsid w:val="00AF25D1"/>
    <w:rsid w:val="00AF2A71"/>
    <w:rsid w:val="00AF5405"/>
    <w:rsid w:val="00B00091"/>
    <w:rsid w:val="00B0101F"/>
    <w:rsid w:val="00B01029"/>
    <w:rsid w:val="00B029A5"/>
    <w:rsid w:val="00B06446"/>
    <w:rsid w:val="00B12713"/>
    <w:rsid w:val="00B16550"/>
    <w:rsid w:val="00B176AF"/>
    <w:rsid w:val="00B202B2"/>
    <w:rsid w:val="00B2033F"/>
    <w:rsid w:val="00B20C63"/>
    <w:rsid w:val="00B21E1C"/>
    <w:rsid w:val="00B2231D"/>
    <w:rsid w:val="00B231D9"/>
    <w:rsid w:val="00B23308"/>
    <w:rsid w:val="00B24DF7"/>
    <w:rsid w:val="00B25D07"/>
    <w:rsid w:val="00B335AD"/>
    <w:rsid w:val="00B33C1E"/>
    <w:rsid w:val="00B36665"/>
    <w:rsid w:val="00B40964"/>
    <w:rsid w:val="00B40A2B"/>
    <w:rsid w:val="00B40F27"/>
    <w:rsid w:val="00B42C90"/>
    <w:rsid w:val="00B43023"/>
    <w:rsid w:val="00B46D06"/>
    <w:rsid w:val="00B52A52"/>
    <w:rsid w:val="00B5683C"/>
    <w:rsid w:val="00B57893"/>
    <w:rsid w:val="00B62271"/>
    <w:rsid w:val="00B626CE"/>
    <w:rsid w:val="00B62FEE"/>
    <w:rsid w:val="00B632A0"/>
    <w:rsid w:val="00B66F39"/>
    <w:rsid w:val="00B6715F"/>
    <w:rsid w:val="00B67B15"/>
    <w:rsid w:val="00B75762"/>
    <w:rsid w:val="00B75F17"/>
    <w:rsid w:val="00B7669E"/>
    <w:rsid w:val="00B82555"/>
    <w:rsid w:val="00B82ABD"/>
    <w:rsid w:val="00B8416D"/>
    <w:rsid w:val="00B852ED"/>
    <w:rsid w:val="00B87B2F"/>
    <w:rsid w:val="00B918FB"/>
    <w:rsid w:val="00B92825"/>
    <w:rsid w:val="00B94F97"/>
    <w:rsid w:val="00B958D6"/>
    <w:rsid w:val="00BA064A"/>
    <w:rsid w:val="00BA0B6E"/>
    <w:rsid w:val="00BA0E6D"/>
    <w:rsid w:val="00BA1E23"/>
    <w:rsid w:val="00BA2497"/>
    <w:rsid w:val="00BB0023"/>
    <w:rsid w:val="00BB133D"/>
    <w:rsid w:val="00BB1555"/>
    <w:rsid w:val="00BB597C"/>
    <w:rsid w:val="00BC271B"/>
    <w:rsid w:val="00BC2B50"/>
    <w:rsid w:val="00BC304C"/>
    <w:rsid w:val="00BC5D3F"/>
    <w:rsid w:val="00BC7C6B"/>
    <w:rsid w:val="00BD0DC7"/>
    <w:rsid w:val="00BD354A"/>
    <w:rsid w:val="00BD37B9"/>
    <w:rsid w:val="00BD410C"/>
    <w:rsid w:val="00BD4A9E"/>
    <w:rsid w:val="00BD4DCF"/>
    <w:rsid w:val="00BD69A8"/>
    <w:rsid w:val="00BD72EB"/>
    <w:rsid w:val="00BE0337"/>
    <w:rsid w:val="00BE3E1B"/>
    <w:rsid w:val="00BE65CC"/>
    <w:rsid w:val="00BE74C6"/>
    <w:rsid w:val="00BF128D"/>
    <w:rsid w:val="00BF1742"/>
    <w:rsid w:val="00BF2068"/>
    <w:rsid w:val="00BF3573"/>
    <w:rsid w:val="00BF37FD"/>
    <w:rsid w:val="00BF3BC1"/>
    <w:rsid w:val="00BF708C"/>
    <w:rsid w:val="00BF7CE0"/>
    <w:rsid w:val="00C01BC1"/>
    <w:rsid w:val="00C02622"/>
    <w:rsid w:val="00C030F7"/>
    <w:rsid w:val="00C044AD"/>
    <w:rsid w:val="00C052B2"/>
    <w:rsid w:val="00C06521"/>
    <w:rsid w:val="00C0762F"/>
    <w:rsid w:val="00C07D99"/>
    <w:rsid w:val="00C1047D"/>
    <w:rsid w:val="00C16D48"/>
    <w:rsid w:val="00C176F5"/>
    <w:rsid w:val="00C208DE"/>
    <w:rsid w:val="00C26D6D"/>
    <w:rsid w:val="00C31399"/>
    <w:rsid w:val="00C3535A"/>
    <w:rsid w:val="00C354B5"/>
    <w:rsid w:val="00C3560D"/>
    <w:rsid w:val="00C368BE"/>
    <w:rsid w:val="00C429BC"/>
    <w:rsid w:val="00C46B81"/>
    <w:rsid w:val="00C5159E"/>
    <w:rsid w:val="00C5677C"/>
    <w:rsid w:val="00C5785A"/>
    <w:rsid w:val="00C6244A"/>
    <w:rsid w:val="00C62486"/>
    <w:rsid w:val="00C63626"/>
    <w:rsid w:val="00C63D15"/>
    <w:rsid w:val="00C63F91"/>
    <w:rsid w:val="00C64838"/>
    <w:rsid w:val="00C67FAA"/>
    <w:rsid w:val="00C703F1"/>
    <w:rsid w:val="00C71115"/>
    <w:rsid w:val="00C747A6"/>
    <w:rsid w:val="00C823AA"/>
    <w:rsid w:val="00C82D14"/>
    <w:rsid w:val="00C87DDC"/>
    <w:rsid w:val="00C90E17"/>
    <w:rsid w:val="00C91090"/>
    <w:rsid w:val="00C92F5D"/>
    <w:rsid w:val="00C9327D"/>
    <w:rsid w:val="00C9523D"/>
    <w:rsid w:val="00CA086C"/>
    <w:rsid w:val="00CA539B"/>
    <w:rsid w:val="00CB1A75"/>
    <w:rsid w:val="00CB3751"/>
    <w:rsid w:val="00CB389D"/>
    <w:rsid w:val="00CB4E18"/>
    <w:rsid w:val="00CB6ED5"/>
    <w:rsid w:val="00CC0219"/>
    <w:rsid w:val="00CC1D99"/>
    <w:rsid w:val="00CC2558"/>
    <w:rsid w:val="00CC55E7"/>
    <w:rsid w:val="00CC58BC"/>
    <w:rsid w:val="00CC5CB9"/>
    <w:rsid w:val="00CC67ED"/>
    <w:rsid w:val="00CC702A"/>
    <w:rsid w:val="00CC781F"/>
    <w:rsid w:val="00CD23B3"/>
    <w:rsid w:val="00CD3B02"/>
    <w:rsid w:val="00CE0F32"/>
    <w:rsid w:val="00CE204A"/>
    <w:rsid w:val="00CE24EC"/>
    <w:rsid w:val="00CE3997"/>
    <w:rsid w:val="00CE4605"/>
    <w:rsid w:val="00CF2AC5"/>
    <w:rsid w:val="00CF2F5B"/>
    <w:rsid w:val="00CF7432"/>
    <w:rsid w:val="00D0110A"/>
    <w:rsid w:val="00D03410"/>
    <w:rsid w:val="00D04FAC"/>
    <w:rsid w:val="00D06F3D"/>
    <w:rsid w:val="00D07F38"/>
    <w:rsid w:val="00D107D0"/>
    <w:rsid w:val="00D14717"/>
    <w:rsid w:val="00D14815"/>
    <w:rsid w:val="00D21BB1"/>
    <w:rsid w:val="00D21E7D"/>
    <w:rsid w:val="00D22128"/>
    <w:rsid w:val="00D226A6"/>
    <w:rsid w:val="00D261F6"/>
    <w:rsid w:val="00D26F1B"/>
    <w:rsid w:val="00D308D9"/>
    <w:rsid w:val="00D33092"/>
    <w:rsid w:val="00D33E95"/>
    <w:rsid w:val="00D34249"/>
    <w:rsid w:val="00D342A5"/>
    <w:rsid w:val="00D359DA"/>
    <w:rsid w:val="00D4262B"/>
    <w:rsid w:val="00D46B08"/>
    <w:rsid w:val="00D5240D"/>
    <w:rsid w:val="00D55489"/>
    <w:rsid w:val="00D605BF"/>
    <w:rsid w:val="00D6163A"/>
    <w:rsid w:val="00D62A5C"/>
    <w:rsid w:val="00D63C79"/>
    <w:rsid w:val="00D6412C"/>
    <w:rsid w:val="00D658FB"/>
    <w:rsid w:val="00D6645C"/>
    <w:rsid w:val="00D666B1"/>
    <w:rsid w:val="00D727AE"/>
    <w:rsid w:val="00D728B8"/>
    <w:rsid w:val="00D75032"/>
    <w:rsid w:val="00D77A99"/>
    <w:rsid w:val="00D80B41"/>
    <w:rsid w:val="00D8215F"/>
    <w:rsid w:val="00D826E4"/>
    <w:rsid w:val="00D84896"/>
    <w:rsid w:val="00D84CF7"/>
    <w:rsid w:val="00D85805"/>
    <w:rsid w:val="00D8719C"/>
    <w:rsid w:val="00D9062F"/>
    <w:rsid w:val="00D9515C"/>
    <w:rsid w:val="00D959F0"/>
    <w:rsid w:val="00DA217B"/>
    <w:rsid w:val="00DA4B8F"/>
    <w:rsid w:val="00DA557C"/>
    <w:rsid w:val="00DA5A6B"/>
    <w:rsid w:val="00DA6976"/>
    <w:rsid w:val="00DA69FD"/>
    <w:rsid w:val="00DA770C"/>
    <w:rsid w:val="00DB309B"/>
    <w:rsid w:val="00DB33B5"/>
    <w:rsid w:val="00DB3F01"/>
    <w:rsid w:val="00DB5E50"/>
    <w:rsid w:val="00DB6E98"/>
    <w:rsid w:val="00DC1E5A"/>
    <w:rsid w:val="00DC411C"/>
    <w:rsid w:val="00DC511E"/>
    <w:rsid w:val="00DC6EBD"/>
    <w:rsid w:val="00DC739A"/>
    <w:rsid w:val="00DD06D2"/>
    <w:rsid w:val="00DD1E89"/>
    <w:rsid w:val="00DD3129"/>
    <w:rsid w:val="00DD45FD"/>
    <w:rsid w:val="00DD4E67"/>
    <w:rsid w:val="00DD5181"/>
    <w:rsid w:val="00DD5191"/>
    <w:rsid w:val="00DD5D89"/>
    <w:rsid w:val="00DD69F0"/>
    <w:rsid w:val="00DE14E0"/>
    <w:rsid w:val="00DE1FD5"/>
    <w:rsid w:val="00DE2493"/>
    <w:rsid w:val="00DE56BB"/>
    <w:rsid w:val="00DE6B96"/>
    <w:rsid w:val="00DF071D"/>
    <w:rsid w:val="00DF4D27"/>
    <w:rsid w:val="00DF4EFA"/>
    <w:rsid w:val="00E011E8"/>
    <w:rsid w:val="00E022D2"/>
    <w:rsid w:val="00E03782"/>
    <w:rsid w:val="00E045AA"/>
    <w:rsid w:val="00E06C23"/>
    <w:rsid w:val="00E1389A"/>
    <w:rsid w:val="00E139AD"/>
    <w:rsid w:val="00E2029D"/>
    <w:rsid w:val="00E21FC2"/>
    <w:rsid w:val="00E22EC4"/>
    <w:rsid w:val="00E3642B"/>
    <w:rsid w:val="00E372F7"/>
    <w:rsid w:val="00E42FEF"/>
    <w:rsid w:val="00E43AFC"/>
    <w:rsid w:val="00E50BDE"/>
    <w:rsid w:val="00E51462"/>
    <w:rsid w:val="00E5265E"/>
    <w:rsid w:val="00E55749"/>
    <w:rsid w:val="00E63726"/>
    <w:rsid w:val="00E64F4E"/>
    <w:rsid w:val="00E7451E"/>
    <w:rsid w:val="00E83460"/>
    <w:rsid w:val="00E85C89"/>
    <w:rsid w:val="00E94B67"/>
    <w:rsid w:val="00E97A3F"/>
    <w:rsid w:val="00EA19B2"/>
    <w:rsid w:val="00EA268F"/>
    <w:rsid w:val="00EA49E5"/>
    <w:rsid w:val="00EB4347"/>
    <w:rsid w:val="00EB6F4D"/>
    <w:rsid w:val="00EB7A5C"/>
    <w:rsid w:val="00EB7AEA"/>
    <w:rsid w:val="00EB7B39"/>
    <w:rsid w:val="00EC268F"/>
    <w:rsid w:val="00EC6E80"/>
    <w:rsid w:val="00EC7690"/>
    <w:rsid w:val="00ED741E"/>
    <w:rsid w:val="00ED79DB"/>
    <w:rsid w:val="00EE6437"/>
    <w:rsid w:val="00EE7057"/>
    <w:rsid w:val="00EF0761"/>
    <w:rsid w:val="00EF1A16"/>
    <w:rsid w:val="00EF3E2A"/>
    <w:rsid w:val="00EF4396"/>
    <w:rsid w:val="00F01268"/>
    <w:rsid w:val="00F024E1"/>
    <w:rsid w:val="00F117B3"/>
    <w:rsid w:val="00F156D7"/>
    <w:rsid w:val="00F211A1"/>
    <w:rsid w:val="00F21C72"/>
    <w:rsid w:val="00F22815"/>
    <w:rsid w:val="00F268F2"/>
    <w:rsid w:val="00F27DDA"/>
    <w:rsid w:val="00F308CB"/>
    <w:rsid w:val="00F30BAB"/>
    <w:rsid w:val="00F35179"/>
    <w:rsid w:val="00F41B88"/>
    <w:rsid w:val="00F42CA5"/>
    <w:rsid w:val="00F44605"/>
    <w:rsid w:val="00F45DAA"/>
    <w:rsid w:val="00F45F0B"/>
    <w:rsid w:val="00F47DED"/>
    <w:rsid w:val="00F47E59"/>
    <w:rsid w:val="00F542D7"/>
    <w:rsid w:val="00F5721A"/>
    <w:rsid w:val="00F57F28"/>
    <w:rsid w:val="00F60FCB"/>
    <w:rsid w:val="00F61145"/>
    <w:rsid w:val="00F61925"/>
    <w:rsid w:val="00F62ED8"/>
    <w:rsid w:val="00F66D09"/>
    <w:rsid w:val="00F70523"/>
    <w:rsid w:val="00F72F3E"/>
    <w:rsid w:val="00F74508"/>
    <w:rsid w:val="00F821B5"/>
    <w:rsid w:val="00F85DCD"/>
    <w:rsid w:val="00F87417"/>
    <w:rsid w:val="00F926B8"/>
    <w:rsid w:val="00F95475"/>
    <w:rsid w:val="00F954BD"/>
    <w:rsid w:val="00FA05DA"/>
    <w:rsid w:val="00FA1E47"/>
    <w:rsid w:val="00FB1D8B"/>
    <w:rsid w:val="00FB78B0"/>
    <w:rsid w:val="00FC08D6"/>
    <w:rsid w:val="00FC2082"/>
    <w:rsid w:val="00FC5333"/>
    <w:rsid w:val="00FC6E36"/>
    <w:rsid w:val="00FC7657"/>
    <w:rsid w:val="00FC78F0"/>
    <w:rsid w:val="00FD2112"/>
    <w:rsid w:val="00FD3DED"/>
    <w:rsid w:val="00FD5080"/>
    <w:rsid w:val="00FD53E0"/>
    <w:rsid w:val="00FE3DCA"/>
    <w:rsid w:val="00FE473A"/>
    <w:rsid w:val="00FE5F9D"/>
    <w:rsid w:val="00FE7054"/>
    <w:rsid w:val="00FF094A"/>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E0AF-2F00-404C-99CA-8B053A03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Pyle, Cherie</cp:lastModifiedBy>
  <cp:revision>4</cp:revision>
  <cp:lastPrinted>2012-10-22T15:22:00Z</cp:lastPrinted>
  <dcterms:created xsi:type="dcterms:W3CDTF">2012-10-18T13:19:00Z</dcterms:created>
  <dcterms:modified xsi:type="dcterms:W3CDTF">2012-10-23T15:28:00Z</dcterms:modified>
</cp:coreProperties>
</file>