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FE" w:rsidRPr="002A5D4B" w:rsidRDefault="009304FE" w:rsidP="00BC7085">
      <w:pPr>
        <w:jc w:val="center"/>
        <w:rPr>
          <w:b/>
          <w:sz w:val="26"/>
          <w:szCs w:val="26"/>
        </w:rPr>
      </w:pPr>
      <w:r w:rsidRPr="002A5D4B">
        <w:rPr>
          <w:b/>
          <w:sz w:val="26"/>
          <w:szCs w:val="26"/>
        </w:rPr>
        <w:t>PENNSYLVANIA</w:t>
      </w:r>
    </w:p>
    <w:p w:rsidR="009304FE" w:rsidRPr="002A5D4B" w:rsidRDefault="009304FE" w:rsidP="00BC7085">
      <w:pPr>
        <w:jc w:val="center"/>
        <w:rPr>
          <w:b/>
          <w:sz w:val="26"/>
          <w:szCs w:val="26"/>
        </w:rPr>
      </w:pPr>
      <w:r w:rsidRPr="002A5D4B">
        <w:rPr>
          <w:b/>
          <w:sz w:val="26"/>
          <w:szCs w:val="26"/>
        </w:rPr>
        <w:t>PUBLIC UTILITY COMMISSION</w:t>
      </w:r>
    </w:p>
    <w:p w:rsidR="009304FE" w:rsidRDefault="009304FE" w:rsidP="00BC7085">
      <w:pPr>
        <w:jc w:val="center"/>
        <w:rPr>
          <w:b/>
          <w:sz w:val="26"/>
          <w:szCs w:val="26"/>
        </w:rPr>
      </w:pPr>
      <w:r w:rsidRPr="002A5D4B">
        <w:rPr>
          <w:b/>
          <w:sz w:val="26"/>
          <w:szCs w:val="26"/>
        </w:rPr>
        <w:t>Harrisburg, PA 17105-3265</w:t>
      </w:r>
    </w:p>
    <w:p w:rsidR="009304FE" w:rsidRDefault="009304FE" w:rsidP="00BC7085">
      <w:pPr>
        <w:rPr>
          <w:sz w:val="26"/>
          <w:szCs w:val="26"/>
        </w:rPr>
      </w:pPr>
    </w:p>
    <w:p w:rsidR="005F0C38" w:rsidRPr="00BA66A4" w:rsidRDefault="005F0C38" w:rsidP="00BC7085">
      <w:pPr>
        <w:rPr>
          <w:sz w:val="26"/>
          <w:szCs w:val="26"/>
        </w:rPr>
      </w:pPr>
    </w:p>
    <w:p w:rsidR="009304FE" w:rsidRPr="002A5D4B" w:rsidRDefault="009304FE" w:rsidP="00BC7085">
      <w:pPr>
        <w:jc w:val="right"/>
        <w:rPr>
          <w:sz w:val="26"/>
          <w:szCs w:val="26"/>
        </w:rPr>
      </w:pPr>
      <w:r>
        <w:rPr>
          <w:sz w:val="26"/>
          <w:szCs w:val="26"/>
        </w:rPr>
        <w:t>P</w:t>
      </w:r>
      <w:r w:rsidRPr="002A5D4B">
        <w:rPr>
          <w:sz w:val="26"/>
          <w:szCs w:val="26"/>
        </w:rPr>
        <w:t xml:space="preserve">ublic Meeting held </w:t>
      </w:r>
      <w:r w:rsidR="000D5FDC">
        <w:rPr>
          <w:sz w:val="26"/>
          <w:szCs w:val="26"/>
        </w:rPr>
        <w:t>November 8</w:t>
      </w:r>
      <w:r>
        <w:rPr>
          <w:sz w:val="26"/>
          <w:szCs w:val="26"/>
        </w:rPr>
        <w:t>,</w:t>
      </w:r>
      <w:r w:rsidRPr="00B01CA9">
        <w:rPr>
          <w:kern w:val="1"/>
          <w:sz w:val="26"/>
          <w:szCs w:val="26"/>
        </w:rPr>
        <w:t xml:space="preserve"> 20</w:t>
      </w:r>
      <w:r w:rsidR="00056C79">
        <w:rPr>
          <w:kern w:val="1"/>
          <w:sz w:val="26"/>
          <w:szCs w:val="26"/>
        </w:rPr>
        <w:t>1</w:t>
      </w:r>
      <w:r w:rsidR="004025AA">
        <w:rPr>
          <w:kern w:val="1"/>
          <w:sz w:val="26"/>
          <w:szCs w:val="26"/>
        </w:rPr>
        <w:t>2</w:t>
      </w:r>
    </w:p>
    <w:p w:rsidR="009304FE" w:rsidRDefault="009304FE" w:rsidP="00BC7085">
      <w:pPr>
        <w:rPr>
          <w:sz w:val="26"/>
          <w:szCs w:val="26"/>
        </w:rPr>
      </w:pPr>
    </w:p>
    <w:p w:rsidR="00392BA1" w:rsidRDefault="00392BA1" w:rsidP="00BC7085">
      <w:pPr>
        <w:rPr>
          <w:sz w:val="26"/>
          <w:szCs w:val="26"/>
        </w:rPr>
      </w:pPr>
    </w:p>
    <w:p w:rsidR="001B24CF" w:rsidRPr="002A5D4B" w:rsidRDefault="001B24CF" w:rsidP="00BC7085">
      <w:pPr>
        <w:rPr>
          <w:sz w:val="26"/>
          <w:szCs w:val="26"/>
        </w:rPr>
      </w:pPr>
    </w:p>
    <w:p w:rsidR="009304FE" w:rsidRPr="002A5D4B" w:rsidRDefault="009304FE" w:rsidP="00BC7085">
      <w:pPr>
        <w:rPr>
          <w:sz w:val="26"/>
          <w:szCs w:val="26"/>
        </w:rPr>
      </w:pPr>
      <w:r w:rsidRPr="002A5D4B">
        <w:rPr>
          <w:sz w:val="26"/>
          <w:szCs w:val="26"/>
        </w:rPr>
        <w:t>Commissioners Present:</w:t>
      </w:r>
    </w:p>
    <w:p w:rsidR="009304FE" w:rsidRPr="002A5D4B" w:rsidRDefault="009304FE" w:rsidP="00BC7085">
      <w:pPr>
        <w:rPr>
          <w:sz w:val="26"/>
          <w:szCs w:val="26"/>
        </w:rPr>
      </w:pPr>
    </w:p>
    <w:p w:rsidR="009304FE" w:rsidRPr="002A5D4B" w:rsidRDefault="009304FE" w:rsidP="00BC7085">
      <w:pPr>
        <w:rPr>
          <w:sz w:val="26"/>
          <w:szCs w:val="26"/>
        </w:rPr>
      </w:pPr>
      <w:r>
        <w:rPr>
          <w:sz w:val="26"/>
          <w:szCs w:val="26"/>
        </w:rPr>
        <w:tab/>
      </w:r>
      <w:r w:rsidR="00013A71">
        <w:rPr>
          <w:sz w:val="26"/>
          <w:szCs w:val="26"/>
        </w:rPr>
        <w:t>Robert F. Powelson</w:t>
      </w:r>
      <w:r w:rsidRPr="002A5D4B">
        <w:rPr>
          <w:sz w:val="26"/>
          <w:szCs w:val="26"/>
        </w:rPr>
        <w:t>, Chairman</w:t>
      </w:r>
    </w:p>
    <w:p w:rsidR="009304FE" w:rsidRDefault="009304FE" w:rsidP="00BC7085">
      <w:pPr>
        <w:rPr>
          <w:sz w:val="26"/>
          <w:szCs w:val="26"/>
        </w:rPr>
      </w:pPr>
      <w:r>
        <w:rPr>
          <w:sz w:val="26"/>
          <w:szCs w:val="26"/>
        </w:rPr>
        <w:tab/>
      </w:r>
      <w:r w:rsidR="00013A71">
        <w:rPr>
          <w:sz w:val="26"/>
          <w:szCs w:val="26"/>
        </w:rPr>
        <w:t>John F. Coleman, Jr.</w:t>
      </w:r>
      <w:r w:rsidR="00955057">
        <w:rPr>
          <w:sz w:val="26"/>
          <w:szCs w:val="26"/>
        </w:rPr>
        <w:t>,</w:t>
      </w:r>
      <w:r w:rsidRPr="002A5D4B">
        <w:rPr>
          <w:sz w:val="26"/>
          <w:szCs w:val="26"/>
        </w:rPr>
        <w:t xml:space="preserve"> Vice Chairman</w:t>
      </w:r>
    </w:p>
    <w:p w:rsidR="009304FE" w:rsidRPr="002A5D4B" w:rsidRDefault="00C3242B" w:rsidP="00BC7085">
      <w:pPr>
        <w:rPr>
          <w:sz w:val="26"/>
          <w:szCs w:val="26"/>
        </w:rPr>
      </w:pPr>
      <w:r>
        <w:rPr>
          <w:sz w:val="26"/>
          <w:szCs w:val="26"/>
        </w:rPr>
        <w:tab/>
      </w:r>
      <w:r w:rsidR="009304FE">
        <w:rPr>
          <w:sz w:val="26"/>
          <w:szCs w:val="26"/>
        </w:rPr>
        <w:t>Wayne E. Gardner</w:t>
      </w:r>
    </w:p>
    <w:p w:rsidR="009304FE" w:rsidRDefault="009304FE" w:rsidP="00BC7085">
      <w:pPr>
        <w:rPr>
          <w:sz w:val="26"/>
          <w:szCs w:val="26"/>
        </w:rPr>
      </w:pPr>
      <w:r w:rsidRPr="002A5D4B">
        <w:rPr>
          <w:sz w:val="26"/>
          <w:szCs w:val="26"/>
        </w:rPr>
        <w:tab/>
      </w:r>
      <w:r w:rsidR="00C205A7">
        <w:rPr>
          <w:sz w:val="26"/>
          <w:szCs w:val="26"/>
        </w:rPr>
        <w:t>James H. Cawley</w:t>
      </w:r>
    </w:p>
    <w:p w:rsidR="00FD071A" w:rsidRDefault="00FD071A" w:rsidP="00BC7085">
      <w:pPr>
        <w:rPr>
          <w:sz w:val="26"/>
          <w:szCs w:val="26"/>
        </w:rPr>
      </w:pPr>
      <w:r>
        <w:rPr>
          <w:sz w:val="26"/>
          <w:szCs w:val="26"/>
        </w:rPr>
        <w:tab/>
        <w:t>Pamela A. Witmer</w:t>
      </w:r>
    </w:p>
    <w:p w:rsidR="009304FE" w:rsidRDefault="009304FE" w:rsidP="00BC7085"/>
    <w:p w:rsidR="001B24CF" w:rsidRDefault="001B24CF" w:rsidP="00BC708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23468" w:rsidTr="00823468">
        <w:tc>
          <w:tcPr>
            <w:tcW w:w="4788" w:type="dxa"/>
          </w:tcPr>
          <w:p w:rsidR="00823468" w:rsidRDefault="00B01CF0" w:rsidP="00BC7085">
            <w:pPr>
              <w:rPr>
                <w:sz w:val="26"/>
                <w:szCs w:val="26"/>
              </w:rPr>
            </w:pPr>
            <w:r>
              <w:rPr>
                <w:sz w:val="26"/>
                <w:szCs w:val="26"/>
              </w:rPr>
              <w:t>Pennsylvania Public Utility Commission</w:t>
            </w:r>
            <w:r w:rsidR="00016ECD">
              <w:rPr>
                <w:sz w:val="26"/>
                <w:szCs w:val="26"/>
              </w:rPr>
              <w:t>,</w:t>
            </w:r>
          </w:p>
          <w:p w:rsidR="00564EB8" w:rsidRDefault="004025AA" w:rsidP="00BC7085">
            <w:pPr>
              <w:rPr>
                <w:sz w:val="26"/>
                <w:szCs w:val="26"/>
              </w:rPr>
            </w:pPr>
            <w:r>
              <w:rPr>
                <w:sz w:val="26"/>
                <w:szCs w:val="26"/>
              </w:rPr>
              <w:t xml:space="preserve">Bureau </w:t>
            </w:r>
            <w:r w:rsidR="001B24CF">
              <w:rPr>
                <w:sz w:val="26"/>
                <w:szCs w:val="26"/>
              </w:rPr>
              <w:t xml:space="preserve">of Investigation and Enforcement </w:t>
            </w:r>
          </w:p>
          <w:p w:rsidR="00F330DB" w:rsidRDefault="00F330DB" w:rsidP="00BC7085">
            <w:pPr>
              <w:rPr>
                <w:sz w:val="26"/>
                <w:szCs w:val="26"/>
              </w:rPr>
            </w:pPr>
          </w:p>
          <w:p w:rsidR="00B01CF0" w:rsidRDefault="00F330DB" w:rsidP="00BC7085">
            <w:pPr>
              <w:rPr>
                <w:sz w:val="26"/>
                <w:szCs w:val="26"/>
              </w:rPr>
            </w:pPr>
            <w:r>
              <w:rPr>
                <w:sz w:val="26"/>
                <w:szCs w:val="26"/>
              </w:rPr>
              <w:t xml:space="preserve">                         </w:t>
            </w:r>
            <w:r w:rsidR="00B01CF0">
              <w:rPr>
                <w:sz w:val="26"/>
                <w:szCs w:val="26"/>
              </w:rPr>
              <w:t>v.</w:t>
            </w:r>
          </w:p>
          <w:p w:rsidR="00B01CF0" w:rsidRDefault="00B01CF0" w:rsidP="00BC7085">
            <w:pPr>
              <w:jc w:val="center"/>
              <w:rPr>
                <w:sz w:val="26"/>
                <w:szCs w:val="26"/>
              </w:rPr>
            </w:pPr>
          </w:p>
          <w:p w:rsidR="004025AA" w:rsidRDefault="001B24CF" w:rsidP="00BC7085">
            <w:pPr>
              <w:rPr>
                <w:sz w:val="26"/>
                <w:szCs w:val="26"/>
              </w:rPr>
            </w:pPr>
            <w:r>
              <w:rPr>
                <w:sz w:val="26"/>
                <w:szCs w:val="26"/>
              </w:rPr>
              <w:t>PECO Energy Company</w:t>
            </w:r>
          </w:p>
          <w:p w:rsidR="001B24CF" w:rsidRDefault="001B24CF" w:rsidP="00BC7085">
            <w:pPr>
              <w:rPr>
                <w:sz w:val="26"/>
                <w:szCs w:val="26"/>
              </w:rPr>
            </w:pPr>
          </w:p>
          <w:p w:rsidR="001B24CF" w:rsidRPr="00823468" w:rsidRDefault="001B24CF" w:rsidP="00BC7085">
            <w:pPr>
              <w:rPr>
                <w:sz w:val="26"/>
                <w:szCs w:val="26"/>
              </w:rPr>
            </w:pPr>
          </w:p>
        </w:tc>
        <w:tc>
          <w:tcPr>
            <w:tcW w:w="4788" w:type="dxa"/>
          </w:tcPr>
          <w:p w:rsidR="00823468" w:rsidRDefault="00CE7680" w:rsidP="00BC7085">
            <w:pPr>
              <w:jc w:val="right"/>
              <w:rPr>
                <w:sz w:val="26"/>
                <w:szCs w:val="26"/>
              </w:rPr>
            </w:pPr>
            <w:r>
              <w:rPr>
                <w:sz w:val="26"/>
                <w:szCs w:val="26"/>
              </w:rPr>
              <w:t>M</w:t>
            </w:r>
            <w:r w:rsidR="00B01CF0">
              <w:rPr>
                <w:sz w:val="26"/>
                <w:szCs w:val="26"/>
              </w:rPr>
              <w:t>-201</w:t>
            </w:r>
            <w:r w:rsidR="006D1163">
              <w:rPr>
                <w:sz w:val="26"/>
                <w:szCs w:val="26"/>
              </w:rPr>
              <w:t>2</w:t>
            </w:r>
            <w:r w:rsidR="00B01CF0">
              <w:rPr>
                <w:sz w:val="26"/>
                <w:szCs w:val="26"/>
              </w:rPr>
              <w:t>-</w:t>
            </w:r>
            <w:r w:rsidR="004025AA">
              <w:rPr>
                <w:sz w:val="26"/>
                <w:szCs w:val="26"/>
              </w:rPr>
              <w:t>2</w:t>
            </w:r>
            <w:r w:rsidR="001B24CF">
              <w:rPr>
                <w:sz w:val="26"/>
                <w:szCs w:val="26"/>
              </w:rPr>
              <w:t>205782</w:t>
            </w:r>
          </w:p>
          <w:p w:rsidR="00823468" w:rsidRPr="00823468" w:rsidRDefault="00823468" w:rsidP="00BC7085">
            <w:pPr>
              <w:jc w:val="right"/>
              <w:rPr>
                <w:sz w:val="26"/>
                <w:szCs w:val="26"/>
              </w:rPr>
            </w:pPr>
          </w:p>
        </w:tc>
      </w:tr>
    </w:tbl>
    <w:p w:rsidR="009304FE" w:rsidRPr="00624B80" w:rsidRDefault="009304FE" w:rsidP="00BC7085">
      <w:pPr>
        <w:tabs>
          <w:tab w:val="left" w:pos="-720"/>
        </w:tabs>
        <w:suppressAutoHyphens/>
        <w:rPr>
          <w:sz w:val="26"/>
        </w:rPr>
      </w:pPr>
    </w:p>
    <w:p w:rsidR="009304FE" w:rsidRPr="00624B80" w:rsidRDefault="009304FE" w:rsidP="00BC7085">
      <w:pPr>
        <w:tabs>
          <w:tab w:val="center" w:pos="4680"/>
        </w:tabs>
        <w:suppressAutoHyphens/>
        <w:jc w:val="center"/>
        <w:rPr>
          <w:b/>
          <w:sz w:val="26"/>
        </w:rPr>
      </w:pPr>
      <w:r w:rsidRPr="00624B80">
        <w:rPr>
          <w:b/>
          <w:sz w:val="26"/>
        </w:rPr>
        <w:t>OPINION AND ORDER</w:t>
      </w:r>
    </w:p>
    <w:p w:rsidR="00CA6BAF" w:rsidRPr="008D0116" w:rsidRDefault="00CA6BAF" w:rsidP="00BC7085">
      <w:pPr>
        <w:tabs>
          <w:tab w:val="left" w:pos="-720"/>
        </w:tabs>
        <w:suppressAutoHyphens/>
        <w:spacing w:line="360" w:lineRule="auto"/>
        <w:rPr>
          <w:sz w:val="26"/>
        </w:rPr>
      </w:pPr>
    </w:p>
    <w:p w:rsidR="009304FE" w:rsidRPr="00624B80" w:rsidRDefault="009304FE" w:rsidP="00BC7085">
      <w:pPr>
        <w:tabs>
          <w:tab w:val="left" w:pos="-720"/>
        </w:tabs>
        <w:suppressAutoHyphens/>
        <w:spacing w:line="360" w:lineRule="auto"/>
        <w:rPr>
          <w:sz w:val="26"/>
        </w:rPr>
      </w:pPr>
      <w:r w:rsidRPr="00624B80">
        <w:rPr>
          <w:b/>
          <w:sz w:val="26"/>
        </w:rPr>
        <w:t>BY THE COMMISSION:</w:t>
      </w:r>
    </w:p>
    <w:p w:rsidR="009304FE" w:rsidRDefault="009304FE" w:rsidP="00BC7085">
      <w:pPr>
        <w:rPr>
          <w:sz w:val="26"/>
          <w:szCs w:val="26"/>
        </w:rPr>
      </w:pPr>
    </w:p>
    <w:p w:rsidR="005B5513" w:rsidRDefault="00E35043" w:rsidP="005B5513">
      <w:pPr>
        <w:autoSpaceDE w:val="0"/>
        <w:autoSpaceDN w:val="0"/>
        <w:adjustRightInd w:val="0"/>
        <w:spacing w:line="360" w:lineRule="auto"/>
        <w:ind w:firstLine="1440"/>
        <w:rPr>
          <w:sz w:val="26"/>
          <w:szCs w:val="26"/>
        </w:rPr>
      </w:pPr>
      <w:r w:rsidRPr="00CA511D">
        <w:rPr>
          <w:sz w:val="26"/>
          <w:szCs w:val="26"/>
        </w:rPr>
        <w:t xml:space="preserve">Before the </w:t>
      </w:r>
      <w:r>
        <w:rPr>
          <w:sz w:val="26"/>
          <w:szCs w:val="26"/>
        </w:rPr>
        <w:t>Pennsylvania Public Utility Commission (</w:t>
      </w:r>
      <w:r w:rsidRPr="00CA511D">
        <w:rPr>
          <w:sz w:val="26"/>
          <w:szCs w:val="26"/>
        </w:rPr>
        <w:t>Commission</w:t>
      </w:r>
      <w:r>
        <w:rPr>
          <w:sz w:val="26"/>
          <w:szCs w:val="26"/>
        </w:rPr>
        <w:t>)</w:t>
      </w:r>
      <w:r w:rsidRPr="00CA511D">
        <w:rPr>
          <w:sz w:val="26"/>
          <w:szCs w:val="26"/>
        </w:rPr>
        <w:t xml:space="preserve"> </w:t>
      </w:r>
      <w:r w:rsidR="00630E90">
        <w:rPr>
          <w:sz w:val="26"/>
          <w:szCs w:val="26"/>
        </w:rPr>
        <w:t xml:space="preserve">for consideration and disposition </w:t>
      </w:r>
      <w:r>
        <w:rPr>
          <w:sz w:val="26"/>
          <w:szCs w:val="26"/>
        </w:rPr>
        <w:t xml:space="preserve">is a proposed Settlement Agreement (Settlement) filed on </w:t>
      </w:r>
      <w:r w:rsidR="004025AA">
        <w:rPr>
          <w:sz w:val="26"/>
          <w:szCs w:val="26"/>
        </w:rPr>
        <w:t>Dec</w:t>
      </w:r>
      <w:r w:rsidR="00520271">
        <w:rPr>
          <w:sz w:val="26"/>
          <w:szCs w:val="26"/>
        </w:rPr>
        <w:t>ember</w:t>
      </w:r>
      <w:r w:rsidR="004025AA">
        <w:rPr>
          <w:sz w:val="26"/>
          <w:szCs w:val="26"/>
        </w:rPr>
        <w:t xml:space="preserve"> 2</w:t>
      </w:r>
      <w:r>
        <w:rPr>
          <w:sz w:val="26"/>
          <w:szCs w:val="26"/>
        </w:rPr>
        <w:t>, 201</w:t>
      </w:r>
      <w:r w:rsidR="00392BA1">
        <w:rPr>
          <w:sz w:val="26"/>
          <w:szCs w:val="26"/>
        </w:rPr>
        <w:t>1</w:t>
      </w:r>
      <w:r>
        <w:rPr>
          <w:sz w:val="26"/>
          <w:szCs w:val="26"/>
        </w:rPr>
        <w:t>, by the Commission</w:t>
      </w:r>
      <w:r w:rsidR="00C205A7">
        <w:rPr>
          <w:sz w:val="26"/>
          <w:szCs w:val="26"/>
        </w:rPr>
        <w:t>’</w:t>
      </w:r>
      <w:r>
        <w:rPr>
          <w:sz w:val="26"/>
          <w:szCs w:val="26"/>
        </w:rPr>
        <w:t xml:space="preserve">s </w:t>
      </w:r>
      <w:r w:rsidR="00392BA1">
        <w:rPr>
          <w:sz w:val="26"/>
          <w:szCs w:val="26"/>
        </w:rPr>
        <w:t xml:space="preserve">Bureau of </w:t>
      </w:r>
      <w:r w:rsidR="00955057">
        <w:rPr>
          <w:sz w:val="26"/>
          <w:szCs w:val="26"/>
        </w:rPr>
        <w:t xml:space="preserve"> </w:t>
      </w:r>
      <w:r w:rsidR="00392BA1">
        <w:rPr>
          <w:sz w:val="26"/>
          <w:szCs w:val="26"/>
        </w:rPr>
        <w:t xml:space="preserve">Investigation and Enforcement </w:t>
      </w:r>
      <w:r>
        <w:rPr>
          <w:sz w:val="26"/>
          <w:szCs w:val="26"/>
        </w:rPr>
        <w:t>(Prosecutory Staff</w:t>
      </w:r>
      <w:r w:rsidR="00943A20">
        <w:rPr>
          <w:sz w:val="26"/>
          <w:szCs w:val="26"/>
        </w:rPr>
        <w:t xml:space="preserve"> or BI&amp;E</w:t>
      </w:r>
      <w:r>
        <w:rPr>
          <w:sz w:val="26"/>
          <w:szCs w:val="26"/>
        </w:rPr>
        <w:t xml:space="preserve">) and </w:t>
      </w:r>
      <w:r w:rsidR="00016ECD">
        <w:rPr>
          <w:sz w:val="26"/>
          <w:szCs w:val="26"/>
        </w:rPr>
        <w:t xml:space="preserve">PECO </w:t>
      </w:r>
      <w:r w:rsidR="00392BA1">
        <w:rPr>
          <w:sz w:val="26"/>
          <w:szCs w:val="26"/>
        </w:rPr>
        <w:t>Energy Company (PECO</w:t>
      </w:r>
      <w:r w:rsidR="00943A20">
        <w:rPr>
          <w:sz w:val="26"/>
          <w:szCs w:val="26"/>
        </w:rPr>
        <w:t xml:space="preserve"> or Company</w:t>
      </w:r>
      <w:r w:rsidR="00392BA1">
        <w:rPr>
          <w:sz w:val="26"/>
          <w:szCs w:val="26"/>
        </w:rPr>
        <w:t>).</w:t>
      </w:r>
      <w:r w:rsidR="005B5513">
        <w:rPr>
          <w:sz w:val="26"/>
          <w:szCs w:val="26"/>
        </w:rPr>
        <w:t xml:space="preserve">  The Parties have also filed a Joint Statement in Support of Settlement Agreement (Joint Statement).  </w:t>
      </w:r>
      <w:r w:rsidR="00D25B9E">
        <w:rPr>
          <w:sz w:val="26"/>
          <w:szCs w:val="26"/>
        </w:rPr>
        <w:t xml:space="preserve">Also before the Commission are the Comments filed by PECO on July 2, 2012.  For the reasons set forth herein, we </w:t>
      </w:r>
      <w:r w:rsidR="000B5270">
        <w:rPr>
          <w:sz w:val="26"/>
          <w:szCs w:val="26"/>
        </w:rPr>
        <w:t xml:space="preserve">find that the </w:t>
      </w:r>
      <w:r w:rsidR="00D25B9E">
        <w:rPr>
          <w:sz w:val="26"/>
          <w:szCs w:val="26"/>
        </w:rPr>
        <w:t>Settlement</w:t>
      </w:r>
      <w:r w:rsidR="000B5270">
        <w:rPr>
          <w:sz w:val="26"/>
          <w:szCs w:val="26"/>
        </w:rPr>
        <w:t xml:space="preserve"> should be </w:t>
      </w:r>
      <w:r w:rsidR="00D25B9E">
        <w:rPr>
          <w:sz w:val="26"/>
          <w:szCs w:val="26"/>
        </w:rPr>
        <w:t>modified</w:t>
      </w:r>
      <w:r w:rsidR="000B5270">
        <w:rPr>
          <w:sz w:val="26"/>
          <w:szCs w:val="26"/>
        </w:rPr>
        <w:t>, consistent with this Opinion and Order</w:t>
      </w:r>
      <w:r w:rsidR="00D25B9E">
        <w:rPr>
          <w:sz w:val="26"/>
          <w:szCs w:val="26"/>
        </w:rPr>
        <w:t>.</w:t>
      </w:r>
      <w:r w:rsidR="000B5270">
        <w:rPr>
          <w:sz w:val="26"/>
          <w:szCs w:val="26"/>
        </w:rPr>
        <w:t xml:space="preserve">  </w:t>
      </w:r>
    </w:p>
    <w:p w:rsidR="00BC76EF" w:rsidRPr="000C6D81" w:rsidRDefault="00BC76EF" w:rsidP="006B1974">
      <w:pPr>
        <w:spacing w:line="360" w:lineRule="auto"/>
        <w:jc w:val="center"/>
        <w:rPr>
          <w:rFonts w:ascii="Times New Roman Bold" w:hAnsi="Times New Roman Bold"/>
          <w:sz w:val="26"/>
        </w:rPr>
      </w:pPr>
      <w:r w:rsidRPr="000C6D81">
        <w:rPr>
          <w:rFonts w:ascii="Times New Roman Bold" w:hAnsi="Times New Roman Bold"/>
          <w:sz w:val="26"/>
        </w:rPr>
        <w:lastRenderedPageBreak/>
        <w:t>History of the Proceeding</w:t>
      </w:r>
    </w:p>
    <w:p w:rsidR="00BC76EF" w:rsidRDefault="00BC76EF" w:rsidP="00BC76EF">
      <w:pPr>
        <w:spacing w:line="360" w:lineRule="auto"/>
      </w:pPr>
    </w:p>
    <w:p w:rsidR="00BC76EF" w:rsidRDefault="00BC76EF" w:rsidP="00857342">
      <w:pPr>
        <w:autoSpaceDE w:val="0"/>
        <w:autoSpaceDN w:val="0"/>
        <w:adjustRightInd w:val="0"/>
        <w:spacing w:line="360" w:lineRule="auto"/>
        <w:ind w:firstLine="1440"/>
        <w:rPr>
          <w:sz w:val="26"/>
          <w:szCs w:val="26"/>
        </w:rPr>
      </w:pPr>
      <w:r w:rsidRPr="00DF0CF8">
        <w:rPr>
          <w:sz w:val="26"/>
          <w:szCs w:val="26"/>
        </w:rPr>
        <w:t>On or about November 1, 2010, the Prosecutory Staff formed an investigative team for the purpose of conducting an investigation</w:t>
      </w:r>
      <w:r w:rsidR="005B5513">
        <w:rPr>
          <w:sz w:val="26"/>
          <w:szCs w:val="26"/>
        </w:rPr>
        <w:t xml:space="preserve"> into PECO’s conduct prior to and following a “low level explosion and house fire” at a residence in Swedeland, Montgomery County, Pennsylvania on December 26, 2009</w:t>
      </w:r>
      <w:r w:rsidRPr="00DF0CF8">
        <w:rPr>
          <w:sz w:val="26"/>
          <w:szCs w:val="26"/>
        </w:rPr>
        <w:t xml:space="preserve">. </w:t>
      </w:r>
      <w:r>
        <w:rPr>
          <w:sz w:val="26"/>
          <w:szCs w:val="26"/>
        </w:rPr>
        <w:t xml:space="preserve"> </w:t>
      </w:r>
      <w:r w:rsidR="005B5513">
        <w:rPr>
          <w:sz w:val="26"/>
          <w:szCs w:val="26"/>
        </w:rPr>
        <w:t>Settlement</w:t>
      </w:r>
      <w:r>
        <w:rPr>
          <w:sz w:val="26"/>
          <w:szCs w:val="26"/>
        </w:rPr>
        <w:t xml:space="preserve"> at 6.  </w:t>
      </w:r>
      <w:r w:rsidR="00932724">
        <w:rPr>
          <w:rFonts w:cs="Mangal"/>
          <w:sz w:val="26"/>
          <w:szCs w:val="26"/>
          <w:lang w:bidi="hi-IN"/>
        </w:rPr>
        <w:t>The i</w:t>
      </w:r>
      <w:r w:rsidR="00932724" w:rsidRPr="00586017">
        <w:rPr>
          <w:rFonts w:cs="Mangal"/>
          <w:sz w:val="26"/>
          <w:szCs w:val="26"/>
          <w:lang w:bidi="hi-IN"/>
        </w:rPr>
        <w:t xml:space="preserve">nformal </w:t>
      </w:r>
      <w:r w:rsidR="00932724">
        <w:rPr>
          <w:rFonts w:cs="Mangal"/>
          <w:sz w:val="26"/>
          <w:szCs w:val="26"/>
          <w:lang w:bidi="hi-IN"/>
        </w:rPr>
        <w:t>i</w:t>
      </w:r>
      <w:r w:rsidR="00932724" w:rsidRPr="00586017">
        <w:rPr>
          <w:rFonts w:cs="Mangal"/>
          <w:sz w:val="26"/>
          <w:szCs w:val="26"/>
          <w:lang w:bidi="hi-IN"/>
        </w:rPr>
        <w:t xml:space="preserve">nvestigation was conducted pursuant to </w:t>
      </w:r>
      <w:r w:rsidR="00932724">
        <w:rPr>
          <w:rFonts w:cs="Mangal"/>
          <w:sz w:val="26"/>
          <w:szCs w:val="26"/>
          <w:lang w:bidi="hi-IN"/>
        </w:rPr>
        <w:t>Section</w:t>
      </w:r>
      <w:r w:rsidR="00932724" w:rsidRPr="00586017">
        <w:rPr>
          <w:rFonts w:cs="Mangal"/>
          <w:sz w:val="26"/>
          <w:szCs w:val="26"/>
          <w:lang w:bidi="hi-IN"/>
        </w:rPr>
        <w:t xml:space="preserve"> 331(a) of the </w:t>
      </w:r>
      <w:r w:rsidR="00857342">
        <w:rPr>
          <w:rFonts w:cs="Mangal"/>
          <w:sz w:val="26"/>
          <w:szCs w:val="26"/>
          <w:lang w:bidi="hi-IN"/>
        </w:rPr>
        <w:t xml:space="preserve">Public Utility </w:t>
      </w:r>
      <w:r w:rsidR="00932724">
        <w:rPr>
          <w:rFonts w:cs="Mangal"/>
          <w:sz w:val="26"/>
          <w:szCs w:val="26"/>
          <w:lang w:bidi="hi-IN"/>
        </w:rPr>
        <w:t>Code</w:t>
      </w:r>
      <w:r w:rsidR="00857342">
        <w:rPr>
          <w:rFonts w:cs="Mangal"/>
          <w:sz w:val="26"/>
          <w:szCs w:val="26"/>
          <w:lang w:bidi="hi-IN"/>
        </w:rPr>
        <w:t xml:space="preserve"> (Code)</w:t>
      </w:r>
      <w:r w:rsidR="00932724">
        <w:rPr>
          <w:rFonts w:cs="Mangal"/>
          <w:sz w:val="26"/>
          <w:szCs w:val="26"/>
          <w:lang w:bidi="hi-IN"/>
        </w:rPr>
        <w:t xml:space="preserve">, 66 Pa. C.S. § </w:t>
      </w:r>
      <w:r w:rsidR="00932724" w:rsidRPr="00586017">
        <w:rPr>
          <w:rFonts w:cs="Mangal"/>
          <w:sz w:val="26"/>
          <w:szCs w:val="26"/>
          <w:lang w:bidi="hi-IN"/>
        </w:rPr>
        <w:t>331(a), and Section 3.113 of the Commission</w:t>
      </w:r>
      <w:r w:rsidR="00932724">
        <w:rPr>
          <w:rFonts w:cs="Mangal"/>
          <w:sz w:val="26"/>
          <w:szCs w:val="26"/>
          <w:lang w:bidi="hi-IN"/>
        </w:rPr>
        <w:t>’</w:t>
      </w:r>
      <w:r w:rsidR="00932724" w:rsidRPr="00586017">
        <w:rPr>
          <w:rFonts w:cs="Mangal"/>
          <w:sz w:val="26"/>
          <w:szCs w:val="26"/>
          <w:lang w:bidi="hi-IN"/>
        </w:rPr>
        <w:t>s Rules of Practice and Procedure, 52 Pa. Code § 3.113.</w:t>
      </w:r>
      <w:r w:rsidR="00932724">
        <w:rPr>
          <w:rFonts w:cs="Mangal"/>
          <w:sz w:val="26"/>
          <w:szCs w:val="26"/>
          <w:lang w:bidi="hi-IN"/>
        </w:rPr>
        <w:t xml:space="preserve">  </w:t>
      </w:r>
      <w:r>
        <w:rPr>
          <w:sz w:val="26"/>
          <w:szCs w:val="26"/>
        </w:rPr>
        <w:t>Throughout the investigation, the Prosecutory Staff and PECO remained active in informal discovery and continued to explore the possibility of resolving this investigation thr</w:t>
      </w:r>
      <w:r w:rsidR="006B1974">
        <w:rPr>
          <w:sz w:val="26"/>
          <w:szCs w:val="26"/>
        </w:rPr>
        <w:t xml:space="preserve">ough a settlement agreement.  </w:t>
      </w:r>
      <w:r w:rsidR="00271C16">
        <w:rPr>
          <w:sz w:val="26"/>
          <w:szCs w:val="26"/>
        </w:rPr>
        <w:t xml:space="preserve">Settlement </w:t>
      </w:r>
      <w:r>
        <w:rPr>
          <w:sz w:val="26"/>
          <w:szCs w:val="26"/>
        </w:rPr>
        <w:t xml:space="preserve">at 9.  On December 2, 2011, the Prosecutory Staff and PECO filed the Settlement and </w:t>
      </w:r>
      <w:r w:rsidR="005B5513">
        <w:rPr>
          <w:sz w:val="26"/>
          <w:szCs w:val="26"/>
        </w:rPr>
        <w:t xml:space="preserve">the </w:t>
      </w:r>
      <w:r>
        <w:rPr>
          <w:sz w:val="26"/>
          <w:szCs w:val="26"/>
        </w:rPr>
        <w:t>Joint Statement.</w:t>
      </w:r>
      <w:r w:rsidR="005B5513">
        <w:rPr>
          <w:sz w:val="26"/>
          <w:szCs w:val="26"/>
        </w:rPr>
        <w:t xml:space="preserve">  </w:t>
      </w:r>
      <w:r>
        <w:rPr>
          <w:sz w:val="26"/>
          <w:szCs w:val="26"/>
        </w:rPr>
        <w:t xml:space="preserve">  </w:t>
      </w:r>
    </w:p>
    <w:p w:rsidR="00BC76EF" w:rsidRDefault="00BC76EF" w:rsidP="00BC76EF">
      <w:pPr>
        <w:autoSpaceDE w:val="0"/>
        <w:autoSpaceDN w:val="0"/>
        <w:adjustRightInd w:val="0"/>
        <w:spacing w:line="360" w:lineRule="auto"/>
        <w:ind w:firstLine="1440"/>
        <w:rPr>
          <w:sz w:val="26"/>
          <w:szCs w:val="26"/>
        </w:rPr>
      </w:pPr>
    </w:p>
    <w:p w:rsidR="00BC76EF" w:rsidRPr="00DF0CF8" w:rsidRDefault="00117ABA" w:rsidP="00BC76EF">
      <w:pPr>
        <w:autoSpaceDE w:val="0"/>
        <w:autoSpaceDN w:val="0"/>
        <w:adjustRightInd w:val="0"/>
        <w:spacing w:line="360" w:lineRule="auto"/>
        <w:ind w:firstLine="1440"/>
        <w:rPr>
          <w:sz w:val="26"/>
          <w:szCs w:val="26"/>
        </w:rPr>
      </w:pPr>
      <w:r>
        <w:rPr>
          <w:sz w:val="26"/>
          <w:szCs w:val="26"/>
        </w:rPr>
        <w:t>In the</w:t>
      </w:r>
      <w:r w:rsidR="00BC76EF">
        <w:rPr>
          <w:sz w:val="26"/>
          <w:szCs w:val="26"/>
        </w:rPr>
        <w:t xml:space="preserve"> Order entered June 12, 2012 (</w:t>
      </w:r>
      <w:r w:rsidR="00BC76EF" w:rsidRPr="007B329F">
        <w:rPr>
          <w:i/>
          <w:sz w:val="26"/>
          <w:szCs w:val="26"/>
        </w:rPr>
        <w:t>June 2012 Order</w:t>
      </w:r>
      <w:r w:rsidR="00BC76EF">
        <w:rPr>
          <w:sz w:val="26"/>
          <w:szCs w:val="26"/>
        </w:rPr>
        <w:t xml:space="preserve">), the Commission </w:t>
      </w:r>
      <w:r>
        <w:rPr>
          <w:sz w:val="26"/>
          <w:szCs w:val="26"/>
        </w:rPr>
        <w:t xml:space="preserve">reviewed </w:t>
      </w:r>
      <w:r w:rsidR="00BC76EF">
        <w:rPr>
          <w:sz w:val="26"/>
          <w:szCs w:val="26"/>
        </w:rPr>
        <w:t>PECO’s actions and the related circumstances, as presented in the Settlement,</w:t>
      </w:r>
      <w:r>
        <w:rPr>
          <w:sz w:val="26"/>
          <w:szCs w:val="26"/>
        </w:rPr>
        <w:t xml:space="preserve"> and </w:t>
      </w:r>
      <w:r w:rsidR="000659D2">
        <w:rPr>
          <w:sz w:val="26"/>
          <w:szCs w:val="26"/>
        </w:rPr>
        <w:t>noted its preliminary determination to amend</w:t>
      </w:r>
      <w:r>
        <w:rPr>
          <w:sz w:val="26"/>
          <w:szCs w:val="26"/>
        </w:rPr>
        <w:t xml:space="preserve"> the Settlement</w:t>
      </w:r>
      <w:r w:rsidR="00BC76EF">
        <w:rPr>
          <w:sz w:val="26"/>
          <w:szCs w:val="26"/>
        </w:rPr>
        <w:t xml:space="preserve"> </w:t>
      </w:r>
      <w:r>
        <w:rPr>
          <w:sz w:val="26"/>
          <w:szCs w:val="26"/>
        </w:rPr>
        <w:t xml:space="preserve">to provide for a </w:t>
      </w:r>
      <w:r w:rsidR="00BC76EF">
        <w:rPr>
          <w:sz w:val="26"/>
          <w:szCs w:val="26"/>
        </w:rPr>
        <w:t xml:space="preserve">civil penalty of $75,000 instead of the $35,000 civil settlement amount that was proposed by the Prosecutory Staff and PECO.  </w:t>
      </w:r>
      <w:r w:rsidR="00BC76EF" w:rsidRPr="007B329F">
        <w:rPr>
          <w:i/>
          <w:sz w:val="26"/>
          <w:szCs w:val="26"/>
        </w:rPr>
        <w:t>June 2012 Order</w:t>
      </w:r>
      <w:r w:rsidR="006B1974">
        <w:rPr>
          <w:sz w:val="26"/>
          <w:szCs w:val="26"/>
        </w:rPr>
        <w:t xml:space="preserve"> at 8-9. </w:t>
      </w:r>
      <w:r w:rsidR="00BC76EF">
        <w:rPr>
          <w:sz w:val="26"/>
          <w:szCs w:val="26"/>
        </w:rPr>
        <w:t xml:space="preserve"> The </w:t>
      </w:r>
      <w:r w:rsidR="00BC76EF" w:rsidRPr="007B329F">
        <w:rPr>
          <w:i/>
          <w:sz w:val="26"/>
          <w:szCs w:val="26"/>
        </w:rPr>
        <w:t>June 2012 Order</w:t>
      </w:r>
      <w:r w:rsidR="00BC76EF">
        <w:rPr>
          <w:i/>
          <w:sz w:val="26"/>
          <w:szCs w:val="26"/>
        </w:rPr>
        <w:t xml:space="preserve"> </w:t>
      </w:r>
      <w:r w:rsidR="00BC76EF">
        <w:rPr>
          <w:sz w:val="26"/>
          <w:szCs w:val="26"/>
        </w:rPr>
        <w:t xml:space="preserve">also provided interested parties with the opportunity to file comments on the proposed Settlement and the </w:t>
      </w:r>
      <w:r w:rsidR="000659D2">
        <w:rPr>
          <w:sz w:val="26"/>
          <w:szCs w:val="26"/>
        </w:rPr>
        <w:t>determination</w:t>
      </w:r>
      <w:r w:rsidR="00BC76EF">
        <w:rPr>
          <w:sz w:val="26"/>
          <w:szCs w:val="26"/>
        </w:rPr>
        <w:t xml:space="preserve"> to amend the Settlement to establish a $75,000 civil penalty.  </w:t>
      </w:r>
      <w:r w:rsidR="00BC76EF" w:rsidRPr="007B329F">
        <w:rPr>
          <w:i/>
          <w:sz w:val="26"/>
          <w:szCs w:val="26"/>
        </w:rPr>
        <w:t>Id</w:t>
      </w:r>
      <w:r w:rsidR="00BC76EF">
        <w:rPr>
          <w:sz w:val="26"/>
          <w:szCs w:val="26"/>
        </w:rPr>
        <w:t xml:space="preserve">. at 9.  In order to be considered timely, comments were to be filed within twenty days of the date of entry of the </w:t>
      </w:r>
      <w:r w:rsidR="00BC76EF" w:rsidRPr="007B329F">
        <w:rPr>
          <w:i/>
          <w:sz w:val="26"/>
          <w:szCs w:val="26"/>
        </w:rPr>
        <w:t>June 2012 Order</w:t>
      </w:r>
      <w:r w:rsidR="00BC76EF">
        <w:rPr>
          <w:sz w:val="26"/>
          <w:szCs w:val="26"/>
        </w:rPr>
        <w:t xml:space="preserve">.  </w:t>
      </w:r>
      <w:r w:rsidR="00BC76EF" w:rsidRPr="007B329F">
        <w:rPr>
          <w:i/>
          <w:sz w:val="26"/>
          <w:szCs w:val="26"/>
        </w:rPr>
        <w:t>Id</w:t>
      </w:r>
      <w:r w:rsidR="00BC76EF">
        <w:rPr>
          <w:sz w:val="26"/>
          <w:szCs w:val="26"/>
        </w:rPr>
        <w:t xml:space="preserve">. at 10.  PECO filed timely Comments on July 2, 2012.                </w:t>
      </w:r>
    </w:p>
    <w:p w:rsidR="00392BA1" w:rsidRPr="00DE7171" w:rsidRDefault="00DE7171" w:rsidP="00FD1BE2">
      <w:pPr>
        <w:pStyle w:val="Heading1"/>
        <w:jc w:val="center"/>
        <w:rPr>
          <w:rFonts w:ascii="Times New Roman" w:hAnsi="Times New Roman" w:cs="Times New Roman"/>
          <w:color w:val="auto"/>
          <w:sz w:val="26"/>
          <w:szCs w:val="26"/>
        </w:rPr>
      </w:pPr>
      <w:r w:rsidRPr="00DE7171">
        <w:rPr>
          <w:rFonts w:ascii="Times New Roman" w:hAnsi="Times New Roman" w:cs="Times New Roman"/>
          <w:color w:val="auto"/>
          <w:sz w:val="26"/>
          <w:szCs w:val="26"/>
        </w:rPr>
        <w:t>Background</w:t>
      </w:r>
    </w:p>
    <w:p w:rsidR="00392BA1" w:rsidRDefault="00392BA1" w:rsidP="00BC7085">
      <w:pPr>
        <w:spacing w:line="360" w:lineRule="auto"/>
        <w:ind w:firstLine="1440"/>
        <w:rPr>
          <w:sz w:val="26"/>
          <w:szCs w:val="26"/>
        </w:rPr>
      </w:pPr>
    </w:p>
    <w:p w:rsidR="009D3FBA" w:rsidRDefault="00FC00B7" w:rsidP="00BC7085">
      <w:pPr>
        <w:spacing w:line="360" w:lineRule="auto"/>
        <w:ind w:firstLine="1440"/>
        <w:rPr>
          <w:sz w:val="26"/>
          <w:szCs w:val="26"/>
        </w:rPr>
      </w:pPr>
      <w:r>
        <w:rPr>
          <w:sz w:val="26"/>
          <w:szCs w:val="26"/>
        </w:rPr>
        <w:t>An on-site inspection by the Commission</w:t>
      </w:r>
      <w:r w:rsidR="00C205A7">
        <w:rPr>
          <w:sz w:val="26"/>
          <w:szCs w:val="26"/>
        </w:rPr>
        <w:t>’</w:t>
      </w:r>
      <w:r>
        <w:rPr>
          <w:sz w:val="26"/>
          <w:szCs w:val="26"/>
        </w:rPr>
        <w:t xml:space="preserve">s Gas Safety Division Inspectors </w:t>
      </w:r>
      <w:r w:rsidR="006220B5">
        <w:rPr>
          <w:sz w:val="26"/>
          <w:szCs w:val="26"/>
        </w:rPr>
        <w:t>(Commission Inspector</w:t>
      </w:r>
      <w:r w:rsidR="006B417A">
        <w:rPr>
          <w:sz w:val="26"/>
          <w:szCs w:val="26"/>
        </w:rPr>
        <w:t>s</w:t>
      </w:r>
      <w:r w:rsidR="006220B5">
        <w:rPr>
          <w:sz w:val="26"/>
          <w:szCs w:val="26"/>
        </w:rPr>
        <w:t xml:space="preserve">) </w:t>
      </w:r>
      <w:r>
        <w:rPr>
          <w:sz w:val="26"/>
          <w:szCs w:val="26"/>
        </w:rPr>
        <w:t xml:space="preserve">determined that the explosion </w:t>
      </w:r>
      <w:r w:rsidR="0010451E">
        <w:rPr>
          <w:sz w:val="26"/>
          <w:szCs w:val="26"/>
        </w:rPr>
        <w:t xml:space="preserve">that occurred on December 26, </w:t>
      </w:r>
      <w:r w:rsidR="0010451E">
        <w:rPr>
          <w:sz w:val="26"/>
          <w:szCs w:val="26"/>
        </w:rPr>
        <w:lastRenderedPageBreak/>
        <w:t xml:space="preserve">2009, </w:t>
      </w:r>
      <w:r>
        <w:rPr>
          <w:sz w:val="26"/>
          <w:szCs w:val="26"/>
        </w:rPr>
        <w:t xml:space="preserve">was caused by </w:t>
      </w:r>
      <w:r w:rsidR="00C205A7">
        <w:rPr>
          <w:sz w:val="26"/>
          <w:szCs w:val="26"/>
        </w:rPr>
        <w:t>“</w:t>
      </w:r>
      <w:r>
        <w:rPr>
          <w:sz w:val="26"/>
          <w:szCs w:val="26"/>
        </w:rPr>
        <w:t xml:space="preserve">the complete circumferential crack resulting </w:t>
      </w:r>
      <w:r w:rsidR="00016ECD">
        <w:rPr>
          <w:sz w:val="26"/>
          <w:szCs w:val="26"/>
        </w:rPr>
        <w:t xml:space="preserve">in </w:t>
      </w:r>
      <w:r>
        <w:rPr>
          <w:sz w:val="26"/>
          <w:szCs w:val="26"/>
        </w:rPr>
        <w:t xml:space="preserve">the failure of the four-inch </w:t>
      </w:r>
      <w:r w:rsidR="00016ECD">
        <w:rPr>
          <w:sz w:val="26"/>
          <w:szCs w:val="26"/>
        </w:rPr>
        <w:t xml:space="preserve">cast iron </w:t>
      </w:r>
      <w:r>
        <w:rPr>
          <w:sz w:val="26"/>
          <w:szCs w:val="26"/>
        </w:rPr>
        <w:t xml:space="preserve">natural gas pipeline </w:t>
      </w:r>
      <w:r w:rsidR="00016ECD">
        <w:rPr>
          <w:sz w:val="26"/>
          <w:szCs w:val="26"/>
        </w:rPr>
        <w:t xml:space="preserve">main </w:t>
      </w:r>
      <w:r>
        <w:rPr>
          <w:sz w:val="26"/>
          <w:szCs w:val="26"/>
        </w:rPr>
        <w:t>serving structures in the vicinity</w:t>
      </w:r>
      <w:r w:rsidR="00C205A7">
        <w:rPr>
          <w:sz w:val="26"/>
          <w:szCs w:val="26"/>
        </w:rPr>
        <w:t>”</w:t>
      </w:r>
      <w:r w:rsidR="00016ECD">
        <w:rPr>
          <w:sz w:val="26"/>
          <w:szCs w:val="26"/>
        </w:rPr>
        <w:t xml:space="preserve"> (four-inch main)</w:t>
      </w:r>
      <w:r>
        <w:rPr>
          <w:sz w:val="26"/>
          <w:szCs w:val="26"/>
        </w:rPr>
        <w:t xml:space="preserve">.  </w:t>
      </w:r>
      <w:r w:rsidR="006220B5">
        <w:rPr>
          <w:sz w:val="26"/>
          <w:szCs w:val="26"/>
        </w:rPr>
        <w:t xml:space="preserve">The gas main crack was near the joint of the service line in the rear of the residence, </w:t>
      </w:r>
      <w:r w:rsidR="00C205A7">
        <w:rPr>
          <w:sz w:val="26"/>
          <w:szCs w:val="26"/>
        </w:rPr>
        <w:t>“</w:t>
      </w:r>
      <w:r w:rsidR="006220B5">
        <w:rPr>
          <w:sz w:val="26"/>
          <w:szCs w:val="26"/>
        </w:rPr>
        <w:t xml:space="preserve">sending gas laterally twenty-seven feet </w:t>
      </w:r>
      <w:r w:rsidR="00E22EAC">
        <w:rPr>
          <w:sz w:val="26"/>
          <w:szCs w:val="26"/>
        </w:rPr>
        <w:t>-</w:t>
      </w:r>
      <w:r w:rsidR="006220B5">
        <w:rPr>
          <w:sz w:val="26"/>
          <w:szCs w:val="26"/>
        </w:rPr>
        <w:t xml:space="preserve"> up slope, and through the foundation wall of the crawl space</w:t>
      </w:r>
      <w:r w:rsidR="00016ECD">
        <w:rPr>
          <w:sz w:val="26"/>
          <w:szCs w:val="26"/>
        </w:rPr>
        <w:t>,</w:t>
      </w:r>
      <w:r w:rsidR="00C205A7">
        <w:rPr>
          <w:sz w:val="26"/>
          <w:szCs w:val="26"/>
        </w:rPr>
        <w:t>”</w:t>
      </w:r>
      <w:r w:rsidR="006220B5">
        <w:rPr>
          <w:sz w:val="26"/>
          <w:szCs w:val="26"/>
        </w:rPr>
        <w:t xml:space="preserve"> resulting in the fire.  </w:t>
      </w:r>
      <w:r w:rsidR="00DD280F">
        <w:rPr>
          <w:sz w:val="26"/>
          <w:szCs w:val="26"/>
        </w:rPr>
        <w:t xml:space="preserve">Settlement at 5. </w:t>
      </w:r>
      <w:r w:rsidR="006220B5">
        <w:rPr>
          <w:sz w:val="26"/>
          <w:szCs w:val="26"/>
        </w:rPr>
        <w:t xml:space="preserve">  </w:t>
      </w:r>
    </w:p>
    <w:p w:rsidR="00571E91" w:rsidRDefault="00571E91" w:rsidP="00BC7085">
      <w:pPr>
        <w:spacing w:line="360" w:lineRule="auto"/>
        <w:ind w:firstLine="1440"/>
        <w:rPr>
          <w:sz w:val="26"/>
          <w:szCs w:val="26"/>
        </w:rPr>
      </w:pPr>
    </w:p>
    <w:p w:rsidR="003920F1" w:rsidRDefault="003920F1" w:rsidP="00BC7085">
      <w:pPr>
        <w:spacing w:line="360" w:lineRule="auto"/>
        <w:ind w:firstLine="1440"/>
        <w:rPr>
          <w:sz w:val="26"/>
          <w:szCs w:val="26"/>
        </w:rPr>
      </w:pPr>
      <w:r>
        <w:rPr>
          <w:sz w:val="26"/>
          <w:szCs w:val="26"/>
        </w:rPr>
        <w:t xml:space="preserve">Two days </w:t>
      </w:r>
      <w:r w:rsidR="00E22EAC">
        <w:rPr>
          <w:sz w:val="26"/>
          <w:szCs w:val="26"/>
        </w:rPr>
        <w:t>before</w:t>
      </w:r>
      <w:r>
        <w:rPr>
          <w:sz w:val="26"/>
          <w:szCs w:val="26"/>
        </w:rPr>
        <w:t xml:space="preserve"> the fire and explosion</w:t>
      </w:r>
      <w:r w:rsidR="00C205A7">
        <w:rPr>
          <w:sz w:val="26"/>
          <w:szCs w:val="26"/>
        </w:rPr>
        <w:t>,</w:t>
      </w:r>
      <w:r>
        <w:rPr>
          <w:sz w:val="26"/>
          <w:szCs w:val="26"/>
        </w:rPr>
        <w:t xml:space="preserve"> on December 24, 2009, the local fire company was on the scene to investigate a gas</w:t>
      </w:r>
      <w:r w:rsidR="00E22EAC">
        <w:rPr>
          <w:sz w:val="26"/>
          <w:szCs w:val="26"/>
        </w:rPr>
        <w:t xml:space="preserve"> odor</w:t>
      </w:r>
      <w:r>
        <w:rPr>
          <w:sz w:val="26"/>
          <w:szCs w:val="26"/>
        </w:rPr>
        <w:t xml:space="preserve">.  PECO was not informed of the fire department inspection until after the fire and explosion on December 26, 2009.  Also, </w:t>
      </w:r>
      <w:r w:rsidR="00016ECD">
        <w:rPr>
          <w:sz w:val="26"/>
          <w:szCs w:val="26"/>
        </w:rPr>
        <w:t xml:space="preserve">on December 26, 2009, </w:t>
      </w:r>
      <w:r>
        <w:rPr>
          <w:sz w:val="26"/>
          <w:szCs w:val="26"/>
        </w:rPr>
        <w:t xml:space="preserve">a call </w:t>
      </w:r>
      <w:r w:rsidR="00C205A7">
        <w:rPr>
          <w:sz w:val="26"/>
          <w:szCs w:val="26"/>
        </w:rPr>
        <w:t xml:space="preserve">was </w:t>
      </w:r>
      <w:r>
        <w:rPr>
          <w:sz w:val="26"/>
          <w:szCs w:val="26"/>
        </w:rPr>
        <w:t xml:space="preserve">made </w:t>
      </w:r>
      <w:r w:rsidR="00571E91">
        <w:rPr>
          <w:sz w:val="26"/>
          <w:szCs w:val="26"/>
        </w:rPr>
        <w:t xml:space="preserve">by the Montgomery County 911 Center </w:t>
      </w:r>
      <w:r w:rsidR="00955057" w:rsidRPr="00955057">
        <w:rPr>
          <w:sz w:val="26"/>
          <w:szCs w:val="26"/>
        </w:rPr>
        <w:t xml:space="preserve">to PECO’s call center </w:t>
      </w:r>
      <w:r w:rsidR="00571E91">
        <w:rPr>
          <w:sz w:val="26"/>
          <w:szCs w:val="26"/>
        </w:rPr>
        <w:t>regarding a house fire.  Initially</w:t>
      </w:r>
      <w:r w:rsidR="006B417A">
        <w:rPr>
          <w:sz w:val="26"/>
          <w:szCs w:val="26"/>
        </w:rPr>
        <w:t>,</w:t>
      </w:r>
      <w:r w:rsidR="00571E91">
        <w:rPr>
          <w:sz w:val="26"/>
          <w:szCs w:val="26"/>
        </w:rPr>
        <w:t xml:space="preserve"> PECO was not advised that the fire was associated with PECO</w:t>
      </w:r>
      <w:r w:rsidR="00C205A7">
        <w:rPr>
          <w:sz w:val="26"/>
          <w:szCs w:val="26"/>
        </w:rPr>
        <w:t>’</w:t>
      </w:r>
      <w:r w:rsidR="00571E91">
        <w:rPr>
          <w:sz w:val="26"/>
          <w:szCs w:val="26"/>
        </w:rPr>
        <w:t xml:space="preserve">s gas facilities.  </w:t>
      </w:r>
      <w:r w:rsidR="00571E91" w:rsidRPr="00571E91">
        <w:rPr>
          <w:i/>
          <w:sz w:val="26"/>
          <w:szCs w:val="26"/>
        </w:rPr>
        <w:t>Id.</w:t>
      </w:r>
      <w:r w:rsidR="00571E91">
        <w:rPr>
          <w:sz w:val="26"/>
          <w:szCs w:val="26"/>
        </w:rPr>
        <w:t xml:space="preserve"> at 4. </w:t>
      </w:r>
      <w:r>
        <w:rPr>
          <w:sz w:val="26"/>
          <w:szCs w:val="26"/>
        </w:rPr>
        <w:t xml:space="preserve"> </w:t>
      </w:r>
    </w:p>
    <w:p w:rsidR="00571E91" w:rsidRDefault="00571E91" w:rsidP="00BC7085">
      <w:pPr>
        <w:spacing w:line="360" w:lineRule="auto"/>
        <w:ind w:firstLine="1440"/>
        <w:rPr>
          <w:sz w:val="26"/>
          <w:szCs w:val="26"/>
        </w:rPr>
      </w:pPr>
    </w:p>
    <w:p w:rsidR="006B417A" w:rsidRDefault="00571E91" w:rsidP="00BC7085">
      <w:pPr>
        <w:spacing w:line="360" w:lineRule="auto"/>
        <w:ind w:firstLine="1440"/>
        <w:rPr>
          <w:sz w:val="26"/>
          <w:szCs w:val="26"/>
        </w:rPr>
      </w:pPr>
      <w:r>
        <w:rPr>
          <w:sz w:val="26"/>
          <w:szCs w:val="26"/>
        </w:rPr>
        <w:t>After the fire and explosion, PECO excavated and repaired a crack in the four-inch main</w:t>
      </w:r>
      <w:r w:rsidR="00016ECD">
        <w:rPr>
          <w:sz w:val="26"/>
          <w:szCs w:val="26"/>
        </w:rPr>
        <w:t>,</w:t>
      </w:r>
      <w:r>
        <w:rPr>
          <w:sz w:val="26"/>
          <w:szCs w:val="26"/>
        </w:rPr>
        <w:t xml:space="preserve"> approximately thirty feet from the west wall of the residence.  </w:t>
      </w:r>
      <w:r w:rsidRPr="009D3FBA">
        <w:rPr>
          <w:i/>
          <w:sz w:val="26"/>
          <w:szCs w:val="26"/>
        </w:rPr>
        <w:t>Id</w:t>
      </w:r>
      <w:r>
        <w:rPr>
          <w:sz w:val="26"/>
          <w:szCs w:val="26"/>
        </w:rPr>
        <w:t xml:space="preserve">. </w:t>
      </w:r>
      <w:r w:rsidR="006B417A">
        <w:rPr>
          <w:sz w:val="26"/>
          <w:szCs w:val="26"/>
        </w:rPr>
        <w:t xml:space="preserve"> </w:t>
      </w:r>
      <w:r w:rsidR="009D3FBA">
        <w:rPr>
          <w:sz w:val="26"/>
          <w:szCs w:val="26"/>
        </w:rPr>
        <w:t>A Commission Inspector arrived at 6:15 p</w:t>
      </w:r>
      <w:r w:rsidR="00016ECD">
        <w:rPr>
          <w:sz w:val="26"/>
          <w:szCs w:val="26"/>
        </w:rPr>
        <w:t>.</w:t>
      </w:r>
      <w:r w:rsidR="009D3FBA">
        <w:rPr>
          <w:sz w:val="26"/>
          <w:szCs w:val="26"/>
        </w:rPr>
        <w:t>m</w:t>
      </w:r>
      <w:r w:rsidR="00016ECD">
        <w:rPr>
          <w:sz w:val="26"/>
          <w:szCs w:val="26"/>
        </w:rPr>
        <w:t>.</w:t>
      </w:r>
      <w:r w:rsidR="009D3FBA">
        <w:rPr>
          <w:sz w:val="26"/>
          <w:szCs w:val="26"/>
        </w:rPr>
        <w:t xml:space="preserve"> on December 26, 2009, and requested that PECO test the service line that connects the residence to a two-inch main </w:t>
      </w:r>
      <w:r w:rsidR="006B417A">
        <w:rPr>
          <w:sz w:val="26"/>
          <w:szCs w:val="26"/>
        </w:rPr>
        <w:t xml:space="preserve">(two-inch main) </w:t>
      </w:r>
      <w:r w:rsidR="009D3FBA">
        <w:rPr>
          <w:sz w:val="26"/>
          <w:szCs w:val="26"/>
        </w:rPr>
        <w:t xml:space="preserve">that runs perpendicular to the four-inch main.  </w:t>
      </w:r>
      <w:r w:rsidR="002863AF">
        <w:rPr>
          <w:sz w:val="26"/>
          <w:szCs w:val="26"/>
        </w:rPr>
        <w:t xml:space="preserve">PECO excavated and conducted a pressure test and determined that the service line was intact with no leaks.  </w:t>
      </w:r>
      <w:r w:rsidR="002863AF" w:rsidRPr="002863AF">
        <w:rPr>
          <w:i/>
          <w:sz w:val="26"/>
          <w:szCs w:val="26"/>
        </w:rPr>
        <w:t>Id</w:t>
      </w:r>
      <w:r w:rsidR="002863AF">
        <w:rPr>
          <w:sz w:val="26"/>
          <w:szCs w:val="26"/>
        </w:rPr>
        <w:t xml:space="preserve">. at 4-5. </w:t>
      </w:r>
      <w:r>
        <w:rPr>
          <w:sz w:val="26"/>
          <w:szCs w:val="26"/>
        </w:rPr>
        <w:t xml:space="preserve"> </w:t>
      </w:r>
    </w:p>
    <w:p w:rsidR="006B417A" w:rsidRDefault="006B417A" w:rsidP="00BC7085">
      <w:pPr>
        <w:spacing w:line="360" w:lineRule="auto"/>
        <w:ind w:firstLine="1440"/>
        <w:rPr>
          <w:sz w:val="26"/>
          <w:szCs w:val="26"/>
        </w:rPr>
      </w:pPr>
    </w:p>
    <w:p w:rsidR="002863AF" w:rsidRDefault="002863AF" w:rsidP="00BC7085">
      <w:pPr>
        <w:spacing w:line="360" w:lineRule="auto"/>
        <w:ind w:firstLine="1440"/>
        <w:rPr>
          <w:sz w:val="26"/>
          <w:szCs w:val="26"/>
        </w:rPr>
      </w:pPr>
      <w:r>
        <w:rPr>
          <w:sz w:val="26"/>
          <w:szCs w:val="26"/>
        </w:rPr>
        <w:t>A second Commission Inspector joined the investigation on December</w:t>
      </w:r>
      <w:r w:rsidR="00005DB0">
        <w:rPr>
          <w:sz w:val="26"/>
          <w:szCs w:val="26"/>
        </w:rPr>
        <w:t> </w:t>
      </w:r>
      <w:r>
        <w:rPr>
          <w:sz w:val="26"/>
          <w:szCs w:val="26"/>
        </w:rPr>
        <w:t>27,</w:t>
      </w:r>
      <w:r w:rsidR="006B1974">
        <w:rPr>
          <w:sz w:val="26"/>
          <w:szCs w:val="26"/>
        </w:rPr>
        <w:t xml:space="preserve"> </w:t>
      </w:r>
      <w:r>
        <w:rPr>
          <w:sz w:val="26"/>
          <w:szCs w:val="26"/>
        </w:rPr>
        <w:t xml:space="preserve">2009.  The Commission Inspector noticed that PECO had drilled bar holes over the four-inch main, but not the two-inch main.  </w:t>
      </w:r>
      <w:r w:rsidR="00414165" w:rsidRPr="00414165">
        <w:rPr>
          <w:i/>
          <w:sz w:val="26"/>
          <w:szCs w:val="26"/>
        </w:rPr>
        <w:t>Id</w:t>
      </w:r>
      <w:r w:rsidR="00414165">
        <w:rPr>
          <w:sz w:val="26"/>
          <w:szCs w:val="26"/>
        </w:rPr>
        <w:t xml:space="preserve">. at 5.  </w:t>
      </w:r>
      <w:r>
        <w:rPr>
          <w:sz w:val="26"/>
          <w:szCs w:val="26"/>
        </w:rPr>
        <w:t>The Commission Inspector smelled gas in the area</w:t>
      </w:r>
      <w:r w:rsidR="00E22EAC">
        <w:rPr>
          <w:sz w:val="26"/>
          <w:szCs w:val="26"/>
        </w:rPr>
        <w:t>,</w:t>
      </w:r>
      <w:r>
        <w:rPr>
          <w:sz w:val="26"/>
          <w:szCs w:val="26"/>
        </w:rPr>
        <w:t xml:space="preserve"> and his gas detection equipment detected gas in two manholes in the area.  He requested that PECO bar hole over the two-inch main and sample for gas.  </w:t>
      </w:r>
      <w:r w:rsidR="00414165">
        <w:rPr>
          <w:sz w:val="26"/>
          <w:szCs w:val="26"/>
        </w:rPr>
        <w:t xml:space="preserve">PECO found a leak on the two-inch main due to corrosion of the bare steel main.  </w:t>
      </w:r>
      <w:r w:rsidR="00414165" w:rsidRPr="00414165">
        <w:rPr>
          <w:i/>
          <w:sz w:val="26"/>
          <w:szCs w:val="26"/>
        </w:rPr>
        <w:t>Id</w:t>
      </w:r>
      <w:r w:rsidR="00005DB0">
        <w:rPr>
          <w:sz w:val="26"/>
          <w:szCs w:val="26"/>
        </w:rPr>
        <w:t>. at </w:t>
      </w:r>
      <w:r w:rsidR="00571E91">
        <w:rPr>
          <w:sz w:val="26"/>
          <w:szCs w:val="26"/>
        </w:rPr>
        <w:t xml:space="preserve">5-6.  </w:t>
      </w:r>
      <w:r w:rsidR="00414165">
        <w:rPr>
          <w:sz w:val="26"/>
          <w:szCs w:val="26"/>
        </w:rPr>
        <w:t>Based on these findings</w:t>
      </w:r>
      <w:r w:rsidR="00C74851">
        <w:rPr>
          <w:sz w:val="26"/>
          <w:szCs w:val="26"/>
        </w:rPr>
        <w:t>,</w:t>
      </w:r>
      <w:r w:rsidR="00414165">
        <w:rPr>
          <w:sz w:val="26"/>
          <w:szCs w:val="26"/>
        </w:rPr>
        <w:t xml:space="preserve"> the Commission</w:t>
      </w:r>
      <w:r w:rsidR="00C205A7">
        <w:rPr>
          <w:sz w:val="26"/>
          <w:szCs w:val="26"/>
        </w:rPr>
        <w:t>’</w:t>
      </w:r>
      <w:r w:rsidR="00414165">
        <w:rPr>
          <w:sz w:val="26"/>
          <w:szCs w:val="26"/>
        </w:rPr>
        <w:t>s Gas Safety Division requested that the Commission</w:t>
      </w:r>
      <w:r w:rsidR="00C205A7">
        <w:rPr>
          <w:sz w:val="26"/>
          <w:szCs w:val="26"/>
        </w:rPr>
        <w:t>’</w:t>
      </w:r>
      <w:r w:rsidR="00414165">
        <w:rPr>
          <w:sz w:val="26"/>
          <w:szCs w:val="26"/>
        </w:rPr>
        <w:t xml:space="preserve">s </w:t>
      </w:r>
      <w:r w:rsidR="00414165">
        <w:rPr>
          <w:sz w:val="26"/>
          <w:szCs w:val="26"/>
        </w:rPr>
        <w:lastRenderedPageBreak/>
        <w:t>Law Bureau</w:t>
      </w:r>
      <w:r w:rsidR="00943A20">
        <w:rPr>
          <w:rStyle w:val="FootnoteReference"/>
        </w:rPr>
        <w:footnoteReference w:id="1"/>
      </w:r>
      <w:r w:rsidR="00414165">
        <w:rPr>
          <w:sz w:val="26"/>
          <w:szCs w:val="26"/>
        </w:rPr>
        <w:t xml:space="preserve"> </w:t>
      </w:r>
      <w:r w:rsidR="00C74851">
        <w:rPr>
          <w:sz w:val="26"/>
          <w:szCs w:val="26"/>
        </w:rPr>
        <w:t xml:space="preserve">initiate an informal </w:t>
      </w:r>
      <w:r w:rsidR="00414165">
        <w:rPr>
          <w:sz w:val="26"/>
          <w:szCs w:val="26"/>
        </w:rPr>
        <w:t>investigat</w:t>
      </w:r>
      <w:r w:rsidR="00C74851">
        <w:rPr>
          <w:sz w:val="26"/>
          <w:szCs w:val="26"/>
        </w:rPr>
        <w:t>ion</w:t>
      </w:r>
      <w:r w:rsidR="00414165">
        <w:rPr>
          <w:sz w:val="26"/>
          <w:szCs w:val="26"/>
        </w:rPr>
        <w:t xml:space="preserve"> to determine whether the Company violated its tariff or the Code.  </w:t>
      </w:r>
      <w:r w:rsidR="00414165" w:rsidRPr="00414165">
        <w:rPr>
          <w:i/>
          <w:sz w:val="26"/>
          <w:szCs w:val="26"/>
        </w:rPr>
        <w:t>Id</w:t>
      </w:r>
      <w:r w:rsidR="00414165">
        <w:rPr>
          <w:sz w:val="26"/>
          <w:szCs w:val="26"/>
        </w:rPr>
        <w:t xml:space="preserve">. at 6. </w:t>
      </w:r>
    </w:p>
    <w:p w:rsidR="0003607F" w:rsidRDefault="0003607F" w:rsidP="00BC7085">
      <w:pPr>
        <w:spacing w:line="360" w:lineRule="auto"/>
        <w:ind w:firstLine="1440"/>
        <w:rPr>
          <w:sz w:val="26"/>
          <w:szCs w:val="26"/>
        </w:rPr>
      </w:pPr>
    </w:p>
    <w:p w:rsidR="00AC4A6F" w:rsidRDefault="004F2E25" w:rsidP="002878ED">
      <w:pPr>
        <w:spacing w:line="360" w:lineRule="auto"/>
        <w:jc w:val="center"/>
        <w:rPr>
          <w:b/>
          <w:sz w:val="26"/>
          <w:szCs w:val="26"/>
        </w:rPr>
      </w:pPr>
      <w:r w:rsidRPr="004F2E25">
        <w:rPr>
          <w:b/>
          <w:sz w:val="26"/>
          <w:szCs w:val="26"/>
        </w:rPr>
        <w:t>Terms of the Settlement</w:t>
      </w:r>
    </w:p>
    <w:p w:rsidR="00BB0EB4" w:rsidRDefault="00BB0EB4" w:rsidP="00BC7085">
      <w:pPr>
        <w:rPr>
          <w:b/>
          <w:sz w:val="26"/>
          <w:szCs w:val="26"/>
        </w:rPr>
      </w:pPr>
    </w:p>
    <w:p w:rsidR="00BB0EB4" w:rsidRDefault="00BB0EB4" w:rsidP="00BC7085">
      <w:pPr>
        <w:autoSpaceDE w:val="0"/>
        <w:autoSpaceDN w:val="0"/>
        <w:adjustRightInd w:val="0"/>
        <w:spacing w:line="360" w:lineRule="auto"/>
        <w:ind w:firstLine="1440"/>
        <w:rPr>
          <w:sz w:val="26"/>
          <w:szCs w:val="26"/>
        </w:rPr>
      </w:pPr>
      <w:r>
        <w:rPr>
          <w:sz w:val="26"/>
          <w:szCs w:val="26"/>
        </w:rPr>
        <w:t xml:space="preserve">PECO and </w:t>
      </w:r>
      <w:r w:rsidR="00543CC1">
        <w:rPr>
          <w:sz w:val="26"/>
          <w:szCs w:val="26"/>
        </w:rPr>
        <w:t xml:space="preserve">the </w:t>
      </w:r>
      <w:r>
        <w:rPr>
          <w:sz w:val="26"/>
          <w:szCs w:val="26"/>
        </w:rPr>
        <w:t xml:space="preserve">Prosecutory Staff </w:t>
      </w:r>
      <w:r w:rsidR="0003607F">
        <w:rPr>
          <w:sz w:val="26"/>
          <w:szCs w:val="26"/>
        </w:rPr>
        <w:t xml:space="preserve">state that they </w:t>
      </w:r>
      <w:r>
        <w:rPr>
          <w:sz w:val="26"/>
          <w:szCs w:val="26"/>
        </w:rPr>
        <w:t>desire to terminate the informal investigation and settle this matter completely without further litigation.  PECO submits that</w:t>
      </w:r>
      <w:r w:rsidR="00543CC1">
        <w:rPr>
          <w:sz w:val="26"/>
          <w:szCs w:val="26"/>
        </w:rPr>
        <w:t>,</w:t>
      </w:r>
      <w:r>
        <w:rPr>
          <w:sz w:val="26"/>
          <w:szCs w:val="26"/>
        </w:rPr>
        <w:t xml:space="preserve"> although it may dispute or disagree with the </w:t>
      </w:r>
      <w:r w:rsidR="00D865C7">
        <w:rPr>
          <w:sz w:val="26"/>
          <w:szCs w:val="26"/>
        </w:rPr>
        <w:t xml:space="preserve">Prosecutory Staff’s </w:t>
      </w:r>
      <w:r>
        <w:rPr>
          <w:sz w:val="26"/>
          <w:szCs w:val="26"/>
        </w:rPr>
        <w:t>allegations, it fully acknowledges the seriousness of the allegations.</w:t>
      </w:r>
      <w:r w:rsidR="0003607F">
        <w:rPr>
          <w:sz w:val="26"/>
          <w:szCs w:val="26"/>
        </w:rPr>
        <w:t xml:space="preserve"> </w:t>
      </w:r>
      <w:r>
        <w:rPr>
          <w:sz w:val="26"/>
          <w:szCs w:val="26"/>
        </w:rPr>
        <w:t xml:space="preserve"> PECO also recognizes the need to prevent such violations and the benefits of amicably resolving these issues.  PECO and </w:t>
      </w:r>
      <w:r w:rsidR="00543CC1">
        <w:rPr>
          <w:sz w:val="26"/>
          <w:szCs w:val="26"/>
        </w:rPr>
        <w:t xml:space="preserve">the </w:t>
      </w:r>
      <w:r>
        <w:rPr>
          <w:sz w:val="26"/>
          <w:szCs w:val="26"/>
        </w:rPr>
        <w:t>Prosecutory Staff stipulate to the following terms solely for the purposes of this Settlem</w:t>
      </w:r>
      <w:r w:rsidR="006C2CB3">
        <w:rPr>
          <w:sz w:val="26"/>
          <w:szCs w:val="26"/>
        </w:rPr>
        <w:t>ent:</w:t>
      </w:r>
    </w:p>
    <w:p w:rsidR="00BB0EB4" w:rsidRDefault="00BB0EB4" w:rsidP="00BC7085">
      <w:pPr>
        <w:autoSpaceDE w:val="0"/>
        <w:autoSpaceDN w:val="0"/>
        <w:adjustRightInd w:val="0"/>
        <w:rPr>
          <w:sz w:val="26"/>
          <w:szCs w:val="26"/>
        </w:rPr>
      </w:pPr>
    </w:p>
    <w:p w:rsidR="00BB0EB4" w:rsidRPr="0060590E" w:rsidRDefault="00BB0EB4" w:rsidP="00BC7085">
      <w:pPr>
        <w:pStyle w:val="ListParagraph"/>
        <w:numPr>
          <w:ilvl w:val="0"/>
          <w:numId w:val="10"/>
        </w:numPr>
        <w:autoSpaceDE w:val="0"/>
        <w:autoSpaceDN w:val="0"/>
        <w:adjustRightInd w:val="0"/>
        <w:ind w:left="1440" w:right="1440"/>
        <w:rPr>
          <w:sz w:val="26"/>
          <w:szCs w:val="26"/>
        </w:rPr>
      </w:pPr>
      <w:r w:rsidRPr="0060590E">
        <w:rPr>
          <w:sz w:val="26"/>
          <w:szCs w:val="26"/>
        </w:rPr>
        <w:t>PECO will</w:t>
      </w:r>
      <w:r w:rsidR="0003607F">
        <w:rPr>
          <w:sz w:val="26"/>
          <w:szCs w:val="26"/>
        </w:rPr>
        <w:t>,</w:t>
      </w:r>
      <w:r w:rsidRPr="0060590E">
        <w:rPr>
          <w:sz w:val="26"/>
          <w:szCs w:val="26"/>
        </w:rPr>
        <w:t xml:space="preserve"> within sixty </w:t>
      </w:r>
      <w:r w:rsidR="008217FE">
        <w:rPr>
          <w:sz w:val="26"/>
          <w:szCs w:val="26"/>
        </w:rPr>
        <w:t xml:space="preserve">(60) </w:t>
      </w:r>
      <w:r w:rsidRPr="0060590E">
        <w:rPr>
          <w:sz w:val="26"/>
          <w:szCs w:val="26"/>
        </w:rPr>
        <w:t>days of the date of the Order approving this Settlement</w:t>
      </w:r>
      <w:r w:rsidR="008217FE">
        <w:rPr>
          <w:sz w:val="26"/>
          <w:szCs w:val="26"/>
        </w:rPr>
        <w:t xml:space="preserve"> Agreement</w:t>
      </w:r>
      <w:r w:rsidR="0003607F">
        <w:rPr>
          <w:sz w:val="26"/>
          <w:szCs w:val="26"/>
        </w:rPr>
        <w:t>,</w:t>
      </w:r>
      <w:r w:rsidRPr="0060590E">
        <w:rPr>
          <w:sz w:val="26"/>
          <w:szCs w:val="26"/>
        </w:rPr>
        <w:t xml:space="preserve"> retrain its emergency response crews to maintain written records during an incident and to perform additional bar hole testing to determine whether natural gas is migrating as a result of a pipeline failure.</w:t>
      </w:r>
      <w:r w:rsidR="0003607F">
        <w:rPr>
          <w:sz w:val="26"/>
          <w:szCs w:val="26"/>
        </w:rPr>
        <w:t xml:space="preserve"> </w:t>
      </w:r>
      <w:r w:rsidRPr="0060590E">
        <w:rPr>
          <w:sz w:val="26"/>
          <w:szCs w:val="26"/>
        </w:rPr>
        <w:t xml:space="preserve"> PECO will revise its internal procedural manual to reflect this policy.</w:t>
      </w:r>
    </w:p>
    <w:p w:rsidR="001151BC" w:rsidRDefault="001151BC" w:rsidP="00BC7085">
      <w:pPr>
        <w:autoSpaceDE w:val="0"/>
        <w:autoSpaceDN w:val="0"/>
        <w:adjustRightInd w:val="0"/>
        <w:ind w:left="1440" w:right="1440" w:hanging="360"/>
        <w:rPr>
          <w:sz w:val="26"/>
          <w:szCs w:val="26"/>
        </w:rPr>
      </w:pPr>
    </w:p>
    <w:p w:rsidR="001151BC" w:rsidRPr="0060590E" w:rsidRDefault="00BB0EB4" w:rsidP="00BC7085">
      <w:pPr>
        <w:pStyle w:val="ListParagraph"/>
        <w:numPr>
          <w:ilvl w:val="0"/>
          <w:numId w:val="10"/>
        </w:numPr>
        <w:autoSpaceDE w:val="0"/>
        <w:autoSpaceDN w:val="0"/>
        <w:adjustRightInd w:val="0"/>
        <w:ind w:left="1440" w:right="1440"/>
        <w:rPr>
          <w:sz w:val="26"/>
          <w:szCs w:val="26"/>
        </w:rPr>
      </w:pPr>
      <w:r w:rsidRPr="0060590E">
        <w:rPr>
          <w:sz w:val="26"/>
          <w:szCs w:val="26"/>
        </w:rPr>
        <w:t>PECO will</w:t>
      </w:r>
      <w:r w:rsidR="0003607F">
        <w:rPr>
          <w:sz w:val="26"/>
          <w:szCs w:val="26"/>
        </w:rPr>
        <w:t>,</w:t>
      </w:r>
      <w:r w:rsidRPr="0060590E">
        <w:rPr>
          <w:sz w:val="26"/>
          <w:szCs w:val="26"/>
        </w:rPr>
        <w:t xml:space="preserve"> within sixty</w:t>
      </w:r>
      <w:r w:rsidR="008217FE">
        <w:rPr>
          <w:sz w:val="26"/>
          <w:szCs w:val="26"/>
        </w:rPr>
        <w:t xml:space="preserve"> (60) </w:t>
      </w:r>
      <w:r w:rsidRPr="0060590E">
        <w:rPr>
          <w:sz w:val="26"/>
          <w:szCs w:val="26"/>
        </w:rPr>
        <w:t>days of the date of the Order approving this Settlement</w:t>
      </w:r>
      <w:r w:rsidR="008217FE">
        <w:rPr>
          <w:sz w:val="26"/>
          <w:szCs w:val="26"/>
        </w:rPr>
        <w:t xml:space="preserve"> Agreement</w:t>
      </w:r>
      <w:r w:rsidR="0003607F">
        <w:rPr>
          <w:sz w:val="26"/>
          <w:szCs w:val="26"/>
        </w:rPr>
        <w:t>,</w:t>
      </w:r>
      <w:r w:rsidRPr="0060590E">
        <w:rPr>
          <w:sz w:val="26"/>
          <w:szCs w:val="26"/>
        </w:rPr>
        <w:t xml:space="preserve"> retrain its emergency response crews to assume in response to an incident where there is suspicion of an explosion, that natural gas is the primary source of the incident until proven otherwise and to proceed accordingly.</w:t>
      </w:r>
      <w:r w:rsidR="001C586B">
        <w:rPr>
          <w:sz w:val="26"/>
          <w:szCs w:val="26"/>
        </w:rPr>
        <w:t xml:space="preserve"> </w:t>
      </w:r>
      <w:r w:rsidRPr="0060590E">
        <w:rPr>
          <w:sz w:val="26"/>
          <w:szCs w:val="26"/>
        </w:rPr>
        <w:t xml:space="preserve"> PECO will revise its internal procedural manual to reflect this policy.  </w:t>
      </w:r>
    </w:p>
    <w:p w:rsidR="001151BC" w:rsidRDefault="001151BC" w:rsidP="00BC7085">
      <w:pPr>
        <w:autoSpaceDE w:val="0"/>
        <w:autoSpaceDN w:val="0"/>
        <w:adjustRightInd w:val="0"/>
        <w:ind w:left="1440" w:right="1440" w:hanging="360"/>
        <w:rPr>
          <w:sz w:val="26"/>
          <w:szCs w:val="26"/>
        </w:rPr>
      </w:pPr>
    </w:p>
    <w:p w:rsidR="001151BC" w:rsidRPr="0060590E" w:rsidRDefault="00BB0EB4" w:rsidP="00BC7085">
      <w:pPr>
        <w:pStyle w:val="ListParagraph"/>
        <w:numPr>
          <w:ilvl w:val="0"/>
          <w:numId w:val="10"/>
        </w:numPr>
        <w:autoSpaceDE w:val="0"/>
        <w:autoSpaceDN w:val="0"/>
        <w:adjustRightInd w:val="0"/>
        <w:ind w:left="1440" w:right="1440"/>
        <w:rPr>
          <w:sz w:val="26"/>
          <w:szCs w:val="26"/>
        </w:rPr>
      </w:pPr>
      <w:r w:rsidRPr="0060590E">
        <w:rPr>
          <w:sz w:val="26"/>
          <w:szCs w:val="26"/>
        </w:rPr>
        <w:t>PECO will</w:t>
      </w:r>
      <w:r w:rsidR="0003607F">
        <w:rPr>
          <w:sz w:val="26"/>
          <w:szCs w:val="26"/>
        </w:rPr>
        <w:t>,</w:t>
      </w:r>
      <w:r w:rsidRPr="0060590E">
        <w:rPr>
          <w:sz w:val="26"/>
          <w:szCs w:val="26"/>
        </w:rPr>
        <w:t xml:space="preserve"> within sixty days of the date of the Order approving this Settlement Agreement</w:t>
      </w:r>
      <w:r w:rsidR="0003607F">
        <w:rPr>
          <w:sz w:val="26"/>
          <w:szCs w:val="26"/>
        </w:rPr>
        <w:t>,</w:t>
      </w:r>
      <w:r w:rsidRPr="0060590E">
        <w:rPr>
          <w:sz w:val="26"/>
          <w:szCs w:val="26"/>
        </w:rPr>
        <w:t xml:space="preserve"> retrain its emergency response crews to address 49 C.F.R. §</w:t>
      </w:r>
      <w:r w:rsidR="00BC62EA">
        <w:rPr>
          <w:sz w:val="26"/>
          <w:szCs w:val="26"/>
        </w:rPr>
        <w:t xml:space="preserve"> </w:t>
      </w:r>
      <w:r w:rsidRPr="0060590E">
        <w:rPr>
          <w:sz w:val="26"/>
          <w:szCs w:val="26"/>
        </w:rPr>
        <w:t>192.615(a)(l</w:t>
      </w:r>
      <w:r w:rsidR="001151BC" w:rsidRPr="0060590E">
        <w:rPr>
          <w:sz w:val="26"/>
          <w:szCs w:val="26"/>
        </w:rPr>
        <w:t>-</w:t>
      </w:r>
      <w:r w:rsidRPr="0060590E">
        <w:rPr>
          <w:sz w:val="26"/>
          <w:szCs w:val="26"/>
        </w:rPr>
        <w:t>3), (5</w:t>
      </w:r>
      <w:r w:rsidR="001151BC" w:rsidRPr="0060590E">
        <w:rPr>
          <w:sz w:val="26"/>
          <w:szCs w:val="26"/>
        </w:rPr>
        <w:t>-</w:t>
      </w:r>
      <w:r w:rsidRPr="0060590E">
        <w:rPr>
          <w:sz w:val="26"/>
          <w:szCs w:val="26"/>
        </w:rPr>
        <w:t xml:space="preserve">7). </w:t>
      </w:r>
      <w:r w:rsidR="001151BC" w:rsidRPr="0060590E">
        <w:rPr>
          <w:sz w:val="26"/>
          <w:szCs w:val="26"/>
        </w:rPr>
        <w:t xml:space="preserve"> </w:t>
      </w:r>
      <w:r w:rsidRPr="0060590E">
        <w:rPr>
          <w:sz w:val="26"/>
          <w:szCs w:val="26"/>
        </w:rPr>
        <w:lastRenderedPageBreak/>
        <w:t xml:space="preserve">PECO will revise its internal procedural manual to reflect this policy. </w:t>
      </w:r>
    </w:p>
    <w:p w:rsidR="001151BC" w:rsidRDefault="001151BC" w:rsidP="00BC7085">
      <w:pPr>
        <w:autoSpaceDE w:val="0"/>
        <w:autoSpaceDN w:val="0"/>
        <w:adjustRightInd w:val="0"/>
        <w:ind w:left="1440" w:right="1440" w:hanging="360"/>
        <w:rPr>
          <w:sz w:val="26"/>
          <w:szCs w:val="26"/>
        </w:rPr>
      </w:pPr>
    </w:p>
    <w:p w:rsidR="001151BC" w:rsidRPr="0060590E" w:rsidRDefault="00BB0EB4" w:rsidP="00BC7085">
      <w:pPr>
        <w:pStyle w:val="ListParagraph"/>
        <w:numPr>
          <w:ilvl w:val="0"/>
          <w:numId w:val="10"/>
        </w:numPr>
        <w:autoSpaceDE w:val="0"/>
        <w:autoSpaceDN w:val="0"/>
        <w:adjustRightInd w:val="0"/>
        <w:ind w:left="1440" w:right="1440"/>
        <w:rPr>
          <w:sz w:val="26"/>
          <w:szCs w:val="26"/>
        </w:rPr>
      </w:pPr>
      <w:r w:rsidRPr="0060590E">
        <w:rPr>
          <w:sz w:val="26"/>
          <w:szCs w:val="26"/>
        </w:rPr>
        <w:t xml:space="preserve">PECO will pay a civil settlement amount of thirty-five thousand dollars </w:t>
      </w:r>
      <w:r w:rsidR="008217FE">
        <w:rPr>
          <w:sz w:val="26"/>
          <w:szCs w:val="26"/>
        </w:rPr>
        <w:t xml:space="preserve">($35,000) </w:t>
      </w:r>
      <w:r w:rsidRPr="0060590E">
        <w:rPr>
          <w:sz w:val="26"/>
          <w:szCs w:val="26"/>
        </w:rPr>
        <w:t>to resolve the alleged violations uncovered by this informal investigation.</w:t>
      </w:r>
      <w:r w:rsidR="00BC62EA">
        <w:rPr>
          <w:sz w:val="26"/>
          <w:szCs w:val="26"/>
        </w:rPr>
        <w:t xml:space="preserve"> </w:t>
      </w:r>
      <w:r w:rsidRPr="0060590E">
        <w:rPr>
          <w:sz w:val="26"/>
          <w:szCs w:val="26"/>
        </w:rPr>
        <w:t xml:space="preserve"> Said payment shall be made by check to </w:t>
      </w:r>
      <w:r w:rsidR="00C205A7">
        <w:rPr>
          <w:sz w:val="26"/>
          <w:szCs w:val="26"/>
        </w:rPr>
        <w:t>“</w:t>
      </w:r>
      <w:r w:rsidRPr="0060590E">
        <w:rPr>
          <w:sz w:val="26"/>
          <w:szCs w:val="26"/>
        </w:rPr>
        <w:t>Commonwealth of Pennsylvania</w:t>
      </w:r>
      <w:r w:rsidR="00C205A7">
        <w:rPr>
          <w:sz w:val="26"/>
          <w:szCs w:val="26"/>
        </w:rPr>
        <w:t>”</w:t>
      </w:r>
      <w:r w:rsidRPr="0060590E">
        <w:rPr>
          <w:sz w:val="26"/>
          <w:szCs w:val="26"/>
        </w:rPr>
        <w:t xml:space="preserve"> and presented to the Commission within thirty </w:t>
      </w:r>
      <w:r w:rsidR="008217FE">
        <w:rPr>
          <w:sz w:val="26"/>
          <w:szCs w:val="26"/>
        </w:rPr>
        <w:t xml:space="preserve">(30) </w:t>
      </w:r>
      <w:r w:rsidRPr="0060590E">
        <w:rPr>
          <w:sz w:val="26"/>
          <w:szCs w:val="26"/>
        </w:rPr>
        <w:t>days of</w:t>
      </w:r>
      <w:r w:rsidR="001151BC" w:rsidRPr="0060590E">
        <w:rPr>
          <w:sz w:val="26"/>
          <w:szCs w:val="26"/>
        </w:rPr>
        <w:t xml:space="preserve"> </w:t>
      </w:r>
      <w:r w:rsidRPr="0060590E">
        <w:rPr>
          <w:sz w:val="26"/>
          <w:szCs w:val="26"/>
        </w:rPr>
        <w:t>the date of the Order approving this Settlement</w:t>
      </w:r>
      <w:r w:rsidR="006D129A">
        <w:rPr>
          <w:sz w:val="26"/>
          <w:szCs w:val="26"/>
        </w:rPr>
        <w:t xml:space="preserve"> Agreement</w:t>
      </w:r>
      <w:r w:rsidRPr="0060590E">
        <w:rPr>
          <w:sz w:val="26"/>
          <w:szCs w:val="26"/>
        </w:rPr>
        <w:t xml:space="preserve">. </w:t>
      </w:r>
      <w:r w:rsidR="001151BC" w:rsidRPr="0060590E">
        <w:rPr>
          <w:sz w:val="26"/>
          <w:szCs w:val="26"/>
        </w:rPr>
        <w:t xml:space="preserve"> </w:t>
      </w:r>
    </w:p>
    <w:p w:rsidR="001151BC" w:rsidRDefault="001151BC" w:rsidP="00BC7085">
      <w:pPr>
        <w:autoSpaceDE w:val="0"/>
        <w:autoSpaceDN w:val="0"/>
        <w:adjustRightInd w:val="0"/>
        <w:ind w:left="1440" w:right="1440" w:hanging="360"/>
        <w:rPr>
          <w:sz w:val="26"/>
          <w:szCs w:val="26"/>
        </w:rPr>
      </w:pPr>
    </w:p>
    <w:p w:rsidR="001151BC" w:rsidRPr="0060590E" w:rsidRDefault="00BB0EB4" w:rsidP="00BC7085">
      <w:pPr>
        <w:pStyle w:val="ListParagraph"/>
        <w:numPr>
          <w:ilvl w:val="0"/>
          <w:numId w:val="10"/>
        </w:numPr>
        <w:autoSpaceDE w:val="0"/>
        <w:autoSpaceDN w:val="0"/>
        <w:adjustRightInd w:val="0"/>
        <w:ind w:left="1440" w:right="1440"/>
        <w:rPr>
          <w:sz w:val="26"/>
          <w:szCs w:val="26"/>
        </w:rPr>
      </w:pPr>
      <w:r w:rsidRPr="0060590E">
        <w:rPr>
          <w:sz w:val="26"/>
          <w:szCs w:val="26"/>
        </w:rPr>
        <w:t>The Prosecutory Staff agrees not to institute any formal complaint relating to PECO</w:t>
      </w:r>
      <w:r w:rsidR="00C205A7">
        <w:rPr>
          <w:sz w:val="26"/>
          <w:szCs w:val="26"/>
        </w:rPr>
        <w:t>’</w:t>
      </w:r>
      <w:r w:rsidRPr="0060590E">
        <w:rPr>
          <w:sz w:val="26"/>
          <w:szCs w:val="26"/>
        </w:rPr>
        <w:t xml:space="preserve">s gas service outage that is the subject of this Settlement Agreement. </w:t>
      </w:r>
    </w:p>
    <w:p w:rsidR="001151BC" w:rsidRDefault="001151BC" w:rsidP="00BC7085">
      <w:pPr>
        <w:autoSpaceDE w:val="0"/>
        <w:autoSpaceDN w:val="0"/>
        <w:adjustRightInd w:val="0"/>
        <w:ind w:left="1440" w:right="1440" w:hanging="360"/>
        <w:rPr>
          <w:sz w:val="26"/>
          <w:szCs w:val="26"/>
        </w:rPr>
      </w:pPr>
    </w:p>
    <w:p w:rsidR="00BB0EB4" w:rsidRPr="008217FE" w:rsidRDefault="008217FE" w:rsidP="00BC7085">
      <w:pPr>
        <w:pStyle w:val="ListParagraph"/>
        <w:numPr>
          <w:ilvl w:val="0"/>
          <w:numId w:val="10"/>
        </w:numPr>
        <w:autoSpaceDE w:val="0"/>
        <w:autoSpaceDN w:val="0"/>
        <w:adjustRightInd w:val="0"/>
        <w:ind w:left="1440" w:right="1440"/>
        <w:rPr>
          <w:sz w:val="26"/>
          <w:szCs w:val="26"/>
        </w:rPr>
      </w:pPr>
      <w:r>
        <w:rPr>
          <w:sz w:val="26"/>
          <w:szCs w:val="26"/>
        </w:rPr>
        <w:t>[</w:t>
      </w:r>
      <w:r w:rsidR="001C586B" w:rsidRPr="008217FE">
        <w:rPr>
          <w:sz w:val="26"/>
          <w:szCs w:val="26"/>
        </w:rPr>
        <w:t>The Parties also agree that</w:t>
      </w:r>
      <w:r>
        <w:rPr>
          <w:sz w:val="26"/>
          <w:szCs w:val="26"/>
        </w:rPr>
        <w:t>]</w:t>
      </w:r>
      <w:r w:rsidR="001C586B" w:rsidRPr="008217FE">
        <w:rPr>
          <w:sz w:val="26"/>
          <w:szCs w:val="26"/>
        </w:rPr>
        <w:t xml:space="preserve"> the terms and conditions in the </w:t>
      </w:r>
      <w:r>
        <w:rPr>
          <w:sz w:val="26"/>
          <w:szCs w:val="26"/>
        </w:rPr>
        <w:t xml:space="preserve">Settlement </w:t>
      </w:r>
      <w:r w:rsidR="00BB0EB4" w:rsidRPr="008217FE">
        <w:rPr>
          <w:sz w:val="26"/>
          <w:szCs w:val="26"/>
        </w:rPr>
        <w:t>Agreement cannot be used and will not be admissible in any future proceeding, including, but not limited to, the Commission, the Pennsylvania court system or the federal court system, relating to this or any other matter as proof of unlawful behavior, or</w:t>
      </w:r>
      <w:r w:rsidR="001151BC" w:rsidRPr="008217FE">
        <w:rPr>
          <w:sz w:val="26"/>
          <w:szCs w:val="26"/>
        </w:rPr>
        <w:t xml:space="preserve"> </w:t>
      </w:r>
      <w:r w:rsidR="00BB0EB4" w:rsidRPr="008217FE">
        <w:rPr>
          <w:sz w:val="26"/>
          <w:szCs w:val="26"/>
        </w:rPr>
        <w:t>as an admission of unlawful behavior by PECO.</w:t>
      </w:r>
    </w:p>
    <w:p w:rsidR="001C586B" w:rsidRPr="007935E0" w:rsidRDefault="001C586B" w:rsidP="00BC7085">
      <w:pPr>
        <w:autoSpaceDE w:val="0"/>
        <w:autoSpaceDN w:val="0"/>
        <w:adjustRightInd w:val="0"/>
        <w:ind w:left="720" w:right="1440"/>
        <w:rPr>
          <w:sz w:val="26"/>
          <w:szCs w:val="26"/>
        </w:rPr>
      </w:pPr>
    </w:p>
    <w:p w:rsidR="001C586B" w:rsidRPr="001C586B" w:rsidRDefault="00271C16" w:rsidP="00EB4B5D">
      <w:pPr>
        <w:autoSpaceDE w:val="0"/>
        <w:autoSpaceDN w:val="0"/>
        <w:adjustRightInd w:val="0"/>
        <w:spacing w:line="360" w:lineRule="auto"/>
        <w:ind w:right="1440"/>
        <w:rPr>
          <w:sz w:val="26"/>
          <w:szCs w:val="26"/>
        </w:rPr>
      </w:pPr>
      <w:r>
        <w:rPr>
          <w:sz w:val="26"/>
          <w:szCs w:val="26"/>
        </w:rPr>
        <w:t xml:space="preserve">Settlement </w:t>
      </w:r>
      <w:r w:rsidR="001C586B" w:rsidRPr="001C586B">
        <w:rPr>
          <w:sz w:val="26"/>
          <w:szCs w:val="26"/>
        </w:rPr>
        <w:t xml:space="preserve">at 10-11. </w:t>
      </w:r>
    </w:p>
    <w:p w:rsidR="001C586B" w:rsidRPr="007935E0" w:rsidRDefault="001C586B" w:rsidP="00EB4B5D">
      <w:pPr>
        <w:autoSpaceDE w:val="0"/>
        <w:autoSpaceDN w:val="0"/>
        <w:adjustRightInd w:val="0"/>
        <w:spacing w:line="360" w:lineRule="auto"/>
        <w:ind w:left="720" w:right="1440"/>
        <w:rPr>
          <w:sz w:val="26"/>
          <w:szCs w:val="26"/>
        </w:rPr>
      </w:pPr>
    </w:p>
    <w:p w:rsidR="004F2E25" w:rsidRPr="00362D0F" w:rsidRDefault="006D129A" w:rsidP="00BC7085">
      <w:pPr>
        <w:autoSpaceDE w:val="0"/>
        <w:autoSpaceDN w:val="0"/>
        <w:adjustRightInd w:val="0"/>
        <w:spacing w:line="360" w:lineRule="auto"/>
        <w:ind w:firstLine="1440"/>
        <w:rPr>
          <w:sz w:val="26"/>
          <w:szCs w:val="26"/>
        </w:rPr>
      </w:pPr>
      <w:r>
        <w:rPr>
          <w:sz w:val="26"/>
          <w:szCs w:val="26"/>
        </w:rPr>
        <w:t>In addition, the Settlement states that</w:t>
      </w:r>
      <w:r w:rsidR="00BC62EA">
        <w:rPr>
          <w:sz w:val="26"/>
          <w:szCs w:val="26"/>
        </w:rPr>
        <w:t>,</w:t>
      </w:r>
      <w:r>
        <w:rPr>
          <w:sz w:val="26"/>
          <w:szCs w:val="26"/>
        </w:rPr>
        <w:t xml:space="preserve"> i</w:t>
      </w:r>
      <w:r w:rsidR="00362D0F" w:rsidRPr="00362D0F">
        <w:rPr>
          <w:sz w:val="26"/>
          <w:szCs w:val="26"/>
        </w:rPr>
        <w:t xml:space="preserve">n </w:t>
      </w:r>
      <w:r w:rsidR="00BB0EB4" w:rsidRPr="00362D0F">
        <w:rPr>
          <w:sz w:val="26"/>
          <w:szCs w:val="26"/>
        </w:rPr>
        <w:t>consideration of the Company</w:t>
      </w:r>
      <w:r w:rsidR="00C205A7">
        <w:rPr>
          <w:sz w:val="26"/>
          <w:szCs w:val="26"/>
        </w:rPr>
        <w:t>’</w:t>
      </w:r>
      <w:r w:rsidR="00BB0EB4" w:rsidRPr="00362D0F">
        <w:rPr>
          <w:sz w:val="26"/>
          <w:szCs w:val="26"/>
        </w:rPr>
        <w:t xml:space="preserve">s payment of a civil settlement amount, Prosecutory Staff agrees </w:t>
      </w:r>
      <w:r>
        <w:rPr>
          <w:sz w:val="26"/>
          <w:szCs w:val="26"/>
        </w:rPr>
        <w:t xml:space="preserve">not to initiate a </w:t>
      </w:r>
      <w:r w:rsidR="00BB0EB4" w:rsidRPr="00362D0F">
        <w:rPr>
          <w:sz w:val="26"/>
          <w:szCs w:val="26"/>
        </w:rPr>
        <w:t>formal</w:t>
      </w:r>
      <w:r w:rsidR="001C586B" w:rsidRPr="00362D0F">
        <w:rPr>
          <w:sz w:val="26"/>
          <w:szCs w:val="26"/>
        </w:rPr>
        <w:t xml:space="preserve"> </w:t>
      </w:r>
      <w:r w:rsidR="00BB0EB4" w:rsidRPr="00362D0F">
        <w:rPr>
          <w:sz w:val="26"/>
          <w:szCs w:val="26"/>
        </w:rPr>
        <w:t>complaint that relates to the Company</w:t>
      </w:r>
      <w:r w:rsidR="00C205A7">
        <w:rPr>
          <w:sz w:val="26"/>
          <w:szCs w:val="26"/>
        </w:rPr>
        <w:t>’</w:t>
      </w:r>
      <w:r w:rsidR="00BB0EB4" w:rsidRPr="00362D0F">
        <w:rPr>
          <w:sz w:val="26"/>
          <w:szCs w:val="26"/>
        </w:rPr>
        <w:t>s conduct as described in the Settlement.</w:t>
      </w:r>
      <w:r w:rsidR="001C586B" w:rsidRPr="00362D0F">
        <w:rPr>
          <w:sz w:val="26"/>
          <w:szCs w:val="26"/>
        </w:rPr>
        <w:t xml:space="preserve"> </w:t>
      </w:r>
      <w:r w:rsidR="00BB0EB4" w:rsidRPr="00362D0F">
        <w:rPr>
          <w:sz w:val="26"/>
          <w:szCs w:val="26"/>
        </w:rPr>
        <w:t xml:space="preserve"> </w:t>
      </w:r>
      <w:r w:rsidR="00362D0F" w:rsidRPr="00362D0F">
        <w:rPr>
          <w:sz w:val="26"/>
          <w:szCs w:val="26"/>
        </w:rPr>
        <w:t xml:space="preserve">The Parties also agree that nothing </w:t>
      </w:r>
      <w:r w:rsidR="00BB0EB4" w:rsidRPr="00362D0F">
        <w:rPr>
          <w:sz w:val="26"/>
          <w:szCs w:val="26"/>
        </w:rPr>
        <w:t>contained in this Settlement shall adversely affect the</w:t>
      </w:r>
      <w:r w:rsidR="001C586B" w:rsidRPr="00362D0F">
        <w:rPr>
          <w:sz w:val="26"/>
          <w:szCs w:val="26"/>
        </w:rPr>
        <w:t xml:space="preserve"> </w:t>
      </w:r>
      <w:r w:rsidR="00BB0EB4" w:rsidRPr="00362D0F">
        <w:rPr>
          <w:sz w:val="26"/>
          <w:szCs w:val="26"/>
        </w:rPr>
        <w:t>Commission</w:t>
      </w:r>
      <w:r w:rsidR="00C205A7">
        <w:rPr>
          <w:sz w:val="26"/>
          <w:szCs w:val="26"/>
        </w:rPr>
        <w:t>’</w:t>
      </w:r>
      <w:r w:rsidR="00BB0EB4" w:rsidRPr="00362D0F">
        <w:rPr>
          <w:sz w:val="26"/>
          <w:szCs w:val="26"/>
        </w:rPr>
        <w:t>s authority to receive and resolve any informal or formal complaints filed by</w:t>
      </w:r>
      <w:r w:rsidR="001C586B" w:rsidRPr="00362D0F">
        <w:rPr>
          <w:sz w:val="26"/>
          <w:szCs w:val="26"/>
        </w:rPr>
        <w:t xml:space="preserve"> </w:t>
      </w:r>
      <w:r w:rsidR="00BB0EB4" w:rsidRPr="00362D0F">
        <w:rPr>
          <w:sz w:val="26"/>
          <w:szCs w:val="26"/>
        </w:rPr>
        <w:t>any affected party with respect to the incident, except that no further civil penalties may</w:t>
      </w:r>
      <w:r w:rsidR="001C586B" w:rsidRPr="00362D0F">
        <w:rPr>
          <w:sz w:val="26"/>
          <w:szCs w:val="26"/>
        </w:rPr>
        <w:t xml:space="preserve"> </w:t>
      </w:r>
      <w:r w:rsidR="00BB0EB4" w:rsidRPr="00362D0F">
        <w:rPr>
          <w:sz w:val="26"/>
          <w:szCs w:val="26"/>
        </w:rPr>
        <w:t>be imposed by the Commission for any actions identified</w:t>
      </w:r>
      <w:r>
        <w:rPr>
          <w:sz w:val="26"/>
          <w:szCs w:val="26"/>
        </w:rPr>
        <w:t xml:space="preserve"> in the Settlement.</w:t>
      </w:r>
      <w:r w:rsidR="00362D0F">
        <w:rPr>
          <w:sz w:val="26"/>
          <w:szCs w:val="26"/>
        </w:rPr>
        <w:t xml:space="preserve">  </w:t>
      </w:r>
      <w:r w:rsidR="00362D0F" w:rsidRPr="00362D0F">
        <w:rPr>
          <w:i/>
          <w:sz w:val="26"/>
          <w:szCs w:val="26"/>
        </w:rPr>
        <w:t>Id</w:t>
      </w:r>
      <w:r w:rsidR="00362D0F">
        <w:rPr>
          <w:sz w:val="26"/>
          <w:szCs w:val="26"/>
        </w:rPr>
        <w:t xml:space="preserve">. at 11-12. </w:t>
      </w:r>
    </w:p>
    <w:p w:rsidR="001C586B" w:rsidRDefault="001C586B" w:rsidP="00BC7085">
      <w:pPr>
        <w:autoSpaceDE w:val="0"/>
        <w:autoSpaceDN w:val="0"/>
        <w:adjustRightInd w:val="0"/>
        <w:spacing w:line="360" w:lineRule="auto"/>
        <w:ind w:firstLine="1440"/>
      </w:pPr>
    </w:p>
    <w:p w:rsidR="00E75E90" w:rsidRDefault="00E75E90" w:rsidP="001B46AF">
      <w:pPr>
        <w:autoSpaceDE w:val="0"/>
        <w:autoSpaceDN w:val="0"/>
        <w:adjustRightInd w:val="0"/>
        <w:jc w:val="center"/>
        <w:rPr>
          <w:b/>
          <w:sz w:val="26"/>
          <w:szCs w:val="26"/>
        </w:rPr>
      </w:pPr>
    </w:p>
    <w:p w:rsidR="00E75E90" w:rsidRDefault="00E75E90" w:rsidP="001B46AF">
      <w:pPr>
        <w:autoSpaceDE w:val="0"/>
        <w:autoSpaceDN w:val="0"/>
        <w:adjustRightInd w:val="0"/>
        <w:jc w:val="center"/>
        <w:rPr>
          <w:b/>
          <w:sz w:val="26"/>
          <w:szCs w:val="26"/>
        </w:rPr>
      </w:pPr>
    </w:p>
    <w:p w:rsidR="00E75E90" w:rsidRDefault="00E75E90" w:rsidP="001B46AF">
      <w:pPr>
        <w:autoSpaceDE w:val="0"/>
        <w:autoSpaceDN w:val="0"/>
        <w:adjustRightInd w:val="0"/>
        <w:jc w:val="center"/>
        <w:rPr>
          <w:b/>
          <w:sz w:val="26"/>
          <w:szCs w:val="26"/>
        </w:rPr>
      </w:pPr>
    </w:p>
    <w:p w:rsidR="00E75E90" w:rsidRDefault="00E75E90" w:rsidP="001B46AF">
      <w:pPr>
        <w:autoSpaceDE w:val="0"/>
        <w:autoSpaceDN w:val="0"/>
        <w:adjustRightInd w:val="0"/>
        <w:jc w:val="center"/>
        <w:rPr>
          <w:b/>
          <w:sz w:val="26"/>
          <w:szCs w:val="26"/>
        </w:rPr>
      </w:pPr>
    </w:p>
    <w:p w:rsidR="00E75E90" w:rsidRDefault="00E75E90" w:rsidP="001B46AF">
      <w:pPr>
        <w:autoSpaceDE w:val="0"/>
        <w:autoSpaceDN w:val="0"/>
        <w:adjustRightInd w:val="0"/>
        <w:jc w:val="center"/>
        <w:rPr>
          <w:b/>
          <w:sz w:val="26"/>
          <w:szCs w:val="26"/>
        </w:rPr>
      </w:pPr>
    </w:p>
    <w:p w:rsidR="00E75E90" w:rsidRDefault="00E75E90" w:rsidP="001B46AF">
      <w:pPr>
        <w:autoSpaceDE w:val="0"/>
        <w:autoSpaceDN w:val="0"/>
        <w:adjustRightInd w:val="0"/>
        <w:jc w:val="center"/>
        <w:rPr>
          <w:b/>
          <w:sz w:val="26"/>
          <w:szCs w:val="26"/>
        </w:rPr>
      </w:pPr>
    </w:p>
    <w:p w:rsidR="001B46AF" w:rsidRPr="004F2E25" w:rsidRDefault="001B46AF" w:rsidP="001B46AF">
      <w:pPr>
        <w:autoSpaceDE w:val="0"/>
        <w:autoSpaceDN w:val="0"/>
        <w:adjustRightInd w:val="0"/>
        <w:jc w:val="center"/>
        <w:rPr>
          <w:b/>
          <w:sz w:val="26"/>
          <w:szCs w:val="26"/>
        </w:rPr>
      </w:pPr>
      <w:r>
        <w:rPr>
          <w:b/>
          <w:sz w:val="26"/>
          <w:szCs w:val="26"/>
        </w:rPr>
        <w:lastRenderedPageBreak/>
        <w:t>Discussion</w:t>
      </w:r>
    </w:p>
    <w:p w:rsidR="0073402B" w:rsidRDefault="00586017" w:rsidP="001B46AF">
      <w:pPr>
        <w:keepNext/>
        <w:tabs>
          <w:tab w:val="center" w:pos="720"/>
        </w:tabs>
        <w:suppressAutoHyphens/>
        <w:spacing w:line="360" w:lineRule="auto"/>
        <w:ind w:firstLine="1440"/>
        <w:rPr>
          <w:rFonts w:cs="Mangal"/>
          <w:sz w:val="26"/>
          <w:szCs w:val="26"/>
          <w:lang w:bidi="hi-IN"/>
        </w:rPr>
      </w:pPr>
      <w:r w:rsidRPr="00586017">
        <w:rPr>
          <w:rFonts w:cs="Mangal"/>
          <w:sz w:val="26"/>
          <w:szCs w:val="26"/>
          <w:lang w:bidi="hi-IN"/>
        </w:rPr>
        <w:t xml:space="preserve">  </w:t>
      </w:r>
    </w:p>
    <w:p w:rsidR="00E75E90" w:rsidRDefault="00E75E90" w:rsidP="00BC7085">
      <w:pPr>
        <w:tabs>
          <w:tab w:val="center" w:pos="720"/>
        </w:tabs>
        <w:suppressAutoHyphens/>
        <w:spacing w:line="360" w:lineRule="auto"/>
        <w:ind w:firstLine="1440"/>
        <w:rPr>
          <w:rFonts w:cs="Mangal"/>
          <w:sz w:val="26"/>
          <w:szCs w:val="26"/>
          <w:lang w:bidi="hi-IN"/>
        </w:rPr>
      </w:pPr>
      <w:r>
        <w:rPr>
          <w:sz w:val="26"/>
          <w:szCs w:val="26"/>
        </w:rPr>
        <w:t xml:space="preserve">Initially, we note that any issue or argument that we do not specifically delineate shall be deemed to have been duly considered and denied without further discussion.  The Commission is not required to consider expressly or at length each contention or argument raised by the Parties.  </w:t>
      </w:r>
      <w:r w:rsidRPr="00BB63AF">
        <w:rPr>
          <w:i/>
          <w:sz w:val="26"/>
          <w:szCs w:val="26"/>
        </w:rPr>
        <w:t>Consolidated Rail Corp. v. Pa. PUC</w:t>
      </w:r>
      <w:r>
        <w:rPr>
          <w:sz w:val="26"/>
          <w:szCs w:val="26"/>
        </w:rPr>
        <w:t xml:space="preserve">, 625 A.2d 741 (Pa. Cmwlth. 1993); </w:t>
      </w:r>
      <w:r w:rsidRPr="00BB63AF">
        <w:rPr>
          <w:i/>
          <w:sz w:val="26"/>
          <w:szCs w:val="26"/>
        </w:rPr>
        <w:t>also see, generally</w:t>
      </w:r>
      <w:r>
        <w:rPr>
          <w:sz w:val="26"/>
          <w:szCs w:val="26"/>
        </w:rPr>
        <w:t xml:space="preserve">, </w:t>
      </w:r>
      <w:r w:rsidRPr="00BB63AF">
        <w:rPr>
          <w:i/>
          <w:sz w:val="26"/>
          <w:szCs w:val="26"/>
        </w:rPr>
        <w:t>University of Pennsylvania v. Pa. PUC</w:t>
      </w:r>
      <w:r>
        <w:rPr>
          <w:sz w:val="26"/>
          <w:szCs w:val="26"/>
        </w:rPr>
        <w:t xml:space="preserve">, 485 A.2d 1217 (Pa. Cmwlth. 1984).     </w:t>
      </w:r>
    </w:p>
    <w:p w:rsidR="00E75E90" w:rsidRDefault="00E75E90" w:rsidP="00BC7085">
      <w:pPr>
        <w:tabs>
          <w:tab w:val="center" w:pos="720"/>
        </w:tabs>
        <w:suppressAutoHyphens/>
        <w:spacing w:line="360" w:lineRule="auto"/>
        <w:ind w:firstLine="1440"/>
        <w:rPr>
          <w:rFonts w:cs="Mangal"/>
          <w:sz w:val="26"/>
          <w:szCs w:val="26"/>
          <w:lang w:bidi="hi-IN"/>
        </w:rPr>
      </w:pPr>
    </w:p>
    <w:p w:rsidR="00BA65ED" w:rsidRPr="002E2243" w:rsidRDefault="00BA65ED" w:rsidP="00BA65ED">
      <w:pPr>
        <w:tabs>
          <w:tab w:val="center" w:pos="720"/>
        </w:tabs>
        <w:suppressAutoHyphens/>
        <w:spacing w:line="360" w:lineRule="auto"/>
        <w:jc w:val="both"/>
        <w:rPr>
          <w:rFonts w:cs="Mangal"/>
          <w:b/>
          <w:i/>
          <w:sz w:val="26"/>
          <w:szCs w:val="26"/>
          <w:lang w:bidi="hi-IN"/>
        </w:rPr>
      </w:pPr>
      <w:r w:rsidRPr="002E2243">
        <w:rPr>
          <w:rFonts w:cs="Mangal"/>
          <w:b/>
          <w:sz w:val="26"/>
          <w:szCs w:val="26"/>
          <w:lang w:bidi="hi-IN"/>
        </w:rPr>
        <w:t>Comments in Response to the</w:t>
      </w:r>
      <w:r w:rsidRPr="002E2243">
        <w:rPr>
          <w:rFonts w:cs="Mangal"/>
          <w:b/>
          <w:i/>
          <w:sz w:val="26"/>
          <w:szCs w:val="26"/>
          <w:lang w:bidi="hi-IN"/>
        </w:rPr>
        <w:t xml:space="preserve"> June 2012 Order</w:t>
      </w:r>
    </w:p>
    <w:p w:rsidR="00BA65ED" w:rsidRDefault="00BA65ED" w:rsidP="00BC7085">
      <w:pPr>
        <w:tabs>
          <w:tab w:val="center" w:pos="720"/>
        </w:tabs>
        <w:suppressAutoHyphens/>
        <w:spacing w:line="360" w:lineRule="auto"/>
        <w:ind w:firstLine="1440"/>
        <w:rPr>
          <w:rFonts w:cs="Mangal"/>
          <w:sz w:val="26"/>
          <w:szCs w:val="26"/>
          <w:lang w:bidi="hi-IN"/>
        </w:rPr>
      </w:pPr>
    </w:p>
    <w:p w:rsidR="005F639F" w:rsidRDefault="007B117B" w:rsidP="00BC7085">
      <w:pPr>
        <w:tabs>
          <w:tab w:val="center" w:pos="720"/>
        </w:tabs>
        <w:suppressAutoHyphens/>
        <w:spacing w:line="360" w:lineRule="auto"/>
        <w:ind w:firstLine="1440"/>
        <w:rPr>
          <w:rFonts w:cs="Mangal"/>
          <w:sz w:val="26"/>
          <w:szCs w:val="26"/>
          <w:lang w:bidi="hi-IN"/>
        </w:rPr>
      </w:pPr>
      <w:r>
        <w:rPr>
          <w:rFonts w:cs="Mangal"/>
          <w:sz w:val="26"/>
          <w:szCs w:val="26"/>
          <w:lang w:bidi="hi-IN"/>
        </w:rPr>
        <w:t>In its Comments, PECO states that, while it believes the Settlement as submitted to the Commission is fair and in the public interest, it accepts the</w:t>
      </w:r>
      <w:r w:rsidR="00BA65ED">
        <w:rPr>
          <w:rFonts w:cs="Mangal"/>
          <w:sz w:val="26"/>
          <w:szCs w:val="26"/>
          <w:lang w:bidi="hi-IN"/>
        </w:rPr>
        <w:t xml:space="preserve"> proposed </w:t>
      </w:r>
      <w:r>
        <w:rPr>
          <w:rFonts w:cs="Mangal"/>
          <w:sz w:val="26"/>
          <w:szCs w:val="26"/>
          <w:lang w:bidi="hi-IN"/>
        </w:rPr>
        <w:t>increase in the amount it is required to pay in order to settle this matter and move forward with its business.  Nevertheless, PECO requests that the Commission reconsider the characterization of the payment as a “penalty” as opposed to a “civil settlement amount.”</w:t>
      </w:r>
      <w:r w:rsidR="005F639F">
        <w:rPr>
          <w:rFonts w:cs="Mangal"/>
          <w:sz w:val="26"/>
          <w:szCs w:val="26"/>
          <w:lang w:bidi="hi-IN"/>
        </w:rPr>
        <w:t xml:space="preserve">  Comments at 2.</w:t>
      </w:r>
      <w:r>
        <w:rPr>
          <w:rFonts w:cs="Mangal"/>
          <w:sz w:val="26"/>
          <w:szCs w:val="26"/>
          <w:lang w:bidi="hi-IN"/>
        </w:rPr>
        <w:t xml:space="preserve">  PECO avers that the Settlement was reached by the Parties as a result of</w:t>
      </w:r>
      <w:r w:rsidR="005F639F">
        <w:rPr>
          <w:rFonts w:cs="Mangal"/>
          <w:sz w:val="26"/>
          <w:szCs w:val="26"/>
          <w:lang w:bidi="hi-IN"/>
        </w:rPr>
        <w:t xml:space="preserve"> a</w:t>
      </w:r>
      <w:r>
        <w:rPr>
          <w:rFonts w:cs="Mangal"/>
          <w:sz w:val="26"/>
          <w:szCs w:val="26"/>
          <w:lang w:bidi="hi-IN"/>
        </w:rPr>
        <w:t xml:space="preserve"> compromise of positions and an agreement to resolve alleged violations without an admission by PECO of any culpability.  PECO does not believe that a penalty should be imposed since it did not admit to any violations</w:t>
      </w:r>
      <w:r w:rsidR="000334FE">
        <w:rPr>
          <w:rFonts w:cs="Mangal"/>
          <w:sz w:val="26"/>
          <w:szCs w:val="26"/>
          <w:lang w:bidi="hi-IN"/>
        </w:rPr>
        <w:t>.  PECO believes that a “settlement payment” is a more appropriate characterization of the payment that the Parties included in the Settlement.</w:t>
      </w:r>
      <w:r w:rsidR="00FB0F68">
        <w:rPr>
          <w:rFonts w:cs="Mangal"/>
          <w:sz w:val="26"/>
          <w:szCs w:val="26"/>
          <w:lang w:bidi="hi-IN"/>
        </w:rPr>
        <w:t xml:space="preserve">  </w:t>
      </w:r>
      <w:r w:rsidR="00FB0F68" w:rsidRPr="00A82913">
        <w:rPr>
          <w:rFonts w:cs="Mangal"/>
          <w:i/>
          <w:sz w:val="26"/>
          <w:szCs w:val="26"/>
          <w:lang w:bidi="hi-IN"/>
        </w:rPr>
        <w:t>Id</w:t>
      </w:r>
      <w:r w:rsidR="00FB0F68">
        <w:rPr>
          <w:rFonts w:cs="Mangal"/>
          <w:sz w:val="26"/>
          <w:szCs w:val="26"/>
          <w:lang w:bidi="hi-IN"/>
        </w:rPr>
        <w:t xml:space="preserve">. at 3.  </w:t>
      </w:r>
      <w:r w:rsidR="005F639F">
        <w:rPr>
          <w:rFonts w:cs="Mangal"/>
          <w:sz w:val="26"/>
          <w:szCs w:val="26"/>
          <w:lang w:bidi="hi-IN"/>
        </w:rPr>
        <w:t xml:space="preserve">  </w:t>
      </w:r>
    </w:p>
    <w:p w:rsidR="005F639F" w:rsidRDefault="005F639F" w:rsidP="00BC7085">
      <w:pPr>
        <w:tabs>
          <w:tab w:val="center" w:pos="720"/>
        </w:tabs>
        <w:suppressAutoHyphens/>
        <w:spacing w:line="360" w:lineRule="auto"/>
        <w:ind w:firstLine="1440"/>
        <w:rPr>
          <w:rFonts w:cs="Mangal"/>
          <w:sz w:val="26"/>
          <w:szCs w:val="26"/>
          <w:lang w:bidi="hi-IN"/>
        </w:rPr>
      </w:pPr>
    </w:p>
    <w:p w:rsidR="005F639F" w:rsidRDefault="005F639F" w:rsidP="00BC7085">
      <w:pPr>
        <w:tabs>
          <w:tab w:val="center" w:pos="720"/>
        </w:tabs>
        <w:suppressAutoHyphens/>
        <w:spacing w:line="360" w:lineRule="auto"/>
        <w:ind w:firstLine="1440"/>
        <w:rPr>
          <w:rFonts w:cs="Mangal"/>
          <w:sz w:val="26"/>
          <w:szCs w:val="26"/>
          <w:lang w:bidi="hi-IN"/>
        </w:rPr>
      </w:pPr>
      <w:r>
        <w:rPr>
          <w:rFonts w:cs="Mangal"/>
          <w:sz w:val="26"/>
          <w:szCs w:val="26"/>
          <w:lang w:bidi="hi-IN"/>
        </w:rPr>
        <w:t xml:space="preserve">PECO avers that, based on its interpretation of the </w:t>
      </w:r>
      <w:r w:rsidR="006B1974">
        <w:rPr>
          <w:rFonts w:cs="Mangal"/>
          <w:sz w:val="26"/>
          <w:szCs w:val="26"/>
          <w:lang w:bidi="hi-IN"/>
        </w:rPr>
        <w:t>Policy Statement at 52 </w:t>
      </w:r>
      <w:r w:rsidR="00932724">
        <w:rPr>
          <w:rFonts w:cs="Mangal"/>
          <w:sz w:val="26"/>
          <w:szCs w:val="26"/>
          <w:lang w:bidi="hi-IN"/>
        </w:rPr>
        <w:t>Pa. Code § </w:t>
      </w:r>
      <w:r w:rsidR="00932724" w:rsidRPr="00586017">
        <w:rPr>
          <w:rFonts w:cs="Mangal"/>
          <w:sz w:val="26"/>
          <w:szCs w:val="26"/>
          <w:lang w:bidi="hi-IN"/>
        </w:rPr>
        <w:t>69.1201</w:t>
      </w:r>
      <w:r w:rsidR="00932724">
        <w:rPr>
          <w:rFonts w:cs="Mangal"/>
          <w:sz w:val="26"/>
          <w:szCs w:val="26"/>
          <w:lang w:bidi="hi-IN"/>
        </w:rPr>
        <w:t>,</w:t>
      </w:r>
      <w:r w:rsidR="00932724" w:rsidRPr="00586017">
        <w:rPr>
          <w:rFonts w:cs="Mangal"/>
          <w:sz w:val="26"/>
          <w:szCs w:val="26"/>
          <w:lang w:bidi="hi-IN"/>
        </w:rPr>
        <w:t xml:space="preserve"> </w:t>
      </w:r>
      <w:r w:rsidR="00932724" w:rsidRPr="00586017">
        <w:rPr>
          <w:rFonts w:cs="Mangal"/>
          <w:i/>
          <w:sz w:val="26"/>
          <w:szCs w:val="26"/>
          <w:lang w:bidi="hi-IN"/>
        </w:rPr>
        <w:t>Factors and standards for evaluating litigated and settled proceedings involving violations of the Public Utility Code and Commission regulations—statement of policy</w:t>
      </w:r>
      <w:r w:rsidR="00932724">
        <w:rPr>
          <w:rFonts w:cs="Mangal"/>
          <w:i/>
          <w:sz w:val="26"/>
          <w:szCs w:val="26"/>
          <w:lang w:bidi="hi-IN"/>
        </w:rPr>
        <w:t xml:space="preserve"> </w:t>
      </w:r>
      <w:r w:rsidR="00932724">
        <w:rPr>
          <w:rFonts w:cs="Mangal"/>
          <w:sz w:val="26"/>
          <w:szCs w:val="26"/>
          <w:lang w:bidi="hi-IN"/>
        </w:rPr>
        <w:t>(Policy Statement)</w:t>
      </w:r>
      <w:r w:rsidR="005247DC">
        <w:rPr>
          <w:rFonts w:cs="Mangal"/>
          <w:sz w:val="26"/>
          <w:szCs w:val="26"/>
          <w:lang w:bidi="hi-IN"/>
        </w:rPr>
        <w:t>,</w:t>
      </w:r>
      <w:r>
        <w:rPr>
          <w:rFonts w:cs="Mangal"/>
          <w:sz w:val="26"/>
          <w:szCs w:val="26"/>
          <w:lang w:bidi="hi-IN"/>
        </w:rPr>
        <w:t xml:space="preserve"> and the Order adopting the Policy Statement, it is clear that the Commission believed there should be flexibility for parties in determining the resolution of a matter and that the Commission did not intend that </w:t>
      </w:r>
      <w:r>
        <w:rPr>
          <w:rFonts w:cs="Mangal"/>
          <w:sz w:val="26"/>
          <w:szCs w:val="26"/>
          <w:lang w:bidi="hi-IN"/>
        </w:rPr>
        <w:lastRenderedPageBreak/>
        <w:t xml:space="preserve">conditions or obligations included within a settlement must be included as a “penalty.”  </w:t>
      </w:r>
      <w:r w:rsidR="00F41630">
        <w:rPr>
          <w:rFonts w:cs="Mangal"/>
          <w:sz w:val="26"/>
          <w:szCs w:val="26"/>
          <w:lang w:bidi="hi-IN"/>
        </w:rPr>
        <w:t xml:space="preserve">Comments at 3. </w:t>
      </w:r>
      <w:r w:rsidR="00FB0F68">
        <w:rPr>
          <w:rFonts w:cs="Mangal"/>
          <w:sz w:val="26"/>
          <w:szCs w:val="26"/>
          <w:lang w:bidi="hi-IN"/>
        </w:rPr>
        <w:t xml:space="preserve"> </w:t>
      </w:r>
      <w:r>
        <w:rPr>
          <w:rFonts w:cs="Mangal"/>
          <w:sz w:val="26"/>
          <w:szCs w:val="26"/>
          <w:lang w:bidi="hi-IN"/>
        </w:rPr>
        <w:t>PECO i</w:t>
      </w:r>
      <w:r w:rsidR="00FB0F68">
        <w:rPr>
          <w:rFonts w:cs="Mangal"/>
          <w:sz w:val="26"/>
          <w:szCs w:val="26"/>
          <w:lang w:bidi="hi-IN"/>
        </w:rPr>
        <w:t>ndicates</w:t>
      </w:r>
      <w:r>
        <w:rPr>
          <w:rFonts w:cs="Mangal"/>
          <w:sz w:val="26"/>
          <w:szCs w:val="26"/>
          <w:lang w:bidi="hi-IN"/>
        </w:rPr>
        <w:t xml:space="preserve"> that</w:t>
      </w:r>
      <w:r w:rsidR="00FB0F68">
        <w:rPr>
          <w:rFonts w:cs="Mangal"/>
          <w:sz w:val="26"/>
          <w:szCs w:val="26"/>
          <w:lang w:bidi="hi-IN"/>
        </w:rPr>
        <w:t xml:space="preserve"> the issue of how to characterize the “civil settlement amount” was a material component of the Settlement, and reduced flexibility to address PECO’s concern about this characterization would have made a settlement more difficult, if not impossible.  </w:t>
      </w:r>
      <w:r w:rsidR="00FB0F68" w:rsidRPr="00A82913">
        <w:rPr>
          <w:rFonts w:cs="Mangal"/>
          <w:i/>
          <w:sz w:val="26"/>
          <w:szCs w:val="26"/>
          <w:lang w:bidi="hi-IN"/>
        </w:rPr>
        <w:t>Id</w:t>
      </w:r>
      <w:r w:rsidR="00FB0F68">
        <w:rPr>
          <w:rFonts w:cs="Mangal"/>
          <w:sz w:val="26"/>
          <w:szCs w:val="26"/>
          <w:lang w:bidi="hi-IN"/>
        </w:rPr>
        <w:t>. at 3-4.</w:t>
      </w:r>
      <w:r w:rsidR="00A82913">
        <w:rPr>
          <w:rFonts w:cs="Mangal"/>
          <w:sz w:val="26"/>
          <w:szCs w:val="26"/>
          <w:lang w:bidi="hi-IN"/>
        </w:rPr>
        <w:t xml:space="preserve">  </w:t>
      </w:r>
      <w:r w:rsidR="00EB4D6F">
        <w:rPr>
          <w:rFonts w:cs="Mangal"/>
          <w:sz w:val="26"/>
          <w:szCs w:val="26"/>
          <w:lang w:bidi="hi-IN"/>
        </w:rPr>
        <w:t xml:space="preserve">PECO additionally requests that the Commission confirm that, other than the proposed change of the $35,000 civil settlement amount to a $75,000 civil penalty, there have not been any additional changes to the Settlement.   </w:t>
      </w:r>
      <w:r w:rsidR="00FB0F68">
        <w:rPr>
          <w:rFonts w:cs="Mangal"/>
          <w:sz w:val="26"/>
          <w:szCs w:val="26"/>
          <w:lang w:bidi="hi-IN"/>
        </w:rPr>
        <w:t xml:space="preserve"> </w:t>
      </w:r>
      <w:r>
        <w:rPr>
          <w:rFonts w:cs="Mangal"/>
          <w:sz w:val="26"/>
          <w:szCs w:val="26"/>
          <w:lang w:bidi="hi-IN"/>
        </w:rPr>
        <w:t xml:space="preserve">         </w:t>
      </w:r>
      <w:r w:rsidR="000334FE">
        <w:rPr>
          <w:rFonts w:cs="Mangal"/>
          <w:sz w:val="26"/>
          <w:szCs w:val="26"/>
          <w:lang w:bidi="hi-IN"/>
        </w:rPr>
        <w:t xml:space="preserve">  </w:t>
      </w:r>
    </w:p>
    <w:p w:rsidR="002E2243" w:rsidRDefault="007B117B" w:rsidP="00BC7085">
      <w:pPr>
        <w:tabs>
          <w:tab w:val="center" w:pos="720"/>
        </w:tabs>
        <w:suppressAutoHyphens/>
        <w:spacing w:line="360" w:lineRule="auto"/>
        <w:ind w:firstLine="1440"/>
        <w:rPr>
          <w:rFonts w:cs="Mangal"/>
          <w:sz w:val="26"/>
          <w:szCs w:val="26"/>
          <w:lang w:bidi="hi-IN"/>
        </w:rPr>
      </w:pPr>
      <w:r>
        <w:rPr>
          <w:rFonts w:cs="Mangal"/>
          <w:sz w:val="26"/>
          <w:szCs w:val="26"/>
          <w:lang w:bidi="hi-IN"/>
        </w:rPr>
        <w:t xml:space="preserve">  </w:t>
      </w:r>
    </w:p>
    <w:p w:rsidR="00F41630" w:rsidRDefault="00F05F0A" w:rsidP="00BC7085">
      <w:pPr>
        <w:tabs>
          <w:tab w:val="center" w:pos="720"/>
        </w:tabs>
        <w:suppressAutoHyphens/>
        <w:spacing w:line="360" w:lineRule="auto"/>
        <w:ind w:firstLine="1440"/>
        <w:rPr>
          <w:sz w:val="26"/>
        </w:rPr>
      </w:pPr>
      <w:r>
        <w:rPr>
          <w:rFonts w:cs="Mangal"/>
          <w:sz w:val="26"/>
          <w:szCs w:val="26"/>
          <w:lang w:bidi="hi-IN"/>
        </w:rPr>
        <w:t xml:space="preserve">Upon our review of the Comments submitted by PECO, we are not persuaded by PECO’s arguments </w:t>
      </w:r>
      <w:r w:rsidR="00586D78">
        <w:rPr>
          <w:rFonts w:cs="Mangal"/>
          <w:sz w:val="26"/>
          <w:szCs w:val="26"/>
          <w:lang w:bidi="hi-IN"/>
        </w:rPr>
        <w:t xml:space="preserve">that it should pay a </w:t>
      </w:r>
      <w:r>
        <w:rPr>
          <w:rFonts w:cs="Mangal"/>
          <w:sz w:val="26"/>
          <w:szCs w:val="26"/>
          <w:lang w:bidi="hi-IN"/>
        </w:rPr>
        <w:t xml:space="preserve">$75,000 </w:t>
      </w:r>
      <w:r w:rsidR="00586D78">
        <w:rPr>
          <w:rFonts w:cs="Mangal"/>
          <w:sz w:val="26"/>
          <w:szCs w:val="26"/>
          <w:lang w:bidi="hi-IN"/>
        </w:rPr>
        <w:t xml:space="preserve">civil settlement amount, instead of a $75,000 </w:t>
      </w:r>
      <w:r>
        <w:rPr>
          <w:rFonts w:cs="Mangal"/>
          <w:sz w:val="26"/>
          <w:szCs w:val="26"/>
          <w:lang w:bidi="hi-IN"/>
        </w:rPr>
        <w:t>civil penalty</w:t>
      </w:r>
      <w:r w:rsidR="00712565">
        <w:rPr>
          <w:rFonts w:cs="Mangal"/>
          <w:sz w:val="26"/>
          <w:szCs w:val="26"/>
          <w:lang w:bidi="hi-IN"/>
        </w:rPr>
        <w:t>,</w:t>
      </w:r>
      <w:r w:rsidR="00BF0F46">
        <w:rPr>
          <w:rFonts w:cs="Mangal"/>
          <w:sz w:val="26"/>
          <w:szCs w:val="26"/>
          <w:lang w:bidi="hi-IN"/>
        </w:rPr>
        <w:t xml:space="preserve"> as was </w:t>
      </w:r>
      <w:r w:rsidR="005D5367">
        <w:rPr>
          <w:rFonts w:cs="Mangal"/>
          <w:sz w:val="26"/>
          <w:szCs w:val="26"/>
          <w:lang w:bidi="hi-IN"/>
        </w:rPr>
        <w:t xml:space="preserve">proposed </w:t>
      </w:r>
      <w:r w:rsidR="00BF0F46">
        <w:rPr>
          <w:rFonts w:cs="Mangal"/>
          <w:sz w:val="26"/>
          <w:szCs w:val="26"/>
          <w:lang w:bidi="hi-IN"/>
        </w:rPr>
        <w:t xml:space="preserve">in our </w:t>
      </w:r>
      <w:r w:rsidR="00BF0F46" w:rsidRPr="00BF0F46">
        <w:rPr>
          <w:rFonts w:cs="Mangal"/>
          <w:i/>
          <w:sz w:val="26"/>
          <w:szCs w:val="26"/>
          <w:lang w:bidi="hi-IN"/>
        </w:rPr>
        <w:t>June 2012 Order</w:t>
      </w:r>
      <w:r>
        <w:rPr>
          <w:rFonts w:cs="Mangal"/>
          <w:sz w:val="26"/>
          <w:szCs w:val="26"/>
          <w:lang w:bidi="hi-IN"/>
        </w:rPr>
        <w:t xml:space="preserve">.  </w:t>
      </w:r>
      <w:r w:rsidR="00DD03D7">
        <w:rPr>
          <w:rFonts w:cs="Mangal"/>
          <w:sz w:val="26"/>
          <w:szCs w:val="26"/>
          <w:lang w:bidi="hi-IN"/>
        </w:rPr>
        <w:t>Our Policy Statement provides that “[t]</w:t>
      </w:r>
      <w:r w:rsidR="00657596" w:rsidRPr="00DD03D7">
        <w:rPr>
          <w:sz w:val="26"/>
        </w:rPr>
        <w:t xml:space="preserve">he parties in settled cases will be afforded flexibility in reaching amicable resolutions to complaints and other matters </w:t>
      </w:r>
      <w:r w:rsidR="00657596" w:rsidRPr="00351FBA">
        <w:rPr>
          <w:i/>
          <w:sz w:val="26"/>
        </w:rPr>
        <w:t>so long as the settlement is in the public interest</w:t>
      </w:r>
      <w:r w:rsidR="00657596" w:rsidRPr="00DD03D7">
        <w:rPr>
          <w:sz w:val="26"/>
        </w:rPr>
        <w:t>.</w:t>
      </w:r>
      <w:r w:rsidR="00DD03D7">
        <w:rPr>
          <w:sz w:val="26"/>
        </w:rPr>
        <w:t xml:space="preserve">”  52 Pa. Code </w:t>
      </w:r>
      <w:r w:rsidR="00DD03D7">
        <w:rPr>
          <w:rFonts w:cs="Mangal"/>
          <w:sz w:val="26"/>
          <w:szCs w:val="26"/>
          <w:lang w:bidi="hi-IN"/>
        </w:rPr>
        <w:t>§ </w:t>
      </w:r>
      <w:r w:rsidR="00DD03D7" w:rsidRPr="00586017">
        <w:rPr>
          <w:rFonts w:cs="Mangal"/>
          <w:sz w:val="26"/>
          <w:szCs w:val="26"/>
          <w:lang w:bidi="hi-IN"/>
        </w:rPr>
        <w:t>69.1201</w:t>
      </w:r>
      <w:r w:rsidR="00657596" w:rsidRPr="00DD03D7">
        <w:rPr>
          <w:sz w:val="26"/>
        </w:rPr>
        <w:t>(b)</w:t>
      </w:r>
      <w:r w:rsidR="00351FBA">
        <w:rPr>
          <w:sz w:val="26"/>
        </w:rPr>
        <w:t xml:space="preserve"> (emphasis added)</w:t>
      </w:r>
      <w:r w:rsidR="00DD03D7">
        <w:rPr>
          <w:sz w:val="26"/>
        </w:rPr>
        <w:t>.  Under the Policy Statement, we have the authority to determine whether “</w:t>
      </w:r>
      <w:r w:rsidR="00657596" w:rsidRPr="00DD03D7">
        <w:rPr>
          <w:sz w:val="26"/>
        </w:rPr>
        <w:t>a proposed settlement for a violation is reasonable and approval of the settlement agreement is in the public interest.</w:t>
      </w:r>
      <w:r w:rsidR="00DD03D7">
        <w:rPr>
          <w:sz w:val="26"/>
        </w:rPr>
        <w:t xml:space="preserve">”  52 Pa. Code </w:t>
      </w:r>
      <w:r w:rsidR="00DD03D7">
        <w:rPr>
          <w:rFonts w:cs="Mangal"/>
          <w:sz w:val="26"/>
          <w:szCs w:val="26"/>
          <w:lang w:bidi="hi-IN"/>
        </w:rPr>
        <w:t>§ </w:t>
      </w:r>
      <w:r w:rsidR="00DD03D7" w:rsidRPr="00586017">
        <w:rPr>
          <w:rFonts w:cs="Mangal"/>
          <w:sz w:val="26"/>
          <w:szCs w:val="26"/>
          <w:lang w:bidi="hi-IN"/>
        </w:rPr>
        <w:t>69.1201</w:t>
      </w:r>
      <w:r w:rsidR="00DD03D7" w:rsidRPr="00DD03D7">
        <w:rPr>
          <w:sz w:val="26"/>
        </w:rPr>
        <w:t>(</w:t>
      </w:r>
      <w:r w:rsidR="00657596" w:rsidRPr="00DD03D7">
        <w:rPr>
          <w:sz w:val="26"/>
        </w:rPr>
        <w:t>a)</w:t>
      </w:r>
      <w:r w:rsidR="00DD03D7">
        <w:rPr>
          <w:sz w:val="26"/>
        </w:rPr>
        <w:t>.</w:t>
      </w:r>
      <w:r w:rsidR="00E82E93">
        <w:rPr>
          <w:sz w:val="26"/>
        </w:rPr>
        <w:t xml:space="preserve">  </w:t>
      </w:r>
      <w:r w:rsidR="00B00F1B">
        <w:rPr>
          <w:sz w:val="26"/>
        </w:rPr>
        <w:t>In cases such as this one, which involve serious allegations of violations</w:t>
      </w:r>
      <w:r w:rsidR="00910C42">
        <w:rPr>
          <w:sz w:val="26"/>
        </w:rPr>
        <w:t xml:space="preserve"> of gas safety regulations</w:t>
      </w:r>
      <w:r w:rsidR="00B00F1B">
        <w:rPr>
          <w:sz w:val="26"/>
        </w:rPr>
        <w:t>, we have modified both the amount and the nature of the payment that the parties had agreed to in their settlements</w:t>
      </w:r>
      <w:r w:rsidR="00351FBA">
        <w:rPr>
          <w:sz w:val="26"/>
        </w:rPr>
        <w:t xml:space="preserve"> in order to ensure that the settlements were in the public interest</w:t>
      </w:r>
      <w:r w:rsidR="00B00F1B">
        <w:rPr>
          <w:sz w:val="26"/>
        </w:rPr>
        <w:t xml:space="preserve">.  </w:t>
      </w:r>
      <w:r w:rsidR="00A77A1F">
        <w:rPr>
          <w:sz w:val="26"/>
        </w:rPr>
        <w:t>We have also assessed civil penalt</w:t>
      </w:r>
      <w:r w:rsidR="003A33DD">
        <w:rPr>
          <w:sz w:val="26"/>
        </w:rPr>
        <w:t>ies</w:t>
      </w:r>
      <w:r w:rsidR="00130F34">
        <w:rPr>
          <w:sz w:val="26"/>
        </w:rPr>
        <w:t xml:space="preserve"> in these types of cases</w:t>
      </w:r>
      <w:r w:rsidR="00516332">
        <w:rPr>
          <w:sz w:val="26"/>
        </w:rPr>
        <w:t>, as opposed to civil settlement amounts</w:t>
      </w:r>
      <w:r w:rsidR="00A77A1F">
        <w:rPr>
          <w:sz w:val="26"/>
        </w:rPr>
        <w:t xml:space="preserve">.  </w:t>
      </w:r>
      <w:r w:rsidR="004E5867">
        <w:rPr>
          <w:i/>
          <w:sz w:val="26"/>
        </w:rPr>
        <w:t>See, Pa. PUC v. Equitable Gas Company, LLC</w:t>
      </w:r>
      <w:r w:rsidR="004E5867">
        <w:rPr>
          <w:sz w:val="26"/>
        </w:rPr>
        <w:t>, Docket No. M-2009-1505395 (Order entered March 2, 2012) (determining that it was reasonable to assess a civil penalty of $130,000, rather than the $65,000 penalty agreed to by the parties</w:t>
      </w:r>
      <w:r w:rsidR="00712565">
        <w:rPr>
          <w:sz w:val="26"/>
        </w:rPr>
        <w:t>,</w:t>
      </w:r>
      <w:r w:rsidR="004E5867">
        <w:rPr>
          <w:sz w:val="26"/>
        </w:rPr>
        <w:t xml:space="preserve"> because the alleged violations of federal and state gas safety regulations warranted a greater penalty); </w:t>
      </w:r>
      <w:r w:rsidR="00A77A1F">
        <w:rPr>
          <w:i/>
          <w:sz w:val="26"/>
        </w:rPr>
        <w:t>Pa. PUC v. The Peoples Natural Gas Company, d/b/a, Dominion Peoples</w:t>
      </w:r>
      <w:r w:rsidR="00A77A1F">
        <w:rPr>
          <w:sz w:val="26"/>
        </w:rPr>
        <w:t xml:space="preserve">, Docket No. M-2009-2086651 (Order entered May 11, 2010) (modifying a $5,000 increment to the company’s Low-Income Usage </w:t>
      </w:r>
      <w:r w:rsidR="00A77A1F">
        <w:rPr>
          <w:sz w:val="26"/>
        </w:rPr>
        <w:lastRenderedPageBreak/>
        <w:t xml:space="preserve">Reduction Program to a $30,000 civil penalty due to the serious nature of the alleged violations of federal and state gas safety regulations). </w:t>
      </w:r>
    </w:p>
    <w:p w:rsidR="0073402B" w:rsidRPr="00DD03D7" w:rsidRDefault="00A77A1F" w:rsidP="00BC7085">
      <w:pPr>
        <w:tabs>
          <w:tab w:val="center" w:pos="720"/>
        </w:tabs>
        <w:suppressAutoHyphens/>
        <w:spacing w:line="360" w:lineRule="auto"/>
        <w:ind w:firstLine="1440"/>
        <w:rPr>
          <w:rFonts w:cs="Mangal"/>
          <w:sz w:val="26"/>
          <w:szCs w:val="26"/>
          <w:lang w:bidi="hi-IN"/>
        </w:rPr>
      </w:pPr>
      <w:r>
        <w:rPr>
          <w:sz w:val="26"/>
        </w:rPr>
        <w:t xml:space="preserve">   </w:t>
      </w:r>
      <w:r w:rsidR="004E5867">
        <w:rPr>
          <w:sz w:val="26"/>
        </w:rPr>
        <w:t xml:space="preserve">    </w:t>
      </w:r>
      <w:r w:rsidR="004E5867">
        <w:rPr>
          <w:i/>
          <w:sz w:val="26"/>
        </w:rPr>
        <w:t xml:space="preserve"> </w:t>
      </w:r>
      <w:r w:rsidR="00B00F1B">
        <w:rPr>
          <w:sz w:val="26"/>
        </w:rPr>
        <w:t xml:space="preserve">      </w:t>
      </w:r>
      <w:r w:rsidR="00DD03D7">
        <w:rPr>
          <w:sz w:val="26"/>
        </w:rPr>
        <w:t xml:space="preserve">  </w:t>
      </w:r>
    </w:p>
    <w:p w:rsidR="00F41630" w:rsidRDefault="00CC0D89" w:rsidP="00CC0D89">
      <w:pPr>
        <w:tabs>
          <w:tab w:val="center" w:pos="720"/>
        </w:tabs>
        <w:suppressAutoHyphens/>
        <w:spacing w:line="360" w:lineRule="auto"/>
        <w:ind w:firstLine="1440"/>
        <w:rPr>
          <w:rFonts w:cs="Mangal"/>
          <w:sz w:val="26"/>
          <w:szCs w:val="26"/>
          <w:lang w:bidi="hi-IN"/>
        </w:rPr>
      </w:pPr>
      <w:r>
        <w:rPr>
          <w:rFonts w:cs="Mangal"/>
          <w:sz w:val="26"/>
          <w:szCs w:val="26"/>
          <w:lang w:bidi="hi-IN"/>
        </w:rPr>
        <w:t xml:space="preserve">As we stated </w:t>
      </w:r>
      <w:r w:rsidR="00F41630">
        <w:rPr>
          <w:rFonts w:cs="Mangal"/>
          <w:sz w:val="26"/>
          <w:szCs w:val="26"/>
          <w:lang w:bidi="hi-IN"/>
        </w:rPr>
        <w:t xml:space="preserve">at page 8 of </w:t>
      </w:r>
      <w:r w:rsidR="00187D8B">
        <w:rPr>
          <w:rFonts w:cs="Mangal"/>
          <w:sz w:val="26"/>
          <w:szCs w:val="26"/>
          <w:lang w:bidi="hi-IN"/>
        </w:rPr>
        <w:t>our</w:t>
      </w:r>
      <w:r>
        <w:rPr>
          <w:rFonts w:cs="Mangal"/>
          <w:sz w:val="26"/>
          <w:szCs w:val="26"/>
          <w:lang w:bidi="hi-IN"/>
        </w:rPr>
        <w:t xml:space="preserve"> </w:t>
      </w:r>
      <w:r w:rsidRPr="00CC0D89">
        <w:rPr>
          <w:rFonts w:cs="Mangal"/>
          <w:i/>
          <w:sz w:val="26"/>
          <w:szCs w:val="26"/>
          <w:lang w:bidi="hi-IN"/>
        </w:rPr>
        <w:t>June 2012 Order</w:t>
      </w:r>
      <w:r w:rsidR="00D620AE">
        <w:rPr>
          <w:rFonts w:cs="Mangal"/>
          <w:sz w:val="26"/>
          <w:szCs w:val="26"/>
          <w:lang w:bidi="hi-IN"/>
        </w:rPr>
        <w:t>:</w:t>
      </w:r>
      <w:r>
        <w:rPr>
          <w:rFonts w:cs="Mangal"/>
          <w:sz w:val="26"/>
          <w:szCs w:val="26"/>
          <w:lang w:bidi="hi-IN"/>
        </w:rPr>
        <w:t xml:space="preserve"> </w:t>
      </w:r>
    </w:p>
    <w:p w:rsidR="00CC0D89" w:rsidRDefault="00CC0D89" w:rsidP="00CC0D89">
      <w:pPr>
        <w:tabs>
          <w:tab w:val="center" w:pos="720"/>
        </w:tabs>
        <w:suppressAutoHyphens/>
        <w:spacing w:line="360" w:lineRule="auto"/>
        <w:ind w:firstLine="1440"/>
        <w:rPr>
          <w:rFonts w:cs="Mangal"/>
          <w:sz w:val="26"/>
          <w:szCs w:val="26"/>
          <w:lang w:bidi="hi-IN"/>
        </w:rPr>
      </w:pPr>
      <w:r>
        <w:rPr>
          <w:rFonts w:cs="Mangal"/>
          <w:sz w:val="26"/>
          <w:szCs w:val="26"/>
          <w:lang w:bidi="hi-IN"/>
        </w:rPr>
        <w:t xml:space="preserve"> </w:t>
      </w:r>
    </w:p>
    <w:p w:rsidR="00CC0D89" w:rsidRPr="00C44188" w:rsidRDefault="00CC0D89" w:rsidP="00F434C4">
      <w:pPr>
        <w:tabs>
          <w:tab w:val="center" w:pos="720"/>
        </w:tabs>
        <w:suppressAutoHyphens/>
        <w:ind w:left="1440" w:right="1440"/>
        <w:rPr>
          <w:rFonts w:cs="Mangal"/>
          <w:sz w:val="26"/>
          <w:szCs w:val="26"/>
          <w:lang w:bidi="hi-IN"/>
        </w:rPr>
      </w:pPr>
      <w:r>
        <w:rPr>
          <w:rFonts w:cs="Mangal"/>
          <w:sz w:val="26"/>
          <w:szCs w:val="26"/>
          <w:lang w:bidi="hi-IN"/>
        </w:rPr>
        <w:t>[</w:t>
      </w:r>
      <w:r w:rsidRPr="00C44188">
        <w:rPr>
          <w:rFonts w:cs="Mangal"/>
          <w:sz w:val="26"/>
          <w:szCs w:val="26"/>
          <w:lang w:bidi="hi-IN"/>
        </w:rPr>
        <w:t>w</w:t>
      </w:r>
      <w:r>
        <w:rPr>
          <w:rFonts w:cs="Mangal"/>
          <w:sz w:val="26"/>
          <w:szCs w:val="26"/>
          <w:lang w:bidi="hi-IN"/>
        </w:rPr>
        <w:t>]</w:t>
      </w:r>
      <w:r w:rsidRPr="00C44188">
        <w:rPr>
          <w:rFonts w:cs="Mangal"/>
          <w:sz w:val="26"/>
          <w:szCs w:val="26"/>
          <w:lang w:bidi="hi-IN"/>
        </w:rPr>
        <w:t xml:space="preserve">e believe that the nature of the incident and the alleged violations of federal and state gas safety regulations merit a greater penalty.  Of particular concern is the fact that PECO was aware of numerous leaks in the area but failed to take steps to remediate the underlying active corrosion problems.  Furthermore, PECO failed to follow its procedures for identifying and classifying leak migration and failed to document the actions taken during the incident.  We also note that a day after the incident, an undocumented, ungraded leak existed directly in front of the same residence that had just experienced an explosion and fire. </w:t>
      </w:r>
      <w:r w:rsidR="00F434C4">
        <w:rPr>
          <w:rFonts w:cs="Mangal"/>
          <w:sz w:val="26"/>
          <w:szCs w:val="26"/>
          <w:lang w:bidi="hi-IN"/>
        </w:rPr>
        <w:t xml:space="preserve"> </w:t>
      </w:r>
      <w:r w:rsidRPr="00C44188">
        <w:rPr>
          <w:rFonts w:cs="Mangal"/>
          <w:sz w:val="26"/>
          <w:szCs w:val="26"/>
          <w:lang w:bidi="hi-IN"/>
        </w:rPr>
        <w:t xml:space="preserve">Although there were no injuries, there was property damage and the value of the property alone is estimated to have exceeded $150,000, not including the contents of the home and personal belongings. </w:t>
      </w:r>
      <w:r>
        <w:rPr>
          <w:rFonts w:cs="Mangal"/>
          <w:sz w:val="26"/>
          <w:szCs w:val="26"/>
          <w:lang w:bidi="hi-IN"/>
        </w:rPr>
        <w:t xml:space="preserve"> </w:t>
      </w:r>
    </w:p>
    <w:p w:rsidR="00CC0D89" w:rsidRDefault="00CC0D89" w:rsidP="00CC0D89">
      <w:pPr>
        <w:tabs>
          <w:tab w:val="center" w:pos="720"/>
        </w:tabs>
        <w:suppressAutoHyphens/>
        <w:spacing w:line="360" w:lineRule="auto"/>
        <w:ind w:firstLine="1440"/>
        <w:rPr>
          <w:rFonts w:cs="Mangal"/>
          <w:sz w:val="26"/>
          <w:szCs w:val="26"/>
          <w:lang w:bidi="hi-IN"/>
        </w:rPr>
      </w:pPr>
    </w:p>
    <w:p w:rsidR="00CC0D89" w:rsidRDefault="00F434C4" w:rsidP="00F434C4">
      <w:pPr>
        <w:tabs>
          <w:tab w:val="center" w:pos="720"/>
        </w:tabs>
        <w:suppressAutoHyphens/>
        <w:spacing w:line="360" w:lineRule="auto"/>
        <w:rPr>
          <w:rFonts w:cs="Mangal"/>
          <w:sz w:val="26"/>
          <w:szCs w:val="26"/>
          <w:lang w:bidi="hi-IN"/>
        </w:rPr>
      </w:pPr>
      <w:r>
        <w:rPr>
          <w:rFonts w:cs="Mangal"/>
          <w:sz w:val="26"/>
          <w:szCs w:val="26"/>
          <w:lang w:bidi="hi-IN"/>
        </w:rPr>
        <w:t xml:space="preserve">Based on </w:t>
      </w:r>
      <w:r w:rsidR="00CC0D89" w:rsidRPr="00C44188">
        <w:rPr>
          <w:rFonts w:cs="Mangal"/>
          <w:sz w:val="26"/>
          <w:szCs w:val="26"/>
          <w:lang w:bidi="hi-IN"/>
        </w:rPr>
        <w:t xml:space="preserve">PECO’s actions and the related circumstances, as presented in the Settlement, we believe that a civil penalty of $75,000 </w:t>
      </w:r>
      <w:r>
        <w:rPr>
          <w:rFonts w:cs="Mangal"/>
          <w:sz w:val="26"/>
          <w:szCs w:val="26"/>
          <w:lang w:bidi="hi-IN"/>
        </w:rPr>
        <w:t>is warranted.</w:t>
      </w:r>
      <w:r w:rsidR="00B762F2">
        <w:rPr>
          <w:rFonts w:cs="Mangal"/>
          <w:sz w:val="26"/>
          <w:szCs w:val="26"/>
          <w:lang w:bidi="hi-IN"/>
        </w:rPr>
        <w:t xml:space="preserve">  Additionally, as requested by PECO, we confirm that the change of the $35,000 civil settlement amount to a $75,000 civil penalty is the only modification to the Settlement.  </w:t>
      </w:r>
      <w:r w:rsidR="00CC0D89" w:rsidRPr="00C44188">
        <w:rPr>
          <w:rFonts w:cs="Mangal"/>
          <w:sz w:val="26"/>
          <w:szCs w:val="26"/>
          <w:lang w:bidi="hi-IN"/>
        </w:rPr>
        <w:t xml:space="preserve">  </w:t>
      </w:r>
    </w:p>
    <w:p w:rsidR="00461EF1" w:rsidRDefault="00461EF1" w:rsidP="00F434C4">
      <w:pPr>
        <w:tabs>
          <w:tab w:val="center" w:pos="720"/>
        </w:tabs>
        <w:suppressAutoHyphens/>
        <w:spacing w:line="360" w:lineRule="auto"/>
        <w:rPr>
          <w:rFonts w:cs="Mangal"/>
          <w:sz w:val="26"/>
          <w:szCs w:val="26"/>
          <w:lang w:bidi="hi-IN"/>
        </w:rPr>
      </w:pPr>
    </w:p>
    <w:p w:rsidR="00461EF1" w:rsidRPr="00461EF1" w:rsidRDefault="00461EF1" w:rsidP="00F434C4">
      <w:pPr>
        <w:tabs>
          <w:tab w:val="center" w:pos="720"/>
        </w:tabs>
        <w:suppressAutoHyphens/>
        <w:spacing w:line="360" w:lineRule="auto"/>
        <w:rPr>
          <w:rFonts w:cs="Mangal"/>
          <w:b/>
          <w:sz w:val="26"/>
          <w:szCs w:val="26"/>
          <w:lang w:bidi="hi-IN"/>
        </w:rPr>
      </w:pPr>
      <w:r w:rsidRPr="00461EF1">
        <w:rPr>
          <w:rFonts w:cs="Mangal"/>
          <w:b/>
          <w:sz w:val="26"/>
          <w:szCs w:val="26"/>
          <w:lang w:bidi="hi-IN"/>
        </w:rPr>
        <w:t xml:space="preserve">Analysis of the Settlement under </w:t>
      </w:r>
      <w:r w:rsidR="005247DC">
        <w:rPr>
          <w:rFonts w:cs="Mangal"/>
          <w:b/>
          <w:sz w:val="26"/>
          <w:szCs w:val="26"/>
          <w:lang w:bidi="hi-IN"/>
        </w:rPr>
        <w:t>t</w:t>
      </w:r>
      <w:r w:rsidRPr="00461EF1">
        <w:rPr>
          <w:rFonts w:cs="Mangal"/>
          <w:b/>
          <w:sz w:val="26"/>
          <w:szCs w:val="26"/>
          <w:lang w:bidi="hi-IN"/>
        </w:rPr>
        <w:t xml:space="preserve">he Policy Statement </w:t>
      </w:r>
    </w:p>
    <w:p w:rsidR="00E4181E" w:rsidRDefault="00E4181E" w:rsidP="00BC7085">
      <w:pPr>
        <w:tabs>
          <w:tab w:val="center" w:pos="720"/>
        </w:tabs>
        <w:suppressAutoHyphens/>
        <w:spacing w:line="360" w:lineRule="auto"/>
        <w:ind w:firstLine="1440"/>
        <w:rPr>
          <w:rFonts w:cs="Mangal"/>
          <w:sz w:val="26"/>
          <w:szCs w:val="26"/>
          <w:lang w:bidi="hi-IN"/>
        </w:rPr>
      </w:pPr>
    </w:p>
    <w:p w:rsidR="00753FA4" w:rsidRPr="00753FA4" w:rsidRDefault="00753FA4" w:rsidP="00753FA4">
      <w:pPr>
        <w:spacing w:line="360" w:lineRule="auto"/>
        <w:ind w:firstLine="1440"/>
        <w:rPr>
          <w:sz w:val="26"/>
          <w:szCs w:val="26"/>
        </w:rPr>
      </w:pPr>
      <w:r w:rsidRPr="00753FA4">
        <w:rPr>
          <w:sz w:val="26"/>
          <w:szCs w:val="26"/>
        </w:rPr>
        <w:t xml:space="preserve">Pursuant to our Regulations at 52 Pa. Code § 5.231, it is the Commission’s policy to promote settlements.  The Commission must review proposed settlements to determine whether the terms are in the public interest.  </w:t>
      </w:r>
      <w:r w:rsidRPr="00753FA4">
        <w:rPr>
          <w:i/>
          <w:sz w:val="26"/>
          <w:szCs w:val="26"/>
        </w:rPr>
        <w:t>Pa. PUC v. Philadelphia Gas Works</w:t>
      </w:r>
      <w:r w:rsidRPr="00753FA4">
        <w:rPr>
          <w:sz w:val="26"/>
          <w:szCs w:val="26"/>
        </w:rPr>
        <w:t>, Docket No. M-00031768 (Order entered January 7, 2004).</w:t>
      </w:r>
    </w:p>
    <w:p w:rsidR="00753FA4" w:rsidRPr="00753FA4" w:rsidRDefault="00753FA4" w:rsidP="00753FA4">
      <w:pPr>
        <w:spacing w:line="360" w:lineRule="auto"/>
        <w:ind w:firstLine="1440"/>
        <w:rPr>
          <w:sz w:val="26"/>
          <w:szCs w:val="26"/>
        </w:rPr>
      </w:pPr>
    </w:p>
    <w:p w:rsidR="00753FA4" w:rsidRPr="00753FA4" w:rsidRDefault="00753FA4" w:rsidP="00753FA4">
      <w:pPr>
        <w:spacing w:line="360" w:lineRule="auto"/>
        <w:ind w:firstLine="1440"/>
        <w:rPr>
          <w:sz w:val="26"/>
          <w:szCs w:val="26"/>
          <w:u w:color="000000"/>
        </w:rPr>
      </w:pPr>
      <w:r w:rsidRPr="00753FA4">
        <w:rPr>
          <w:sz w:val="26"/>
          <w:szCs w:val="26"/>
        </w:rPr>
        <w:lastRenderedPageBreak/>
        <w:t>After a review of the terms of the Settlement, we find that the Settlement</w:t>
      </w:r>
      <w:r w:rsidR="003C3460">
        <w:rPr>
          <w:sz w:val="26"/>
          <w:szCs w:val="26"/>
        </w:rPr>
        <w:t xml:space="preserve">, as modified to provide for a civil penalty of $75,000 rather than a civil settlement of $35,000, </w:t>
      </w:r>
      <w:r w:rsidRPr="00753FA4">
        <w:rPr>
          <w:sz w:val="26"/>
          <w:szCs w:val="26"/>
        </w:rPr>
        <w:t xml:space="preserve">is in the public interest.  The Commission has promulgated a Policy Statement at 52 Pa. Code § 69.1201 that sets forth ten factors that we may consider in evaluating whether a </w:t>
      </w:r>
      <w:r w:rsidR="00D620AE">
        <w:rPr>
          <w:sz w:val="26"/>
          <w:szCs w:val="26"/>
        </w:rPr>
        <w:t>civil penalty</w:t>
      </w:r>
      <w:r w:rsidRPr="00753FA4">
        <w:rPr>
          <w:sz w:val="26"/>
          <w:szCs w:val="26"/>
        </w:rPr>
        <w:t xml:space="preserve"> for violating a Commission order, regulation or statute is appropriate, as well as if a proposed settlement for a violation is reasonable and approval of the settlement agreement is in the public interest.  The Policy Statement sets forth the guidelines we use when determining whether, and to what extent, a civil penalty is warranted.  In this case, application of these guidelines support</w:t>
      </w:r>
      <w:r w:rsidR="009467F7">
        <w:rPr>
          <w:sz w:val="26"/>
          <w:szCs w:val="26"/>
        </w:rPr>
        <w:t>s</w:t>
      </w:r>
      <w:r w:rsidRPr="00753FA4">
        <w:rPr>
          <w:sz w:val="26"/>
          <w:szCs w:val="26"/>
        </w:rPr>
        <w:t xml:space="preserve"> approval of the Settlement</w:t>
      </w:r>
      <w:r w:rsidR="00D620AE">
        <w:rPr>
          <w:sz w:val="26"/>
          <w:szCs w:val="26"/>
        </w:rPr>
        <w:t>,</w:t>
      </w:r>
      <w:r w:rsidRPr="00753FA4">
        <w:rPr>
          <w:sz w:val="26"/>
          <w:szCs w:val="26"/>
        </w:rPr>
        <w:t xml:space="preserve"> as </w:t>
      </w:r>
      <w:r w:rsidR="009467F7">
        <w:rPr>
          <w:sz w:val="26"/>
          <w:szCs w:val="26"/>
        </w:rPr>
        <w:t>modified</w:t>
      </w:r>
      <w:r w:rsidRPr="00753FA4">
        <w:rPr>
          <w:sz w:val="26"/>
          <w:szCs w:val="26"/>
        </w:rPr>
        <w:t>.</w:t>
      </w:r>
    </w:p>
    <w:p w:rsidR="00753FA4" w:rsidRPr="00753FA4" w:rsidRDefault="00753FA4" w:rsidP="00753FA4">
      <w:pPr>
        <w:spacing w:line="360" w:lineRule="auto"/>
        <w:ind w:firstLine="1440"/>
        <w:rPr>
          <w:sz w:val="26"/>
          <w:szCs w:val="26"/>
          <w:u w:color="000000"/>
        </w:rPr>
      </w:pPr>
    </w:p>
    <w:p w:rsidR="00753FA4" w:rsidRPr="00753FA4" w:rsidRDefault="00753FA4" w:rsidP="00753FA4">
      <w:pPr>
        <w:spacing w:line="360" w:lineRule="auto"/>
        <w:ind w:firstLine="1440"/>
        <w:rPr>
          <w:sz w:val="26"/>
          <w:szCs w:val="26"/>
        </w:rPr>
      </w:pPr>
      <w:r w:rsidRPr="00753FA4">
        <w:rPr>
          <w:color w:val="000000"/>
          <w:sz w:val="26"/>
          <w:szCs w:val="26"/>
          <w:u w:color="000000"/>
        </w:rPr>
        <w:t xml:space="preserve">The first factor we may consider is </w:t>
      </w:r>
      <w:r w:rsidRPr="00753FA4">
        <w:rPr>
          <w:sz w:val="26"/>
          <w:szCs w:val="26"/>
        </w:rPr>
        <w:t xml:space="preserve">whether the conduct at issue is of a serious nature. </w:t>
      </w:r>
      <w:r w:rsidR="00F41630">
        <w:rPr>
          <w:sz w:val="26"/>
          <w:szCs w:val="26"/>
        </w:rPr>
        <w:t xml:space="preserve"> </w:t>
      </w:r>
      <w:r w:rsidRPr="00753FA4">
        <w:rPr>
          <w:sz w:val="26"/>
          <w:szCs w:val="26"/>
        </w:rPr>
        <w:t xml:space="preserve">52 Pa. Code § 69.1201(c)(1).  “When conduct of a serious nature is involved, such as willful fraud or misrepresentation, the conduct may warrant a higher penalty. </w:t>
      </w:r>
      <w:r w:rsidR="00F41630">
        <w:rPr>
          <w:sz w:val="26"/>
          <w:szCs w:val="26"/>
        </w:rPr>
        <w:t xml:space="preserve"> </w:t>
      </w:r>
      <w:r w:rsidRPr="00753FA4">
        <w:rPr>
          <w:sz w:val="26"/>
          <w:szCs w:val="26"/>
        </w:rPr>
        <w:t xml:space="preserve">When the conduct is less egregious, such as administrative filing or technical errors, it may warrant a lower penalty.”  </w:t>
      </w:r>
      <w:r w:rsidRPr="00753FA4">
        <w:rPr>
          <w:i/>
          <w:sz w:val="26"/>
          <w:szCs w:val="26"/>
        </w:rPr>
        <w:t>Id</w:t>
      </w:r>
      <w:r w:rsidRPr="00753FA4">
        <w:rPr>
          <w:sz w:val="26"/>
          <w:szCs w:val="26"/>
        </w:rPr>
        <w:t xml:space="preserve">.  </w:t>
      </w:r>
      <w:r w:rsidR="00D4187B">
        <w:rPr>
          <w:sz w:val="26"/>
          <w:szCs w:val="26"/>
        </w:rPr>
        <w:t xml:space="preserve">In this case, we believe that </w:t>
      </w:r>
      <w:r w:rsidR="00A10028">
        <w:rPr>
          <w:sz w:val="26"/>
          <w:szCs w:val="26"/>
        </w:rPr>
        <w:t>PECO’s action</w:t>
      </w:r>
      <w:r w:rsidR="001C3B2E">
        <w:rPr>
          <w:sz w:val="26"/>
          <w:szCs w:val="26"/>
        </w:rPr>
        <w:t>s</w:t>
      </w:r>
      <w:r w:rsidR="00A10028">
        <w:rPr>
          <w:sz w:val="26"/>
          <w:szCs w:val="26"/>
        </w:rPr>
        <w:t xml:space="preserve"> during a natural gas leak, resulting in an explosion and fire, constitute</w:t>
      </w:r>
      <w:r w:rsidR="00A8157D">
        <w:rPr>
          <w:sz w:val="26"/>
          <w:szCs w:val="26"/>
        </w:rPr>
        <w:t xml:space="preserve"> </w:t>
      </w:r>
      <w:r w:rsidR="00D4187B">
        <w:rPr>
          <w:sz w:val="26"/>
          <w:szCs w:val="26"/>
        </w:rPr>
        <w:t>conduct of a serious nature.</w:t>
      </w:r>
      <w:r w:rsidR="00A8157D">
        <w:rPr>
          <w:sz w:val="26"/>
          <w:szCs w:val="26"/>
        </w:rPr>
        <w:t xml:space="preserve">  </w:t>
      </w:r>
      <w:r w:rsidR="00F243B1">
        <w:rPr>
          <w:sz w:val="26"/>
          <w:szCs w:val="26"/>
        </w:rPr>
        <w:t xml:space="preserve">We are particularly concerned that PECO was aware of numerous leaks in the area but failed to take steps to remediate the underlying active corrosion problems.  </w:t>
      </w:r>
      <w:r w:rsidR="00B32519">
        <w:rPr>
          <w:sz w:val="26"/>
          <w:szCs w:val="26"/>
        </w:rPr>
        <w:t xml:space="preserve">Settlement at 8-9.  </w:t>
      </w:r>
      <w:r w:rsidR="00F243B1">
        <w:rPr>
          <w:sz w:val="26"/>
          <w:szCs w:val="26"/>
        </w:rPr>
        <w:t>PECO also failed to follow its procedures for identifying and classifying leak migration and failed to document the actions taken during the incident.</w:t>
      </w:r>
      <w:r w:rsidR="003E63A1">
        <w:rPr>
          <w:sz w:val="26"/>
          <w:szCs w:val="26"/>
        </w:rPr>
        <w:t xml:space="preserve">  </w:t>
      </w:r>
      <w:r w:rsidR="00B32519" w:rsidRPr="00B32519">
        <w:rPr>
          <w:i/>
          <w:sz w:val="26"/>
          <w:szCs w:val="26"/>
        </w:rPr>
        <w:t>Id</w:t>
      </w:r>
      <w:r w:rsidR="00B32519">
        <w:rPr>
          <w:sz w:val="26"/>
          <w:szCs w:val="26"/>
        </w:rPr>
        <w:t>.</w:t>
      </w:r>
      <w:r w:rsidR="003E63A1">
        <w:rPr>
          <w:sz w:val="26"/>
          <w:szCs w:val="26"/>
        </w:rPr>
        <w:t xml:space="preserve"> at </w:t>
      </w:r>
      <w:r w:rsidR="00F72370">
        <w:rPr>
          <w:sz w:val="26"/>
          <w:szCs w:val="26"/>
        </w:rPr>
        <w:t>7.</w:t>
      </w:r>
      <w:r w:rsidR="00F243B1">
        <w:rPr>
          <w:sz w:val="26"/>
          <w:szCs w:val="26"/>
        </w:rPr>
        <w:t xml:space="preserve">  Furthermore, a day after the incident, an undocumented, upgraded leak was detected directly in front of the residence that had just experienced an explosion and fire.</w:t>
      </w:r>
      <w:r w:rsidR="00F72370">
        <w:rPr>
          <w:sz w:val="26"/>
          <w:szCs w:val="26"/>
        </w:rPr>
        <w:t xml:space="preserve">  </w:t>
      </w:r>
      <w:r w:rsidR="00F72370" w:rsidRPr="00F72370">
        <w:rPr>
          <w:i/>
          <w:sz w:val="26"/>
          <w:szCs w:val="26"/>
        </w:rPr>
        <w:t>Id</w:t>
      </w:r>
      <w:r w:rsidR="00F72370">
        <w:rPr>
          <w:sz w:val="26"/>
          <w:szCs w:val="26"/>
        </w:rPr>
        <w:t>. at 6.</w:t>
      </w:r>
      <w:r w:rsidR="00A316FD">
        <w:rPr>
          <w:sz w:val="26"/>
          <w:szCs w:val="26"/>
        </w:rPr>
        <w:t xml:space="preserve">  For these reasons, we find that a </w:t>
      </w:r>
      <w:r w:rsidR="001C3B2E">
        <w:rPr>
          <w:sz w:val="26"/>
          <w:szCs w:val="26"/>
        </w:rPr>
        <w:t xml:space="preserve">higher </w:t>
      </w:r>
      <w:r w:rsidR="00A316FD">
        <w:rPr>
          <w:sz w:val="26"/>
          <w:szCs w:val="26"/>
        </w:rPr>
        <w:t xml:space="preserve">civil penalty </w:t>
      </w:r>
      <w:r w:rsidR="001C3B2E">
        <w:rPr>
          <w:sz w:val="26"/>
          <w:szCs w:val="26"/>
        </w:rPr>
        <w:t xml:space="preserve">is warranted, rather </w:t>
      </w:r>
      <w:r w:rsidR="00A316FD">
        <w:rPr>
          <w:sz w:val="26"/>
          <w:szCs w:val="26"/>
        </w:rPr>
        <w:t xml:space="preserve">than the </w:t>
      </w:r>
      <w:r w:rsidR="001C3B2E">
        <w:rPr>
          <w:sz w:val="26"/>
          <w:szCs w:val="26"/>
        </w:rPr>
        <w:t>$35,000 civil settlement amount</w:t>
      </w:r>
      <w:r w:rsidR="00A316FD">
        <w:rPr>
          <w:sz w:val="26"/>
          <w:szCs w:val="26"/>
        </w:rPr>
        <w:t xml:space="preserve"> </w:t>
      </w:r>
      <w:r w:rsidR="001C3B2E">
        <w:rPr>
          <w:sz w:val="26"/>
          <w:szCs w:val="26"/>
        </w:rPr>
        <w:t xml:space="preserve">that was </w:t>
      </w:r>
      <w:r w:rsidR="00A316FD">
        <w:rPr>
          <w:sz w:val="26"/>
          <w:szCs w:val="26"/>
        </w:rPr>
        <w:t xml:space="preserve">proposed in the Settlement.  </w:t>
      </w:r>
      <w:r w:rsidR="00F72370">
        <w:rPr>
          <w:sz w:val="26"/>
          <w:szCs w:val="26"/>
        </w:rPr>
        <w:t xml:space="preserve">    </w:t>
      </w:r>
      <w:r w:rsidR="00F243B1">
        <w:rPr>
          <w:sz w:val="26"/>
          <w:szCs w:val="26"/>
        </w:rPr>
        <w:t xml:space="preserve">     </w:t>
      </w:r>
      <w:r w:rsidR="00D4187B">
        <w:rPr>
          <w:sz w:val="26"/>
          <w:szCs w:val="26"/>
        </w:rPr>
        <w:t xml:space="preserve">   </w:t>
      </w:r>
    </w:p>
    <w:p w:rsidR="00753FA4" w:rsidRPr="00753FA4" w:rsidRDefault="00753FA4" w:rsidP="00753FA4">
      <w:pPr>
        <w:suppressAutoHyphens/>
        <w:spacing w:line="360" w:lineRule="auto"/>
        <w:ind w:firstLine="1440"/>
        <w:rPr>
          <w:sz w:val="26"/>
          <w:szCs w:val="26"/>
        </w:rPr>
      </w:pPr>
    </w:p>
    <w:p w:rsidR="00A316FD" w:rsidRDefault="00753FA4" w:rsidP="00753FA4">
      <w:pPr>
        <w:suppressAutoHyphens/>
        <w:spacing w:line="360" w:lineRule="auto"/>
        <w:ind w:firstLine="1440"/>
        <w:rPr>
          <w:sz w:val="26"/>
          <w:szCs w:val="26"/>
        </w:rPr>
      </w:pPr>
      <w:r w:rsidRPr="00753FA4">
        <w:rPr>
          <w:sz w:val="26"/>
          <w:szCs w:val="26"/>
        </w:rPr>
        <w:t xml:space="preserve">The second factor we may consider is whether the resulting consequences of the conduct are of a serious nature.  52 Pa. Code § 69.1201(c)(2).  “When consequences of a serious nature are involved, such as personal injury or property </w:t>
      </w:r>
      <w:r w:rsidRPr="00753FA4">
        <w:rPr>
          <w:sz w:val="26"/>
          <w:szCs w:val="26"/>
        </w:rPr>
        <w:lastRenderedPageBreak/>
        <w:t xml:space="preserve">damage, the consequences may warrant a higher penalty.”  </w:t>
      </w:r>
      <w:r w:rsidRPr="00753FA4">
        <w:rPr>
          <w:i/>
          <w:sz w:val="26"/>
          <w:szCs w:val="26"/>
        </w:rPr>
        <w:t>Id.</w:t>
      </w:r>
      <w:r w:rsidR="00005172">
        <w:rPr>
          <w:i/>
          <w:sz w:val="26"/>
          <w:szCs w:val="26"/>
        </w:rPr>
        <w:t xml:space="preserve">  </w:t>
      </w:r>
      <w:r w:rsidR="00005172">
        <w:rPr>
          <w:sz w:val="26"/>
          <w:szCs w:val="26"/>
        </w:rPr>
        <w:t xml:space="preserve">We find that the resulting consequences of the conduct were serious in this case.  While there were no personal injuries, there was property damage.  The value of the </w:t>
      </w:r>
      <w:r w:rsidR="00F84D63">
        <w:rPr>
          <w:sz w:val="26"/>
          <w:szCs w:val="26"/>
        </w:rPr>
        <w:t xml:space="preserve">damaged </w:t>
      </w:r>
      <w:r w:rsidR="00005172">
        <w:rPr>
          <w:sz w:val="26"/>
          <w:szCs w:val="26"/>
        </w:rPr>
        <w:t>property is estimated to exceed $150,000, not including the contents of the home and personal belongings.</w:t>
      </w:r>
      <w:r w:rsidR="000C2BFA">
        <w:rPr>
          <w:sz w:val="26"/>
          <w:szCs w:val="26"/>
        </w:rPr>
        <w:t xml:space="preserve">  Settlement at 3-4.</w:t>
      </w:r>
      <w:r w:rsidR="00F44E93">
        <w:rPr>
          <w:sz w:val="26"/>
          <w:szCs w:val="26"/>
        </w:rPr>
        <w:t xml:space="preserve">  As the consequences here resulted in significant property damage and placed the public’s safety at risk, this factor also supports a greater civil penalty than th</w:t>
      </w:r>
      <w:r w:rsidR="001C3B2E">
        <w:rPr>
          <w:sz w:val="26"/>
          <w:szCs w:val="26"/>
        </w:rPr>
        <w:t>e civil settlement amount</w:t>
      </w:r>
      <w:r w:rsidR="00F44E93">
        <w:rPr>
          <w:sz w:val="26"/>
          <w:szCs w:val="26"/>
        </w:rPr>
        <w:t xml:space="preserve"> proposed by the Parties.  </w:t>
      </w:r>
      <w:r w:rsidR="00A316FD">
        <w:rPr>
          <w:sz w:val="26"/>
          <w:szCs w:val="26"/>
        </w:rPr>
        <w:t xml:space="preserve">    </w:t>
      </w:r>
    </w:p>
    <w:p w:rsidR="00753FA4" w:rsidRPr="00753FA4" w:rsidRDefault="000C2BFA" w:rsidP="00753FA4">
      <w:pPr>
        <w:suppressAutoHyphens/>
        <w:spacing w:line="360" w:lineRule="auto"/>
        <w:ind w:firstLine="1440"/>
        <w:rPr>
          <w:sz w:val="26"/>
          <w:szCs w:val="26"/>
        </w:rPr>
      </w:pPr>
      <w:r>
        <w:rPr>
          <w:sz w:val="26"/>
          <w:szCs w:val="26"/>
        </w:rPr>
        <w:t xml:space="preserve">  </w:t>
      </w:r>
      <w:r w:rsidR="00005172">
        <w:rPr>
          <w:sz w:val="26"/>
          <w:szCs w:val="26"/>
        </w:rPr>
        <w:t xml:space="preserve">   </w:t>
      </w:r>
      <w:r w:rsidR="00753FA4" w:rsidRPr="00753FA4">
        <w:rPr>
          <w:sz w:val="26"/>
          <w:szCs w:val="26"/>
        </w:rPr>
        <w:t xml:space="preserve">   </w:t>
      </w:r>
    </w:p>
    <w:p w:rsidR="00753FA4" w:rsidRPr="00753FA4" w:rsidRDefault="00753FA4" w:rsidP="00753FA4">
      <w:pPr>
        <w:suppressAutoHyphens/>
        <w:spacing w:line="360" w:lineRule="auto"/>
        <w:ind w:firstLine="1440"/>
        <w:rPr>
          <w:sz w:val="26"/>
          <w:szCs w:val="26"/>
        </w:rPr>
      </w:pPr>
      <w:r w:rsidRPr="00753FA4">
        <w:rPr>
          <w:sz w:val="26"/>
          <w:szCs w:val="26"/>
        </w:rPr>
        <w:t xml:space="preserve">The third factor pertains to litigated cases only.  52 Pa. Code </w:t>
      </w:r>
      <w:r w:rsidRPr="00753FA4">
        <w:rPr>
          <w:sz w:val="26"/>
          <w:szCs w:val="26"/>
        </w:rPr>
        <w:br/>
        <w:t xml:space="preserve">§ 69.1201(c)(3). </w:t>
      </w:r>
      <w:r w:rsidR="000C2BFA">
        <w:rPr>
          <w:sz w:val="26"/>
          <w:szCs w:val="26"/>
        </w:rPr>
        <w:t xml:space="preserve"> </w:t>
      </w:r>
      <w:r w:rsidR="00964A56">
        <w:rPr>
          <w:sz w:val="26"/>
          <w:szCs w:val="26"/>
        </w:rPr>
        <w:t>Because this proceeding was settled prior to an evidentiary hearing, this factor is</w:t>
      </w:r>
      <w:r w:rsidR="000C2BFA">
        <w:rPr>
          <w:sz w:val="26"/>
          <w:szCs w:val="26"/>
        </w:rPr>
        <w:t xml:space="preserve"> not applicable to this Settlement.</w:t>
      </w:r>
      <w:r w:rsidRPr="00753FA4">
        <w:rPr>
          <w:sz w:val="26"/>
          <w:szCs w:val="26"/>
        </w:rPr>
        <w:t xml:space="preserve">  </w:t>
      </w:r>
    </w:p>
    <w:p w:rsidR="00753FA4" w:rsidRPr="00753FA4" w:rsidRDefault="00753FA4" w:rsidP="00753FA4">
      <w:pPr>
        <w:suppressAutoHyphens/>
        <w:spacing w:line="360" w:lineRule="auto"/>
        <w:ind w:firstLine="1440"/>
        <w:rPr>
          <w:sz w:val="26"/>
          <w:szCs w:val="26"/>
        </w:rPr>
      </w:pPr>
    </w:p>
    <w:p w:rsidR="00753FA4" w:rsidRPr="00753FA4" w:rsidRDefault="00753FA4" w:rsidP="00753FA4">
      <w:pPr>
        <w:suppressAutoHyphens/>
        <w:spacing w:line="360" w:lineRule="auto"/>
        <w:ind w:firstLine="1440"/>
        <w:rPr>
          <w:sz w:val="26"/>
          <w:szCs w:val="26"/>
        </w:rPr>
      </w:pPr>
      <w:r w:rsidRPr="00753FA4">
        <w:rPr>
          <w:sz w:val="26"/>
          <w:szCs w:val="26"/>
        </w:rPr>
        <w:t>The fourth factor we may consider is whether the regulated entity made efforts to modify internal practices and procedures to address the conduct at issue and prevent similar conduct in the future.  The amount of time it took the utility to correct the conduct once it was discovered and the involvement of top-level management in correcting the conduct may be considered.  52 Pa. Code § 69.1201(c)(4).  In this case,</w:t>
      </w:r>
      <w:r w:rsidR="008423E2">
        <w:rPr>
          <w:sz w:val="26"/>
          <w:szCs w:val="26"/>
        </w:rPr>
        <w:t xml:space="preserve"> PECO has agreed to r</w:t>
      </w:r>
      <w:r w:rsidR="002F47E8">
        <w:rPr>
          <w:sz w:val="26"/>
          <w:szCs w:val="26"/>
        </w:rPr>
        <w:t>evise several of its internal operating procedures</w:t>
      </w:r>
      <w:r w:rsidR="008F4EE2">
        <w:rPr>
          <w:sz w:val="26"/>
          <w:szCs w:val="26"/>
        </w:rPr>
        <w:t xml:space="preserve"> to avoid recurrence of this type of incident.  </w:t>
      </w:r>
      <w:r w:rsidR="00233B2F">
        <w:rPr>
          <w:sz w:val="26"/>
          <w:szCs w:val="26"/>
        </w:rPr>
        <w:t xml:space="preserve">Settlement at 10-11.  </w:t>
      </w:r>
      <w:r w:rsidR="008F4EE2">
        <w:rPr>
          <w:sz w:val="26"/>
          <w:szCs w:val="26"/>
        </w:rPr>
        <w:t xml:space="preserve">Additionally, PECO </w:t>
      </w:r>
      <w:r w:rsidR="00233B2F">
        <w:rPr>
          <w:sz w:val="26"/>
          <w:szCs w:val="26"/>
        </w:rPr>
        <w:t xml:space="preserve">informed the Commission during the Commission’s June 2, 2011 Pennsylvania Gas Infrastructure Roundtable of PECO’s intention to accelerate the repair and replacement of PECO’s highest priority gas infrastructure by substantially increasing its annual capital investment for infrastructure maintenance.  </w:t>
      </w:r>
      <w:r w:rsidR="00F41630" w:rsidRPr="00EB4B5D">
        <w:rPr>
          <w:i/>
          <w:sz w:val="26"/>
          <w:szCs w:val="26"/>
        </w:rPr>
        <w:t>Id</w:t>
      </w:r>
      <w:r w:rsidR="00F41630">
        <w:rPr>
          <w:sz w:val="26"/>
          <w:szCs w:val="26"/>
        </w:rPr>
        <w:t xml:space="preserve">. </w:t>
      </w:r>
      <w:r w:rsidR="00233B2F">
        <w:rPr>
          <w:sz w:val="26"/>
          <w:szCs w:val="26"/>
        </w:rPr>
        <w:t xml:space="preserve">at 14.  This demonstrates that PECO is taking appropriate action to address infrastructure concerns and </w:t>
      </w:r>
      <w:r w:rsidR="001C3B2E">
        <w:rPr>
          <w:sz w:val="26"/>
          <w:szCs w:val="26"/>
        </w:rPr>
        <w:t xml:space="preserve">to </w:t>
      </w:r>
      <w:r w:rsidR="00233B2F">
        <w:rPr>
          <w:sz w:val="26"/>
          <w:szCs w:val="26"/>
        </w:rPr>
        <w:t>avoid similar incidents in the future.</w:t>
      </w:r>
      <w:r w:rsidR="00857342">
        <w:rPr>
          <w:sz w:val="26"/>
          <w:szCs w:val="26"/>
        </w:rPr>
        <w:t xml:space="preserve">  </w:t>
      </w:r>
      <w:r w:rsidR="00233B2F">
        <w:rPr>
          <w:sz w:val="26"/>
          <w:szCs w:val="26"/>
        </w:rPr>
        <w:t xml:space="preserve">      </w:t>
      </w:r>
      <w:r w:rsidR="002F47E8">
        <w:rPr>
          <w:sz w:val="26"/>
          <w:szCs w:val="26"/>
        </w:rPr>
        <w:t xml:space="preserve"> </w:t>
      </w:r>
      <w:r w:rsidR="008423E2">
        <w:rPr>
          <w:sz w:val="26"/>
          <w:szCs w:val="26"/>
        </w:rPr>
        <w:t xml:space="preserve"> </w:t>
      </w:r>
      <w:r w:rsidRPr="00753FA4">
        <w:rPr>
          <w:sz w:val="26"/>
          <w:szCs w:val="26"/>
        </w:rPr>
        <w:t xml:space="preserve">   </w:t>
      </w:r>
    </w:p>
    <w:p w:rsidR="00753FA4" w:rsidRPr="00753FA4" w:rsidRDefault="00753FA4" w:rsidP="00753FA4">
      <w:pPr>
        <w:suppressAutoHyphens/>
        <w:spacing w:line="360" w:lineRule="auto"/>
        <w:ind w:firstLine="1440"/>
        <w:rPr>
          <w:sz w:val="26"/>
          <w:szCs w:val="26"/>
        </w:rPr>
      </w:pPr>
    </w:p>
    <w:p w:rsidR="00753FA4" w:rsidRPr="00753FA4" w:rsidRDefault="00753FA4" w:rsidP="00753FA4">
      <w:pPr>
        <w:suppressAutoHyphens/>
        <w:spacing w:line="360" w:lineRule="auto"/>
        <w:ind w:firstLine="1440"/>
        <w:rPr>
          <w:sz w:val="26"/>
          <w:szCs w:val="26"/>
        </w:rPr>
      </w:pPr>
      <w:r w:rsidRPr="00753FA4">
        <w:rPr>
          <w:color w:val="000000"/>
          <w:sz w:val="26"/>
          <w:szCs w:val="26"/>
          <w:u w:color="000000"/>
        </w:rPr>
        <w:t xml:space="preserve">The fifth factor we may consider is the number of customers affected and the duration of the violation.  </w:t>
      </w:r>
      <w:r w:rsidRPr="00753FA4">
        <w:rPr>
          <w:sz w:val="26"/>
          <w:szCs w:val="26"/>
        </w:rPr>
        <w:t>52 Pa. Code § 69.1201(c)(5).</w:t>
      </w:r>
      <w:r w:rsidR="006C479D">
        <w:rPr>
          <w:sz w:val="26"/>
          <w:szCs w:val="26"/>
        </w:rPr>
        <w:t xml:space="preserve">  </w:t>
      </w:r>
      <w:r w:rsidR="00314E8C">
        <w:rPr>
          <w:sz w:val="26"/>
          <w:szCs w:val="26"/>
        </w:rPr>
        <w:t>On December 26, 2009, o</w:t>
      </w:r>
      <w:r w:rsidR="006C479D">
        <w:rPr>
          <w:sz w:val="26"/>
          <w:szCs w:val="26"/>
        </w:rPr>
        <w:t xml:space="preserve">ne </w:t>
      </w:r>
      <w:r w:rsidR="006C479D">
        <w:rPr>
          <w:sz w:val="26"/>
          <w:szCs w:val="26"/>
        </w:rPr>
        <w:lastRenderedPageBreak/>
        <w:t xml:space="preserve">customer was </w:t>
      </w:r>
      <w:r w:rsidR="00857342">
        <w:rPr>
          <w:sz w:val="26"/>
          <w:szCs w:val="26"/>
        </w:rPr>
        <w:t xml:space="preserve">significantly </w:t>
      </w:r>
      <w:r w:rsidR="006C479D">
        <w:rPr>
          <w:sz w:val="26"/>
          <w:szCs w:val="26"/>
        </w:rPr>
        <w:t xml:space="preserve">affected </w:t>
      </w:r>
      <w:r w:rsidR="00314E8C">
        <w:rPr>
          <w:sz w:val="26"/>
          <w:szCs w:val="26"/>
        </w:rPr>
        <w:t>by the low level explosion and house fire.</w:t>
      </w:r>
      <w:r w:rsidR="006C7E1B">
        <w:rPr>
          <w:sz w:val="26"/>
          <w:szCs w:val="26"/>
        </w:rPr>
        <w:t xml:space="preserve">  Settlement at 3-4.  </w:t>
      </w:r>
      <w:r w:rsidR="006C479D">
        <w:rPr>
          <w:sz w:val="26"/>
          <w:szCs w:val="26"/>
        </w:rPr>
        <w:t xml:space="preserve"> </w:t>
      </w:r>
      <w:r w:rsidRPr="00753FA4">
        <w:rPr>
          <w:sz w:val="26"/>
          <w:szCs w:val="26"/>
        </w:rPr>
        <w:t xml:space="preserve">  </w:t>
      </w:r>
    </w:p>
    <w:p w:rsidR="00753FA4" w:rsidRPr="00753FA4" w:rsidRDefault="00753FA4" w:rsidP="00753FA4">
      <w:pPr>
        <w:suppressAutoHyphens/>
        <w:spacing w:line="360" w:lineRule="auto"/>
        <w:ind w:firstLine="1440"/>
        <w:rPr>
          <w:sz w:val="26"/>
          <w:szCs w:val="26"/>
        </w:rPr>
      </w:pPr>
    </w:p>
    <w:p w:rsidR="00750D86" w:rsidRDefault="00750D86" w:rsidP="00750D86">
      <w:pPr>
        <w:spacing w:line="360" w:lineRule="auto"/>
        <w:ind w:firstLine="1440"/>
        <w:rPr>
          <w:sz w:val="26"/>
          <w:szCs w:val="26"/>
        </w:rPr>
      </w:pPr>
      <w:r w:rsidRPr="00753FA4">
        <w:rPr>
          <w:sz w:val="26"/>
          <w:szCs w:val="26"/>
        </w:rPr>
        <w:t>We may also consider the compliance history of the regulated entity which committed the violation.  52 Pa. Code § 69.1201(c)(6).</w:t>
      </w:r>
      <w:r>
        <w:rPr>
          <w:sz w:val="26"/>
          <w:szCs w:val="26"/>
        </w:rPr>
        <w:t xml:space="preserve">  </w:t>
      </w:r>
      <w:r w:rsidR="008C6F31">
        <w:rPr>
          <w:sz w:val="26"/>
          <w:szCs w:val="26"/>
        </w:rPr>
        <w:t>We have reviewed our records regarding complaints against, and investigations of, PECO.  G</w:t>
      </w:r>
      <w:r>
        <w:rPr>
          <w:sz w:val="26"/>
          <w:szCs w:val="26"/>
        </w:rPr>
        <w:t xml:space="preserve">iven the size of PECO, we find that its compliance history is satisfactory and poses no barrier to approval of a Settlement between the Parties.    </w:t>
      </w:r>
      <w:r w:rsidRPr="00753FA4">
        <w:rPr>
          <w:sz w:val="26"/>
          <w:szCs w:val="26"/>
        </w:rPr>
        <w:t xml:space="preserve">  </w:t>
      </w:r>
    </w:p>
    <w:p w:rsidR="00750D86" w:rsidRPr="00753FA4" w:rsidRDefault="00750D86" w:rsidP="00750D86">
      <w:pPr>
        <w:spacing w:line="360" w:lineRule="auto"/>
        <w:ind w:firstLine="1440"/>
        <w:rPr>
          <w:sz w:val="26"/>
          <w:szCs w:val="26"/>
        </w:rPr>
      </w:pPr>
    </w:p>
    <w:p w:rsidR="00753FA4" w:rsidRPr="00753FA4" w:rsidRDefault="00753FA4" w:rsidP="00753FA4">
      <w:pPr>
        <w:suppressAutoHyphens/>
        <w:spacing w:line="360" w:lineRule="auto"/>
        <w:ind w:firstLine="1440"/>
        <w:rPr>
          <w:sz w:val="26"/>
          <w:szCs w:val="26"/>
        </w:rPr>
      </w:pPr>
      <w:r w:rsidRPr="00753FA4">
        <w:rPr>
          <w:sz w:val="26"/>
          <w:szCs w:val="26"/>
        </w:rPr>
        <w:t>Another factor we may consider is whether the regulated entity cooperated with the Commission’s investigation.  52 Pa. Code § 69.1201(c)(7).</w:t>
      </w:r>
      <w:r w:rsidR="006C7E1B">
        <w:rPr>
          <w:sz w:val="26"/>
          <w:szCs w:val="26"/>
        </w:rPr>
        <w:t xml:space="preserve">  According to the Prosecutory Staff, the Settlement was amicably negotiated, and PECO has made good faith efforts to comply with the Commission’s Regulations.  Settlement at 14.  </w:t>
      </w:r>
      <w:r w:rsidRPr="00753FA4">
        <w:rPr>
          <w:sz w:val="26"/>
          <w:szCs w:val="26"/>
        </w:rPr>
        <w:t xml:space="preserve">  </w:t>
      </w:r>
    </w:p>
    <w:p w:rsidR="00753FA4" w:rsidRPr="00753FA4" w:rsidRDefault="00753FA4" w:rsidP="00753FA4">
      <w:pPr>
        <w:suppressAutoHyphens/>
        <w:spacing w:line="360" w:lineRule="auto"/>
        <w:ind w:firstLine="1440"/>
        <w:rPr>
          <w:sz w:val="26"/>
          <w:szCs w:val="26"/>
        </w:rPr>
      </w:pPr>
    </w:p>
    <w:p w:rsidR="00753FA4" w:rsidRPr="00753FA4" w:rsidRDefault="00753FA4" w:rsidP="00753FA4">
      <w:pPr>
        <w:suppressAutoHyphens/>
        <w:spacing w:line="360" w:lineRule="auto"/>
        <w:ind w:firstLine="1440"/>
        <w:rPr>
          <w:sz w:val="26"/>
          <w:szCs w:val="26"/>
        </w:rPr>
      </w:pPr>
      <w:r w:rsidRPr="00753FA4">
        <w:rPr>
          <w:sz w:val="26"/>
          <w:szCs w:val="26"/>
        </w:rPr>
        <w:t xml:space="preserve">In addition, we may consider the amount of the civil penalty necessary to deter future violations as well as past Commission decisions in similar situations.  52 Pa. Code § 69.1201(c)(8) and (c)(9).  </w:t>
      </w:r>
      <w:r w:rsidR="00D31BFA">
        <w:rPr>
          <w:sz w:val="26"/>
          <w:szCs w:val="26"/>
        </w:rPr>
        <w:t xml:space="preserve">Given the serious nature of the allegations in this case, we find that a $75,000 civil penalty should be imposed, rather than the $35,000 civil settlement amount proposed by the Prosecutory Staff and PECO.  </w:t>
      </w:r>
      <w:r w:rsidR="00C016F0">
        <w:rPr>
          <w:sz w:val="26"/>
          <w:szCs w:val="26"/>
        </w:rPr>
        <w:t xml:space="preserve">This amount is not to be </w:t>
      </w:r>
      <w:r w:rsidR="00DC20F4">
        <w:rPr>
          <w:sz w:val="26"/>
        </w:rPr>
        <w:t>included for recovery in future ratemaking proceedings</w:t>
      </w:r>
      <w:r w:rsidR="00C016F0">
        <w:rPr>
          <w:sz w:val="26"/>
          <w:szCs w:val="26"/>
        </w:rPr>
        <w:t xml:space="preserve">.  </w:t>
      </w:r>
      <w:r w:rsidR="00D31BFA">
        <w:rPr>
          <w:sz w:val="26"/>
          <w:szCs w:val="26"/>
        </w:rPr>
        <w:t>We find that this amount will be sufficient to deter future violations and is consistent with our prior decisions as well as the Code.</w:t>
      </w:r>
      <w:r w:rsidR="00681232">
        <w:rPr>
          <w:rStyle w:val="FootnoteReference"/>
        </w:rPr>
        <w:footnoteReference w:id="2"/>
      </w:r>
      <w:r w:rsidR="00D31BFA">
        <w:rPr>
          <w:sz w:val="26"/>
          <w:szCs w:val="26"/>
        </w:rPr>
        <w:t xml:space="preserve">     </w:t>
      </w:r>
      <w:r w:rsidRPr="00753FA4">
        <w:rPr>
          <w:sz w:val="26"/>
          <w:szCs w:val="26"/>
        </w:rPr>
        <w:t xml:space="preserve">  </w:t>
      </w:r>
    </w:p>
    <w:p w:rsidR="00753FA4" w:rsidRPr="00753FA4" w:rsidRDefault="00753FA4" w:rsidP="00753FA4">
      <w:pPr>
        <w:suppressAutoHyphens/>
        <w:spacing w:line="360" w:lineRule="auto"/>
        <w:ind w:firstLine="1440"/>
        <w:rPr>
          <w:color w:val="000000"/>
          <w:sz w:val="26"/>
          <w:szCs w:val="26"/>
          <w:u w:color="000000"/>
        </w:rPr>
      </w:pPr>
    </w:p>
    <w:p w:rsidR="008C6F31" w:rsidRDefault="008C6F31">
      <w:pPr>
        <w:rPr>
          <w:color w:val="000000"/>
          <w:sz w:val="26"/>
          <w:szCs w:val="26"/>
          <w:u w:color="000000"/>
        </w:rPr>
      </w:pPr>
      <w:r>
        <w:rPr>
          <w:color w:val="000000"/>
          <w:sz w:val="26"/>
          <w:szCs w:val="26"/>
          <w:u w:color="000000"/>
        </w:rPr>
        <w:br w:type="page"/>
      </w:r>
    </w:p>
    <w:p w:rsidR="007A3A42" w:rsidRDefault="00753FA4" w:rsidP="007A3A42">
      <w:pPr>
        <w:suppressAutoHyphens/>
        <w:spacing w:line="360" w:lineRule="auto"/>
        <w:ind w:firstLine="1440"/>
        <w:rPr>
          <w:sz w:val="26"/>
          <w:szCs w:val="26"/>
        </w:rPr>
      </w:pPr>
      <w:r w:rsidRPr="00753FA4">
        <w:rPr>
          <w:color w:val="000000"/>
          <w:sz w:val="26"/>
          <w:szCs w:val="26"/>
          <w:u w:color="000000"/>
        </w:rPr>
        <w:lastRenderedPageBreak/>
        <w:t xml:space="preserve">The tenth factor we may consider is other relevant factors.  </w:t>
      </w:r>
      <w:r w:rsidRPr="00753FA4">
        <w:rPr>
          <w:sz w:val="26"/>
          <w:szCs w:val="26"/>
        </w:rPr>
        <w:t xml:space="preserve">52 Pa. Code </w:t>
      </w:r>
    </w:p>
    <w:p w:rsidR="00753FA4" w:rsidRPr="00753FA4" w:rsidRDefault="00753FA4" w:rsidP="007A3A42">
      <w:pPr>
        <w:suppressAutoHyphens/>
        <w:spacing w:line="360" w:lineRule="auto"/>
        <w:rPr>
          <w:color w:val="000000"/>
          <w:sz w:val="26"/>
          <w:szCs w:val="26"/>
          <w:u w:color="000000"/>
        </w:rPr>
      </w:pPr>
      <w:r w:rsidRPr="00753FA4">
        <w:rPr>
          <w:sz w:val="26"/>
          <w:szCs w:val="26"/>
        </w:rPr>
        <w:t>§ 69.1201(c)(10).</w:t>
      </w:r>
      <w:r w:rsidR="009D533A">
        <w:rPr>
          <w:sz w:val="26"/>
          <w:szCs w:val="26"/>
        </w:rPr>
        <w:t xml:space="preserve">  </w:t>
      </w:r>
      <w:r w:rsidR="007A3A42">
        <w:rPr>
          <w:sz w:val="26"/>
          <w:szCs w:val="26"/>
        </w:rPr>
        <w:t>We believe that it is in the public interest to settle this matter so as to avoid the expense of litigation</w:t>
      </w:r>
      <w:r w:rsidR="008C6F31">
        <w:rPr>
          <w:sz w:val="26"/>
          <w:szCs w:val="26"/>
        </w:rPr>
        <w:t>.  In addition,</w:t>
      </w:r>
      <w:r w:rsidR="007A3A42">
        <w:rPr>
          <w:sz w:val="26"/>
          <w:szCs w:val="26"/>
        </w:rPr>
        <w:t xml:space="preserve"> PECO has indicated that it intends to implement proactive remediation measures.  Nevertheless, the nature of the incident and the alleged federal and state gas safety violations merit a greater penalty th</w:t>
      </w:r>
      <w:r w:rsidR="00C36D14">
        <w:rPr>
          <w:sz w:val="26"/>
          <w:szCs w:val="26"/>
        </w:rPr>
        <w:t>a</w:t>
      </w:r>
      <w:r w:rsidR="007A3A42">
        <w:rPr>
          <w:sz w:val="26"/>
          <w:szCs w:val="26"/>
        </w:rPr>
        <w:t xml:space="preserve">n the </w:t>
      </w:r>
      <w:r w:rsidR="00C36D14">
        <w:rPr>
          <w:sz w:val="26"/>
          <w:szCs w:val="26"/>
        </w:rPr>
        <w:t>civil settlement amount</w:t>
      </w:r>
      <w:r w:rsidR="007A3A42">
        <w:rPr>
          <w:sz w:val="26"/>
          <w:szCs w:val="26"/>
        </w:rPr>
        <w:t xml:space="preserve"> proposed in the Settlement.  </w:t>
      </w:r>
      <w:r w:rsidR="00C36D14">
        <w:rPr>
          <w:sz w:val="26"/>
          <w:szCs w:val="26"/>
        </w:rPr>
        <w:t xml:space="preserve">The </w:t>
      </w:r>
      <w:r w:rsidR="00703FB2">
        <w:rPr>
          <w:sz w:val="26"/>
          <w:szCs w:val="26"/>
        </w:rPr>
        <w:t>L</w:t>
      </w:r>
      <w:r w:rsidR="00C36D14">
        <w:rPr>
          <w:sz w:val="26"/>
          <w:szCs w:val="26"/>
        </w:rPr>
        <w:t>egislature has entrusted us with the important task of e</w:t>
      </w:r>
      <w:r w:rsidR="007A3A42">
        <w:rPr>
          <w:sz w:val="26"/>
          <w:szCs w:val="26"/>
        </w:rPr>
        <w:t>nsur</w:t>
      </w:r>
      <w:r w:rsidR="00B37B7F">
        <w:rPr>
          <w:sz w:val="26"/>
          <w:szCs w:val="26"/>
        </w:rPr>
        <w:t>ing</w:t>
      </w:r>
      <w:r w:rsidR="007A3A42">
        <w:rPr>
          <w:sz w:val="26"/>
          <w:szCs w:val="26"/>
        </w:rPr>
        <w:t xml:space="preserve"> that our public utilities operate safely</w:t>
      </w:r>
      <w:r w:rsidR="00C36D14">
        <w:rPr>
          <w:sz w:val="26"/>
          <w:szCs w:val="26"/>
        </w:rPr>
        <w:t>, and we intend to use the authority given to us by the Code and our Regulations to deter unsafe practices.</w:t>
      </w:r>
      <w:r w:rsidR="007A3A42">
        <w:rPr>
          <w:sz w:val="26"/>
          <w:szCs w:val="26"/>
        </w:rPr>
        <w:t xml:space="preserve"> </w:t>
      </w:r>
      <w:r w:rsidR="00C36D14">
        <w:rPr>
          <w:sz w:val="26"/>
          <w:szCs w:val="26"/>
        </w:rPr>
        <w:t xml:space="preserve"> W</w:t>
      </w:r>
      <w:r w:rsidR="007A3A42">
        <w:rPr>
          <w:sz w:val="26"/>
          <w:szCs w:val="26"/>
        </w:rPr>
        <w:t xml:space="preserve">e believe that a higher civil penalty </w:t>
      </w:r>
      <w:r w:rsidR="003B076B">
        <w:rPr>
          <w:sz w:val="26"/>
          <w:szCs w:val="26"/>
        </w:rPr>
        <w:t xml:space="preserve">in this case </w:t>
      </w:r>
      <w:r w:rsidR="007A3A42">
        <w:rPr>
          <w:sz w:val="26"/>
          <w:szCs w:val="26"/>
        </w:rPr>
        <w:t xml:space="preserve">will deter PECO from </w:t>
      </w:r>
      <w:r w:rsidR="00A4628D">
        <w:rPr>
          <w:sz w:val="26"/>
          <w:szCs w:val="26"/>
        </w:rPr>
        <w:t>unsafe operational practices</w:t>
      </w:r>
      <w:r w:rsidR="007A3A42">
        <w:rPr>
          <w:sz w:val="26"/>
          <w:szCs w:val="26"/>
        </w:rPr>
        <w:t xml:space="preserve"> in the future.        </w:t>
      </w:r>
      <w:r w:rsidRPr="00753FA4">
        <w:rPr>
          <w:sz w:val="26"/>
          <w:szCs w:val="26"/>
        </w:rPr>
        <w:t xml:space="preserve">  </w:t>
      </w:r>
    </w:p>
    <w:p w:rsidR="00753FA4" w:rsidRPr="00753FA4" w:rsidRDefault="00753FA4" w:rsidP="00753FA4">
      <w:pPr>
        <w:suppressAutoHyphens/>
        <w:spacing w:line="360" w:lineRule="auto"/>
        <w:ind w:firstLine="1440"/>
        <w:jc w:val="both"/>
        <w:rPr>
          <w:color w:val="000000"/>
          <w:sz w:val="26"/>
          <w:szCs w:val="26"/>
          <w:u w:color="000000"/>
        </w:rPr>
      </w:pPr>
    </w:p>
    <w:p w:rsidR="00753FA4" w:rsidRPr="00753FA4" w:rsidRDefault="00753FA4" w:rsidP="00753FA4">
      <w:pPr>
        <w:spacing w:line="360" w:lineRule="auto"/>
        <w:ind w:firstLine="1440"/>
        <w:rPr>
          <w:sz w:val="26"/>
          <w:szCs w:val="26"/>
        </w:rPr>
      </w:pPr>
      <w:r w:rsidRPr="00753FA4">
        <w:rPr>
          <w:sz w:val="26"/>
          <w:szCs w:val="26"/>
        </w:rPr>
        <w:t xml:space="preserve">For the reasons set forth above, after reviewing the terms of the Settlement, we find </w:t>
      </w:r>
      <w:r w:rsidR="007A3A42">
        <w:rPr>
          <w:sz w:val="26"/>
          <w:szCs w:val="26"/>
        </w:rPr>
        <w:t xml:space="preserve">that </w:t>
      </w:r>
      <w:r w:rsidR="00B37B7F">
        <w:rPr>
          <w:sz w:val="26"/>
          <w:szCs w:val="26"/>
        </w:rPr>
        <w:t xml:space="preserve">approval of the Settlement, </w:t>
      </w:r>
      <w:r w:rsidR="00703FB2">
        <w:rPr>
          <w:sz w:val="26"/>
          <w:szCs w:val="26"/>
        </w:rPr>
        <w:t xml:space="preserve">as </w:t>
      </w:r>
      <w:r w:rsidR="00B37B7F">
        <w:rPr>
          <w:sz w:val="26"/>
          <w:szCs w:val="26"/>
        </w:rPr>
        <w:t>modified</w:t>
      </w:r>
      <w:r w:rsidR="00703FB2">
        <w:rPr>
          <w:sz w:val="26"/>
          <w:szCs w:val="26"/>
        </w:rPr>
        <w:t xml:space="preserve">, </w:t>
      </w:r>
      <w:r w:rsidR="00B37B7F">
        <w:rPr>
          <w:sz w:val="26"/>
          <w:szCs w:val="26"/>
        </w:rPr>
        <w:t>is in the public interest and is consistent with the terms of our Policy Statement</w:t>
      </w:r>
      <w:r w:rsidR="003B076B">
        <w:rPr>
          <w:sz w:val="26"/>
          <w:szCs w:val="26"/>
        </w:rPr>
        <w:t xml:space="preserve"> and our past decisions</w:t>
      </w:r>
      <w:r w:rsidR="00B37B7F">
        <w:rPr>
          <w:sz w:val="26"/>
          <w:szCs w:val="26"/>
        </w:rPr>
        <w:t>.</w:t>
      </w:r>
      <w:r w:rsidR="006747D5">
        <w:rPr>
          <w:sz w:val="26"/>
          <w:szCs w:val="26"/>
        </w:rPr>
        <w:t xml:space="preserve">  We note, however, that the Settlement is conditioned on the Commission’s approval of the Settlement without modification, and the Parties can withdraw from the Settlement </w:t>
      </w:r>
      <w:r w:rsidR="000C13A9">
        <w:rPr>
          <w:sz w:val="26"/>
          <w:szCs w:val="26"/>
        </w:rPr>
        <w:t xml:space="preserve">by filing a response within twenty days of the entry date of </w:t>
      </w:r>
      <w:r w:rsidR="006747D5">
        <w:rPr>
          <w:sz w:val="26"/>
          <w:szCs w:val="26"/>
        </w:rPr>
        <w:t xml:space="preserve">an Order modifying or disapproving the Settlement.  Settlement at ¶¶ 45 and 46. </w:t>
      </w:r>
      <w:r w:rsidR="000C13A9">
        <w:rPr>
          <w:sz w:val="26"/>
          <w:szCs w:val="26"/>
        </w:rPr>
        <w:t xml:space="preserve"> </w:t>
      </w:r>
      <w:r w:rsidR="000B5270">
        <w:rPr>
          <w:sz w:val="26"/>
          <w:szCs w:val="26"/>
        </w:rPr>
        <w:t xml:space="preserve">We will therefore permit the Parties twenty days from the entry date of this Opinion and Order to file a response, at this docket number, withdrawing from the Settlement.  If neither Party withdraws from the Settlement, the Settlement, as modified, shall be approved without further action by this Commission.  If either </w:t>
      </w:r>
      <w:r w:rsidR="000C13A9">
        <w:rPr>
          <w:sz w:val="26"/>
          <w:szCs w:val="26"/>
        </w:rPr>
        <w:t>Party withdraw</w:t>
      </w:r>
      <w:r w:rsidR="000B5270">
        <w:rPr>
          <w:sz w:val="26"/>
          <w:szCs w:val="26"/>
        </w:rPr>
        <w:t>s</w:t>
      </w:r>
      <w:r w:rsidR="000C13A9">
        <w:rPr>
          <w:sz w:val="26"/>
          <w:szCs w:val="26"/>
        </w:rPr>
        <w:t xml:space="preserve"> from the Settlement, the Settlement shall be disapproved without further action by this Commission, and this matter will be referred to BI&amp;E for such further action as may be warranted.  </w:t>
      </w:r>
      <w:r w:rsidR="006747D5">
        <w:rPr>
          <w:sz w:val="26"/>
          <w:szCs w:val="26"/>
        </w:rPr>
        <w:t xml:space="preserve">   </w:t>
      </w:r>
      <w:r w:rsidR="00B37B7F">
        <w:rPr>
          <w:sz w:val="26"/>
          <w:szCs w:val="26"/>
        </w:rPr>
        <w:t xml:space="preserve">    </w:t>
      </w:r>
      <w:r w:rsidR="00B37B7F">
        <w:rPr>
          <w:i/>
          <w:sz w:val="26"/>
          <w:szCs w:val="26"/>
        </w:rPr>
        <w:t xml:space="preserve"> </w:t>
      </w:r>
      <w:r w:rsidR="00B37B7F">
        <w:rPr>
          <w:sz w:val="26"/>
          <w:szCs w:val="26"/>
        </w:rPr>
        <w:t xml:space="preserve"> </w:t>
      </w:r>
      <w:r w:rsidR="007A3A42">
        <w:rPr>
          <w:sz w:val="26"/>
          <w:szCs w:val="26"/>
        </w:rPr>
        <w:t xml:space="preserve"> </w:t>
      </w:r>
      <w:r w:rsidRPr="00753FA4">
        <w:rPr>
          <w:sz w:val="26"/>
          <w:szCs w:val="26"/>
        </w:rPr>
        <w:t xml:space="preserve">  </w:t>
      </w:r>
    </w:p>
    <w:p w:rsidR="00753FA4" w:rsidRPr="00753FA4" w:rsidRDefault="00753FA4" w:rsidP="00753FA4">
      <w:pPr>
        <w:spacing w:line="360" w:lineRule="auto"/>
        <w:ind w:firstLine="1440"/>
        <w:rPr>
          <w:color w:val="000000"/>
          <w:sz w:val="26"/>
          <w:szCs w:val="26"/>
          <w:u w:color="000000"/>
        </w:rPr>
      </w:pPr>
    </w:p>
    <w:p w:rsidR="00753FA4" w:rsidRPr="006B1974" w:rsidRDefault="00753FA4" w:rsidP="00753FA4">
      <w:pPr>
        <w:spacing w:line="360" w:lineRule="auto"/>
        <w:jc w:val="center"/>
        <w:rPr>
          <w:sz w:val="26"/>
          <w:szCs w:val="26"/>
        </w:rPr>
      </w:pPr>
      <w:r w:rsidRPr="006B1974">
        <w:rPr>
          <w:b/>
          <w:sz w:val="26"/>
          <w:szCs w:val="26"/>
        </w:rPr>
        <w:t>Conclusion</w:t>
      </w:r>
    </w:p>
    <w:p w:rsidR="00753FA4" w:rsidRPr="00753FA4" w:rsidRDefault="00753FA4" w:rsidP="00753FA4">
      <w:pPr>
        <w:spacing w:line="360" w:lineRule="auto"/>
        <w:ind w:firstLine="1440"/>
        <w:rPr>
          <w:sz w:val="26"/>
          <w:szCs w:val="26"/>
        </w:rPr>
      </w:pPr>
    </w:p>
    <w:p w:rsidR="00753FA4" w:rsidRPr="00753FA4" w:rsidRDefault="00753FA4" w:rsidP="00753FA4">
      <w:pPr>
        <w:spacing w:line="360" w:lineRule="auto"/>
        <w:ind w:firstLine="1440"/>
        <w:rPr>
          <w:sz w:val="26"/>
          <w:szCs w:val="26"/>
        </w:rPr>
      </w:pPr>
      <w:r w:rsidRPr="00753FA4">
        <w:rPr>
          <w:sz w:val="26"/>
          <w:szCs w:val="26"/>
        </w:rPr>
        <w:t xml:space="preserve">It is the Commission’s policy to promote settlements.  52 Pa. Code § 5.231.  The Parties herein have provided the Commission with sufficient information upon which </w:t>
      </w:r>
      <w:r w:rsidRPr="00753FA4">
        <w:rPr>
          <w:sz w:val="26"/>
          <w:szCs w:val="26"/>
        </w:rPr>
        <w:lastRenderedPageBreak/>
        <w:t xml:space="preserve">to thoroughly consider the terms of the proposed </w:t>
      </w:r>
      <w:r w:rsidR="00BC2CAF">
        <w:rPr>
          <w:sz w:val="26"/>
          <w:szCs w:val="26"/>
        </w:rPr>
        <w:t>S</w:t>
      </w:r>
      <w:r w:rsidRPr="00753FA4">
        <w:rPr>
          <w:sz w:val="26"/>
          <w:szCs w:val="26"/>
        </w:rPr>
        <w:t>ettlement.  Based on our review of the record in this case, including the Settlement</w:t>
      </w:r>
      <w:r w:rsidR="009756AD">
        <w:rPr>
          <w:sz w:val="26"/>
          <w:szCs w:val="26"/>
        </w:rPr>
        <w:t>,</w:t>
      </w:r>
      <w:r w:rsidRPr="00753FA4">
        <w:rPr>
          <w:sz w:val="26"/>
          <w:szCs w:val="26"/>
        </w:rPr>
        <w:t xml:space="preserve"> the </w:t>
      </w:r>
      <w:r w:rsidR="00BC2CAF">
        <w:rPr>
          <w:sz w:val="26"/>
          <w:szCs w:val="26"/>
        </w:rPr>
        <w:t>Joint Statement</w:t>
      </w:r>
      <w:r w:rsidRPr="00753FA4">
        <w:rPr>
          <w:sz w:val="26"/>
          <w:szCs w:val="26"/>
        </w:rPr>
        <w:t xml:space="preserve">, </w:t>
      </w:r>
      <w:r w:rsidR="009756AD">
        <w:rPr>
          <w:sz w:val="26"/>
          <w:szCs w:val="26"/>
        </w:rPr>
        <w:t xml:space="preserve">and PECO’s Comments, </w:t>
      </w:r>
      <w:r w:rsidRPr="00753FA4">
        <w:rPr>
          <w:sz w:val="26"/>
          <w:szCs w:val="26"/>
        </w:rPr>
        <w:t xml:space="preserve">we find that the proposed </w:t>
      </w:r>
      <w:r w:rsidR="00BC2CAF">
        <w:rPr>
          <w:sz w:val="26"/>
          <w:szCs w:val="26"/>
        </w:rPr>
        <w:t>S</w:t>
      </w:r>
      <w:r w:rsidRPr="00753FA4">
        <w:rPr>
          <w:sz w:val="26"/>
          <w:szCs w:val="26"/>
        </w:rPr>
        <w:t>ettlement between</w:t>
      </w:r>
      <w:r w:rsidR="00BC2CAF">
        <w:rPr>
          <w:sz w:val="26"/>
          <w:szCs w:val="26"/>
        </w:rPr>
        <w:t xml:space="preserve"> the Prosecutory Staff</w:t>
      </w:r>
      <w:r w:rsidRPr="00753FA4">
        <w:rPr>
          <w:sz w:val="26"/>
          <w:szCs w:val="26"/>
        </w:rPr>
        <w:t xml:space="preserve"> and </w:t>
      </w:r>
      <w:r w:rsidR="00BC2CAF">
        <w:rPr>
          <w:sz w:val="26"/>
          <w:szCs w:val="26"/>
        </w:rPr>
        <w:t xml:space="preserve">PECO, as modified, </w:t>
      </w:r>
      <w:r w:rsidRPr="00753FA4">
        <w:rPr>
          <w:sz w:val="26"/>
          <w:szCs w:val="26"/>
        </w:rPr>
        <w:t>is in the public interest and merits approval</w:t>
      </w:r>
      <w:r w:rsidR="00967686">
        <w:rPr>
          <w:sz w:val="26"/>
          <w:szCs w:val="26"/>
        </w:rPr>
        <w:t>.  We will therefore approve th</w:t>
      </w:r>
      <w:r w:rsidR="009756AD">
        <w:rPr>
          <w:sz w:val="26"/>
          <w:szCs w:val="26"/>
        </w:rPr>
        <w:t>e Settlement, as modified</w:t>
      </w:r>
      <w:r w:rsidR="00967686">
        <w:rPr>
          <w:sz w:val="26"/>
          <w:szCs w:val="26"/>
        </w:rPr>
        <w:t>, subject to the Parties’ right to withdraw from the Settlement within twenty days of entry of this Opinion and Order</w:t>
      </w:r>
      <w:r w:rsidRPr="00753FA4">
        <w:rPr>
          <w:sz w:val="26"/>
          <w:szCs w:val="26"/>
        </w:rPr>
        <w:t xml:space="preserve">; </w:t>
      </w:r>
      <w:r w:rsidRPr="00753FA4">
        <w:rPr>
          <w:b/>
          <w:sz w:val="26"/>
          <w:szCs w:val="26"/>
        </w:rPr>
        <w:t>THEREFORE</w:t>
      </w:r>
      <w:r w:rsidRPr="00753FA4">
        <w:rPr>
          <w:sz w:val="26"/>
          <w:szCs w:val="26"/>
        </w:rPr>
        <w:t>,</w:t>
      </w:r>
    </w:p>
    <w:p w:rsidR="00753FA4" w:rsidRPr="00753FA4" w:rsidRDefault="00753FA4" w:rsidP="00753FA4">
      <w:pPr>
        <w:spacing w:line="360" w:lineRule="auto"/>
        <w:rPr>
          <w:b/>
          <w:sz w:val="26"/>
          <w:szCs w:val="26"/>
        </w:rPr>
      </w:pPr>
    </w:p>
    <w:p w:rsidR="00753FA4" w:rsidRPr="00753FA4" w:rsidRDefault="00753FA4" w:rsidP="00753FA4">
      <w:pPr>
        <w:spacing w:line="360" w:lineRule="auto"/>
        <w:ind w:firstLine="1440"/>
        <w:rPr>
          <w:b/>
          <w:sz w:val="26"/>
          <w:szCs w:val="26"/>
        </w:rPr>
      </w:pPr>
      <w:r w:rsidRPr="00753FA4">
        <w:rPr>
          <w:b/>
          <w:sz w:val="26"/>
          <w:szCs w:val="26"/>
        </w:rPr>
        <w:t>IT IS ORDERED:</w:t>
      </w:r>
    </w:p>
    <w:p w:rsidR="00753FA4" w:rsidRPr="00753FA4" w:rsidRDefault="00753FA4" w:rsidP="00753FA4">
      <w:pPr>
        <w:spacing w:line="360" w:lineRule="auto"/>
        <w:rPr>
          <w:sz w:val="26"/>
          <w:szCs w:val="26"/>
        </w:rPr>
      </w:pPr>
    </w:p>
    <w:p w:rsidR="00CE4A85" w:rsidRDefault="00753FA4" w:rsidP="00753FA4">
      <w:pPr>
        <w:spacing w:line="360" w:lineRule="auto"/>
        <w:ind w:firstLine="1440"/>
        <w:rPr>
          <w:sz w:val="26"/>
          <w:szCs w:val="26"/>
        </w:rPr>
      </w:pPr>
      <w:r w:rsidRPr="00753FA4">
        <w:rPr>
          <w:sz w:val="26"/>
          <w:szCs w:val="26"/>
        </w:rPr>
        <w:t>1.</w:t>
      </w:r>
      <w:r w:rsidRPr="00753FA4">
        <w:rPr>
          <w:sz w:val="26"/>
          <w:szCs w:val="26"/>
        </w:rPr>
        <w:tab/>
        <w:t xml:space="preserve"> </w:t>
      </w:r>
      <w:r w:rsidR="00CE4A85">
        <w:rPr>
          <w:sz w:val="26"/>
          <w:szCs w:val="26"/>
        </w:rPr>
        <w:t>That, within twenty days of the entry of this Opinion and Order, the Parties may file at this docket number a response withdrawing from the Settlement Agreement</w:t>
      </w:r>
      <w:r w:rsidR="00423950">
        <w:rPr>
          <w:sz w:val="26"/>
          <w:szCs w:val="26"/>
        </w:rPr>
        <w:t xml:space="preserve"> </w:t>
      </w:r>
      <w:r w:rsidR="00423950" w:rsidRPr="00753FA4">
        <w:rPr>
          <w:sz w:val="26"/>
          <w:szCs w:val="26"/>
        </w:rPr>
        <w:t xml:space="preserve">entered into between the Pennsylvania Public Utility Commission’s </w:t>
      </w:r>
      <w:r w:rsidR="00423950">
        <w:rPr>
          <w:sz w:val="26"/>
          <w:szCs w:val="26"/>
        </w:rPr>
        <w:t>Bureau of Investigation and Enforcement</w:t>
      </w:r>
      <w:r w:rsidR="00423950" w:rsidRPr="00753FA4">
        <w:rPr>
          <w:sz w:val="26"/>
          <w:szCs w:val="26"/>
        </w:rPr>
        <w:t xml:space="preserve"> and </w:t>
      </w:r>
      <w:r w:rsidR="00423950">
        <w:rPr>
          <w:sz w:val="26"/>
          <w:szCs w:val="26"/>
        </w:rPr>
        <w:t>PECO Energy Company</w:t>
      </w:r>
      <w:r w:rsidR="00423950" w:rsidRPr="00753FA4">
        <w:rPr>
          <w:sz w:val="26"/>
          <w:szCs w:val="26"/>
        </w:rPr>
        <w:t xml:space="preserve">, </w:t>
      </w:r>
      <w:r w:rsidR="00423950">
        <w:rPr>
          <w:sz w:val="26"/>
          <w:szCs w:val="26"/>
        </w:rPr>
        <w:t xml:space="preserve">and </w:t>
      </w:r>
      <w:r w:rsidR="00423950" w:rsidRPr="00753FA4">
        <w:rPr>
          <w:sz w:val="26"/>
          <w:szCs w:val="26"/>
        </w:rPr>
        <w:t xml:space="preserve">filed </w:t>
      </w:r>
      <w:r w:rsidR="00423950">
        <w:rPr>
          <w:sz w:val="26"/>
          <w:szCs w:val="26"/>
        </w:rPr>
        <w:t xml:space="preserve">with this Commission </w:t>
      </w:r>
      <w:r w:rsidR="00423950" w:rsidRPr="00753FA4">
        <w:rPr>
          <w:sz w:val="26"/>
          <w:szCs w:val="26"/>
        </w:rPr>
        <w:t xml:space="preserve">on </w:t>
      </w:r>
      <w:r w:rsidR="00423950">
        <w:rPr>
          <w:sz w:val="26"/>
          <w:szCs w:val="26"/>
        </w:rPr>
        <w:t>December 2, 2011</w:t>
      </w:r>
      <w:r w:rsidR="00CE4A85">
        <w:rPr>
          <w:sz w:val="26"/>
          <w:szCs w:val="26"/>
        </w:rPr>
        <w:t>.</w:t>
      </w:r>
    </w:p>
    <w:p w:rsidR="00CE4A85" w:rsidRDefault="00CE4A85" w:rsidP="00753FA4">
      <w:pPr>
        <w:spacing w:line="360" w:lineRule="auto"/>
        <w:ind w:firstLine="1440"/>
        <w:rPr>
          <w:sz w:val="26"/>
          <w:szCs w:val="26"/>
        </w:rPr>
      </w:pPr>
    </w:p>
    <w:p w:rsidR="00423950" w:rsidRDefault="00423950" w:rsidP="00753FA4">
      <w:pPr>
        <w:spacing w:line="360" w:lineRule="auto"/>
        <w:ind w:firstLine="1440"/>
        <w:rPr>
          <w:sz w:val="26"/>
          <w:szCs w:val="26"/>
        </w:rPr>
      </w:pPr>
      <w:r>
        <w:rPr>
          <w:sz w:val="26"/>
          <w:szCs w:val="26"/>
        </w:rPr>
        <w:t>2.</w:t>
      </w:r>
      <w:r>
        <w:rPr>
          <w:sz w:val="26"/>
          <w:szCs w:val="26"/>
        </w:rPr>
        <w:tab/>
      </w:r>
      <w:r w:rsidR="00753FA4" w:rsidRPr="00753FA4">
        <w:rPr>
          <w:sz w:val="26"/>
          <w:szCs w:val="26"/>
        </w:rPr>
        <w:t>That</w:t>
      </w:r>
      <w:r>
        <w:rPr>
          <w:sz w:val="26"/>
          <w:szCs w:val="26"/>
        </w:rPr>
        <w:t xml:space="preserve">, if any Party withdraws from the Settlement Agreement pursuant to Ordering Paragraph No. 1, the Agreement shall be disapproved without further action by this Commission and this matter shall be referred to the Bureau of Investigation and Enforcement for such further action as may be warranted.  </w:t>
      </w:r>
    </w:p>
    <w:p w:rsidR="00423950" w:rsidRDefault="00423950" w:rsidP="00753FA4">
      <w:pPr>
        <w:spacing w:line="360" w:lineRule="auto"/>
        <w:ind w:firstLine="1440"/>
        <w:rPr>
          <w:sz w:val="26"/>
          <w:szCs w:val="26"/>
        </w:rPr>
      </w:pPr>
    </w:p>
    <w:p w:rsidR="00490B06" w:rsidRDefault="00423950" w:rsidP="00753FA4">
      <w:pPr>
        <w:spacing w:line="360" w:lineRule="auto"/>
        <w:ind w:firstLine="1440"/>
        <w:rPr>
          <w:sz w:val="26"/>
          <w:szCs w:val="26"/>
        </w:rPr>
      </w:pPr>
      <w:r>
        <w:rPr>
          <w:sz w:val="26"/>
          <w:szCs w:val="26"/>
        </w:rPr>
        <w:t>3.</w:t>
      </w:r>
      <w:r>
        <w:rPr>
          <w:sz w:val="26"/>
          <w:szCs w:val="26"/>
        </w:rPr>
        <w:tab/>
        <w:t>That, if no Party withdraws from the Settlement Agreement pursuant to Ordering Paragraph No. 1</w:t>
      </w:r>
      <w:r w:rsidR="00490B06">
        <w:rPr>
          <w:sz w:val="26"/>
          <w:szCs w:val="26"/>
        </w:rPr>
        <w:t>:</w:t>
      </w:r>
    </w:p>
    <w:p w:rsidR="00490B06" w:rsidRDefault="00490B06" w:rsidP="00753FA4">
      <w:pPr>
        <w:spacing w:line="360" w:lineRule="auto"/>
        <w:ind w:firstLine="1440"/>
        <w:rPr>
          <w:sz w:val="26"/>
          <w:szCs w:val="26"/>
        </w:rPr>
      </w:pPr>
    </w:p>
    <w:p w:rsidR="00753FA4" w:rsidRPr="00753FA4" w:rsidRDefault="00490B06" w:rsidP="00EB4B5D">
      <w:pPr>
        <w:spacing w:line="360" w:lineRule="auto"/>
        <w:ind w:firstLine="2160"/>
        <w:rPr>
          <w:sz w:val="26"/>
          <w:szCs w:val="26"/>
        </w:rPr>
      </w:pPr>
      <w:r>
        <w:rPr>
          <w:sz w:val="26"/>
          <w:szCs w:val="26"/>
        </w:rPr>
        <w:t xml:space="preserve">a.  </w:t>
      </w:r>
      <w:r>
        <w:rPr>
          <w:sz w:val="26"/>
          <w:szCs w:val="26"/>
        </w:rPr>
        <w:tab/>
        <w:t>T</w:t>
      </w:r>
      <w:r w:rsidR="00753FA4" w:rsidRPr="00753FA4">
        <w:rPr>
          <w:sz w:val="26"/>
          <w:szCs w:val="26"/>
        </w:rPr>
        <w:t xml:space="preserve">he Settlement Agreement entered into between the Pennsylvania Public Utility Commission’s </w:t>
      </w:r>
      <w:r w:rsidR="00BC2CAF">
        <w:rPr>
          <w:sz w:val="26"/>
          <w:szCs w:val="26"/>
        </w:rPr>
        <w:t>Bureau of Investigation and Enforcement</w:t>
      </w:r>
      <w:r w:rsidR="00753FA4" w:rsidRPr="00753FA4">
        <w:rPr>
          <w:sz w:val="26"/>
          <w:szCs w:val="26"/>
        </w:rPr>
        <w:t xml:space="preserve"> and </w:t>
      </w:r>
      <w:r w:rsidR="00BC2CAF">
        <w:rPr>
          <w:sz w:val="26"/>
          <w:szCs w:val="26"/>
        </w:rPr>
        <w:t>PECO Energy Company</w:t>
      </w:r>
      <w:r w:rsidR="00753FA4" w:rsidRPr="00753FA4">
        <w:rPr>
          <w:sz w:val="26"/>
          <w:szCs w:val="26"/>
        </w:rPr>
        <w:t xml:space="preserve">, filed on </w:t>
      </w:r>
      <w:r w:rsidR="00BC2CAF">
        <w:rPr>
          <w:sz w:val="26"/>
          <w:szCs w:val="26"/>
        </w:rPr>
        <w:t>December 2, 2011</w:t>
      </w:r>
      <w:r w:rsidR="00753FA4" w:rsidRPr="00753FA4">
        <w:rPr>
          <w:sz w:val="26"/>
          <w:szCs w:val="26"/>
        </w:rPr>
        <w:t>, s</w:t>
      </w:r>
      <w:r w:rsidR="00423950">
        <w:rPr>
          <w:sz w:val="26"/>
          <w:szCs w:val="26"/>
        </w:rPr>
        <w:t>hall</w:t>
      </w:r>
      <w:r w:rsidR="00753FA4" w:rsidRPr="00753FA4">
        <w:rPr>
          <w:sz w:val="26"/>
          <w:szCs w:val="26"/>
        </w:rPr>
        <w:t xml:space="preserve"> </w:t>
      </w:r>
      <w:r w:rsidR="00423950">
        <w:rPr>
          <w:sz w:val="26"/>
          <w:szCs w:val="26"/>
        </w:rPr>
        <w:t xml:space="preserve">be </w:t>
      </w:r>
      <w:r w:rsidR="00753FA4" w:rsidRPr="00753FA4">
        <w:rPr>
          <w:sz w:val="26"/>
          <w:szCs w:val="26"/>
        </w:rPr>
        <w:t>approved</w:t>
      </w:r>
      <w:r w:rsidR="00423950">
        <w:rPr>
          <w:sz w:val="26"/>
          <w:szCs w:val="26"/>
        </w:rPr>
        <w:t xml:space="preserve"> without further action by this Commission</w:t>
      </w:r>
      <w:r w:rsidR="003004BC">
        <w:rPr>
          <w:sz w:val="26"/>
          <w:szCs w:val="26"/>
        </w:rPr>
        <w:t>, as modified</w:t>
      </w:r>
      <w:r w:rsidR="00423950">
        <w:rPr>
          <w:sz w:val="26"/>
          <w:szCs w:val="26"/>
        </w:rPr>
        <w:t>, consistent</w:t>
      </w:r>
      <w:r w:rsidR="00CE4A85">
        <w:rPr>
          <w:sz w:val="26"/>
          <w:szCs w:val="26"/>
        </w:rPr>
        <w:t xml:space="preserve"> this Opinion and Order</w:t>
      </w:r>
      <w:r>
        <w:rPr>
          <w:sz w:val="26"/>
          <w:szCs w:val="26"/>
        </w:rPr>
        <w:t>.</w:t>
      </w:r>
    </w:p>
    <w:p w:rsidR="00753FA4" w:rsidRPr="00753FA4" w:rsidRDefault="00753FA4" w:rsidP="00753FA4">
      <w:pPr>
        <w:spacing w:line="360" w:lineRule="auto"/>
        <w:rPr>
          <w:sz w:val="26"/>
          <w:szCs w:val="26"/>
        </w:rPr>
      </w:pPr>
    </w:p>
    <w:p w:rsidR="00753FA4" w:rsidRPr="00753FA4" w:rsidRDefault="00490B06" w:rsidP="00EB4B5D">
      <w:pPr>
        <w:spacing w:line="360" w:lineRule="auto"/>
        <w:ind w:firstLine="2160"/>
        <w:rPr>
          <w:sz w:val="26"/>
        </w:rPr>
      </w:pPr>
      <w:r>
        <w:rPr>
          <w:sz w:val="26"/>
          <w:szCs w:val="26"/>
        </w:rPr>
        <w:lastRenderedPageBreak/>
        <w:t>b.</w:t>
      </w:r>
      <w:r>
        <w:rPr>
          <w:sz w:val="26"/>
          <w:szCs w:val="26"/>
        </w:rPr>
        <w:tab/>
        <w:t>I</w:t>
      </w:r>
      <w:r w:rsidR="00753FA4" w:rsidRPr="00753FA4">
        <w:rPr>
          <w:sz w:val="26"/>
        </w:rPr>
        <w:t xml:space="preserve">n accordance with Section 3301 of the Public Utility Code, 66 Pa. C.S. § 3301, within </w:t>
      </w:r>
      <w:r>
        <w:rPr>
          <w:sz w:val="26"/>
        </w:rPr>
        <w:t>fif</w:t>
      </w:r>
      <w:r w:rsidR="00753FA4" w:rsidRPr="00753FA4">
        <w:rPr>
          <w:sz w:val="26"/>
        </w:rPr>
        <w:t>ty (</w:t>
      </w:r>
      <w:r>
        <w:rPr>
          <w:sz w:val="26"/>
        </w:rPr>
        <w:t>5</w:t>
      </w:r>
      <w:r w:rsidR="00753FA4" w:rsidRPr="00753FA4">
        <w:rPr>
          <w:sz w:val="26"/>
        </w:rPr>
        <w:t xml:space="preserve">0) days of </w:t>
      </w:r>
      <w:r w:rsidR="006D10C6">
        <w:rPr>
          <w:sz w:val="26"/>
        </w:rPr>
        <w:t>entry</w:t>
      </w:r>
      <w:r w:rsidR="00753FA4" w:rsidRPr="00753FA4">
        <w:rPr>
          <w:sz w:val="26"/>
        </w:rPr>
        <w:t xml:space="preserve"> of the Commission’s final Opinion and Order, </w:t>
      </w:r>
      <w:r w:rsidR="00BC2CAF">
        <w:rPr>
          <w:sz w:val="26"/>
        </w:rPr>
        <w:t>PECO Energy Company</w:t>
      </w:r>
      <w:r w:rsidR="00753FA4" w:rsidRPr="00753FA4">
        <w:rPr>
          <w:sz w:val="26"/>
        </w:rPr>
        <w:t xml:space="preserve"> shall pay a civil penalty in the amount of $</w:t>
      </w:r>
      <w:r w:rsidR="00BC2CAF">
        <w:rPr>
          <w:sz w:val="26"/>
        </w:rPr>
        <w:t>75,000</w:t>
      </w:r>
      <w:r w:rsidR="00753FA4" w:rsidRPr="00753FA4">
        <w:rPr>
          <w:sz w:val="26"/>
        </w:rPr>
        <w:t>.  Said check or money order shall be made payable to:</w:t>
      </w:r>
    </w:p>
    <w:p w:rsidR="00753FA4" w:rsidRPr="00753FA4" w:rsidRDefault="00753FA4" w:rsidP="00753FA4">
      <w:pPr>
        <w:spacing w:line="360" w:lineRule="auto"/>
        <w:ind w:firstLine="1440"/>
        <w:rPr>
          <w:sz w:val="26"/>
        </w:rPr>
      </w:pPr>
    </w:p>
    <w:p w:rsidR="00753FA4" w:rsidRPr="00753FA4" w:rsidRDefault="00753FA4" w:rsidP="0090262C">
      <w:pPr>
        <w:keepNext/>
        <w:ind w:firstLine="2160"/>
        <w:rPr>
          <w:sz w:val="26"/>
        </w:rPr>
      </w:pPr>
      <w:smartTag w:uri="urn:schemas-microsoft-com:office:smarttags" w:element="place">
        <w:smartTag w:uri="urn:schemas-microsoft-com:office:smarttags" w:element="State">
          <w:r w:rsidRPr="00753FA4">
            <w:rPr>
              <w:sz w:val="26"/>
            </w:rPr>
            <w:t>Pennsylvania</w:t>
          </w:r>
        </w:smartTag>
      </w:smartTag>
      <w:r w:rsidRPr="00753FA4">
        <w:rPr>
          <w:sz w:val="26"/>
        </w:rPr>
        <w:t xml:space="preserve"> Public Utility Commission</w:t>
      </w:r>
    </w:p>
    <w:p w:rsidR="00753FA4" w:rsidRPr="00753FA4" w:rsidRDefault="00753FA4" w:rsidP="0090262C">
      <w:pPr>
        <w:keepNext/>
        <w:ind w:firstLine="2160"/>
        <w:rPr>
          <w:sz w:val="26"/>
        </w:rPr>
      </w:pPr>
      <w:smartTag w:uri="urn:schemas-microsoft-com:office:smarttags" w:element="address">
        <w:smartTag w:uri="urn:schemas-microsoft-com:office:smarttags" w:element="Street">
          <w:r w:rsidRPr="00753FA4">
            <w:rPr>
              <w:sz w:val="26"/>
            </w:rPr>
            <w:t>P.O. Box</w:t>
          </w:r>
        </w:smartTag>
        <w:r w:rsidRPr="00753FA4">
          <w:rPr>
            <w:sz w:val="26"/>
          </w:rPr>
          <w:t xml:space="preserve"> 3265</w:t>
        </w:r>
      </w:smartTag>
    </w:p>
    <w:p w:rsidR="00753FA4" w:rsidRDefault="00753FA4" w:rsidP="0090262C">
      <w:pPr>
        <w:ind w:firstLine="2160"/>
        <w:rPr>
          <w:sz w:val="26"/>
        </w:rPr>
      </w:pPr>
      <w:smartTag w:uri="urn:schemas-microsoft-com:office:smarttags" w:element="City">
        <w:r w:rsidRPr="00753FA4">
          <w:rPr>
            <w:sz w:val="26"/>
          </w:rPr>
          <w:t>Harrisburg</w:t>
        </w:r>
      </w:smartTag>
      <w:r w:rsidRPr="00753FA4">
        <w:rPr>
          <w:sz w:val="26"/>
        </w:rPr>
        <w:t xml:space="preserve">, </w:t>
      </w:r>
      <w:smartTag w:uri="urn:schemas-microsoft-com:office:smarttags" w:element="State">
        <w:r w:rsidRPr="00753FA4">
          <w:rPr>
            <w:sz w:val="26"/>
          </w:rPr>
          <w:t>PA</w:t>
        </w:r>
      </w:smartTag>
      <w:r w:rsidRPr="00753FA4">
        <w:rPr>
          <w:sz w:val="26"/>
        </w:rPr>
        <w:t xml:space="preserve">  17105-3265</w:t>
      </w:r>
    </w:p>
    <w:p w:rsidR="006D10C6" w:rsidRPr="00753FA4" w:rsidRDefault="006D10C6" w:rsidP="0090262C">
      <w:pPr>
        <w:ind w:firstLine="2160"/>
        <w:rPr>
          <w:sz w:val="26"/>
        </w:rPr>
      </w:pPr>
    </w:p>
    <w:p w:rsidR="00753FA4" w:rsidRPr="00753FA4" w:rsidRDefault="00753FA4" w:rsidP="00753FA4">
      <w:pPr>
        <w:ind w:firstLine="1440"/>
        <w:rPr>
          <w:sz w:val="26"/>
        </w:rPr>
      </w:pPr>
    </w:p>
    <w:p w:rsidR="00F15408" w:rsidRDefault="00490B06" w:rsidP="00EB4B5D">
      <w:pPr>
        <w:spacing w:line="360" w:lineRule="auto"/>
        <w:ind w:firstLine="2160"/>
        <w:rPr>
          <w:sz w:val="26"/>
        </w:rPr>
      </w:pPr>
      <w:r>
        <w:rPr>
          <w:sz w:val="26"/>
        </w:rPr>
        <w:t>c</w:t>
      </w:r>
      <w:r w:rsidR="00F15408">
        <w:rPr>
          <w:sz w:val="26"/>
        </w:rPr>
        <w:t>.</w:t>
      </w:r>
      <w:r w:rsidR="00F15408">
        <w:rPr>
          <w:sz w:val="26"/>
        </w:rPr>
        <w:tab/>
        <w:t xml:space="preserve">The civil penalty assessed in this Opinion and Order shall </w:t>
      </w:r>
      <w:r w:rsidR="00F41630">
        <w:rPr>
          <w:sz w:val="26"/>
        </w:rPr>
        <w:t xml:space="preserve">not </w:t>
      </w:r>
      <w:r w:rsidR="00F15408">
        <w:rPr>
          <w:sz w:val="26"/>
        </w:rPr>
        <w:t xml:space="preserve">be </w:t>
      </w:r>
      <w:r w:rsidR="00F41630">
        <w:rPr>
          <w:sz w:val="26"/>
        </w:rPr>
        <w:t>included for recovery in future ratemaking proceedings</w:t>
      </w:r>
      <w:r w:rsidR="00F15408">
        <w:rPr>
          <w:sz w:val="26"/>
        </w:rPr>
        <w:t>.</w:t>
      </w:r>
    </w:p>
    <w:p w:rsidR="00F15408" w:rsidRDefault="00F15408" w:rsidP="00753FA4">
      <w:pPr>
        <w:spacing w:line="360" w:lineRule="auto"/>
        <w:ind w:firstLine="1440"/>
        <w:rPr>
          <w:sz w:val="26"/>
        </w:rPr>
      </w:pPr>
    </w:p>
    <w:p w:rsidR="00753FA4" w:rsidRPr="00753FA4" w:rsidRDefault="00490B06" w:rsidP="00753FA4">
      <w:pPr>
        <w:spacing w:line="360" w:lineRule="auto"/>
        <w:ind w:firstLine="1440"/>
        <w:rPr>
          <w:sz w:val="26"/>
        </w:rPr>
      </w:pPr>
      <w:r>
        <w:rPr>
          <w:sz w:val="26"/>
        </w:rPr>
        <w:tab/>
        <w:t>d</w:t>
      </w:r>
      <w:r w:rsidR="00753FA4" w:rsidRPr="00753FA4">
        <w:rPr>
          <w:sz w:val="26"/>
        </w:rPr>
        <w:t>.</w:t>
      </w:r>
      <w:r w:rsidR="00753FA4" w:rsidRPr="00753FA4">
        <w:rPr>
          <w:sz w:val="26"/>
        </w:rPr>
        <w:tab/>
      </w:r>
      <w:r>
        <w:rPr>
          <w:sz w:val="26"/>
        </w:rPr>
        <w:t>A</w:t>
      </w:r>
      <w:r w:rsidR="00753FA4" w:rsidRPr="00753FA4">
        <w:rPr>
          <w:sz w:val="26"/>
        </w:rPr>
        <w:t xml:space="preserve"> copy of this Opinion and Order </w:t>
      </w:r>
      <w:r w:rsidR="00BC2CAF">
        <w:rPr>
          <w:sz w:val="26"/>
        </w:rPr>
        <w:t xml:space="preserve">shall </w:t>
      </w:r>
      <w:r w:rsidR="00753FA4" w:rsidRPr="00753FA4">
        <w:rPr>
          <w:sz w:val="26"/>
        </w:rPr>
        <w:t>be served upon the Financial and Assessment Chief, Office of Administrative Services.</w:t>
      </w:r>
    </w:p>
    <w:p w:rsidR="00753FA4" w:rsidRPr="00753FA4" w:rsidRDefault="00753FA4" w:rsidP="00753FA4">
      <w:pPr>
        <w:spacing w:line="360" w:lineRule="auto"/>
        <w:ind w:firstLine="1440"/>
        <w:rPr>
          <w:sz w:val="26"/>
        </w:rPr>
      </w:pPr>
    </w:p>
    <w:p w:rsidR="00753FA4" w:rsidRDefault="00490B06" w:rsidP="00753FA4">
      <w:pPr>
        <w:spacing w:line="360" w:lineRule="auto"/>
        <w:ind w:firstLine="1440"/>
        <w:rPr>
          <w:sz w:val="26"/>
        </w:rPr>
      </w:pPr>
      <w:r>
        <w:rPr>
          <w:sz w:val="26"/>
        </w:rPr>
        <w:tab/>
        <w:t>e</w:t>
      </w:r>
      <w:r w:rsidR="00BC2CAF">
        <w:rPr>
          <w:sz w:val="26"/>
        </w:rPr>
        <w:t>.</w:t>
      </w:r>
      <w:r w:rsidR="00753FA4" w:rsidRPr="00753FA4">
        <w:rPr>
          <w:sz w:val="26"/>
        </w:rPr>
        <w:tab/>
        <w:t>The Secretary’s Bureau shall mark this proceeding closed upon payment of the penalty.</w:t>
      </w:r>
    </w:p>
    <w:p w:rsidR="00160985" w:rsidRDefault="00A54A2A" w:rsidP="00753FA4">
      <w:pPr>
        <w:spacing w:line="360" w:lineRule="auto"/>
        <w:ind w:firstLine="1440"/>
        <w:rPr>
          <w:sz w:val="26"/>
        </w:rPr>
      </w:pPr>
      <w:bookmarkStart w:id="0" w:name="_GoBack"/>
      <w:r w:rsidRPr="00A14635">
        <w:rPr>
          <w:noProof/>
        </w:rPr>
        <w:drawing>
          <wp:anchor distT="0" distB="0" distL="114300" distR="114300" simplePos="0" relativeHeight="251659264" behindDoc="1" locked="0" layoutInCell="1" allowOverlap="1" wp14:anchorId="4598D127" wp14:editId="129C90B3">
            <wp:simplePos x="0" y="0"/>
            <wp:positionH relativeFrom="column">
              <wp:posOffset>3128010</wp:posOffset>
            </wp:positionH>
            <wp:positionV relativeFrom="paragraph">
              <wp:posOffset>273685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p>
    <w:p w:rsidR="001600D3" w:rsidRPr="00456EDE" w:rsidRDefault="001600D3" w:rsidP="00BC7085">
      <w:pPr>
        <w:spacing w:line="360" w:lineRule="auto"/>
        <w:rPr>
          <w:b/>
          <w:sz w:val="26"/>
          <w:szCs w:val="26"/>
        </w:rPr>
      </w:pPr>
      <w:r w:rsidRPr="00DE7171">
        <w:rPr>
          <w:color w:val="00B050"/>
          <w:sz w:val="26"/>
          <w:szCs w:val="26"/>
        </w:rPr>
        <w:tab/>
      </w:r>
      <w:r w:rsidRPr="00DE7171">
        <w:rPr>
          <w:color w:val="00B050"/>
          <w:sz w:val="26"/>
          <w:szCs w:val="26"/>
        </w:rPr>
        <w:tab/>
      </w:r>
      <w:r w:rsidRPr="00DE7171">
        <w:rPr>
          <w:color w:val="00B050"/>
          <w:sz w:val="26"/>
          <w:szCs w:val="26"/>
        </w:rPr>
        <w:tab/>
      </w:r>
      <w:r w:rsidRPr="00DE7171">
        <w:rPr>
          <w:color w:val="00B050"/>
          <w:sz w:val="26"/>
          <w:szCs w:val="26"/>
        </w:rPr>
        <w:tab/>
      </w:r>
      <w:r w:rsidRPr="00DE7171">
        <w:rPr>
          <w:color w:val="00B050"/>
          <w:sz w:val="26"/>
          <w:szCs w:val="26"/>
        </w:rPr>
        <w:tab/>
      </w:r>
      <w:r w:rsidRPr="00DE7171">
        <w:rPr>
          <w:color w:val="00B050"/>
          <w:sz w:val="26"/>
          <w:szCs w:val="26"/>
        </w:rPr>
        <w:tab/>
      </w:r>
      <w:r w:rsidRPr="00DE7171">
        <w:rPr>
          <w:color w:val="00B050"/>
          <w:sz w:val="26"/>
          <w:szCs w:val="26"/>
        </w:rPr>
        <w:tab/>
      </w:r>
      <w:r w:rsidRPr="00456EDE">
        <w:rPr>
          <w:b/>
          <w:sz w:val="26"/>
          <w:szCs w:val="26"/>
        </w:rPr>
        <w:t>BY THE COMMISSION,</w:t>
      </w:r>
    </w:p>
    <w:p w:rsidR="001600D3" w:rsidRPr="00456EDE" w:rsidRDefault="001600D3" w:rsidP="00BC7085">
      <w:pPr>
        <w:rPr>
          <w:sz w:val="26"/>
          <w:szCs w:val="26"/>
        </w:rPr>
      </w:pPr>
    </w:p>
    <w:p w:rsidR="001600D3" w:rsidRPr="00456EDE" w:rsidRDefault="001600D3" w:rsidP="00BC7085">
      <w:pPr>
        <w:rPr>
          <w:sz w:val="26"/>
          <w:szCs w:val="26"/>
        </w:rPr>
      </w:pPr>
    </w:p>
    <w:p w:rsidR="001600D3" w:rsidRPr="00456EDE" w:rsidRDefault="001600D3" w:rsidP="00BC7085">
      <w:pPr>
        <w:rPr>
          <w:sz w:val="26"/>
          <w:szCs w:val="26"/>
        </w:rPr>
      </w:pPr>
    </w:p>
    <w:p w:rsidR="001600D3" w:rsidRPr="00456EDE" w:rsidRDefault="001600D3" w:rsidP="00BC7085">
      <w:pPr>
        <w:rPr>
          <w:sz w:val="26"/>
          <w:szCs w:val="26"/>
        </w:rPr>
      </w:pPr>
      <w:r w:rsidRPr="00456EDE">
        <w:rPr>
          <w:sz w:val="26"/>
          <w:szCs w:val="26"/>
        </w:rPr>
        <w:tab/>
      </w:r>
      <w:r w:rsidRPr="00456EDE">
        <w:rPr>
          <w:sz w:val="26"/>
          <w:szCs w:val="26"/>
        </w:rPr>
        <w:tab/>
      </w:r>
      <w:r w:rsidRPr="00456EDE">
        <w:rPr>
          <w:sz w:val="26"/>
          <w:szCs w:val="26"/>
        </w:rPr>
        <w:tab/>
      </w:r>
      <w:r w:rsidRPr="00456EDE">
        <w:rPr>
          <w:sz w:val="26"/>
          <w:szCs w:val="26"/>
        </w:rPr>
        <w:tab/>
      </w:r>
      <w:r w:rsidRPr="00456EDE">
        <w:rPr>
          <w:sz w:val="26"/>
          <w:szCs w:val="26"/>
        </w:rPr>
        <w:tab/>
      </w:r>
      <w:r w:rsidRPr="00456EDE">
        <w:rPr>
          <w:sz w:val="26"/>
          <w:szCs w:val="26"/>
        </w:rPr>
        <w:tab/>
      </w:r>
      <w:r w:rsidRPr="00456EDE">
        <w:rPr>
          <w:sz w:val="26"/>
          <w:szCs w:val="26"/>
        </w:rPr>
        <w:tab/>
        <w:t>Rosemary Chiavetta</w:t>
      </w:r>
    </w:p>
    <w:p w:rsidR="001600D3" w:rsidRPr="00456EDE" w:rsidRDefault="001600D3" w:rsidP="00BC7085">
      <w:pPr>
        <w:rPr>
          <w:sz w:val="26"/>
          <w:szCs w:val="26"/>
        </w:rPr>
      </w:pPr>
      <w:r w:rsidRPr="00456EDE">
        <w:rPr>
          <w:sz w:val="26"/>
          <w:szCs w:val="26"/>
        </w:rPr>
        <w:tab/>
      </w:r>
      <w:r w:rsidRPr="00456EDE">
        <w:rPr>
          <w:sz w:val="26"/>
          <w:szCs w:val="26"/>
        </w:rPr>
        <w:tab/>
      </w:r>
      <w:r w:rsidRPr="00456EDE">
        <w:rPr>
          <w:sz w:val="26"/>
          <w:szCs w:val="26"/>
        </w:rPr>
        <w:tab/>
      </w:r>
      <w:r w:rsidRPr="00456EDE">
        <w:rPr>
          <w:sz w:val="26"/>
          <w:szCs w:val="26"/>
        </w:rPr>
        <w:tab/>
      </w:r>
      <w:r w:rsidRPr="00456EDE">
        <w:rPr>
          <w:sz w:val="26"/>
          <w:szCs w:val="26"/>
        </w:rPr>
        <w:tab/>
      </w:r>
      <w:r w:rsidRPr="00456EDE">
        <w:rPr>
          <w:sz w:val="26"/>
          <w:szCs w:val="26"/>
        </w:rPr>
        <w:tab/>
      </w:r>
      <w:r w:rsidRPr="00456EDE">
        <w:rPr>
          <w:sz w:val="26"/>
          <w:szCs w:val="26"/>
        </w:rPr>
        <w:tab/>
        <w:t>Secretary</w:t>
      </w:r>
    </w:p>
    <w:p w:rsidR="001600D3" w:rsidRPr="00456EDE" w:rsidRDefault="001600D3" w:rsidP="00BC7085">
      <w:pPr>
        <w:tabs>
          <w:tab w:val="left" w:pos="-720"/>
        </w:tabs>
        <w:suppressAutoHyphens/>
        <w:rPr>
          <w:sz w:val="26"/>
          <w:szCs w:val="26"/>
        </w:rPr>
      </w:pPr>
    </w:p>
    <w:p w:rsidR="001600D3" w:rsidRPr="00456EDE" w:rsidRDefault="001600D3" w:rsidP="00BC7085">
      <w:pPr>
        <w:tabs>
          <w:tab w:val="left" w:pos="-720"/>
        </w:tabs>
        <w:suppressAutoHyphens/>
        <w:rPr>
          <w:sz w:val="26"/>
          <w:szCs w:val="26"/>
        </w:rPr>
      </w:pPr>
      <w:r w:rsidRPr="00456EDE">
        <w:rPr>
          <w:sz w:val="26"/>
          <w:szCs w:val="26"/>
        </w:rPr>
        <w:t>(SEAL)</w:t>
      </w:r>
    </w:p>
    <w:p w:rsidR="001600D3" w:rsidRPr="00456EDE" w:rsidRDefault="001600D3" w:rsidP="00BC7085">
      <w:pPr>
        <w:tabs>
          <w:tab w:val="left" w:pos="-720"/>
        </w:tabs>
        <w:suppressAutoHyphens/>
        <w:rPr>
          <w:sz w:val="26"/>
          <w:szCs w:val="26"/>
        </w:rPr>
      </w:pPr>
    </w:p>
    <w:p w:rsidR="001600D3" w:rsidRDefault="001600D3" w:rsidP="00BC7085">
      <w:pPr>
        <w:tabs>
          <w:tab w:val="left" w:pos="-720"/>
        </w:tabs>
        <w:suppressAutoHyphens/>
        <w:rPr>
          <w:sz w:val="26"/>
          <w:szCs w:val="26"/>
        </w:rPr>
      </w:pPr>
      <w:r w:rsidRPr="00160985">
        <w:rPr>
          <w:sz w:val="26"/>
          <w:szCs w:val="26"/>
        </w:rPr>
        <w:t>ORDER ADOPTED:</w:t>
      </w:r>
      <w:r w:rsidR="00025C35" w:rsidRPr="00160985">
        <w:rPr>
          <w:sz w:val="26"/>
          <w:szCs w:val="26"/>
        </w:rPr>
        <w:t xml:space="preserve">  </w:t>
      </w:r>
      <w:r w:rsidR="00160985">
        <w:rPr>
          <w:sz w:val="26"/>
          <w:szCs w:val="26"/>
        </w:rPr>
        <w:t>November 8, 2012</w:t>
      </w:r>
    </w:p>
    <w:p w:rsidR="00160985" w:rsidRPr="00160985" w:rsidRDefault="00160985" w:rsidP="00BC7085">
      <w:pPr>
        <w:tabs>
          <w:tab w:val="left" w:pos="-720"/>
        </w:tabs>
        <w:suppressAutoHyphens/>
        <w:rPr>
          <w:sz w:val="26"/>
          <w:szCs w:val="26"/>
        </w:rPr>
      </w:pPr>
    </w:p>
    <w:p w:rsidR="00447D2C" w:rsidRDefault="001600D3" w:rsidP="00571779">
      <w:pPr>
        <w:spacing w:line="360" w:lineRule="auto"/>
        <w:rPr>
          <w:noProof/>
        </w:rPr>
      </w:pPr>
      <w:r w:rsidRPr="00160985">
        <w:rPr>
          <w:sz w:val="26"/>
        </w:rPr>
        <w:t>ORDER ENTERED</w:t>
      </w:r>
      <w:r w:rsidR="00160985">
        <w:rPr>
          <w:sz w:val="26"/>
        </w:rPr>
        <w:t xml:space="preserve">: </w:t>
      </w:r>
      <w:r w:rsidR="00A54A2A">
        <w:rPr>
          <w:sz w:val="26"/>
        </w:rPr>
        <w:t>November 8, 2012</w:t>
      </w:r>
    </w:p>
    <w:sectPr w:rsidR="00447D2C" w:rsidSect="00147057">
      <w:footerReference w:type="defaul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7B7" w:rsidRDefault="007527B7">
      <w:r>
        <w:separator/>
      </w:r>
    </w:p>
  </w:endnote>
  <w:endnote w:type="continuationSeparator" w:id="0">
    <w:p w:rsidR="007527B7" w:rsidRDefault="0075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56436"/>
      <w:docPartObj>
        <w:docPartGallery w:val="Page Numbers (Bottom of Page)"/>
        <w:docPartUnique/>
      </w:docPartObj>
    </w:sdtPr>
    <w:sdtEndPr>
      <w:rPr>
        <w:noProof/>
        <w:sz w:val="26"/>
        <w:szCs w:val="26"/>
      </w:rPr>
    </w:sdtEndPr>
    <w:sdtContent>
      <w:p w:rsidR="004327DA" w:rsidRPr="000659D2" w:rsidRDefault="004327DA">
        <w:pPr>
          <w:pStyle w:val="Footer"/>
          <w:jc w:val="center"/>
          <w:rPr>
            <w:sz w:val="26"/>
            <w:szCs w:val="26"/>
          </w:rPr>
        </w:pPr>
        <w:r w:rsidRPr="000659D2">
          <w:rPr>
            <w:sz w:val="26"/>
            <w:szCs w:val="26"/>
          </w:rPr>
          <w:fldChar w:fldCharType="begin"/>
        </w:r>
        <w:r w:rsidRPr="000659D2">
          <w:rPr>
            <w:sz w:val="26"/>
            <w:szCs w:val="26"/>
          </w:rPr>
          <w:instrText xml:space="preserve"> PAGE   \* MERGEFORMAT </w:instrText>
        </w:r>
        <w:r w:rsidRPr="000659D2">
          <w:rPr>
            <w:sz w:val="26"/>
            <w:szCs w:val="26"/>
          </w:rPr>
          <w:fldChar w:fldCharType="separate"/>
        </w:r>
        <w:r w:rsidR="00A54A2A">
          <w:rPr>
            <w:noProof/>
            <w:sz w:val="26"/>
            <w:szCs w:val="26"/>
          </w:rPr>
          <w:t>14</w:t>
        </w:r>
        <w:r w:rsidRPr="000659D2">
          <w:rPr>
            <w:noProof/>
            <w:sz w:val="26"/>
            <w:szCs w:val="26"/>
          </w:rPr>
          <w:fldChar w:fldCharType="end"/>
        </w:r>
      </w:p>
    </w:sdtContent>
  </w:sdt>
  <w:p w:rsidR="00052D94" w:rsidRDefault="00052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7B7" w:rsidRDefault="007527B7">
      <w:r>
        <w:separator/>
      </w:r>
    </w:p>
  </w:footnote>
  <w:footnote w:type="continuationSeparator" w:id="0">
    <w:p w:rsidR="007527B7" w:rsidRDefault="007527B7">
      <w:r>
        <w:continuationSeparator/>
      </w:r>
    </w:p>
  </w:footnote>
  <w:footnote w:id="1">
    <w:p w:rsidR="00052D94" w:rsidRPr="006A60DA" w:rsidRDefault="00052D94" w:rsidP="006B417A">
      <w:pPr>
        <w:autoSpaceDE w:val="0"/>
        <w:autoSpaceDN w:val="0"/>
        <w:adjustRightInd w:val="0"/>
        <w:ind w:firstLine="720"/>
        <w:rPr>
          <w:sz w:val="26"/>
          <w:szCs w:val="26"/>
        </w:rPr>
      </w:pPr>
      <w:r>
        <w:rPr>
          <w:rStyle w:val="FootnoteReference"/>
        </w:rPr>
        <w:footnoteRef/>
      </w:r>
      <w:r>
        <w:rPr>
          <w:szCs w:val="26"/>
        </w:rPr>
        <w:tab/>
      </w:r>
      <w:r w:rsidRPr="006A60DA">
        <w:rPr>
          <w:sz w:val="26"/>
          <w:szCs w:val="26"/>
        </w:rPr>
        <w:t>Effective August 11, 2011, the Commission</w:t>
      </w:r>
      <w:r>
        <w:rPr>
          <w:sz w:val="26"/>
          <w:szCs w:val="26"/>
        </w:rPr>
        <w:t>’</w:t>
      </w:r>
      <w:r w:rsidRPr="006A60DA">
        <w:rPr>
          <w:sz w:val="26"/>
          <w:szCs w:val="26"/>
        </w:rPr>
        <w:t>s Gas Safety Division and the prosecutory functions of the Law Bureau were transferred to the BI&amp;E pursuant to the Commission</w:t>
      </w:r>
      <w:r>
        <w:rPr>
          <w:sz w:val="26"/>
          <w:szCs w:val="26"/>
        </w:rPr>
        <w:t>’</w:t>
      </w:r>
      <w:r w:rsidRPr="006A60DA">
        <w:rPr>
          <w:sz w:val="26"/>
          <w:szCs w:val="26"/>
        </w:rPr>
        <w:t xml:space="preserve">s reorganization.  </w:t>
      </w:r>
      <w:r w:rsidRPr="006A60DA">
        <w:rPr>
          <w:i/>
          <w:sz w:val="26"/>
          <w:szCs w:val="26"/>
        </w:rPr>
        <w:t>See</w:t>
      </w:r>
      <w:r w:rsidR="00FC2892">
        <w:rPr>
          <w:i/>
          <w:sz w:val="26"/>
          <w:szCs w:val="26"/>
        </w:rPr>
        <w:t>,</w:t>
      </w:r>
      <w:r w:rsidRPr="006A60DA">
        <w:rPr>
          <w:i/>
          <w:sz w:val="26"/>
          <w:szCs w:val="26"/>
        </w:rPr>
        <w:t xml:space="preserve"> Implementation of Act 129 of 2008</w:t>
      </w:r>
      <w:r w:rsidR="00FC2892">
        <w:rPr>
          <w:i/>
          <w:sz w:val="26"/>
          <w:szCs w:val="26"/>
        </w:rPr>
        <w:t>;</w:t>
      </w:r>
      <w:r w:rsidRPr="006A60DA">
        <w:rPr>
          <w:i/>
          <w:sz w:val="26"/>
          <w:szCs w:val="26"/>
        </w:rPr>
        <w:t xml:space="preserve"> Organization of Bureaus and Offices</w:t>
      </w:r>
      <w:r w:rsidRPr="006A60DA">
        <w:rPr>
          <w:sz w:val="26"/>
          <w:szCs w:val="26"/>
        </w:rPr>
        <w:t xml:space="preserve">, Docket No. M-2008-2071852 (Order entered August 11, 2011). </w:t>
      </w:r>
    </w:p>
  </w:footnote>
  <w:footnote w:id="2">
    <w:p w:rsidR="00681232" w:rsidRPr="008A5D04" w:rsidRDefault="00681232">
      <w:pPr>
        <w:pStyle w:val="FootnoteText"/>
        <w:rPr>
          <w:rFonts w:ascii="Times New Roman" w:hAnsi="Times New Roman"/>
          <w:sz w:val="26"/>
        </w:rPr>
      </w:pPr>
      <w:r>
        <w:tab/>
      </w:r>
      <w:r w:rsidRPr="008A5D04">
        <w:rPr>
          <w:rStyle w:val="FootnoteReference"/>
          <w:rFonts w:ascii="Times New Roman" w:hAnsi="Times New Roman"/>
        </w:rPr>
        <w:footnoteRef/>
      </w:r>
      <w:r w:rsidRPr="008A5D04">
        <w:rPr>
          <w:rFonts w:ascii="Times New Roman" w:hAnsi="Times New Roman"/>
          <w:sz w:val="26"/>
        </w:rPr>
        <w:t xml:space="preserve"> </w:t>
      </w:r>
      <w:r w:rsidRPr="008A5D04">
        <w:rPr>
          <w:rFonts w:ascii="Times New Roman" w:hAnsi="Times New Roman"/>
          <w:sz w:val="26"/>
        </w:rPr>
        <w:tab/>
      </w:r>
      <w:r w:rsidR="008A5D04" w:rsidRPr="008A5D04">
        <w:rPr>
          <w:rFonts w:ascii="Times New Roman" w:hAnsi="Times New Roman"/>
          <w:sz w:val="26"/>
        </w:rPr>
        <w:t xml:space="preserve">Pursuant to </w:t>
      </w:r>
      <w:r w:rsidR="006B5C05">
        <w:rPr>
          <w:rFonts w:ascii="Times New Roman" w:hAnsi="Times New Roman"/>
          <w:sz w:val="26"/>
        </w:rPr>
        <w:t>Section 3301(c) of the Code, 66 Pa.</w:t>
      </w:r>
      <w:r w:rsidR="00C72F4F">
        <w:rPr>
          <w:rFonts w:ascii="Times New Roman" w:hAnsi="Times New Roman"/>
          <w:sz w:val="26"/>
        </w:rPr>
        <w:t xml:space="preserve"> </w:t>
      </w:r>
      <w:r w:rsidR="006B5C05">
        <w:rPr>
          <w:rFonts w:ascii="Times New Roman" w:hAnsi="Times New Roman"/>
          <w:sz w:val="26"/>
        </w:rPr>
        <w:t>C.S. § 3301(c), any public utility that violates any gas pipeline safety provisions of the Code “shall be subject to a civil penalty of not to exceed $200,000 for each violation for each day that the violation persists, except that the maximum civil penalty shall not exceed $2,000,000 for any related series of violations</w:t>
      </w:r>
      <w:r w:rsidR="00C42EAD">
        <w:rPr>
          <w:rFonts w:ascii="Times New Roman" w:hAnsi="Times New Roman"/>
          <w:sz w:val="26"/>
        </w:rPr>
        <w:t xml:space="preserve">, or subject to a penalty provided under federal pipeline safety laws, whichever is greater.”    </w:t>
      </w:r>
      <w:r w:rsidR="006B5C05">
        <w:rPr>
          <w:rFonts w:ascii="Times New Roman" w:hAnsi="Times New Roman"/>
          <w:sz w:val="2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BBF"/>
    <w:multiLevelType w:val="hybridMultilevel"/>
    <w:tmpl w:val="3F900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64687"/>
    <w:multiLevelType w:val="hybridMultilevel"/>
    <w:tmpl w:val="70423774"/>
    <w:lvl w:ilvl="0" w:tplc="0C0CAD36">
      <w:start w:val="93"/>
      <w:numFmt w:val="bullet"/>
      <w:lvlText w:val=""/>
      <w:lvlJc w:val="left"/>
      <w:pPr>
        <w:ind w:left="5040" w:hanging="360"/>
      </w:pPr>
      <w:rPr>
        <w:rFonts w:ascii="Symbol" w:eastAsia="Times New Roman" w:hAnsi="Symbol"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nsid w:val="0FD16F11"/>
    <w:multiLevelType w:val="hybridMultilevel"/>
    <w:tmpl w:val="D88ADA7A"/>
    <w:lvl w:ilvl="0" w:tplc="8B7A4036">
      <w:start w:val="1"/>
      <w:numFmt w:val="lowerLetter"/>
      <w:lvlText w:val="%1."/>
      <w:lvlJc w:val="left"/>
      <w:pPr>
        <w:ind w:left="2835" w:hanging="360"/>
      </w:pPr>
      <w:rPr>
        <w:rFonts w:hint="default"/>
      </w:rPr>
    </w:lvl>
    <w:lvl w:ilvl="1" w:tplc="04090019" w:tentative="1">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3">
    <w:nsid w:val="18547274"/>
    <w:multiLevelType w:val="hybridMultilevel"/>
    <w:tmpl w:val="AE6846E4"/>
    <w:lvl w:ilvl="0" w:tplc="18945498">
      <w:start w:val="1"/>
      <w:numFmt w:val="upperLetter"/>
      <w:lvlText w:val="%1."/>
      <w:lvlJc w:val="left"/>
      <w:pPr>
        <w:ind w:left="36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CD96381"/>
    <w:multiLevelType w:val="hybridMultilevel"/>
    <w:tmpl w:val="F014C012"/>
    <w:lvl w:ilvl="0" w:tplc="1B96C5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F3E365B"/>
    <w:multiLevelType w:val="hybridMultilevel"/>
    <w:tmpl w:val="C2A84C08"/>
    <w:lvl w:ilvl="0" w:tplc="194CE3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D54369"/>
    <w:multiLevelType w:val="hybridMultilevel"/>
    <w:tmpl w:val="2CF038E4"/>
    <w:lvl w:ilvl="0" w:tplc="6FD8337A">
      <w:start w:val="93"/>
      <w:numFmt w:val="bullet"/>
      <w:lvlText w:val=""/>
      <w:lvlJc w:val="left"/>
      <w:pPr>
        <w:ind w:left="4680" w:hanging="360"/>
      </w:pPr>
      <w:rPr>
        <w:rFonts w:ascii="Symbol" w:eastAsia="Times New Roman" w:hAnsi="Symbol"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nsid w:val="349A28E9"/>
    <w:multiLevelType w:val="hybridMultilevel"/>
    <w:tmpl w:val="C366D422"/>
    <w:lvl w:ilvl="0" w:tplc="CAA6F7A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45243F57"/>
    <w:multiLevelType w:val="hybridMultilevel"/>
    <w:tmpl w:val="3F0ADC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5A64516"/>
    <w:multiLevelType w:val="hybridMultilevel"/>
    <w:tmpl w:val="90B4B8C2"/>
    <w:lvl w:ilvl="0" w:tplc="232244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27411FD"/>
    <w:multiLevelType w:val="hybridMultilevel"/>
    <w:tmpl w:val="BA3E76C8"/>
    <w:lvl w:ilvl="0" w:tplc="B5C86B6E">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7"/>
  </w:num>
  <w:num w:numId="2">
    <w:abstractNumId w:val="10"/>
  </w:num>
  <w:num w:numId="3">
    <w:abstractNumId w:val="6"/>
  </w:num>
  <w:num w:numId="4">
    <w:abstractNumId w:val="1"/>
  </w:num>
  <w:num w:numId="5">
    <w:abstractNumId w:val="2"/>
  </w:num>
  <w:num w:numId="6">
    <w:abstractNumId w:val="5"/>
  </w:num>
  <w:num w:numId="7">
    <w:abstractNumId w:val="9"/>
  </w:num>
  <w:num w:numId="8">
    <w:abstractNumId w:val="8"/>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FE"/>
    <w:rsid w:val="000004FF"/>
    <w:rsid w:val="00002E4D"/>
    <w:rsid w:val="00002F2A"/>
    <w:rsid w:val="000042A4"/>
    <w:rsid w:val="00004FE1"/>
    <w:rsid w:val="00005172"/>
    <w:rsid w:val="00005DB0"/>
    <w:rsid w:val="000063E9"/>
    <w:rsid w:val="00006C8D"/>
    <w:rsid w:val="00006D59"/>
    <w:rsid w:val="000074DC"/>
    <w:rsid w:val="00007603"/>
    <w:rsid w:val="000076B8"/>
    <w:rsid w:val="00007E1C"/>
    <w:rsid w:val="0001099D"/>
    <w:rsid w:val="000112E8"/>
    <w:rsid w:val="0001214F"/>
    <w:rsid w:val="000132CD"/>
    <w:rsid w:val="00013A71"/>
    <w:rsid w:val="00014F43"/>
    <w:rsid w:val="0001547D"/>
    <w:rsid w:val="000158F1"/>
    <w:rsid w:val="00015A01"/>
    <w:rsid w:val="00016367"/>
    <w:rsid w:val="00016CE0"/>
    <w:rsid w:val="00016ECD"/>
    <w:rsid w:val="0001715D"/>
    <w:rsid w:val="00017713"/>
    <w:rsid w:val="00020E43"/>
    <w:rsid w:val="000211B4"/>
    <w:rsid w:val="000213A3"/>
    <w:rsid w:val="000227B0"/>
    <w:rsid w:val="00022B39"/>
    <w:rsid w:val="00022B68"/>
    <w:rsid w:val="00022E5D"/>
    <w:rsid w:val="00023E54"/>
    <w:rsid w:val="00024722"/>
    <w:rsid w:val="00024987"/>
    <w:rsid w:val="00025A2F"/>
    <w:rsid w:val="00025B28"/>
    <w:rsid w:val="00025C35"/>
    <w:rsid w:val="00026E4B"/>
    <w:rsid w:val="0002744F"/>
    <w:rsid w:val="00027D54"/>
    <w:rsid w:val="000306B4"/>
    <w:rsid w:val="000310BE"/>
    <w:rsid w:val="00031E93"/>
    <w:rsid w:val="000327D2"/>
    <w:rsid w:val="00033069"/>
    <w:rsid w:val="000334FE"/>
    <w:rsid w:val="0003607F"/>
    <w:rsid w:val="000378DC"/>
    <w:rsid w:val="000405B2"/>
    <w:rsid w:val="0004699B"/>
    <w:rsid w:val="00050BE1"/>
    <w:rsid w:val="00050FC7"/>
    <w:rsid w:val="00052D94"/>
    <w:rsid w:val="00053CED"/>
    <w:rsid w:val="000542F8"/>
    <w:rsid w:val="00056C79"/>
    <w:rsid w:val="00057057"/>
    <w:rsid w:val="000610F9"/>
    <w:rsid w:val="00061850"/>
    <w:rsid w:val="00061A16"/>
    <w:rsid w:val="000629CD"/>
    <w:rsid w:val="00064BEB"/>
    <w:rsid w:val="00065028"/>
    <w:rsid w:val="000655CF"/>
    <w:rsid w:val="000659D2"/>
    <w:rsid w:val="00065DB6"/>
    <w:rsid w:val="000673D1"/>
    <w:rsid w:val="00067E8C"/>
    <w:rsid w:val="00071772"/>
    <w:rsid w:val="00072884"/>
    <w:rsid w:val="00073C25"/>
    <w:rsid w:val="00074D47"/>
    <w:rsid w:val="00075161"/>
    <w:rsid w:val="000756CE"/>
    <w:rsid w:val="00080892"/>
    <w:rsid w:val="000825DD"/>
    <w:rsid w:val="0008328F"/>
    <w:rsid w:val="0008445E"/>
    <w:rsid w:val="00085FFB"/>
    <w:rsid w:val="00086D0B"/>
    <w:rsid w:val="000874FF"/>
    <w:rsid w:val="00087D18"/>
    <w:rsid w:val="000904A2"/>
    <w:rsid w:val="00091F28"/>
    <w:rsid w:val="00092ABD"/>
    <w:rsid w:val="00093864"/>
    <w:rsid w:val="00093EDE"/>
    <w:rsid w:val="000951BC"/>
    <w:rsid w:val="00096187"/>
    <w:rsid w:val="000967C4"/>
    <w:rsid w:val="0009781B"/>
    <w:rsid w:val="000A145F"/>
    <w:rsid w:val="000A2A5A"/>
    <w:rsid w:val="000A2F11"/>
    <w:rsid w:val="000A35F4"/>
    <w:rsid w:val="000A547E"/>
    <w:rsid w:val="000A7836"/>
    <w:rsid w:val="000A799A"/>
    <w:rsid w:val="000A7F96"/>
    <w:rsid w:val="000B14EB"/>
    <w:rsid w:val="000B1F4F"/>
    <w:rsid w:val="000B254F"/>
    <w:rsid w:val="000B2B80"/>
    <w:rsid w:val="000B3FB4"/>
    <w:rsid w:val="000B5270"/>
    <w:rsid w:val="000B7138"/>
    <w:rsid w:val="000B76C0"/>
    <w:rsid w:val="000C13A9"/>
    <w:rsid w:val="000C2413"/>
    <w:rsid w:val="000C2BFA"/>
    <w:rsid w:val="000C4861"/>
    <w:rsid w:val="000C4918"/>
    <w:rsid w:val="000C5416"/>
    <w:rsid w:val="000C6D81"/>
    <w:rsid w:val="000C742F"/>
    <w:rsid w:val="000D0356"/>
    <w:rsid w:val="000D0EBA"/>
    <w:rsid w:val="000D13BD"/>
    <w:rsid w:val="000D1D4E"/>
    <w:rsid w:val="000D1E5F"/>
    <w:rsid w:val="000D1EE3"/>
    <w:rsid w:val="000D2B13"/>
    <w:rsid w:val="000D2E04"/>
    <w:rsid w:val="000D31F1"/>
    <w:rsid w:val="000D4BB5"/>
    <w:rsid w:val="000D51E2"/>
    <w:rsid w:val="000D5FDC"/>
    <w:rsid w:val="000D6B95"/>
    <w:rsid w:val="000D7269"/>
    <w:rsid w:val="000D7324"/>
    <w:rsid w:val="000D76B8"/>
    <w:rsid w:val="000D78AB"/>
    <w:rsid w:val="000E0188"/>
    <w:rsid w:val="000E1D3C"/>
    <w:rsid w:val="000E2637"/>
    <w:rsid w:val="000E3FDA"/>
    <w:rsid w:val="000E4BED"/>
    <w:rsid w:val="000E66A9"/>
    <w:rsid w:val="000E6A2B"/>
    <w:rsid w:val="000E7FAB"/>
    <w:rsid w:val="000F113B"/>
    <w:rsid w:val="000F167B"/>
    <w:rsid w:val="000F2540"/>
    <w:rsid w:val="000F2EFE"/>
    <w:rsid w:val="000F36D5"/>
    <w:rsid w:val="000F4144"/>
    <w:rsid w:val="000F5995"/>
    <w:rsid w:val="000F6D5A"/>
    <w:rsid w:val="000F76BD"/>
    <w:rsid w:val="0010013C"/>
    <w:rsid w:val="001006F0"/>
    <w:rsid w:val="00101745"/>
    <w:rsid w:val="00103A52"/>
    <w:rsid w:val="001041BE"/>
    <w:rsid w:val="0010451E"/>
    <w:rsid w:val="00105084"/>
    <w:rsid w:val="00105193"/>
    <w:rsid w:val="001058AE"/>
    <w:rsid w:val="00105E6C"/>
    <w:rsid w:val="00106067"/>
    <w:rsid w:val="001060D0"/>
    <w:rsid w:val="00106537"/>
    <w:rsid w:val="00106DC1"/>
    <w:rsid w:val="001122F5"/>
    <w:rsid w:val="0011414D"/>
    <w:rsid w:val="00114D80"/>
    <w:rsid w:val="001151BC"/>
    <w:rsid w:val="00116DAB"/>
    <w:rsid w:val="00117ABA"/>
    <w:rsid w:val="00117C98"/>
    <w:rsid w:val="00122EA3"/>
    <w:rsid w:val="00123C79"/>
    <w:rsid w:val="00124A50"/>
    <w:rsid w:val="00125CCB"/>
    <w:rsid w:val="001260A9"/>
    <w:rsid w:val="00126289"/>
    <w:rsid w:val="0012697D"/>
    <w:rsid w:val="001306E9"/>
    <w:rsid w:val="00130F34"/>
    <w:rsid w:val="00131B43"/>
    <w:rsid w:val="00132429"/>
    <w:rsid w:val="00133878"/>
    <w:rsid w:val="001341DE"/>
    <w:rsid w:val="00134BC6"/>
    <w:rsid w:val="001360F8"/>
    <w:rsid w:val="001369BD"/>
    <w:rsid w:val="00136A05"/>
    <w:rsid w:val="00136CAD"/>
    <w:rsid w:val="00137A60"/>
    <w:rsid w:val="001411B4"/>
    <w:rsid w:val="0014205C"/>
    <w:rsid w:val="00142B92"/>
    <w:rsid w:val="00143CFE"/>
    <w:rsid w:val="00143ED1"/>
    <w:rsid w:val="001449A2"/>
    <w:rsid w:val="00147057"/>
    <w:rsid w:val="001472B2"/>
    <w:rsid w:val="0015079A"/>
    <w:rsid w:val="00150989"/>
    <w:rsid w:val="00150A9D"/>
    <w:rsid w:val="00152AEA"/>
    <w:rsid w:val="0015662E"/>
    <w:rsid w:val="00156CF7"/>
    <w:rsid w:val="001572C5"/>
    <w:rsid w:val="0016005F"/>
    <w:rsid w:val="001600D3"/>
    <w:rsid w:val="0016054F"/>
    <w:rsid w:val="001606BC"/>
    <w:rsid w:val="00160985"/>
    <w:rsid w:val="0016240D"/>
    <w:rsid w:val="00162CC3"/>
    <w:rsid w:val="00163AA3"/>
    <w:rsid w:val="00164715"/>
    <w:rsid w:val="00166AD7"/>
    <w:rsid w:val="001679F1"/>
    <w:rsid w:val="00170CD3"/>
    <w:rsid w:val="00171D7C"/>
    <w:rsid w:val="0017356B"/>
    <w:rsid w:val="00174828"/>
    <w:rsid w:val="00177A43"/>
    <w:rsid w:val="00180AA8"/>
    <w:rsid w:val="00181956"/>
    <w:rsid w:val="001827DB"/>
    <w:rsid w:val="00182882"/>
    <w:rsid w:val="00183641"/>
    <w:rsid w:val="00183D5E"/>
    <w:rsid w:val="00183D96"/>
    <w:rsid w:val="00184D90"/>
    <w:rsid w:val="00185AAE"/>
    <w:rsid w:val="00185B5E"/>
    <w:rsid w:val="00186887"/>
    <w:rsid w:val="00187D8B"/>
    <w:rsid w:val="00190304"/>
    <w:rsid w:val="0019146C"/>
    <w:rsid w:val="00191C31"/>
    <w:rsid w:val="00193234"/>
    <w:rsid w:val="00194469"/>
    <w:rsid w:val="0019555F"/>
    <w:rsid w:val="00195E38"/>
    <w:rsid w:val="001966BA"/>
    <w:rsid w:val="00197F3D"/>
    <w:rsid w:val="001A01EC"/>
    <w:rsid w:val="001A0A2B"/>
    <w:rsid w:val="001A1AD3"/>
    <w:rsid w:val="001A1AF5"/>
    <w:rsid w:val="001A4A0C"/>
    <w:rsid w:val="001A5756"/>
    <w:rsid w:val="001A6E4D"/>
    <w:rsid w:val="001B1932"/>
    <w:rsid w:val="001B2093"/>
    <w:rsid w:val="001B24CF"/>
    <w:rsid w:val="001B3B67"/>
    <w:rsid w:val="001B46AF"/>
    <w:rsid w:val="001B5D8F"/>
    <w:rsid w:val="001B7A05"/>
    <w:rsid w:val="001C1887"/>
    <w:rsid w:val="001C352A"/>
    <w:rsid w:val="001C3B2E"/>
    <w:rsid w:val="001C3FE7"/>
    <w:rsid w:val="001C48DC"/>
    <w:rsid w:val="001C4A16"/>
    <w:rsid w:val="001C53B1"/>
    <w:rsid w:val="001C586B"/>
    <w:rsid w:val="001C5CE6"/>
    <w:rsid w:val="001C5DB5"/>
    <w:rsid w:val="001C6262"/>
    <w:rsid w:val="001C706B"/>
    <w:rsid w:val="001C7EB6"/>
    <w:rsid w:val="001D0DBE"/>
    <w:rsid w:val="001D225D"/>
    <w:rsid w:val="001D2BAD"/>
    <w:rsid w:val="001D35CE"/>
    <w:rsid w:val="001D4983"/>
    <w:rsid w:val="001D500A"/>
    <w:rsid w:val="001D7137"/>
    <w:rsid w:val="001D765B"/>
    <w:rsid w:val="001E05C6"/>
    <w:rsid w:val="001E08AA"/>
    <w:rsid w:val="001E09BB"/>
    <w:rsid w:val="001E17ED"/>
    <w:rsid w:val="001E2CFB"/>
    <w:rsid w:val="001E3574"/>
    <w:rsid w:val="001E4225"/>
    <w:rsid w:val="001E5C82"/>
    <w:rsid w:val="001E7298"/>
    <w:rsid w:val="001E73A9"/>
    <w:rsid w:val="001F0488"/>
    <w:rsid w:val="001F1107"/>
    <w:rsid w:val="001F11E8"/>
    <w:rsid w:val="001F3577"/>
    <w:rsid w:val="001F4F2B"/>
    <w:rsid w:val="001F55D5"/>
    <w:rsid w:val="001F6148"/>
    <w:rsid w:val="001F79C6"/>
    <w:rsid w:val="001F7B55"/>
    <w:rsid w:val="00202042"/>
    <w:rsid w:val="00205242"/>
    <w:rsid w:val="00210868"/>
    <w:rsid w:val="00212357"/>
    <w:rsid w:val="00213B95"/>
    <w:rsid w:val="00214826"/>
    <w:rsid w:val="00214AD0"/>
    <w:rsid w:val="00217C4E"/>
    <w:rsid w:val="002239FB"/>
    <w:rsid w:val="00223A2F"/>
    <w:rsid w:val="002242F7"/>
    <w:rsid w:val="00225BD2"/>
    <w:rsid w:val="00227829"/>
    <w:rsid w:val="00227990"/>
    <w:rsid w:val="00230396"/>
    <w:rsid w:val="00230BAB"/>
    <w:rsid w:val="00232A03"/>
    <w:rsid w:val="00233683"/>
    <w:rsid w:val="00233B2F"/>
    <w:rsid w:val="00233FF0"/>
    <w:rsid w:val="0023435A"/>
    <w:rsid w:val="0023535F"/>
    <w:rsid w:val="002357A0"/>
    <w:rsid w:val="002359DC"/>
    <w:rsid w:val="00235B6B"/>
    <w:rsid w:val="00240534"/>
    <w:rsid w:val="002436A9"/>
    <w:rsid w:val="00244C84"/>
    <w:rsid w:val="00245CBF"/>
    <w:rsid w:val="002526ED"/>
    <w:rsid w:val="00256493"/>
    <w:rsid w:val="002564D7"/>
    <w:rsid w:val="00256A4C"/>
    <w:rsid w:val="00261D10"/>
    <w:rsid w:val="00261FA8"/>
    <w:rsid w:val="002646A5"/>
    <w:rsid w:val="00264ABB"/>
    <w:rsid w:val="00265333"/>
    <w:rsid w:val="00265BD8"/>
    <w:rsid w:val="00266567"/>
    <w:rsid w:val="00271C16"/>
    <w:rsid w:val="00276963"/>
    <w:rsid w:val="00277DDF"/>
    <w:rsid w:val="0028067A"/>
    <w:rsid w:val="00280EB1"/>
    <w:rsid w:val="00281EB6"/>
    <w:rsid w:val="00282019"/>
    <w:rsid w:val="00282250"/>
    <w:rsid w:val="002829D6"/>
    <w:rsid w:val="002838E3"/>
    <w:rsid w:val="002863AF"/>
    <w:rsid w:val="002878ED"/>
    <w:rsid w:val="00287BE6"/>
    <w:rsid w:val="00295937"/>
    <w:rsid w:val="00296493"/>
    <w:rsid w:val="00296947"/>
    <w:rsid w:val="00297047"/>
    <w:rsid w:val="002A0579"/>
    <w:rsid w:val="002A076C"/>
    <w:rsid w:val="002A0E82"/>
    <w:rsid w:val="002A19D7"/>
    <w:rsid w:val="002A25FD"/>
    <w:rsid w:val="002A2686"/>
    <w:rsid w:val="002A2717"/>
    <w:rsid w:val="002A2C08"/>
    <w:rsid w:val="002A2F76"/>
    <w:rsid w:val="002A3A6E"/>
    <w:rsid w:val="002A3AC8"/>
    <w:rsid w:val="002A3C6B"/>
    <w:rsid w:val="002A402D"/>
    <w:rsid w:val="002A431F"/>
    <w:rsid w:val="002A4724"/>
    <w:rsid w:val="002A4A56"/>
    <w:rsid w:val="002A6E46"/>
    <w:rsid w:val="002A7243"/>
    <w:rsid w:val="002A740E"/>
    <w:rsid w:val="002A780E"/>
    <w:rsid w:val="002B0089"/>
    <w:rsid w:val="002B186E"/>
    <w:rsid w:val="002B31AD"/>
    <w:rsid w:val="002B3767"/>
    <w:rsid w:val="002B39D7"/>
    <w:rsid w:val="002B4B0D"/>
    <w:rsid w:val="002B4FA6"/>
    <w:rsid w:val="002B68BE"/>
    <w:rsid w:val="002B7383"/>
    <w:rsid w:val="002B7A81"/>
    <w:rsid w:val="002C011D"/>
    <w:rsid w:val="002C4311"/>
    <w:rsid w:val="002C43A6"/>
    <w:rsid w:val="002C7C7D"/>
    <w:rsid w:val="002D08E2"/>
    <w:rsid w:val="002D1FDC"/>
    <w:rsid w:val="002D2E0D"/>
    <w:rsid w:val="002D3226"/>
    <w:rsid w:val="002D4A8A"/>
    <w:rsid w:val="002D5C5B"/>
    <w:rsid w:val="002D6008"/>
    <w:rsid w:val="002D650D"/>
    <w:rsid w:val="002D77A5"/>
    <w:rsid w:val="002E0503"/>
    <w:rsid w:val="002E1797"/>
    <w:rsid w:val="002E1A4D"/>
    <w:rsid w:val="002E1C9F"/>
    <w:rsid w:val="002E2243"/>
    <w:rsid w:val="002E3003"/>
    <w:rsid w:val="002F0238"/>
    <w:rsid w:val="002F042C"/>
    <w:rsid w:val="002F10F8"/>
    <w:rsid w:val="002F421C"/>
    <w:rsid w:val="002F47E8"/>
    <w:rsid w:val="002F4B0F"/>
    <w:rsid w:val="003004BC"/>
    <w:rsid w:val="00300BC0"/>
    <w:rsid w:val="00301857"/>
    <w:rsid w:val="003032C5"/>
    <w:rsid w:val="00303413"/>
    <w:rsid w:val="00303915"/>
    <w:rsid w:val="00304ABF"/>
    <w:rsid w:val="0030533E"/>
    <w:rsid w:val="0030541E"/>
    <w:rsid w:val="003054A6"/>
    <w:rsid w:val="00305684"/>
    <w:rsid w:val="0030721C"/>
    <w:rsid w:val="00310CE1"/>
    <w:rsid w:val="0031278E"/>
    <w:rsid w:val="00314E8C"/>
    <w:rsid w:val="00315051"/>
    <w:rsid w:val="0031562D"/>
    <w:rsid w:val="0031692E"/>
    <w:rsid w:val="00316BFA"/>
    <w:rsid w:val="00316EC2"/>
    <w:rsid w:val="00322A65"/>
    <w:rsid w:val="0032388C"/>
    <w:rsid w:val="00324791"/>
    <w:rsid w:val="00324B2C"/>
    <w:rsid w:val="0032615A"/>
    <w:rsid w:val="00326A17"/>
    <w:rsid w:val="00326DEF"/>
    <w:rsid w:val="00326FD1"/>
    <w:rsid w:val="003274EC"/>
    <w:rsid w:val="00330392"/>
    <w:rsid w:val="00330475"/>
    <w:rsid w:val="0033417D"/>
    <w:rsid w:val="00334AFE"/>
    <w:rsid w:val="00335CC9"/>
    <w:rsid w:val="00337C17"/>
    <w:rsid w:val="00337DFD"/>
    <w:rsid w:val="00342425"/>
    <w:rsid w:val="00342E20"/>
    <w:rsid w:val="00343BF7"/>
    <w:rsid w:val="003459E2"/>
    <w:rsid w:val="003460F5"/>
    <w:rsid w:val="00346C31"/>
    <w:rsid w:val="00351FBA"/>
    <w:rsid w:val="0035227B"/>
    <w:rsid w:val="00352904"/>
    <w:rsid w:val="00353BBC"/>
    <w:rsid w:val="0035474E"/>
    <w:rsid w:val="00354EEE"/>
    <w:rsid w:val="00357B6E"/>
    <w:rsid w:val="003617F9"/>
    <w:rsid w:val="00361CA5"/>
    <w:rsid w:val="00362131"/>
    <w:rsid w:val="00362D0F"/>
    <w:rsid w:val="003651C9"/>
    <w:rsid w:val="00365A26"/>
    <w:rsid w:val="00365F6E"/>
    <w:rsid w:val="00366446"/>
    <w:rsid w:val="003669C8"/>
    <w:rsid w:val="00367B2D"/>
    <w:rsid w:val="003704B1"/>
    <w:rsid w:val="003708CD"/>
    <w:rsid w:val="00371B09"/>
    <w:rsid w:val="00371BFF"/>
    <w:rsid w:val="003742CF"/>
    <w:rsid w:val="00374758"/>
    <w:rsid w:val="0037586C"/>
    <w:rsid w:val="00375DB9"/>
    <w:rsid w:val="0037692B"/>
    <w:rsid w:val="00377D67"/>
    <w:rsid w:val="0038118A"/>
    <w:rsid w:val="00381C7A"/>
    <w:rsid w:val="00382C3F"/>
    <w:rsid w:val="00385C3E"/>
    <w:rsid w:val="00386FDB"/>
    <w:rsid w:val="0039007A"/>
    <w:rsid w:val="00390FB3"/>
    <w:rsid w:val="00392008"/>
    <w:rsid w:val="003920F1"/>
    <w:rsid w:val="003921CB"/>
    <w:rsid w:val="00392B85"/>
    <w:rsid w:val="00392BA1"/>
    <w:rsid w:val="003943C4"/>
    <w:rsid w:val="00394901"/>
    <w:rsid w:val="00395B0F"/>
    <w:rsid w:val="00397428"/>
    <w:rsid w:val="003A2918"/>
    <w:rsid w:val="003A2FF8"/>
    <w:rsid w:val="003A33DD"/>
    <w:rsid w:val="003A4638"/>
    <w:rsid w:val="003A50AE"/>
    <w:rsid w:val="003A5385"/>
    <w:rsid w:val="003A54C7"/>
    <w:rsid w:val="003A736C"/>
    <w:rsid w:val="003B076B"/>
    <w:rsid w:val="003B36A0"/>
    <w:rsid w:val="003B3893"/>
    <w:rsid w:val="003B3CEA"/>
    <w:rsid w:val="003B3E5F"/>
    <w:rsid w:val="003B4403"/>
    <w:rsid w:val="003B561F"/>
    <w:rsid w:val="003B5EC2"/>
    <w:rsid w:val="003B6AF5"/>
    <w:rsid w:val="003B6D2E"/>
    <w:rsid w:val="003B7738"/>
    <w:rsid w:val="003B7B99"/>
    <w:rsid w:val="003C042A"/>
    <w:rsid w:val="003C0F72"/>
    <w:rsid w:val="003C1516"/>
    <w:rsid w:val="003C31AF"/>
    <w:rsid w:val="003C33A8"/>
    <w:rsid w:val="003C3460"/>
    <w:rsid w:val="003C384E"/>
    <w:rsid w:val="003C4355"/>
    <w:rsid w:val="003C729B"/>
    <w:rsid w:val="003D4638"/>
    <w:rsid w:val="003D48CA"/>
    <w:rsid w:val="003D6E02"/>
    <w:rsid w:val="003D70DF"/>
    <w:rsid w:val="003D7B1B"/>
    <w:rsid w:val="003E290A"/>
    <w:rsid w:val="003E2B94"/>
    <w:rsid w:val="003E312A"/>
    <w:rsid w:val="003E3836"/>
    <w:rsid w:val="003E63A1"/>
    <w:rsid w:val="003E73BC"/>
    <w:rsid w:val="003F07AF"/>
    <w:rsid w:val="003F0F04"/>
    <w:rsid w:val="003F1626"/>
    <w:rsid w:val="003F27D1"/>
    <w:rsid w:val="003F287E"/>
    <w:rsid w:val="003F301C"/>
    <w:rsid w:val="003F3617"/>
    <w:rsid w:val="003F3880"/>
    <w:rsid w:val="003F3CF4"/>
    <w:rsid w:val="003F6DA9"/>
    <w:rsid w:val="003F6F1F"/>
    <w:rsid w:val="00401A88"/>
    <w:rsid w:val="00401BFB"/>
    <w:rsid w:val="004023F4"/>
    <w:rsid w:val="00402479"/>
    <w:rsid w:val="004025AA"/>
    <w:rsid w:val="00403C9A"/>
    <w:rsid w:val="004044AC"/>
    <w:rsid w:val="00404AE2"/>
    <w:rsid w:val="00404EC8"/>
    <w:rsid w:val="004059E1"/>
    <w:rsid w:val="004066F6"/>
    <w:rsid w:val="00406A3A"/>
    <w:rsid w:val="00406D7D"/>
    <w:rsid w:val="00407502"/>
    <w:rsid w:val="004101A1"/>
    <w:rsid w:val="004113FF"/>
    <w:rsid w:val="00411FED"/>
    <w:rsid w:val="00412B22"/>
    <w:rsid w:val="00412D2D"/>
    <w:rsid w:val="00412D48"/>
    <w:rsid w:val="004140D7"/>
    <w:rsid w:val="00414165"/>
    <w:rsid w:val="004144EB"/>
    <w:rsid w:val="004144EE"/>
    <w:rsid w:val="004146BE"/>
    <w:rsid w:val="00414855"/>
    <w:rsid w:val="0041541F"/>
    <w:rsid w:val="00415460"/>
    <w:rsid w:val="00415483"/>
    <w:rsid w:val="00415D32"/>
    <w:rsid w:val="0042126C"/>
    <w:rsid w:val="00422AC6"/>
    <w:rsid w:val="00423950"/>
    <w:rsid w:val="00424614"/>
    <w:rsid w:val="004246D3"/>
    <w:rsid w:val="00426703"/>
    <w:rsid w:val="00427697"/>
    <w:rsid w:val="004278B0"/>
    <w:rsid w:val="00431F78"/>
    <w:rsid w:val="0043217A"/>
    <w:rsid w:val="004327DA"/>
    <w:rsid w:val="00435B7E"/>
    <w:rsid w:val="0044234F"/>
    <w:rsid w:val="00447D2C"/>
    <w:rsid w:val="00450AEF"/>
    <w:rsid w:val="00450BBF"/>
    <w:rsid w:val="00450FC1"/>
    <w:rsid w:val="004528B9"/>
    <w:rsid w:val="0045385C"/>
    <w:rsid w:val="004550B8"/>
    <w:rsid w:val="004557A1"/>
    <w:rsid w:val="00455800"/>
    <w:rsid w:val="00455D36"/>
    <w:rsid w:val="00456539"/>
    <w:rsid w:val="00456EDE"/>
    <w:rsid w:val="00461EF1"/>
    <w:rsid w:val="004622AF"/>
    <w:rsid w:val="004643A6"/>
    <w:rsid w:val="00464BD3"/>
    <w:rsid w:val="00464E80"/>
    <w:rsid w:val="00465017"/>
    <w:rsid w:val="00467C5A"/>
    <w:rsid w:val="0047307A"/>
    <w:rsid w:val="00473CA5"/>
    <w:rsid w:val="00474FC8"/>
    <w:rsid w:val="004761B9"/>
    <w:rsid w:val="00476694"/>
    <w:rsid w:val="004778A1"/>
    <w:rsid w:val="00480D4B"/>
    <w:rsid w:val="0048137B"/>
    <w:rsid w:val="004834C3"/>
    <w:rsid w:val="0048352E"/>
    <w:rsid w:val="0048747D"/>
    <w:rsid w:val="00487659"/>
    <w:rsid w:val="004909CD"/>
    <w:rsid w:val="00490B06"/>
    <w:rsid w:val="00492432"/>
    <w:rsid w:val="004930E5"/>
    <w:rsid w:val="004938FA"/>
    <w:rsid w:val="004949D0"/>
    <w:rsid w:val="00497332"/>
    <w:rsid w:val="0049771B"/>
    <w:rsid w:val="0049798B"/>
    <w:rsid w:val="00497BCA"/>
    <w:rsid w:val="004A14FE"/>
    <w:rsid w:val="004A2A28"/>
    <w:rsid w:val="004A3437"/>
    <w:rsid w:val="004A41B7"/>
    <w:rsid w:val="004A50DF"/>
    <w:rsid w:val="004A5F39"/>
    <w:rsid w:val="004A6496"/>
    <w:rsid w:val="004A6FD0"/>
    <w:rsid w:val="004A77A4"/>
    <w:rsid w:val="004A77D0"/>
    <w:rsid w:val="004A7831"/>
    <w:rsid w:val="004B22DD"/>
    <w:rsid w:val="004B39E0"/>
    <w:rsid w:val="004B4BDE"/>
    <w:rsid w:val="004B4BE2"/>
    <w:rsid w:val="004C05CE"/>
    <w:rsid w:val="004C13A1"/>
    <w:rsid w:val="004C1AD6"/>
    <w:rsid w:val="004C40E8"/>
    <w:rsid w:val="004C4F45"/>
    <w:rsid w:val="004C54A0"/>
    <w:rsid w:val="004C573D"/>
    <w:rsid w:val="004C749A"/>
    <w:rsid w:val="004D05AC"/>
    <w:rsid w:val="004D08F5"/>
    <w:rsid w:val="004D362A"/>
    <w:rsid w:val="004D5A16"/>
    <w:rsid w:val="004D5B29"/>
    <w:rsid w:val="004D5E02"/>
    <w:rsid w:val="004D61C7"/>
    <w:rsid w:val="004D6F97"/>
    <w:rsid w:val="004E30F8"/>
    <w:rsid w:val="004E3204"/>
    <w:rsid w:val="004E3D38"/>
    <w:rsid w:val="004E536A"/>
    <w:rsid w:val="004E5622"/>
    <w:rsid w:val="004E5867"/>
    <w:rsid w:val="004E58C3"/>
    <w:rsid w:val="004E65DF"/>
    <w:rsid w:val="004E75A8"/>
    <w:rsid w:val="004E79BD"/>
    <w:rsid w:val="004F026D"/>
    <w:rsid w:val="004F2236"/>
    <w:rsid w:val="004F2383"/>
    <w:rsid w:val="004F2E25"/>
    <w:rsid w:val="004F5854"/>
    <w:rsid w:val="00500EDA"/>
    <w:rsid w:val="00502555"/>
    <w:rsid w:val="00502682"/>
    <w:rsid w:val="00503E65"/>
    <w:rsid w:val="00503EA7"/>
    <w:rsid w:val="00503EAD"/>
    <w:rsid w:val="00504D5D"/>
    <w:rsid w:val="005052DB"/>
    <w:rsid w:val="00505BA0"/>
    <w:rsid w:val="00505E50"/>
    <w:rsid w:val="00506448"/>
    <w:rsid w:val="0051472C"/>
    <w:rsid w:val="00514988"/>
    <w:rsid w:val="0051569A"/>
    <w:rsid w:val="00516332"/>
    <w:rsid w:val="00517341"/>
    <w:rsid w:val="0051747A"/>
    <w:rsid w:val="00520271"/>
    <w:rsid w:val="00520741"/>
    <w:rsid w:val="0052175E"/>
    <w:rsid w:val="00521D92"/>
    <w:rsid w:val="00523193"/>
    <w:rsid w:val="00523347"/>
    <w:rsid w:val="005247DC"/>
    <w:rsid w:val="00526543"/>
    <w:rsid w:val="00530213"/>
    <w:rsid w:val="005307A4"/>
    <w:rsid w:val="00530992"/>
    <w:rsid w:val="00530B08"/>
    <w:rsid w:val="00530F5B"/>
    <w:rsid w:val="00530FCF"/>
    <w:rsid w:val="005310AE"/>
    <w:rsid w:val="005318B9"/>
    <w:rsid w:val="00531E07"/>
    <w:rsid w:val="005321F4"/>
    <w:rsid w:val="005332F5"/>
    <w:rsid w:val="00534A1D"/>
    <w:rsid w:val="00535439"/>
    <w:rsid w:val="0053669D"/>
    <w:rsid w:val="00536844"/>
    <w:rsid w:val="00540F72"/>
    <w:rsid w:val="00541359"/>
    <w:rsid w:val="00541F91"/>
    <w:rsid w:val="00542E00"/>
    <w:rsid w:val="005433EC"/>
    <w:rsid w:val="00543871"/>
    <w:rsid w:val="00543CC1"/>
    <w:rsid w:val="005442C1"/>
    <w:rsid w:val="0054434D"/>
    <w:rsid w:val="00544ABF"/>
    <w:rsid w:val="00545379"/>
    <w:rsid w:val="005453BB"/>
    <w:rsid w:val="00545A5E"/>
    <w:rsid w:val="00545FB5"/>
    <w:rsid w:val="00551042"/>
    <w:rsid w:val="00551BEE"/>
    <w:rsid w:val="00551E1A"/>
    <w:rsid w:val="00554E92"/>
    <w:rsid w:val="00555069"/>
    <w:rsid w:val="00555620"/>
    <w:rsid w:val="00556EA9"/>
    <w:rsid w:val="00557FB8"/>
    <w:rsid w:val="005601ED"/>
    <w:rsid w:val="00560C73"/>
    <w:rsid w:val="00560E96"/>
    <w:rsid w:val="0056209F"/>
    <w:rsid w:val="00562176"/>
    <w:rsid w:val="00563DD4"/>
    <w:rsid w:val="00564EB8"/>
    <w:rsid w:val="0056564F"/>
    <w:rsid w:val="0057002C"/>
    <w:rsid w:val="005716B0"/>
    <w:rsid w:val="00571779"/>
    <w:rsid w:val="00571A60"/>
    <w:rsid w:val="00571E91"/>
    <w:rsid w:val="005738CB"/>
    <w:rsid w:val="0057430D"/>
    <w:rsid w:val="00576730"/>
    <w:rsid w:val="005825D0"/>
    <w:rsid w:val="0058265D"/>
    <w:rsid w:val="00582F71"/>
    <w:rsid w:val="00583B58"/>
    <w:rsid w:val="005848D3"/>
    <w:rsid w:val="005849A6"/>
    <w:rsid w:val="00584FDB"/>
    <w:rsid w:val="00585693"/>
    <w:rsid w:val="00586017"/>
    <w:rsid w:val="00586D78"/>
    <w:rsid w:val="00591017"/>
    <w:rsid w:val="00591890"/>
    <w:rsid w:val="005921ED"/>
    <w:rsid w:val="00592CAB"/>
    <w:rsid w:val="0059414E"/>
    <w:rsid w:val="0059500A"/>
    <w:rsid w:val="00595015"/>
    <w:rsid w:val="0059516E"/>
    <w:rsid w:val="00596402"/>
    <w:rsid w:val="005973EE"/>
    <w:rsid w:val="005A034E"/>
    <w:rsid w:val="005A08BE"/>
    <w:rsid w:val="005A1D41"/>
    <w:rsid w:val="005A32F0"/>
    <w:rsid w:val="005A3D88"/>
    <w:rsid w:val="005A4358"/>
    <w:rsid w:val="005A4CA3"/>
    <w:rsid w:val="005A5F10"/>
    <w:rsid w:val="005A6378"/>
    <w:rsid w:val="005A73F5"/>
    <w:rsid w:val="005A748F"/>
    <w:rsid w:val="005B006E"/>
    <w:rsid w:val="005B01F2"/>
    <w:rsid w:val="005B38BF"/>
    <w:rsid w:val="005B4201"/>
    <w:rsid w:val="005B5513"/>
    <w:rsid w:val="005B5F54"/>
    <w:rsid w:val="005C5508"/>
    <w:rsid w:val="005D0C1A"/>
    <w:rsid w:val="005D25A1"/>
    <w:rsid w:val="005D3AA1"/>
    <w:rsid w:val="005D5232"/>
    <w:rsid w:val="005D5367"/>
    <w:rsid w:val="005D60FF"/>
    <w:rsid w:val="005E01B2"/>
    <w:rsid w:val="005E0C3F"/>
    <w:rsid w:val="005E0C51"/>
    <w:rsid w:val="005E0DDD"/>
    <w:rsid w:val="005E3A30"/>
    <w:rsid w:val="005E3D22"/>
    <w:rsid w:val="005E493D"/>
    <w:rsid w:val="005E518A"/>
    <w:rsid w:val="005E7E14"/>
    <w:rsid w:val="005E7E92"/>
    <w:rsid w:val="005F0C38"/>
    <w:rsid w:val="005F178B"/>
    <w:rsid w:val="005F2AE0"/>
    <w:rsid w:val="005F3FBD"/>
    <w:rsid w:val="005F4A9E"/>
    <w:rsid w:val="005F4B09"/>
    <w:rsid w:val="005F4C5B"/>
    <w:rsid w:val="005F5031"/>
    <w:rsid w:val="005F5398"/>
    <w:rsid w:val="005F639F"/>
    <w:rsid w:val="005F7940"/>
    <w:rsid w:val="00600271"/>
    <w:rsid w:val="00601FD2"/>
    <w:rsid w:val="0060590E"/>
    <w:rsid w:val="00607231"/>
    <w:rsid w:val="00607554"/>
    <w:rsid w:val="00607CD1"/>
    <w:rsid w:val="00607EC7"/>
    <w:rsid w:val="006112B3"/>
    <w:rsid w:val="00612093"/>
    <w:rsid w:val="00613C23"/>
    <w:rsid w:val="00615008"/>
    <w:rsid w:val="00615227"/>
    <w:rsid w:val="006158BA"/>
    <w:rsid w:val="00615AD7"/>
    <w:rsid w:val="00617152"/>
    <w:rsid w:val="00617175"/>
    <w:rsid w:val="00617BAA"/>
    <w:rsid w:val="00620FF9"/>
    <w:rsid w:val="0062187A"/>
    <w:rsid w:val="00621F3C"/>
    <w:rsid w:val="006220B5"/>
    <w:rsid w:val="00623C44"/>
    <w:rsid w:val="00625C7F"/>
    <w:rsid w:val="006301EB"/>
    <w:rsid w:val="00630E90"/>
    <w:rsid w:val="00631505"/>
    <w:rsid w:val="00636A91"/>
    <w:rsid w:val="00637836"/>
    <w:rsid w:val="00637C78"/>
    <w:rsid w:val="00637EB7"/>
    <w:rsid w:val="0064048B"/>
    <w:rsid w:val="006406EB"/>
    <w:rsid w:val="00640D08"/>
    <w:rsid w:val="00640D32"/>
    <w:rsid w:val="00641697"/>
    <w:rsid w:val="00641AE5"/>
    <w:rsid w:val="00642A8F"/>
    <w:rsid w:val="00642E08"/>
    <w:rsid w:val="00642FAB"/>
    <w:rsid w:val="0064407A"/>
    <w:rsid w:val="0064422C"/>
    <w:rsid w:val="00645CCA"/>
    <w:rsid w:val="00645D7D"/>
    <w:rsid w:val="0064754C"/>
    <w:rsid w:val="0064789E"/>
    <w:rsid w:val="00647FCC"/>
    <w:rsid w:val="00651BEC"/>
    <w:rsid w:val="0065242B"/>
    <w:rsid w:val="00652638"/>
    <w:rsid w:val="006545EC"/>
    <w:rsid w:val="00654A2F"/>
    <w:rsid w:val="00656468"/>
    <w:rsid w:val="0065707C"/>
    <w:rsid w:val="0065758A"/>
    <w:rsid w:val="00657596"/>
    <w:rsid w:val="006602B5"/>
    <w:rsid w:val="00660C81"/>
    <w:rsid w:val="00661A03"/>
    <w:rsid w:val="00662E83"/>
    <w:rsid w:val="006631B8"/>
    <w:rsid w:val="00663F0B"/>
    <w:rsid w:val="00666BF3"/>
    <w:rsid w:val="00670558"/>
    <w:rsid w:val="0067081B"/>
    <w:rsid w:val="00670824"/>
    <w:rsid w:val="006709E7"/>
    <w:rsid w:val="0067116A"/>
    <w:rsid w:val="006716A2"/>
    <w:rsid w:val="00671D61"/>
    <w:rsid w:val="006721BA"/>
    <w:rsid w:val="00672851"/>
    <w:rsid w:val="006739AA"/>
    <w:rsid w:val="00673D28"/>
    <w:rsid w:val="00673EF6"/>
    <w:rsid w:val="006747D5"/>
    <w:rsid w:val="006766D6"/>
    <w:rsid w:val="006811E0"/>
    <w:rsid w:val="00681232"/>
    <w:rsid w:val="00681F70"/>
    <w:rsid w:val="00682E4C"/>
    <w:rsid w:val="006838E4"/>
    <w:rsid w:val="00683BEE"/>
    <w:rsid w:val="006843EB"/>
    <w:rsid w:val="00685C47"/>
    <w:rsid w:val="0068627A"/>
    <w:rsid w:val="00687360"/>
    <w:rsid w:val="006873CB"/>
    <w:rsid w:val="00687688"/>
    <w:rsid w:val="006878D9"/>
    <w:rsid w:val="00687CD5"/>
    <w:rsid w:val="00690B33"/>
    <w:rsid w:val="00694B21"/>
    <w:rsid w:val="00695C02"/>
    <w:rsid w:val="00696F9E"/>
    <w:rsid w:val="0069728E"/>
    <w:rsid w:val="00697D02"/>
    <w:rsid w:val="006A0550"/>
    <w:rsid w:val="006A0B82"/>
    <w:rsid w:val="006A29BE"/>
    <w:rsid w:val="006A3901"/>
    <w:rsid w:val="006A5036"/>
    <w:rsid w:val="006A5773"/>
    <w:rsid w:val="006A5ABE"/>
    <w:rsid w:val="006A60DA"/>
    <w:rsid w:val="006A780B"/>
    <w:rsid w:val="006A7E7C"/>
    <w:rsid w:val="006A7FB6"/>
    <w:rsid w:val="006B1632"/>
    <w:rsid w:val="006B1974"/>
    <w:rsid w:val="006B1B13"/>
    <w:rsid w:val="006B247F"/>
    <w:rsid w:val="006B390B"/>
    <w:rsid w:val="006B417A"/>
    <w:rsid w:val="006B460D"/>
    <w:rsid w:val="006B4FCB"/>
    <w:rsid w:val="006B5C05"/>
    <w:rsid w:val="006B5FF6"/>
    <w:rsid w:val="006B6465"/>
    <w:rsid w:val="006C187C"/>
    <w:rsid w:val="006C2CB3"/>
    <w:rsid w:val="006C349D"/>
    <w:rsid w:val="006C479D"/>
    <w:rsid w:val="006C5238"/>
    <w:rsid w:val="006C5BFF"/>
    <w:rsid w:val="006C5D46"/>
    <w:rsid w:val="006C5DAF"/>
    <w:rsid w:val="006C76D2"/>
    <w:rsid w:val="006C7E1B"/>
    <w:rsid w:val="006D0207"/>
    <w:rsid w:val="006D10C6"/>
    <w:rsid w:val="006D1163"/>
    <w:rsid w:val="006D129A"/>
    <w:rsid w:val="006D1963"/>
    <w:rsid w:val="006D3169"/>
    <w:rsid w:val="006D4705"/>
    <w:rsid w:val="006D6E56"/>
    <w:rsid w:val="006D79FD"/>
    <w:rsid w:val="006E0ACD"/>
    <w:rsid w:val="006E26DB"/>
    <w:rsid w:val="006E270D"/>
    <w:rsid w:val="006E3777"/>
    <w:rsid w:val="006E4995"/>
    <w:rsid w:val="006E50B1"/>
    <w:rsid w:val="006E50F1"/>
    <w:rsid w:val="006E63BF"/>
    <w:rsid w:val="006E7998"/>
    <w:rsid w:val="006F0A70"/>
    <w:rsid w:val="006F283F"/>
    <w:rsid w:val="006F32C7"/>
    <w:rsid w:val="006F381F"/>
    <w:rsid w:val="006F4482"/>
    <w:rsid w:val="006F6361"/>
    <w:rsid w:val="006F6E85"/>
    <w:rsid w:val="00701FAC"/>
    <w:rsid w:val="00702E85"/>
    <w:rsid w:val="00702EF7"/>
    <w:rsid w:val="0070328F"/>
    <w:rsid w:val="00703FB2"/>
    <w:rsid w:val="0070484E"/>
    <w:rsid w:val="00705D9B"/>
    <w:rsid w:val="007060A9"/>
    <w:rsid w:val="007065AF"/>
    <w:rsid w:val="007078B7"/>
    <w:rsid w:val="00711031"/>
    <w:rsid w:val="00712565"/>
    <w:rsid w:val="007136A2"/>
    <w:rsid w:val="00713774"/>
    <w:rsid w:val="00714E04"/>
    <w:rsid w:val="00715D19"/>
    <w:rsid w:val="00716698"/>
    <w:rsid w:val="00717887"/>
    <w:rsid w:val="00717AA6"/>
    <w:rsid w:val="00717DAF"/>
    <w:rsid w:val="007214FE"/>
    <w:rsid w:val="00721685"/>
    <w:rsid w:val="0072187F"/>
    <w:rsid w:val="00722224"/>
    <w:rsid w:val="00722EBB"/>
    <w:rsid w:val="00724489"/>
    <w:rsid w:val="0072487D"/>
    <w:rsid w:val="00724AF6"/>
    <w:rsid w:val="00725163"/>
    <w:rsid w:val="00725353"/>
    <w:rsid w:val="007262AA"/>
    <w:rsid w:val="00727C91"/>
    <w:rsid w:val="00730AEC"/>
    <w:rsid w:val="0073113C"/>
    <w:rsid w:val="00731DB2"/>
    <w:rsid w:val="007338DF"/>
    <w:rsid w:val="0073402B"/>
    <w:rsid w:val="00735894"/>
    <w:rsid w:val="00736140"/>
    <w:rsid w:val="00736E1F"/>
    <w:rsid w:val="00737F05"/>
    <w:rsid w:val="0074232D"/>
    <w:rsid w:val="0074343C"/>
    <w:rsid w:val="00744058"/>
    <w:rsid w:val="00744A48"/>
    <w:rsid w:val="0074514A"/>
    <w:rsid w:val="00745908"/>
    <w:rsid w:val="00746866"/>
    <w:rsid w:val="007477F4"/>
    <w:rsid w:val="00750D86"/>
    <w:rsid w:val="00751792"/>
    <w:rsid w:val="007527B7"/>
    <w:rsid w:val="00752F02"/>
    <w:rsid w:val="00753FA4"/>
    <w:rsid w:val="00754AB5"/>
    <w:rsid w:val="00757C4B"/>
    <w:rsid w:val="00760A77"/>
    <w:rsid w:val="007631E0"/>
    <w:rsid w:val="00763209"/>
    <w:rsid w:val="00765781"/>
    <w:rsid w:val="00766353"/>
    <w:rsid w:val="00766C2D"/>
    <w:rsid w:val="00767E05"/>
    <w:rsid w:val="00770A0B"/>
    <w:rsid w:val="00770AD7"/>
    <w:rsid w:val="0077114E"/>
    <w:rsid w:val="0077351A"/>
    <w:rsid w:val="00774326"/>
    <w:rsid w:val="00780296"/>
    <w:rsid w:val="00780972"/>
    <w:rsid w:val="007830AF"/>
    <w:rsid w:val="00784632"/>
    <w:rsid w:val="007849E8"/>
    <w:rsid w:val="00784A61"/>
    <w:rsid w:val="00785DCE"/>
    <w:rsid w:val="00787B2C"/>
    <w:rsid w:val="00790BA5"/>
    <w:rsid w:val="00791E09"/>
    <w:rsid w:val="0079274D"/>
    <w:rsid w:val="007935E0"/>
    <w:rsid w:val="007940FC"/>
    <w:rsid w:val="007942F2"/>
    <w:rsid w:val="00794C66"/>
    <w:rsid w:val="0079754D"/>
    <w:rsid w:val="007A20AD"/>
    <w:rsid w:val="007A2947"/>
    <w:rsid w:val="007A3A42"/>
    <w:rsid w:val="007A5740"/>
    <w:rsid w:val="007A5D5C"/>
    <w:rsid w:val="007A62FE"/>
    <w:rsid w:val="007A6483"/>
    <w:rsid w:val="007A64EA"/>
    <w:rsid w:val="007A715E"/>
    <w:rsid w:val="007A7415"/>
    <w:rsid w:val="007A7D90"/>
    <w:rsid w:val="007B0CB0"/>
    <w:rsid w:val="007B117B"/>
    <w:rsid w:val="007B2ACD"/>
    <w:rsid w:val="007B2D15"/>
    <w:rsid w:val="007B329F"/>
    <w:rsid w:val="007B389D"/>
    <w:rsid w:val="007B3A86"/>
    <w:rsid w:val="007B3DF4"/>
    <w:rsid w:val="007B697F"/>
    <w:rsid w:val="007B7B32"/>
    <w:rsid w:val="007C1345"/>
    <w:rsid w:val="007C181A"/>
    <w:rsid w:val="007C3E46"/>
    <w:rsid w:val="007C711E"/>
    <w:rsid w:val="007C7CFA"/>
    <w:rsid w:val="007D0E00"/>
    <w:rsid w:val="007D2846"/>
    <w:rsid w:val="007D298C"/>
    <w:rsid w:val="007D3420"/>
    <w:rsid w:val="007D47F0"/>
    <w:rsid w:val="007D5362"/>
    <w:rsid w:val="007D699F"/>
    <w:rsid w:val="007D6C48"/>
    <w:rsid w:val="007D6E49"/>
    <w:rsid w:val="007D71F7"/>
    <w:rsid w:val="007E000F"/>
    <w:rsid w:val="007E149C"/>
    <w:rsid w:val="007E156E"/>
    <w:rsid w:val="007E23B2"/>
    <w:rsid w:val="007E2E19"/>
    <w:rsid w:val="007E66B2"/>
    <w:rsid w:val="007E773B"/>
    <w:rsid w:val="007F0DB3"/>
    <w:rsid w:val="007F2238"/>
    <w:rsid w:val="007F2956"/>
    <w:rsid w:val="007F2E32"/>
    <w:rsid w:val="007F303F"/>
    <w:rsid w:val="007F62A2"/>
    <w:rsid w:val="007F682E"/>
    <w:rsid w:val="007F6A11"/>
    <w:rsid w:val="0080103C"/>
    <w:rsid w:val="00801A5A"/>
    <w:rsid w:val="008042B9"/>
    <w:rsid w:val="008058A5"/>
    <w:rsid w:val="00805F32"/>
    <w:rsid w:val="00811A70"/>
    <w:rsid w:val="00811F79"/>
    <w:rsid w:val="00812588"/>
    <w:rsid w:val="00813909"/>
    <w:rsid w:val="00814E45"/>
    <w:rsid w:val="00817022"/>
    <w:rsid w:val="008177AA"/>
    <w:rsid w:val="008217FE"/>
    <w:rsid w:val="00822DBB"/>
    <w:rsid w:val="00823468"/>
    <w:rsid w:val="00824675"/>
    <w:rsid w:val="00824CEF"/>
    <w:rsid w:val="00830148"/>
    <w:rsid w:val="008316AD"/>
    <w:rsid w:val="00831855"/>
    <w:rsid w:val="008347FE"/>
    <w:rsid w:val="008357B8"/>
    <w:rsid w:val="00835AEB"/>
    <w:rsid w:val="008364FC"/>
    <w:rsid w:val="00840D0F"/>
    <w:rsid w:val="00841294"/>
    <w:rsid w:val="00841B20"/>
    <w:rsid w:val="00841DA4"/>
    <w:rsid w:val="008423E2"/>
    <w:rsid w:val="00843A4F"/>
    <w:rsid w:val="008445D4"/>
    <w:rsid w:val="008446F1"/>
    <w:rsid w:val="00844E03"/>
    <w:rsid w:val="00844F38"/>
    <w:rsid w:val="00846163"/>
    <w:rsid w:val="00846A59"/>
    <w:rsid w:val="00846FF0"/>
    <w:rsid w:val="008506BF"/>
    <w:rsid w:val="00850B82"/>
    <w:rsid w:val="0085135B"/>
    <w:rsid w:val="00854318"/>
    <w:rsid w:val="0085728C"/>
    <w:rsid w:val="00857342"/>
    <w:rsid w:val="00861FD7"/>
    <w:rsid w:val="008638F3"/>
    <w:rsid w:val="008640B9"/>
    <w:rsid w:val="00864ADB"/>
    <w:rsid w:val="0086570A"/>
    <w:rsid w:val="0086652F"/>
    <w:rsid w:val="0086748F"/>
    <w:rsid w:val="00867AC5"/>
    <w:rsid w:val="0087359E"/>
    <w:rsid w:val="008735DF"/>
    <w:rsid w:val="00873C8C"/>
    <w:rsid w:val="00874C46"/>
    <w:rsid w:val="00874CED"/>
    <w:rsid w:val="0087670C"/>
    <w:rsid w:val="00877178"/>
    <w:rsid w:val="0088013C"/>
    <w:rsid w:val="00881014"/>
    <w:rsid w:val="00884452"/>
    <w:rsid w:val="00884C6F"/>
    <w:rsid w:val="00886E24"/>
    <w:rsid w:val="008905D7"/>
    <w:rsid w:val="00891A8A"/>
    <w:rsid w:val="00891B9E"/>
    <w:rsid w:val="00892C34"/>
    <w:rsid w:val="00893BDA"/>
    <w:rsid w:val="008944A1"/>
    <w:rsid w:val="00894600"/>
    <w:rsid w:val="00894D8A"/>
    <w:rsid w:val="00895B87"/>
    <w:rsid w:val="008960B7"/>
    <w:rsid w:val="00896511"/>
    <w:rsid w:val="00896BD0"/>
    <w:rsid w:val="00897053"/>
    <w:rsid w:val="008974DE"/>
    <w:rsid w:val="00897BB6"/>
    <w:rsid w:val="008A0504"/>
    <w:rsid w:val="008A08D2"/>
    <w:rsid w:val="008A0BE1"/>
    <w:rsid w:val="008A0DE1"/>
    <w:rsid w:val="008A2E7B"/>
    <w:rsid w:val="008A58F1"/>
    <w:rsid w:val="008A5D04"/>
    <w:rsid w:val="008A658F"/>
    <w:rsid w:val="008B1860"/>
    <w:rsid w:val="008B1CA6"/>
    <w:rsid w:val="008B2840"/>
    <w:rsid w:val="008B48D0"/>
    <w:rsid w:val="008B5561"/>
    <w:rsid w:val="008B5B9D"/>
    <w:rsid w:val="008B76F8"/>
    <w:rsid w:val="008B7E87"/>
    <w:rsid w:val="008C0C72"/>
    <w:rsid w:val="008C1E27"/>
    <w:rsid w:val="008C465E"/>
    <w:rsid w:val="008C6F31"/>
    <w:rsid w:val="008C73D6"/>
    <w:rsid w:val="008C7D26"/>
    <w:rsid w:val="008C7F8F"/>
    <w:rsid w:val="008D0116"/>
    <w:rsid w:val="008D0C62"/>
    <w:rsid w:val="008D13DF"/>
    <w:rsid w:val="008D2CD6"/>
    <w:rsid w:val="008D37A0"/>
    <w:rsid w:val="008D4939"/>
    <w:rsid w:val="008D502E"/>
    <w:rsid w:val="008E0241"/>
    <w:rsid w:val="008E0D30"/>
    <w:rsid w:val="008E1F2E"/>
    <w:rsid w:val="008E3D60"/>
    <w:rsid w:val="008E4BDB"/>
    <w:rsid w:val="008E7390"/>
    <w:rsid w:val="008F052D"/>
    <w:rsid w:val="008F1962"/>
    <w:rsid w:val="008F19C1"/>
    <w:rsid w:val="008F1AB4"/>
    <w:rsid w:val="008F1BCC"/>
    <w:rsid w:val="008F1C1E"/>
    <w:rsid w:val="008F1F00"/>
    <w:rsid w:val="008F4EE2"/>
    <w:rsid w:val="008F599F"/>
    <w:rsid w:val="0090262C"/>
    <w:rsid w:val="009074CF"/>
    <w:rsid w:val="00910486"/>
    <w:rsid w:val="009107FF"/>
    <w:rsid w:val="00910C42"/>
    <w:rsid w:val="009113AE"/>
    <w:rsid w:val="00913ABB"/>
    <w:rsid w:val="00913F53"/>
    <w:rsid w:val="00916D77"/>
    <w:rsid w:val="0091739F"/>
    <w:rsid w:val="00920257"/>
    <w:rsid w:val="009235EA"/>
    <w:rsid w:val="0092405B"/>
    <w:rsid w:val="00924F4A"/>
    <w:rsid w:val="009259EF"/>
    <w:rsid w:val="009273B5"/>
    <w:rsid w:val="00927725"/>
    <w:rsid w:val="009304FE"/>
    <w:rsid w:val="00930782"/>
    <w:rsid w:val="00930FA4"/>
    <w:rsid w:val="009316D0"/>
    <w:rsid w:val="00932724"/>
    <w:rsid w:val="00932B48"/>
    <w:rsid w:val="0093342C"/>
    <w:rsid w:val="00933471"/>
    <w:rsid w:val="009338E3"/>
    <w:rsid w:val="009340DA"/>
    <w:rsid w:val="0093570A"/>
    <w:rsid w:val="00935964"/>
    <w:rsid w:val="00935A1A"/>
    <w:rsid w:val="0093640A"/>
    <w:rsid w:val="00936808"/>
    <w:rsid w:val="00936EC8"/>
    <w:rsid w:val="009376CE"/>
    <w:rsid w:val="009401BF"/>
    <w:rsid w:val="00940CF1"/>
    <w:rsid w:val="0094203D"/>
    <w:rsid w:val="00943A20"/>
    <w:rsid w:val="00946126"/>
    <w:rsid w:val="009467C4"/>
    <w:rsid w:val="009467F7"/>
    <w:rsid w:val="00947F9D"/>
    <w:rsid w:val="00947FE8"/>
    <w:rsid w:val="00952049"/>
    <w:rsid w:val="00953379"/>
    <w:rsid w:val="00953BC2"/>
    <w:rsid w:val="00955057"/>
    <w:rsid w:val="0096110D"/>
    <w:rsid w:val="0096176A"/>
    <w:rsid w:val="00962162"/>
    <w:rsid w:val="00962E40"/>
    <w:rsid w:val="009637DC"/>
    <w:rsid w:val="00964A56"/>
    <w:rsid w:val="00965D49"/>
    <w:rsid w:val="00967686"/>
    <w:rsid w:val="00970B60"/>
    <w:rsid w:val="00971BE7"/>
    <w:rsid w:val="00973415"/>
    <w:rsid w:val="009737DF"/>
    <w:rsid w:val="00974568"/>
    <w:rsid w:val="009756AD"/>
    <w:rsid w:val="00975CD8"/>
    <w:rsid w:val="00977973"/>
    <w:rsid w:val="00981F79"/>
    <w:rsid w:val="0098223B"/>
    <w:rsid w:val="0098323D"/>
    <w:rsid w:val="009834E9"/>
    <w:rsid w:val="009850EF"/>
    <w:rsid w:val="0098516A"/>
    <w:rsid w:val="009855DD"/>
    <w:rsid w:val="009868FC"/>
    <w:rsid w:val="0098741B"/>
    <w:rsid w:val="00987875"/>
    <w:rsid w:val="00991A16"/>
    <w:rsid w:val="00992512"/>
    <w:rsid w:val="0099353E"/>
    <w:rsid w:val="00993BEE"/>
    <w:rsid w:val="00994242"/>
    <w:rsid w:val="00995EEF"/>
    <w:rsid w:val="009961EE"/>
    <w:rsid w:val="009978C3"/>
    <w:rsid w:val="009A17D1"/>
    <w:rsid w:val="009B44B3"/>
    <w:rsid w:val="009B4E8F"/>
    <w:rsid w:val="009B5846"/>
    <w:rsid w:val="009B629B"/>
    <w:rsid w:val="009B7FCB"/>
    <w:rsid w:val="009C059F"/>
    <w:rsid w:val="009C0E2E"/>
    <w:rsid w:val="009C0FA1"/>
    <w:rsid w:val="009C0FAD"/>
    <w:rsid w:val="009C190C"/>
    <w:rsid w:val="009C2436"/>
    <w:rsid w:val="009C34D4"/>
    <w:rsid w:val="009C785F"/>
    <w:rsid w:val="009C79CB"/>
    <w:rsid w:val="009D0B8D"/>
    <w:rsid w:val="009D25BA"/>
    <w:rsid w:val="009D2FBA"/>
    <w:rsid w:val="009D351E"/>
    <w:rsid w:val="009D39FC"/>
    <w:rsid w:val="009D3D3F"/>
    <w:rsid w:val="009D3FBA"/>
    <w:rsid w:val="009D4C06"/>
    <w:rsid w:val="009D533A"/>
    <w:rsid w:val="009D7787"/>
    <w:rsid w:val="009E02C9"/>
    <w:rsid w:val="009E0D66"/>
    <w:rsid w:val="009E1A59"/>
    <w:rsid w:val="009E1B33"/>
    <w:rsid w:val="009E2593"/>
    <w:rsid w:val="009E2A96"/>
    <w:rsid w:val="009E39DC"/>
    <w:rsid w:val="009E40F4"/>
    <w:rsid w:val="009E5645"/>
    <w:rsid w:val="009E56B4"/>
    <w:rsid w:val="009E5BCB"/>
    <w:rsid w:val="009E7B43"/>
    <w:rsid w:val="009F127D"/>
    <w:rsid w:val="009F19D2"/>
    <w:rsid w:val="009F1F2C"/>
    <w:rsid w:val="009F4095"/>
    <w:rsid w:val="009F43C3"/>
    <w:rsid w:val="009F61B7"/>
    <w:rsid w:val="009F7302"/>
    <w:rsid w:val="00A030C9"/>
    <w:rsid w:val="00A0400D"/>
    <w:rsid w:val="00A04341"/>
    <w:rsid w:val="00A043FE"/>
    <w:rsid w:val="00A052C4"/>
    <w:rsid w:val="00A05916"/>
    <w:rsid w:val="00A05949"/>
    <w:rsid w:val="00A10028"/>
    <w:rsid w:val="00A1007E"/>
    <w:rsid w:val="00A11861"/>
    <w:rsid w:val="00A121BF"/>
    <w:rsid w:val="00A1266A"/>
    <w:rsid w:val="00A1389B"/>
    <w:rsid w:val="00A14D3F"/>
    <w:rsid w:val="00A150D3"/>
    <w:rsid w:val="00A16EEB"/>
    <w:rsid w:val="00A17724"/>
    <w:rsid w:val="00A2114F"/>
    <w:rsid w:val="00A2180C"/>
    <w:rsid w:val="00A2216E"/>
    <w:rsid w:val="00A22F5A"/>
    <w:rsid w:val="00A232B2"/>
    <w:rsid w:val="00A2370B"/>
    <w:rsid w:val="00A26112"/>
    <w:rsid w:val="00A26E6A"/>
    <w:rsid w:val="00A27C20"/>
    <w:rsid w:val="00A3007D"/>
    <w:rsid w:val="00A308BF"/>
    <w:rsid w:val="00A30EA6"/>
    <w:rsid w:val="00A31523"/>
    <w:rsid w:val="00A31536"/>
    <w:rsid w:val="00A316FD"/>
    <w:rsid w:val="00A3251A"/>
    <w:rsid w:val="00A33251"/>
    <w:rsid w:val="00A3394D"/>
    <w:rsid w:val="00A33AAC"/>
    <w:rsid w:val="00A33CC3"/>
    <w:rsid w:val="00A34329"/>
    <w:rsid w:val="00A346FE"/>
    <w:rsid w:val="00A34843"/>
    <w:rsid w:val="00A34D45"/>
    <w:rsid w:val="00A36E14"/>
    <w:rsid w:val="00A37B1D"/>
    <w:rsid w:val="00A37EAD"/>
    <w:rsid w:val="00A437D2"/>
    <w:rsid w:val="00A4628D"/>
    <w:rsid w:val="00A4716C"/>
    <w:rsid w:val="00A47DF1"/>
    <w:rsid w:val="00A522D0"/>
    <w:rsid w:val="00A53130"/>
    <w:rsid w:val="00A53152"/>
    <w:rsid w:val="00A5412B"/>
    <w:rsid w:val="00A54A2A"/>
    <w:rsid w:val="00A54EDC"/>
    <w:rsid w:val="00A561A5"/>
    <w:rsid w:val="00A61FD5"/>
    <w:rsid w:val="00A640CF"/>
    <w:rsid w:val="00A64735"/>
    <w:rsid w:val="00A65FBA"/>
    <w:rsid w:val="00A66535"/>
    <w:rsid w:val="00A669DF"/>
    <w:rsid w:val="00A66B50"/>
    <w:rsid w:val="00A67096"/>
    <w:rsid w:val="00A672EF"/>
    <w:rsid w:val="00A673ED"/>
    <w:rsid w:val="00A7322E"/>
    <w:rsid w:val="00A7361F"/>
    <w:rsid w:val="00A73A67"/>
    <w:rsid w:val="00A73BCD"/>
    <w:rsid w:val="00A75DAF"/>
    <w:rsid w:val="00A765DB"/>
    <w:rsid w:val="00A7741C"/>
    <w:rsid w:val="00A77A1F"/>
    <w:rsid w:val="00A8157D"/>
    <w:rsid w:val="00A82913"/>
    <w:rsid w:val="00A84C9A"/>
    <w:rsid w:val="00A850DC"/>
    <w:rsid w:val="00A8510A"/>
    <w:rsid w:val="00A85226"/>
    <w:rsid w:val="00A860D4"/>
    <w:rsid w:val="00A905DA"/>
    <w:rsid w:val="00A91E4D"/>
    <w:rsid w:val="00A92240"/>
    <w:rsid w:val="00A944A8"/>
    <w:rsid w:val="00A95D89"/>
    <w:rsid w:val="00A96609"/>
    <w:rsid w:val="00AA0F53"/>
    <w:rsid w:val="00AA2358"/>
    <w:rsid w:val="00AA2C31"/>
    <w:rsid w:val="00AA382B"/>
    <w:rsid w:val="00AA467C"/>
    <w:rsid w:val="00AA4B41"/>
    <w:rsid w:val="00AA5C5A"/>
    <w:rsid w:val="00AA6558"/>
    <w:rsid w:val="00AB2C4F"/>
    <w:rsid w:val="00AB3A5C"/>
    <w:rsid w:val="00AB5F73"/>
    <w:rsid w:val="00AB6968"/>
    <w:rsid w:val="00AC113A"/>
    <w:rsid w:val="00AC1A19"/>
    <w:rsid w:val="00AC2919"/>
    <w:rsid w:val="00AC3AC5"/>
    <w:rsid w:val="00AC3FB1"/>
    <w:rsid w:val="00AC405F"/>
    <w:rsid w:val="00AC4746"/>
    <w:rsid w:val="00AC4A6F"/>
    <w:rsid w:val="00AC5FA4"/>
    <w:rsid w:val="00AC673A"/>
    <w:rsid w:val="00AC7204"/>
    <w:rsid w:val="00AC76E2"/>
    <w:rsid w:val="00AD07F3"/>
    <w:rsid w:val="00AD21AC"/>
    <w:rsid w:val="00AD247A"/>
    <w:rsid w:val="00AD272D"/>
    <w:rsid w:val="00AD27F3"/>
    <w:rsid w:val="00AE05D8"/>
    <w:rsid w:val="00AE1F87"/>
    <w:rsid w:val="00AE3196"/>
    <w:rsid w:val="00AE655A"/>
    <w:rsid w:val="00AF0AC1"/>
    <w:rsid w:val="00AF14BB"/>
    <w:rsid w:val="00AF16AA"/>
    <w:rsid w:val="00AF4E76"/>
    <w:rsid w:val="00AF5684"/>
    <w:rsid w:val="00AF6DD9"/>
    <w:rsid w:val="00AF7102"/>
    <w:rsid w:val="00AF72CD"/>
    <w:rsid w:val="00AF7796"/>
    <w:rsid w:val="00B00F1B"/>
    <w:rsid w:val="00B01CF0"/>
    <w:rsid w:val="00B02538"/>
    <w:rsid w:val="00B02CB9"/>
    <w:rsid w:val="00B07E37"/>
    <w:rsid w:val="00B1115C"/>
    <w:rsid w:val="00B1166B"/>
    <w:rsid w:val="00B11E5B"/>
    <w:rsid w:val="00B13BBC"/>
    <w:rsid w:val="00B146AF"/>
    <w:rsid w:val="00B1511A"/>
    <w:rsid w:val="00B20655"/>
    <w:rsid w:val="00B20AC4"/>
    <w:rsid w:val="00B21528"/>
    <w:rsid w:val="00B22DB2"/>
    <w:rsid w:val="00B23FDD"/>
    <w:rsid w:val="00B240E7"/>
    <w:rsid w:val="00B303F0"/>
    <w:rsid w:val="00B304CD"/>
    <w:rsid w:val="00B30781"/>
    <w:rsid w:val="00B30BCE"/>
    <w:rsid w:val="00B312A4"/>
    <w:rsid w:val="00B32519"/>
    <w:rsid w:val="00B32D74"/>
    <w:rsid w:val="00B37B7F"/>
    <w:rsid w:val="00B40231"/>
    <w:rsid w:val="00B40C07"/>
    <w:rsid w:val="00B41365"/>
    <w:rsid w:val="00B419E0"/>
    <w:rsid w:val="00B4266C"/>
    <w:rsid w:val="00B42F5F"/>
    <w:rsid w:val="00B430F1"/>
    <w:rsid w:val="00B451F5"/>
    <w:rsid w:val="00B4762F"/>
    <w:rsid w:val="00B50384"/>
    <w:rsid w:val="00B5087F"/>
    <w:rsid w:val="00B508E9"/>
    <w:rsid w:val="00B526B2"/>
    <w:rsid w:val="00B52B1B"/>
    <w:rsid w:val="00B531F1"/>
    <w:rsid w:val="00B56262"/>
    <w:rsid w:val="00B562CE"/>
    <w:rsid w:val="00B56E5D"/>
    <w:rsid w:val="00B6284A"/>
    <w:rsid w:val="00B63030"/>
    <w:rsid w:val="00B63831"/>
    <w:rsid w:val="00B64C58"/>
    <w:rsid w:val="00B64F88"/>
    <w:rsid w:val="00B66E9C"/>
    <w:rsid w:val="00B671EA"/>
    <w:rsid w:val="00B70517"/>
    <w:rsid w:val="00B7181E"/>
    <w:rsid w:val="00B73AC7"/>
    <w:rsid w:val="00B746E9"/>
    <w:rsid w:val="00B75BB3"/>
    <w:rsid w:val="00B762F2"/>
    <w:rsid w:val="00B8045B"/>
    <w:rsid w:val="00B80BBA"/>
    <w:rsid w:val="00B80E2A"/>
    <w:rsid w:val="00B82025"/>
    <w:rsid w:val="00B822DE"/>
    <w:rsid w:val="00B835D6"/>
    <w:rsid w:val="00B84A6B"/>
    <w:rsid w:val="00B84F08"/>
    <w:rsid w:val="00B85AF7"/>
    <w:rsid w:val="00B85C8C"/>
    <w:rsid w:val="00B85ECF"/>
    <w:rsid w:val="00B85FC7"/>
    <w:rsid w:val="00B86133"/>
    <w:rsid w:val="00B86224"/>
    <w:rsid w:val="00B90082"/>
    <w:rsid w:val="00B9185F"/>
    <w:rsid w:val="00B918B1"/>
    <w:rsid w:val="00B92B4D"/>
    <w:rsid w:val="00B92D56"/>
    <w:rsid w:val="00B9325C"/>
    <w:rsid w:val="00B933B9"/>
    <w:rsid w:val="00B9428B"/>
    <w:rsid w:val="00B96A3D"/>
    <w:rsid w:val="00B96C4D"/>
    <w:rsid w:val="00B96F19"/>
    <w:rsid w:val="00B9756E"/>
    <w:rsid w:val="00BA1A07"/>
    <w:rsid w:val="00BA20CE"/>
    <w:rsid w:val="00BA2915"/>
    <w:rsid w:val="00BA3D12"/>
    <w:rsid w:val="00BA4EA6"/>
    <w:rsid w:val="00BA5E1A"/>
    <w:rsid w:val="00BA657A"/>
    <w:rsid w:val="00BA65ED"/>
    <w:rsid w:val="00BA7059"/>
    <w:rsid w:val="00BA7AB8"/>
    <w:rsid w:val="00BB0EB4"/>
    <w:rsid w:val="00BB15A4"/>
    <w:rsid w:val="00BB354F"/>
    <w:rsid w:val="00BB36A8"/>
    <w:rsid w:val="00BB4825"/>
    <w:rsid w:val="00BB5133"/>
    <w:rsid w:val="00BB5B0A"/>
    <w:rsid w:val="00BB6EA4"/>
    <w:rsid w:val="00BB7A0F"/>
    <w:rsid w:val="00BC0F12"/>
    <w:rsid w:val="00BC108B"/>
    <w:rsid w:val="00BC111B"/>
    <w:rsid w:val="00BC1737"/>
    <w:rsid w:val="00BC28A1"/>
    <w:rsid w:val="00BC2C7F"/>
    <w:rsid w:val="00BC2CAF"/>
    <w:rsid w:val="00BC459B"/>
    <w:rsid w:val="00BC5C7E"/>
    <w:rsid w:val="00BC62EA"/>
    <w:rsid w:val="00BC7085"/>
    <w:rsid w:val="00BC7233"/>
    <w:rsid w:val="00BC76EF"/>
    <w:rsid w:val="00BD0F00"/>
    <w:rsid w:val="00BD1E93"/>
    <w:rsid w:val="00BD27A4"/>
    <w:rsid w:val="00BD418B"/>
    <w:rsid w:val="00BD435D"/>
    <w:rsid w:val="00BD57BE"/>
    <w:rsid w:val="00BD64F8"/>
    <w:rsid w:val="00BE10C8"/>
    <w:rsid w:val="00BE1981"/>
    <w:rsid w:val="00BE1F56"/>
    <w:rsid w:val="00BE2DFC"/>
    <w:rsid w:val="00BE37E1"/>
    <w:rsid w:val="00BE380F"/>
    <w:rsid w:val="00BE5FA2"/>
    <w:rsid w:val="00BE6365"/>
    <w:rsid w:val="00BE6BBF"/>
    <w:rsid w:val="00BE6EA9"/>
    <w:rsid w:val="00BF0F46"/>
    <w:rsid w:val="00BF335C"/>
    <w:rsid w:val="00BF3371"/>
    <w:rsid w:val="00BF5828"/>
    <w:rsid w:val="00BF5E9E"/>
    <w:rsid w:val="00BF6841"/>
    <w:rsid w:val="00BF6895"/>
    <w:rsid w:val="00C00570"/>
    <w:rsid w:val="00C01137"/>
    <w:rsid w:val="00C016F0"/>
    <w:rsid w:val="00C0184B"/>
    <w:rsid w:val="00C03981"/>
    <w:rsid w:val="00C04218"/>
    <w:rsid w:val="00C04230"/>
    <w:rsid w:val="00C04720"/>
    <w:rsid w:val="00C04DB2"/>
    <w:rsid w:val="00C0663F"/>
    <w:rsid w:val="00C06D0C"/>
    <w:rsid w:val="00C0704F"/>
    <w:rsid w:val="00C07844"/>
    <w:rsid w:val="00C14E08"/>
    <w:rsid w:val="00C15225"/>
    <w:rsid w:val="00C178FD"/>
    <w:rsid w:val="00C20428"/>
    <w:rsid w:val="00C205A7"/>
    <w:rsid w:val="00C2084D"/>
    <w:rsid w:val="00C20969"/>
    <w:rsid w:val="00C21D65"/>
    <w:rsid w:val="00C2314B"/>
    <w:rsid w:val="00C252D9"/>
    <w:rsid w:val="00C25A25"/>
    <w:rsid w:val="00C26422"/>
    <w:rsid w:val="00C265C9"/>
    <w:rsid w:val="00C26C7C"/>
    <w:rsid w:val="00C3001C"/>
    <w:rsid w:val="00C30209"/>
    <w:rsid w:val="00C3242B"/>
    <w:rsid w:val="00C32484"/>
    <w:rsid w:val="00C3252E"/>
    <w:rsid w:val="00C3269F"/>
    <w:rsid w:val="00C3349C"/>
    <w:rsid w:val="00C36D14"/>
    <w:rsid w:val="00C37E4E"/>
    <w:rsid w:val="00C41F4A"/>
    <w:rsid w:val="00C426AE"/>
    <w:rsid w:val="00C42922"/>
    <w:rsid w:val="00C429C8"/>
    <w:rsid w:val="00C42EAD"/>
    <w:rsid w:val="00C44188"/>
    <w:rsid w:val="00C44E88"/>
    <w:rsid w:val="00C4681F"/>
    <w:rsid w:val="00C509F7"/>
    <w:rsid w:val="00C51713"/>
    <w:rsid w:val="00C526B2"/>
    <w:rsid w:val="00C56CDC"/>
    <w:rsid w:val="00C57891"/>
    <w:rsid w:val="00C635AE"/>
    <w:rsid w:val="00C63B21"/>
    <w:rsid w:val="00C64002"/>
    <w:rsid w:val="00C645D1"/>
    <w:rsid w:val="00C65321"/>
    <w:rsid w:val="00C70497"/>
    <w:rsid w:val="00C704B8"/>
    <w:rsid w:val="00C72425"/>
    <w:rsid w:val="00C72F4F"/>
    <w:rsid w:val="00C74851"/>
    <w:rsid w:val="00C74E95"/>
    <w:rsid w:val="00C75298"/>
    <w:rsid w:val="00C81BFE"/>
    <w:rsid w:val="00C81CAA"/>
    <w:rsid w:val="00C834D5"/>
    <w:rsid w:val="00C8573E"/>
    <w:rsid w:val="00C859AF"/>
    <w:rsid w:val="00C865C2"/>
    <w:rsid w:val="00C869F3"/>
    <w:rsid w:val="00C86F0C"/>
    <w:rsid w:val="00C87880"/>
    <w:rsid w:val="00C918DF"/>
    <w:rsid w:val="00C926EA"/>
    <w:rsid w:val="00C92DA3"/>
    <w:rsid w:val="00C93939"/>
    <w:rsid w:val="00C93CFB"/>
    <w:rsid w:val="00C952E2"/>
    <w:rsid w:val="00C96BC5"/>
    <w:rsid w:val="00C978F2"/>
    <w:rsid w:val="00CA1655"/>
    <w:rsid w:val="00CA1C47"/>
    <w:rsid w:val="00CA2141"/>
    <w:rsid w:val="00CA2581"/>
    <w:rsid w:val="00CA372D"/>
    <w:rsid w:val="00CA4271"/>
    <w:rsid w:val="00CA4C2D"/>
    <w:rsid w:val="00CA63A8"/>
    <w:rsid w:val="00CA6536"/>
    <w:rsid w:val="00CA6BAF"/>
    <w:rsid w:val="00CA709B"/>
    <w:rsid w:val="00CA73A2"/>
    <w:rsid w:val="00CA7E1D"/>
    <w:rsid w:val="00CB0487"/>
    <w:rsid w:val="00CB0B66"/>
    <w:rsid w:val="00CB1D69"/>
    <w:rsid w:val="00CB2E1F"/>
    <w:rsid w:val="00CC096D"/>
    <w:rsid w:val="00CC0D89"/>
    <w:rsid w:val="00CC14C4"/>
    <w:rsid w:val="00CC1749"/>
    <w:rsid w:val="00CC1900"/>
    <w:rsid w:val="00CC3AD7"/>
    <w:rsid w:val="00CC41AF"/>
    <w:rsid w:val="00CC54C3"/>
    <w:rsid w:val="00CC592E"/>
    <w:rsid w:val="00CC6BD1"/>
    <w:rsid w:val="00CC7C27"/>
    <w:rsid w:val="00CD166A"/>
    <w:rsid w:val="00CD2DCB"/>
    <w:rsid w:val="00CD32A8"/>
    <w:rsid w:val="00CD36D1"/>
    <w:rsid w:val="00CD430F"/>
    <w:rsid w:val="00CD5D7F"/>
    <w:rsid w:val="00CD6479"/>
    <w:rsid w:val="00CD7494"/>
    <w:rsid w:val="00CD7F1C"/>
    <w:rsid w:val="00CE0A47"/>
    <w:rsid w:val="00CE186F"/>
    <w:rsid w:val="00CE1D1B"/>
    <w:rsid w:val="00CE23AA"/>
    <w:rsid w:val="00CE2A6C"/>
    <w:rsid w:val="00CE3475"/>
    <w:rsid w:val="00CE3F83"/>
    <w:rsid w:val="00CE421D"/>
    <w:rsid w:val="00CE4799"/>
    <w:rsid w:val="00CE4A85"/>
    <w:rsid w:val="00CE55DA"/>
    <w:rsid w:val="00CE5B84"/>
    <w:rsid w:val="00CE69C0"/>
    <w:rsid w:val="00CE7680"/>
    <w:rsid w:val="00CE7AC4"/>
    <w:rsid w:val="00CE7DD5"/>
    <w:rsid w:val="00CF0782"/>
    <w:rsid w:val="00CF083F"/>
    <w:rsid w:val="00CF0B22"/>
    <w:rsid w:val="00CF57F4"/>
    <w:rsid w:val="00CF6367"/>
    <w:rsid w:val="00CF677C"/>
    <w:rsid w:val="00CF7279"/>
    <w:rsid w:val="00CF7413"/>
    <w:rsid w:val="00D04F78"/>
    <w:rsid w:val="00D055BC"/>
    <w:rsid w:val="00D05704"/>
    <w:rsid w:val="00D057FC"/>
    <w:rsid w:val="00D0606C"/>
    <w:rsid w:val="00D076D6"/>
    <w:rsid w:val="00D07795"/>
    <w:rsid w:val="00D12493"/>
    <w:rsid w:val="00D12B00"/>
    <w:rsid w:val="00D14EF9"/>
    <w:rsid w:val="00D234F0"/>
    <w:rsid w:val="00D23D51"/>
    <w:rsid w:val="00D259FF"/>
    <w:rsid w:val="00D25B9E"/>
    <w:rsid w:val="00D26435"/>
    <w:rsid w:val="00D269FB"/>
    <w:rsid w:val="00D27023"/>
    <w:rsid w:val="00D27231"/>
    <w:rsid w:val="00D30E85"/>
    <w:rsid w:val="00D31BFA"/>
    <w:rsid w:val="00D32116"/>
    <w:rsid w:val="00D325CD"/>
    <w:rsid w:val="00D34142"/>
    <w:rsid w:val="00D3501F"/>
    <w:rsid w:val="00D35108"/>
    <w:rsid w:val="00D36224"/>
    <w:rsid w:val="00D367E6"/>
    <w:rsid w:val="00D3768F"/>
    <w:rsid w:val="00D41546"/>
    <w:rsid w:val="00D416AA"/>
    <w:rsid w:val="00D4187B"/>
    <w:rsid w:val="00D418FD"/>
    <w:rsid w:val="00D4448E"/>
    <w:rsid w:val="00D458C2"/>
    <w:rsid w:val="00D507DA"/>
    <w:rsid w:val="00D50EE4"/>
    <w:rsid w:val="00D540B2"/>
    <w:rsid w:val="00D5498D"/>
    <w:rsid w:val="00D54ED5"/>
    <w:rsid w:val="00D55FDF"/>
    <w:rsid w:val="00D60A1B"/>
    <w:rsid w:val="00D620AE"/>
    <w:rsid w:val="00D62AA0"/>
    <w:rsid w:val="00D634C0"/>
    <w:rsid w:val="00D64088"/>
    <w:rsid w:val="00D667C2"/>
    <w:rsid w:val="00D66A79"/>
    <w:rsid w:val="00D673C3"/>
    <w:rsid w:val="00D70CE1"/>
    <w:rsid w:val="00D713F6"/>
    <w:rsid w:val="00D71E53"/>
    <w:rsid w:val="00D724DB"/>
    <w:rsid w:val="00D74447"/>
    <w:rsid w:val="00D74C13"/>
    <w:rsid w:val="00D75DD0"/>
    <w:rsid w:val="00D7621F"/>
    <w:rsid w:val="00D76810"/>
    <w:rsid w:val="00D76BF6"/>
    <w:rsid w:val="00D76EF3"/>
    <w:rsid w:val="00D7756B"/>
    <w:rsid w:val="00D83927"/>
    <w:rsid w:val="00D85C95"/>
    <w:rsid w:val="00D865C7"/>
    <w:rsid w:val="00D867A5"/>
    <w:rsid w:val="00D878F9"/>
    <w:rsid w:val="00D9077A"/>
    <w:rsid w:val="00D920D3"/>
    <w:rsid w:val="00D92124"/>
    <w:rsid w:val="00D92139"/>
    <w:rsid w:val="00D92CAA"/>
    <w:rsid w:val="00D96DE6"/>
    <w:rsid w:val="00D971B4"/>
    <w:rsid w:val="00D9770E"/>
    <w:rsid w:val="00DA00D9"/>
    <w:rsid w:val="00DA1197"/>
    <w:rsid w:val="00DA2527"/>
    <w:rsid w:val="00DA3675"/>
    <w:rsid w:val="00DA6286"/>
    <w:rsid w:val="00DA62F5"/>
    <w:rsid w:val="00DA7199"/>
    <w:rsid w:val="00DA71D1"/>
    <w:rsid w:val="00DA783C"/>
    <w:rsid w:val="00DA7A99"/>
    <w:rsid w:val="00DB07BF"/>
    <w:rsid w:val="00DB0D91"/>
    <w:rsid w:val="00DB1562"/>
    <w:rsid w:val="00DB4738"/>
    <w:rsid w:val="00DB6681"/>
    <w:rsid w:val="00DC07A5"/>
    <w:rsid w:val="00DC0EA1"/>
    <w:rsid w:val="00DC134F"/>
    <w:rsid w:val="00DC20F4"/>
    <w:rsid w:val="00DC2DC4"/>
    <w:rsid w:val="00DC3C02"/>
    <w:rsid w:val="00DC47D1"/>
    <w:rsid w:val="00DC5514"/>
    <w:rsid w:val="00DC5640"/>
    <w:rsid w:val="00DC5F21"/>
    <w:rsid w:val="00DC6174"/>
    <w:rsid w:val="00DC6524"/>
    <w:rsid w:val="00DC65A0"/>
    <w:rsid w:val="00DC73C1"/>
    <w:rsid w:val="00DD009F"/>
    <w:rsid w:val="00DD03D7"/>
    <w:rsid w:val="00DD0EEF"/>
    <w:rsid w:val="00DD16C3"/>
    <w:rsid w:val="00DD2146"/>
    <w:rsid w:val="00DD280F"/>
    <w:rsid w:val="00DD461A"/>
    <w:rsid w:val="00DD4BD2"/>
    <w:rsid w:val="00DD58FD"/>
    <w:rsid w:val="00DD6697"/>
    <w:rsid w:val="00DD688D"/>
    <w:rsid w:val="00DD7963"/>
    <w:rsid w:val="00DE06E8"/>
    <w:rsid w:val="00DE1F57"/>
    <w:rsid w:val="00DE2060"/>
    <w:rsid w:val="00DE21D8"/>
    <w:rsid w:val="00DE298B"/>
    <w:rsid w:val="00DE39F1"/>
    <w:rsid w:val="00DE55A9"/>
    <w:rsid w:val="00DE5D05"/>
    <w:rsid w:val="00DE6DAB"/>
    <w:rsid w:val="00DE7171"/>
    <w:rsid w:val="00DE7489"/>
    <w:rsid w:val="00DE7AB3"/>
    <w:rsid w:val="00DF0036"/>
    <w:rsid w:val="00DF0724"/>
    <w:rsid w:val="00DF0CF8"/>
    <w:rsid w:val="00DF1B2F"/>
    <w:rsid w:val="00DF1D7C"/>
    <w:rsid w:val="00DF4141"/>
    <w:rsid w:val="00DF6195"/>
    <w:rsid w:val="00DF78F2"/>
    <w:rsid w:val="00DF7AAA"/>
    <w:rsid w:val="00E0158C"/>
    <w:rsid w:val="00E033B4"/>
    <w:rsid w:val="00E0558E"/>
    <w:rsid w:val="00E057C0"/>
    <w:rsid w:val="00E05801"/>
    <w:rsid w:val="00E05C7D"/>
    <w:rsid w:val="00E06113"/>
    <w:rsid w:val="00E064FC"/>
    <w:rsid w:val="00E1053D"/>
    <w:rsid w:val="00E12301"/>
    <w:rsid w:val="00E12E16"/>
    <w:rsid w:val="00E138E8"/>
    <w:rsid w:val="00E13B2C"/>
    <w:rsid w:val="00E13CEA"/>
    <w:rsid w:val="00E13E4D"/>
    <w:rsid w:val="00E14272"/>
    <w:rsid w:val="00E14DC1"/>
    <w:rsid w:val="00E150BA"/>
    <w:rsid w:val="00E15139"/>
    <w:rsid w:val="00E1527E"/>
    <w:rsid w:val="00E16831"/>
    <w:rsid w:val="00E16C1D"/>
    <w:rsid w:val="00E17E13"/>
    <w:rsid w:val="00E20D56"/>
    <w:rsid w:val="00E22EAC"/>
    <w:rsid w:val="00E240F1"/>
    <w:rsid w:val="00E24900"/>
    <w:rsid w:val="00E25274"/>
    <w:rsid w:val="00E26111"/>
    <w:rsid w:val="00E26621"/>
    <w:rsid w:val="00E266C1"/>
    <w:rsid w:val="00E269BF"/>
    <w:rsid w:val="00E26E0C"/>
    <w:rsid w:val="00E302B8"/>
    <w:rsid w:val="00E31C44"/>
    <w:rsid w:val="00E3268B"/>
    <w:rsid w:val="00E33D10"/>
    <w:rsid w:val="00E34AAE"/>
    <w:rsid w:val="00E35043"/>
    <w:rsid w:val="00E3701C"/>
    <w:rsid w:val="00E375EE"/>
    <w:rsid w:val="00E37C92"/>
    <w:rsid w:val="00E37FE9"/>
    <w:rsid w:val="00E412C8"/>
    <w:rsid w:val="00E4181E"/>
    <w:rsid w:val="00E42464"/>
    <w:rsid w:val="00E4430D"/>
    <w:rsid w:val="00E460EB"/>
    <w:rsid w:val="00E46B7E"/>
    <w:rsid w:val="00E46C3A"/>
    <w:rsid w:val="00E47923"/>
    <w:rsid w:val="00E50884"/>
    <w:rsid w:val="00E51318"/>
    <w:rsid w:val="00E514AC"/>
    <w:rsid w:val="00E52DB4"/>
    <w:rsid w:val="00E54A5D"/>
    <w:rsid w:val="00E54B68"/>
    <w:rsid w:val="00E54F13"/>
    <w:rsid w:val="00E55E48"/>
    <w:rsid w:val="00E5737B"/>
    <w:rsid w:val="00E57997"/>
    <w:rsid w:val="00E614A7"/>
    <w:rsid w:val="00E629E8"/>
    <w:rsid w:val="00E62C20"/>
    <w:rsid w:val="00E63A60"/>
    <w:rsid w:val="00E66BFF"/>
    <w:rsid w:val="00E66E43"/>
    <w:rsid w:val="00E73092"/>
    <w:rsid w:val="00E73AA6"/>
    <w:rsid w:val="00E741A1"/>
    <w:rsid w:val="00E74815"/>
    <w:rsid w:val="00E75C9F"/>
    <w:rsid w:val="00E75E90"/>
    <w:rsid w:val="00E81A49"/>
    <w:rsid w:val="00E82C0C"/>
    <w:rsid w:val="00E82E93"/>
    <w:rsid w:val="00E84894"/>
    <w:rsid w:val="00E849FB"/>
    <w:rsid w:val="00E857E0"/>
    <w:rsid w:val="00E85E82"/>
    <w:rsid w:val="00E9182B"/>
    <w:rsid w:val="00E91A62"/>
    <w:rsid w:val="00E9272A"/>
    <w:rsid w:val="00E92BD9"/>
    <w:rsid w:val="00E93370"/>
    <w:rsid w:val="00E936AA"/>
    <w:rsid w:val="00E93FDD"/>
    <w:rsid w:val="00E966E3"/>
    <w:rsid w:val="00E968B2"/>
    <w:rsid w:val="00EA086B"/>
    <w:rsid w:val="00EA09C9"/>
    <w:rsid w:val="00EA1368"/>
    <w:rsid w:val="00EA1603"/>
    <w:rsid w:val="00EA1683"/>
    <w:rsid w:val="00EA1B47"/>
    <w:rsid w:val="00EA1D12"/>
    <w:rsid w:val="00EA3669"/>
    <w:rsid w:val="00EA4C3D"/>
    <w:rsid w:val="00EA4E27"/>
    <w:rsid w:val="00EA4EBA"/>
    <w:rsid w:val="00EA5C5B"/>
    <w:rsid w:val="00EB0695"/>
    <w:rsid w:val="00EB0E06"/>
    <w:rsid w:val="00EB292A"/>
    <w:rsid w:val="00EB41FD"/>
    <w:rsid w:val="00EB4B5D"/>
    <w:rsid w:val="00EB4D6F"/>
    <w:rsid w:val="00EB5DBD"/>
    <w:rsid w:val="00EB65D0"/>
    <w:rsid w:val="00EB70A6"/>
    <w:rsid w:val="00EB7C9A"/>
    <w:rsid w:val="00EC1ABB"/>
    <w:rsid w:val="00EC1F31"/>
    <w:rsid w:val="00EC33E5"/>
    <w:rsid w:val="00EC4AB0"/>
    <w:rsid w:val="00EC4D89"/>
    <w:rsid w:val="00EC51D6"/>
    <w:rsid w:val="00EC557C"/>
    <w:rsid w:val="00EC56D6"/>
    <w:rsid w:val="00EC5EF0"/>
    <w:rsid w:val="00EC73B4"/>
    <w:rsid w:val="00EC7E45"/>
    <w:rsid w:val="00ED01A8"/>
    <w:rsid w:val="00ED0445"/>
    <w:rsid w:val="00ED0CA7"/>
    <w:rsid w:val="00ED1AC4"/>
    <w:rsid w:val="00ED1F75"/>
    <w:rsid w:val="00ED2005"/>
    <w:rsid w:val="00ED328A"/>
    <w:rsid w:val="00ED3CE2"/>
    <w:rsid w:val="00ED4ABA"/>
    <w:rsid w:val="00ED6396"/>
    <w:rsid w:val="00ED6975"/>
    <w:rsid w:val="00ED6EB2"/>
    <w:rsid w:val="00ED785A"/>
    <w:rsid w:val="00ED7F27"/>
    <w:rsid w:val="00EE21F4"/>
    <w:rsid w:val="00EF1579"/>
    <w:rsid w:val="00EF18FD"/>
    <w:rsid w:val="00EF33F8"/>
    <w:rsid w:val="00EF52C8"/>
    <w:rsid w:val="00EF5316"/>
    <w:rsid w:val="00EF7CD6"/>
    <w:rsid w:val="00F00393"/>
    <w:rsid w:val="00F0152B"/>
    <w:rsid w:val="00F01CFC"/>
    <w:rsid w:val="00F03DF5"/>
    <w:rsid w:val="00F040D5"/>
    <w:rsid w:val="00F041CB"/>
    <w:rsid w:val="00F051D2"/>
    <w:rsid w:val="00F05F0A"/>
    <w:rsid w:val="00F06CEE"/>
    <w:rsid w:val="00F07424"/>
    <w:rsid w:val="00F07431"/>
    <w:rsid w:val="00F07618"/>
    <w:rsid w:val="00F11572"/>
    <w:rsid w:val="00F1253F"/>
    <w:rsid w:val="00F147F9"/>
    <w:rsid w:val="00F15408"/>
    <w:rsid w:val="00F15A6B"/>
    <w:rsid w:val="00F15AA1"/>
    <w:rsid w:val="00F15E9F"/>
    <w:rsid w:val="00F15EB0"/>
    <w:rsid w:val="00F167EB"/>
    <w:rsid w:val="00F16C78"/>
    <w:rsid w:val="00F1714F"/>
    <w:rsid w:val="00F177E3"/>
    <w:rsid w:val="00F21F23"/>
    <w:rsid w:val="00F222B4"/>
    <w:rsid w:val="00F22A99"/>
    <w:rsid w:val="00F22CE7"/>
    <w:rsid w:val="00F243B1"/>
    <w:rsid w:val="00F24C1C"/>
    <w:rsid w:val="00F30C6B"/>
    <w:rsid w:val="00F31235"/>
    <w:rsid w:val="00F32D74"/>
    <w:rsid w:val="00F330DB"/>
    <w:rsid w:val="00F332CF"/>
    <w:rsid w:val="00F3684A"/>
    <w:rsid w:val="00F36AD1"/>
    <w:rsid w:val="00F4081B"/>
    <w:rsid w:val="00F409F0"/>
    <w:rsid w:val="00F40ADC"/>
    <w:rsid w:val="00F41630"/>
    <w:rsid w:val="00F429B0"/>
    <w:rsid w:val="00F42AE4"/>
    <w:rsid w:val="00F42B78"/>
    <w:rsid w:val="00F42F4B"/>
    <w:rsid w:val="00F434C4"/>
    <w:rsid w:val="00F43D36"/>
    <w:rsid w:val="00F44E93"/>
    <w:rsid w:val="00F451CF"/>
    <w:rsid w:val="00F45C6F"/>
    <w:rsid w:val="00F50C10"/>
    <w:rsid w:val="00F52C7E"/>
    <w:rsid w:val="00F55BED"/>
    <w:rsid w:val="00F5616C"/>
    <w:rsid w:val="00F5729E"/>
    <w:rsid w:val="00F576B4"/>
    <w:rsid w:val="00F60423"/>
    <w:rsid w:val="00F61BCE"/>
    <w:rsid w:val="00F64418"/>
    <w:rsid w:val="00F652BB"/>
    <w:rsid w:val="00F66AF2"/>
    <w:rsid w:val="00F679E8"/>
    <w:rsid w:val="00F72370"/>
    <w:rsid w:val="00F72CCE"/>
    <w:rsid w:val="00F72E7E"/>
    <w:rsid w:val="00F74EB6"/>
    <w:rsid w:val="00F754AE"/>
    <w:rsid w:val="00F769DF"/>
    <w:rsid w:val="00F81A66"/>
    <w:rsid w:val="00F81C87"/>
    <w:rsid w:val="00F81FFA"/>
    <w:rsid w:val="00F822C8"/>
    <w:rsid w:val="00F8405C"/>
    <w:rsid w:val="00F840E5"/>
    <w:rsid w:val="00F84D63"/>
    <w:rsid w:val="00F8788A"/>
    <w:rsid w:val="00F87F48"/>
    <w:rsid w:val="00F90CC7"/>
    <w:rsid w:val="00F90FFB"/>
    <w:rsid w:val="00F920C2"/>
    <w:rsid w:val="00F93027"/>
    <w:rsid w:val="00F95775"/>
    <w:rsid w:val="00F96208"/>
    <w:rsid w:val="00F96937"/>
    <w:rsid w:val="00F97499"/>
    <w:rsid w:val="00FA1DA4"/>
    <w:rsid w:val="00FA1E4A"/>
    <w:rsid w:val="00FA38CB"/>
    <w:rsid w:val="00FA3B5C"/>
    <w:rsid w:val="00FA4F12"/>
    <w:rsid w:val="00FA5C5A"/>
    <w:rsid w:val="00FB028C"/>
    <w:rsid w:val="00FB0722"/>
    <w:rsid w:val="00FB0F68"/>
    <w:rsid w:val="00FB1B05"/>
    <w:rsid w:val="00FB1D58"/>
    <w:rsid w:val="00FB2808"/>
    <w:rsid w:val="00FB37EA"/>
    <w:rsid w:val="00FB4BB1"/>
    <w:rsid w:val="00FB4F34"/>
    <w:rsid w:val="00FB65AC"/>
    <w:rsid w:val="00FB67CD"/>
    <w:rsid w:val="00FC00B7"/>
    <w:rsid w:val="00FC12B6"/>
    <w:rsid w:val="00FC2892"/>
    <w:rsid w:val="00FC28AB"/>
    <w:rsid w:val="00FC476E"/>
    <w:rsid w:val="00FC4BD9"/>
    <w:rsid w:val="00FC4D9A"/>
    <w:rsid w:val="00FC501B"/>
    <w:rsid w:val="00FC67B3"/>
    <w:rsid w:val="00FC68B7"/>
    <w:rsid w:val="00FC6C9A"/>
    <w:rsid w:val="00FC71E8"/>
    <w:rsid w:val="00FD017B"/>
    <w:rsid w:val="00FD0192"/>
    <w:rsid w:val="00FD071A"/>
    <w:rsid w:val="00FD1BE2"/>
    <w:rsid w:val="00FD2521"/>
    <w:rsid w:val="00FD2B91"/>
    <w:rsid w:val="00FD3F72"/>
    <w:rsid w:val="00FD5BB3"/>
    <w:rsid w:val="00FE0478"/>
    <w:rsid w:val="00FE0C89"/>
    <w:rsid w:val="00FE26D4"/>
    <w:rsid w:val="00FE3446"/>
    <w:rsid w:val="00FE4072"/>
    <w:rsid w:val="00FE6153"/>
    <w:rsid w:val="00FE626A"/>
    <w:rsid w:val="00FE7D82"/>
    <w:rsid w:val="00FF012F"/>
    <w:rsid w:val="00FF0555"/>
    <w:rsid w:val="00FF2032"/>
    <w:rsid w:val="00FF4A2A"/>
    <w:rsid w:val="00FF4AEC"/>
    <w:rsid w:val="00FF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4FE"/>
    <w:rPr>
      <w:sz w:val="24"/>
      <w:szCs w:val="24"/>
    </w:rPr>
  </w:style>
  <w:style w:type="paragraph" w:styleId="Heading1">
    <w:name w:val="heading 1"/>
    <w:basedOn w:val="Normal"/>
    <w:next w:val="Normal"/>
    <w:link w:val="Heading1Char"/>
    <w:qFormat/>
    <w:rsid w:val="00DE71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304FE"/>
    <w:pPr>
      <w:tabs>
        <w:tab w:val="center" w:pos="4320"/>
        <w:tab w:val="right" w:pos="8640"/>
      </w:tabs>
    </w:pPr>
  </w:style>
  <w:style w:type="character" w:styleId="PageNumber">
    <w:name w:val="page number"/>
    <w:basedOn w:val="DefaultParagraphFont"/>
    <w:rsid w:val="009304FE"/>
  </w:style>
  <w:style w:type="paragraph" w:styleId="FootnoteText">
    <w:name w:val="footnote text"/>
    <w:aliases w:val="Footnote Text Char2,Footnote Text Char1 Char,Footnote Text Char Char Char,Footnote Text Char2 Char Char Char,Footnote Text Char Char1 Char Char Char,Footnote Text Char1 Char Char Char Char Char,ALTS FOOTNOTE,fn,Footnote Text 2"/>
    <w:basedOn w:val="Normal"/>
    <w:link w:val="FootnoteTextChar"/>
    <w:semiHidden/>
    <w:rsid w:val="001A1AD3"/>
    <w:pPr>
      <w:tabs>
        <w:tab w:val="left" w:pos="720"/>
      </w:tabs>
      <w:spacing w:before="120" w:after="120"/>
    </w:pPr>
    <w:rPr>
      <w:rFonts w:ascii="CG Times" w:hAnsi="CG Times"/>
      <w:szCs w:val="20"/>
    </w:rPr>
  </w:style>
  <w:style w:type="character" w:styleId="FootnoteReference">
    <w:name w:val="footnote reference"/>
    <w:aliases w:val="o,fr"/>
    <w:basedOn w:val="DefaultParagraphFont"/>
    <w:rsid w:val="001A1AD3"/>
    <w:rPr>
      <w:sz w:val="26"/>
      <w:szCs w:val="26"/>
      <w:vertAlign w:val="superscript"/>
    </w:rPr>
  </w:style>
  <w:style w:type="paragraph" w:styleId="BodyText">
    <w:name w:val="Body Text"/>
    <w:basedOn w:val="Normal"/>
    <w:rsid w:val="001A1AD3"/>
    <w:pPr>
      <w:spacing w:line="360" w:lineRule="auto"/>
    </w:pPr>
    <w:rPr>
      <w:sz w:val="26"/>
      <w:szCs w:val="20"/>
    </w:rPr>
  </w:style>
  <w:style w:type="paragraph" w:customStyle="1" w:styleId="ParaTab1">
    <w:name w:val="ParaTab 1"/>
    <w:rsid w:val="009834E9"/>
    <w:pPr>
      <w:tabs>
        <w:tab w:val="left" w:pos="-720"/>
      </w:tabs>
      <w:suppressAutoHyphens/>
      <w:autoSpaceDE w:val="0"/>
      <w:autoSpaceDN w:val="0"/>
      <w:ind w:firstLine="1440"/>
    </w:pPr>
    <w:rPr>
      <w:rFonts w:ascii="CG Times" w:hAnsi="CG Times" w:cs="CG Times"/>
      <w:sz w:val="24"/>
      <w:szCs w:val="24"/>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fn Char"/>
    <w:basedOn w:val="DefaultParagraphFont"/>
    <w:link w:val="FootnoteText"/>
    <w:semiHidden/>
    <w:rsid w:val="00E62C20"/>
    <w:rPr>
      <w:rFonts w:ascii="CG Times" w:hAnsi="CG Times"/>
      <w:sz w:val="24"/>
    </w:rPr>
  </w:style>
  <w:style w:type="paragraph" w:customStyle="1" w:styleId="TxBrp4">
    <w:name w:val="TxBr_p4"/>
    <w:basedOn w:val="Normal"/>
    <w:rsid w:val="002A076C"/>
    <w:pPr>
      <w:widowControl w:val="0"/>
      <w:tabs>
        <w:tab w:val="left" w:pos="810"/>
      </w:tabs>
      <w:spacing w:line="266" w:lineRule="atLeast"/>
      <w:ind w:firstLine="811"/>
    </w:pPr>
    <w:rPr>
      <w:snapToGrid w:val="0"/>
      <w:szCs w:val="20"/>
    </w:rPr>
  </w:style>
  <w:style w:type="paragraph" w:styleId="PlainText">
    <w:name w:val="Plain Text"/>
    <w:basedOn w:val="Normal"/>
    <w:link w:val="PlainTextChar"/>
    <w:uiPriority w:val="99"/>
    <w:unhideWhenUsed/>
    <w:rsid w:val="0044234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4234F"/>
    <w:rPr>
      <w:rFonts w:ascii="Consolas" w:eastAsiaTheme="minorHAnsi" w:hAnsi="Consolas" w:cstheme="minorBidi"/>
      <w:sz w:val="21"/>
      <w:szCs w:val="21"/>
    </w:rPr>
  </w:style>
  <w:style w:type="table" w:styleId="TableGrid">
    <w:name w:val="Table Grid"/>
    <w:basedOn w:val="TableNormal"/>
    <w:rsid w:val="00823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5BCB"/>
    <w:pPr>
      <w:ind w:left="720"/>
      <w:contextualSpacing/>
    </w:pPr>
  </w:style>
  <w:style w:type="paragraph" w:styleId="BalloonText">
    <w:name w:val="Balloon Text"/>
    <w:basedOn w:val="Normal"/>
    <w:link w:val="BalloonTextChar"/>
    <w:rsid w:val="009C059F"/>
    <w:rPr>
      <w:rFonts w:ascii="Tahoma" w:hAnsi="Tahoma" w:cs="Tahoma"/>
      <w:sz w:val="16"/>
      <w:szCs w:val="16"/>
    </w:rPr>
  </w:style>
  <w:style w:type="character" w:customStyle="1" w:styleId="BalloonTextChar">
    <w:name w:val="Balloon Text Char"/>
    <w:basedOn w:val="DefaultParagraphFont"/>
    <w:link w:val="BalloonText"/>
    <w:rsid w:val="009C059F"/>
    <w:rPr>
      <w:rFonts w:ascii="Tahoma" w:hAnsi="Tahoma" w:cs="Tahoma"/>
      <w:sz w:val="16"/>
      <w:szCs w:val="16"/>
    </w:rPr>
  </w:style>
  <w:style w:type="paragraph" w:styleId="Header">
    <w:name w:val="header"/>
    <w:basedOn w:val="Normal"/>
    <w:link w:val="HeaderChar"/>
    <w:rsid w:val="005A73F5"/>
    <w:pPr>
      <w:tabs>
        <w:tab w:val="center" w:pos="4680"/>
        <w:tab w:val="right" w:pos="9360"/>
      </w:tabs>
    </w:pPr>
  </w:style>
  <w:style w:type="character" w:customStyle="1" w:styleId="HeaderChar">
    <w:name w:val="Header Char"/>
    <w:basedOn w:val="DefaultParagraphFont"/>
    <w:link w:val="Header"/>
    <w:rsid w:val="005A73F5"/>
    <w:rPr>
      <w:sz w:val="24"/>
      <w:szCs w:val="24"/>
    </w:rPr>
  </w:style>
  <w:style w:type="character" w:customStyle="1" w:styleId="Heading1Char">
    <w:name w:val="Heading 1 Char"/>
    <w:basedOn w:val="DefaultParagraphFont"/>
    <w:link w:val="Heading1"/>
    <w:rsid w:val="00DE7171"/>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4327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4FE"/>
    <w:rPr>
      <w:sz w:val="24"/>
      <w:szCs w:val="24"/>
    </w:rPr>
  </w:style>
  <w:style w:type="paragraph" w:styleId="Heading1">
    <w:name w:val="heading 1"/>
    <w:basedOn w:val="Normal"/>
    <w:next w:val="Normal"/>
    <w:link w:val="Heading1Char"/>
    <w:qFormat/>
    <w:rsid w:val="00DE71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304FE"/>
    <w:pPr>
      <w:tabs>
        <w:tab w:val="center" w:pos="4320"/>
        <w:tab w:val="right" w:pos="8640"/>
      </w:tabs>
    </w:pPr>
  </w:style>
  <w:style w:type="character" w:styleId="PageNumber">
    <w:name w:val="page number"/>
    <w:basedOn w:val="DefaultParagraphFont"/>
    <w:rsid w:val="009304FE"/>
  </w:style>
  <w:style w:type="paragraph" w:styleId="FootnoteText">
    <w:name w:val="footnote text"/>
    <w:aliases w:val="Footnote Text Char2,Footnote Text Char1 Char,Footnote Text Char Char Char,Footnote Text Char2 Char Char Char,Footnote Text Char Char1 Char Char Char,Footnote Text Char1 Char Char Char Char Char,ALTS FOOTNOTE,fn,Footnote Text 2"/>
    <w:basedOn w:val="Normal"/>
    <w:link w:val="FootnoteTextChar"/>
    <w:semiHidden/>
    <w:rsid w:val="001A1AD3"/>
    <w:pPr>
      <w:tabs>
        <w:tab w:val="left" w:pos="720"/>
      </w:tabs>
      <w:spacing w:before="120" w:after="120"/>
    </w:pPr>
    <w:rPr>
      <w:rFonts w:ascii="CG Times" w:hAnsi="CG Times"/>
      <w:szCs w:val="20"/>
    </w:rPr>
  </w:style>
  <w:style w:type="character" w:styleId="FootnoteReference">
    <w:name w:val="footnote reference"/>
    <w:aliases w:val="o,fr"/>
    <w:basedOn w:val="DefaultParagraphFont"/>
    <w:rsid w:val="001A1AD3"/>
    <w:rPr>
      <w:sz w:val="26"/>
      <w:szCs w:val="26"/>
      <w:vertAlign w:val="superscript"/>
    </w:rPr>
  </w:style>
  <w:style w:type="paragraph" w:styleId="BodyText">
    <w:name w:val="Body Text"/>
    <w:basedOn w:val="Normal"/>
    <w:rsid w:val="001A1AD3"/>
    <w:pPr>
      <w:spacing w:line="360" w:lineRule="auto"/>
    </w:pPr>
    <w:rPr>
      <w:sz w:val="26"/>
      <w:szCs w:val="20"/>
    </w:rPr>
  </w:style>
  <w:style w:type="paragraph" w:customStyle="1" w:styleId="ParaTab1">
    <w:name w:val="ParaTab 1"/>
    <w:rsid w:val="009834E9"/>
    <w:pPr>
      <w:tabs>
        <w:tab w:val="left" w:pos="-720"/>
      </w:tabs>
      <w:suppressAutoHyphens/>
      <w:autoSpaceDE w:val="0"/>
      <w:autoSpaceDN w:val="0"/>
      <w:ind w:firstLine="1440"/>
    </w:pPr>
    <w:rPr>
      <w:rFonts w:ascii="CG Times" w:hAnsi="CG Times" w:cs="CG Times"/>
      <w:sz w:val="24"/>
      <w:szCs w:val="24"/>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fn Char"/>
    <w:basedOn w:val="DefaultParagraphFont"/>
    <w:link w:val="FootnoteText"/>
    <w:semiHidden/>
    <w:rsid w:val="00E62C20"/>
    <w:rPr>
      <w:rFonts w:ascii="CG Times" w:hAnsi="CG Times"/>
      <w:sz w:val="24"/>
    </w:rPr>
  </w:style>
  <w:style w:type="paragraph" w:customStyle="1" w:styleId="TxBrp4">
    <w:name w:val="TxBr_p4"/>
    <w:basedOn w:val="Normal"/>
    <w:rsid w:val="002A076C"/>
    <w:pPr>
      <w:widowControl w:val="0"/>
      <w:tabs>
        <w:tab w:val="left" w:pos="810"/>
      </w:tabs>
      <w:spacing w:line="266" w:lineRule="atLeast"/>
      <w:ind w:firstLine="811"/>
    </w:pPr>
    <w:rPr>
      <w:snapToGrid w:val="0"/>
      <w:szCs w:val="20"/>
    </w:rPr>
  </w:style>
  <w:style w:type="paragraph" w:styleId="PlainText">
    <w:name w:val="Plain Text"/>
    <w:basedOn w:val="Normal"/>
    <w:link w:val="PlainTextChar"/>
    <w:uiPriority w:val="99"/>
    <w:unhideWhenUsed/>
    <w:rsid w:val="0044234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4234F"/>
    <w:rPr>
      <w:rFonts w:ascii="Consolas" w:eastAsiaTheme="minorHAnsi" w:hAnsi="Consolas" w:cstheme="minorBidi"/>
      <w:sz w:val="21"/>
      <w:szCs w:val="21"/>
    </w:rPr>
  </w:style>
  <w:style w:type="table" w:styleId="TableGrid">
    <w:name w:val="Table Grid"/>
    <w:basedOn w:val="TableNormal"/>
    <w:rsid w:val="00823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5BCB"/>
    <w:pPr>
      <w:ind w:left="720"/>
      <w:contextualSpacing/>
    </w:pPr>
  </w:style>
  <w:style w:type="paragraph" w:styleId="BalloonText">
    <w:name w:val="Balloon Text"/>
    <w:basedOn w:val="Normal"/>
    <w:link w:val="BalloonTextChar"/>
    <w:rsid w:val="009C059F"/>
    <w:rPr>
      <w:rFonts w:ascii="Tahoma" w:hAnsi="Tahoma" w:cs="Tahoma"/>
      <w:sz w:val="16"/>
      <w:szCs w:val="16"/>
    </w:rPr>
  </w:style>
  <w:style w:type="character" w:customStyle="1" w:styleId="BalloonTextChar">
    <w:name w:val="Balloon Text Char"/>
    <w:basedOn w:val="DefaultParagraphFont"/>
    <w:link w:val="BalloonText"/>
    <w:rsid w:val="009C059F"/>
    <w:rPr>
      <w:rFonts w:ascii="Tahoma" w:hAnsi="Tahoma" w:cs="Tahoma"/>
      <w:sz w:val="16"/>
      <w:szCs w:val="16"/>
    </w:rPr>
  </w:style>
  <w:style w:type="paragraph" w:styleId="Header">
    <w:name w:val="header"/>
    <w:basedOn w:val="Normal"/>
    <w:link w:val="HeaderChar"/>
    <w:rsid w:val="005A73F5"/>
    <w:pPr>
      <w:tabs>
        <w:tab w:val="center" w:pos="4680"/>
        <w:tab w:val="right" w:pos="9360"/>
      </w:tabs>
    </w:pPr>
  </w:style>
  <w:style w:type="character" w:customStyle="1" w:styleId="HeaderChar">
    <w:name w:val="Header Char"/>
    <w:basedOn w:val="DefaultParagraphFont"/>
    <w:link w:val="Header"/>
    <w:rsid w:val="005A73F5"/>
    <w:rPr>
      <w:sz w:val="24"/>
      <w:szCs w:val="24"/>
    </w:rPr>
  </w:style>
  <w:style w:type="character" w:customStyle="1" w:styleId="Heading1Char">
    <w:name w:val="Heading 1 Char"/>
    <w:basedOn w:val="DefaultParagraphFont"/>
    <w:link w:val="Heading1"/>
    <w:rsid w:val="00DE7171"/>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4327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CFD33-BFF4-41B4-A30F-A9E7FCDE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14</Pages>
  <Words>3616</Words>
  <Characters>20613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24181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Farner, Joyce</cp:lastModifiedBy>
  <cp:revision>45</cp:revision>
  <cp:lastPrinted>2012-11-08T17:20:00Z</cp:lastPrinted>
  <dcterms:created xsi:type="dcterms:W3CDTF">2012-10-26T13:15:00Z</dcterms:created>
  <dcterms:modified xsi:type="dcterms:W3CDTF">2012-11-08T17:20:00Z</dcterms:modified>
</cp:coreProperties>
</file>