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974" w:rsidRDefault="001F1974" w:rsidP="001F1974">
      <w:pPr>
        <w:spacing w:line="240" w:lineRule="auto"/>
        <w:rPr>
          <w:b/>
        </w:rPr>
      </w:pPr>
    </w:p>
    <w:p w:rsidR="00916034" w:rsidRDefault="00916034" w:rsidP="001F1974">
      <w:pPr>
        <w:spacing w:line="240" w:lineRule="auto"/>
        <w:rPr>
          <w:b/>
        </w:rPr>
      </w:pPr>
      <w:r>
        <w:rPr>
          <w:b/>
        </w:rPr>
        <w:t>BEFORE THE</w:t>
      </w:r>
    </w:p>
    <w:p w:rsidR="00916034" w:rsidRDefault="00916034" w:rsidP="001F1974">
      <w:pPr>
        <w:spacing w:line="240" w:lineRule="auto"/>
        <w:rPr>
          <w:b/>
        </w:rPr>
      </w:pPr>
      <w:r>
        <w:rPr>
          <w:b/>
        </w:rPr>
        <w:t>PENNSYLVANIA PUBLIC UTILITY COMMISSION</w:t>
      </w:r>
    </w:p>
    <w:p w:rsidR="00916034" w:rsidRDefault="00916034" w:rsidP="001F1974">
      <w:pPr>
        <w:spacing w:line="240" w:lineRule="auto"/>
        <w:rPr>
          <w:b/>
        </w:rPr>
      </w:pPr>
    </w:p>
    <w:p w:rsidR="001F1974" w:rsidRDefault="001F1974" w:rsidP="001F1974">
      <w:pPr>
        <w:spacing w:line="240" w:lineRule="auto"/>
        <w:rPr>
          <w:b/>
        </w:rPr>
      </w:pPr>
    </w:p>
    <w:p w:rsidR="001F1974" w:rsidRDefault="001F1974" w:rsidP="001F1974">
      <w:pPr>
        <w:spacing w:line="240" w:lineRule="auto"/>
        <w:rPr>
          <w:b/>
        </w:rPr>
      </w:pPr>
    </w:p>
    <w:p w:rsidR="00916034" w:rsidRDefault="00916034" w:rsidP="001F1974">
      <w:pPr>
        <w:spacing w:line="240" w:lineRule="auto"/>
        <w:jc w:val="left"/>
      </w:pPr>
      <w:r>
        <w:t>Petition of PPL Electric Utilities</w:t>
      </w:r>
      <w:r>
        <w:tab/>
      </w:r>
      <w:r>
        <w:tab/>
        <w:t>:</w:t>
      </w:r>
    </w:p>
    <w:p w:rsidR="00916034" w:rsidRDefault="00916034" w:rsidP="001F1974">
      <w:pPr>
        <w:spacing w:line="240" w:lineRule="auto"/>
        <w:jc w:val="left"/>
      </w:pPr>
      <w:r>
        <w:t>Corporation for Approval of a Default</w:t>
      </w:r>
      <w:r>
        <w:tab/>
        <w:t>:</w:t>
      </w:r>
    </w:p>
    <w:p w:rsidR="00916034" w:rsidRDefault="00916034" w:rsidP="001F1974">
      <w:pPr>
        <w:spacing w:line="240" w:lineRule="auto"/>
        <w:jc w:val="left"/>
      </w:pPr>
      <w:r>
        <w:t>Service Program and Procurement</w:t>
      </w:r>
      <w:r>
        <w:tab/>
      </w:r>
      <w:r>
        <w:tab/>
        <w:t>:</w:t>
      </w:r>
      <w:r>
        <w:tab/>
      </w:r>
      <w:r>
        <w:tab/>
      </w:r>
      <w:r>
        <w:tab/>
        <w:t>P-2012-2302074</w:t>
      </w:r>
    </w:p>
    <w:p w:rsidR="00916034" w:rsidRDefault="00916034" w:rsidP="001F1974">
      <w:pPr>
        <w:spacing w:line="240" w:lineRule="auto"/>
        <w:jc w:val="left"/>
      </w:pPr>
      <w:r>
        <w:t>Plan for the Period June 1, 2013</w:t>
      </w:r>
      <w:r>
        <w:tab/>
      </w:r>
      <w:r>
        <w:tab/>
        <w:t>:</w:t>
      </w:r>
    </w:p>
    <w:p w:rsidR="00916034" w:rsidRDefault="00916034" w:rsidP="001F1974">
      <w:pPr>
        <w:spacing w:line="240" w:lineRule="auto"/>
        <w:jc w:val="left"/>
      </w:pPr>
      <w:r>
        <w:t>Through May 31, 2015</w:t>
      </w:r>
      <w:r>
        <w:tab/>
      </w:r>
      <w:r>
        <w:tab/>
      </w:r>
      <w:r>
        <w:tab/>
        <w:t>:</w:t>
      </w:r>
    </w:p>
    <w:p w:rsidR="00916034" w:rsidRDefault="00916034" w:rsidP="001F1974">
      <w:pPr>
        <w:spacing w:line="240" w:lineRule="auto"/>
        <w:jc w:val="left"/>
      </w:pPr>
    </w:p>
    <w:p w:rsidR="001F1974" w:rsidRDefault="001F1974" w:rsidP="001F1974">
      <w:pPr>
        <w:spacing w:line="240" w:lineRule="auto"/>
        <w:jc w:val="left"/>
      </w:pPr>
    </w:p>
    <w:p w:rsidR="00916034" w:rsidRDefault="00916034" w:rsidP="001F1974">
      <w:pPr>
        <w:spacing w:line="240" w:lineRule="auto"/>
      </w:pPr>
    </w:p>
    <w:p w:rsidR="00916034" w:rsidRDefault="00DD5958" w:rsidP="001F1974">
      <w:pPr>
        <w:spacing w:line="240" w:lineRule="auto"/>
        <w:rPr>
          <w:b/>
        </w:rPr>
      </w:pPr>
      <w:r>
        <w:rPr>
          <w:b/>
        </w:rPr>
        <w:t>RECOMMENDED DECISION</w:t>
      </w:r>
    </w:p>
    <w:p w:rsidR="00DD5958" w:rsidRDefault="00DD5958" w:rsidP="001F1974">
      <w:pPr>
        <w:spacing w:line="240" w:lineRule="auto"/>
        <w:rPr>
          <w:b/>
        </w:rPr>
      </w:pPr>
    </w:p>
    <w:p w:rsidR="001F1974" w:rsidRDefault="001F1974" w:rsidP="001F1974">
      <w:pPr>
        <w:spacing w:line="240" w:lineRule="auto"/>
        <w:rPr>
          <w:b/>
        </w:rPr>
      </w:pPr>
    </w:p>
    <w:p w:rsidR="00DD5958" w:rsidRDefault="00DD5958" w:rsidP="001F1974">
      <w:pPr>
        <w:spacing w:line="240" w:lineRule="auto"/>
      </w:pPr>
      <w:r>
        <w:t>Before</w:t>
      </w:r>
    </w:p>
    <w:p w:rsidR="00DD5958" w:rsidRDefault="00DD5958" w:rsidP="001F1974">
      <w:pPr>
        <w:spacing w:line="240" w:lineRule="auto"/>
      </w:pPr>
      <w:r>
        <w:t>Susan D. Colwell</w:t>
      </w:r>
    </w:p>
    <w:p w:rsidR="00DD5958" w:rsidRDefault="00DD5958" w:rsidP="001F1974">
      <w:pPr>
        <w:spacing w:line="240" w:lineRule="auto"/>
      </w:pPr>
      <w:r>
        <w:t>Administrative Law Judge</w:t>
      </w:r>
    </w:p>
    <w:p w:rsidR="001050F4" w:rsidRDefault="001050F4" w:rsidP="001F1974">
      <w:pPr>
        <w:spacing w:line="240" w:lineRule="auto"/>
      </w:pPr>
    </w:p>
    <w:p w:rsidR="001050F4" w:rsidRDefault="001050F4" w:rsidP="001F1974">
      <w:pPr>
        <w:spacing w:line="240" w:lineRule="auto"/>
      </w:pPr>
    </w:p>
    <w:p w:rsidR="00DD5958" w:rsidRDefault="00DD5958" w:rsidP="001F1974"/>
    <w:p w:rsidR="001050F4" w:rsidRDefault="001050F4" w:rsidP="001F1974">
      <w:pPr>
        <w:sectPr w:rsidR="001050F4" w:rsidSect="00BD137A">
          <w:footerReference w:type="default" r:id="rId9"/>
          <w:pgSz w:w="12240" w:h="15840"/>
          <w:pgMar w:top="1440" w:right="1440" w:bottom="1440" w:left="1440" w:header="720" w:footer="720" w:gutter="0"/>
          <w:cols w:space="720"/>
          <w:titlePg/>
          <w:docGrid w:linePitch="360"/>
        </w:sectPr>
      </w:pPr>
    </w:p>
    <w:p w:rsidR="00DD5958" w:rsidRDefault="000D11CC" w:rsidP="001F1974">
      <w:pPr>
        <w:rPr>
          <w:u w:val="single"/>
        </w:rPr>
      </w:pPr>
      <w:r>
        <w:rPr>
          <w:u w:val="single"/>
        </w:rPr>
        <w:lastRenderedPageBreak/>
        <w:t>TABLE OF CONTENTS</w:t>
      </w:r>
    </w:p>
    <w:p w:rsidR="001F1974" w:rsidRDefault="001F1974" w:rsidP="001F1974">
      <w:pPr>
        <w:rPr>
          <w:u w:val="single"/>
        </w:rPr>
      </w:pPr>
    </w:p>
    <w:p w:rsidR="001F1974" w:rsidRDefault="001F1974" w:rsidP="001F1974">
      <w:pPr>
        <w:rPr>
          <w:u w:val="single"/>
        </w:rPr>
      </w:pPr>
    </w:p>
    <w:p w:rsidR="00560264" w:rsidRPr="00691719" w:rsidRDefault="00560264" w:rsidP="00560264">
      <w:pPr>
        <w:pStyle w:val="TOC1"/>
        <w:rPr>
          <w:noProof/>
        </w:rPr>
      </w:pPr>
      <w:r w:rsidRPr="00691719">
        <w:fldChar w:fldCharType="begin"/>
      </w:r>
      <w:r w:rsidRPr="00691719">
        <w:instrText xml:space="preserve"> TOC \f \p " " \h \z </w:instrText>
      </w:r>
      <w:r w:rsidRPr="00691719">
        <w:fldChar w:fldCharType="separate"/>
      </w:r>
      <w:hyperlink w:anchor="_Toc340669979" w:history="1">
        <w:r w:rsidRPr="00691719">
          <w:rPr>
            <w:rStyle w:val="Hyperlink"/>
            <w:noProof/>
            <w:color w:val="auto"/>
            <w:u w:val="none"/>
          </w:rPr>
          <w:t>I.</w:t>
        </w:r>
        <w:r w:rsidRPr="00691719">
          <w:rPr>
            <w:noProof/>
          </w:rPr>
          <w:tab/>
        </w:r>
        <w:r w:rsidRPr="00691719">
          <w:rPr>
            <w:rStyle w:val="Hyperlink"/>
            <w:noProof/>
            <w:color w:val="auto"/>
            <w:u w:val="none"/>
          </w:rPr>
          <w:t>HISTORY OF THE PROCEEDING</w:t>
        </w:r>
        <w:r w:rsidRPr="00691719">
          <w:rPr>
            <w:rStyle w:val="Hyperlink"/>
            <w:noProof/>
            <w:color w:val="auto"/>
            <w:u w:val="none"/>
          </w:rPr>
          <w:tab/>
        </w:r>
        <w:r w:rsidRPr="00691719">
          <w:rPr>
            <w:noProof/>
            <w:webHidden/>
          </w:rPr>
          <w:fldChar w:fldCharType="begin"/>
        </w:r>
        <w:r w:rsidRPr="00691719">
          <w:rPr>
            <w:noProof/>
            <w:webHidden/>
          </w:rPr>
          <w:instrText xml:space="preserve"> PAGEREF _Toc340669979 \h </w:instrText>
        </w:r>
        <w:r w:rsidRPr="00691719">
          <w:rPr>
            <w:noProof/>
            <w:webHidden/>
          </w:rPr>
        </w:r>
        <w:r w:rsidRPr="00691719">
          <w:rPr>
            <w:noProof/>
            <w:webHidden/>
          </w:rPr>
          <w:fldChar w:fldCharType="separate"/>
        </w:r>
        <w:r w:rsidR="00095D9A">
          <w:rPr>
            <w:noProof/>
            <w:webHidden/>
          </w:rPr>
          <w:t>1</w:t>
        </w:r>
        <w:r w:rsidRPr="00691719">
          <w:rPr>
            <w:noProof/>
            <w:webHidden/>
          </w:rPr>
          <w:fldChar w:fldCharType="end"/>
        </w:r>
      </w:hyperlink>
    </w:p>
    <w:p w:rsidR="00560264" w:rsidRPr="00691719" w:rsidRDefault="00130CEE" w:rsidP="00560264">
      <w:pPr>
        <w:pStyle w:val="TOC1"/>
        <w:rPr>
          <w:noProof/>
        </w:rPr>
      </w:pPr>
      <w:hyperlink w:anchor="_Toc340669980" w:history="1">
        <w:r w:rsidR="00560264" w:rsidRPr="00691719">
          <w:rPr>
            <w:rStyle w:val="Hyperlink"/>
            <w:noProof/>
            <w:color w:val="auto"/>
            <w:u w:val="none"/>
          </w:rPr>
          <w:t>II.</w:t>
        </w:r>
        <w:r w:rsidR="00560264" w:rsidRPr="00691719">
          <w:rPr>
            <w:noProof/>
          </w:rPr>
          <w:tab/>
        </w:r>
        <w:r w:rsidR="00560264" w:rsidRPr="00691719">
          <w:rPr>
            <w:rStyle w:val="Hyperlink"/>
            <w:noProof/>
            <w:color w:val="auto"/>
            <w:u w:val="none"/>
          </w:rPr>
          <w:t>FINDINGS OF FACT</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_Toc340669980 \h </w:instrText>
        </w:r>
        <w:r w:rsidR="00560264" w:rsidRPr="00691719">
          <w:rPr>
            <w:noProof/>
            <w:webHidden/>
          </w:rPr>
        </w:r>
        <w:r w:rsidR="00560264" w:rsidRPr="00691719">
          <w:rPr>
            <w:noProof/>
            <w:webHidden/>
          </w:rPr>
          <w:fldChar w:fldCharType="separate"/>
        </w:r>
        <w:r w:rsidR="00095D9A">
          <w:rPr>
            <w:noProof/>
            <w:webHidden/>
          </w:rPr>
          <w:t>3</w:t>
        </w:r>
        <w:r w:rsidR="00560264" w:rsidRPr="00691719">
          <w:rPr>
            <w:noProof/>
            <w:webHidden/>
          </w:rPr>
          <w:fldChar w:fldCharType="end"/>
        </w:r>
      </w:hyperlink>
    </w:p>
    <w:p w:rsidR="00560264" w:rsidRPr="00691719" w:rsidRDefault="00130CEE" w:rsidP="00560264">
      <w:pPr>
        <w:pStyle w:val="TOC1"/>
        <w:rPr>
          <w:noProof/>
        </w:rPr>
      </w:pPr>
      <w:hyperlink w:anchor="_Toc340669981" w:history="1">
        <w:r w:rsidR="00560264" w:rsidRPr="00691719">
          <w:rPr>
            <w:rStyle w:val="Hyperlink"/>
            <w:noProof/>
            <w:color w:val="auto"/>
            <w:u w:val="none"/>
          </w:rPr>
          <w:t>III.</w:t>
        </w:r>
        <w:r w:rsidR="00560264" w:rsidRPr="00691719">
          <w:rPr>
            <w:noProof/>
          </w:rPr>
          <w:tab/>
        </w:r>
        <w:r w:rsidR="00560264" w:rsidRPr="00691719">
          <w:rPr>
            <w:rStyle w:val="Hyperlink"/>
            <w:noProof/>
            <w:color w:val="auto"/>
            <w:u w:val="none"/>
          </w:rPr>
          <w:t>DISCUSSION</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_Toc340669981 \h </w:instrText>
        </w:r>
        <w:r w:rsidR="00560264" w:rsidRPr="00691719">
          <w:rPr>
            <w:noProof/>
            <w:webHidden/>
          </w:rPr>
        </w:r>
        <w:r w:rsidR="00560264" w:rsidRPr="00691719">
          <w:rPr>
            <w:noProof/>
            <w:webHidden/>
          </w:rPr>
          <w:fldChar w:fldCharType="separate"/>
        </w:r>
        <w:r w:rsidR="00095D9A">
          <w:rPr>
            <w:noProof/>
            <w:webHidden/>
          </w:rPr>
          <w:t>23</w:t>
        </w:r>
        <w:r w:rsidR="00560264" w:rsidRPr="00691719">
          <w:rPr>
            <w:noProof/>
            <w:webHidden/>
          </w:rPr>
          <w:fldChar w:fldCharType="end"/>
        </w:r>
      </w:hyperlink>
    </w:p>
    <w:p w:rsidR="00560264" w:rsidRPr="00691719" w:rsidRDefault="00130CEE" w:rsidP="00560264">
      <w:pPr>
        <w:pStyle w:val="TOC2"/>
        <w:rPr>
          <w:noProof/>
        </w:rPr>
      </w:pPr>
      <w:hyperlink w:anchor="_Toc340669982" w:history="1">
        <w:r w:rsidR="00560264" w:rsidRPr="00691719">
          <w:rPr>
            <w:rStyle w:val="Hyperlink"/>
            <w:noProof/>
            <w:color w:val="auto"/>
            <w:u w:val="none"/>
          </w:rPr>
          <w:t>A.</w:t>
        </w:r>
        <w:r w:rsidR="00560264" w:rsidRPr="00691719">
          <w:rPr>
            <w:noProof/>
          </w:rPr>
          <w:tab/>
        </w:r>
        <w:r w:rsidR="00560264" w:rsidRPr="00691719">
          <w:rPr>
            <w:rStyle w:val="Hyperlink"/>
            <w:noProof/>
            <w:color w:val="auto"/>
            <w:u w:val="none"/>
          </w:rPr>
          <w:t>LEGAL STANDARDS</w:t>
        </w:r>
        <w:r w:rsidR="00560264" w:rsidRPr="00691719">
          <w:rPr>
            <w:rStyle w:val="Hyperlink"/>
            <w:noProof/>
            <w:color w:val="auto"/>
            <w:u w:val="none"/>
          </w:rPr>
          <w:tab/>
        </w:r>
        <w:r w:rsidR="00560264" w:rsidRPr="00691719">
          <w:rPr>
            <w:noProof/>
            <w:webHidden/>
          </w:rPr>
          <w:fldChar w:fldCharType="begin"/>
        </w:r>
        <w:r w:rsidR="00560264" w:rsidRPr="00691719">
          <w:rPr>
            <w:noProof/>
            <w:webHidden/>
          </w:rPr>
          <w:instrText xml:space="preserve"> PAGEREF _Toc340669982 \h </w:instrText>
        </w:r>
        <w:r w:rsidR="00560264" w:rsidRPr="00691719">
          <w:rPr>
            <w:noProof/>
            <w:webHidden/>
          </w:rPr>
        </w:r>
        <w:r w:rsidR="00560264" w:rsidRPr="00691719">
          <w:rPr>
            <w:noProof/>
            <w:webHidden/>
          </w:rPr>
          <w:fldChar w:fldCharType="separate"/>
        </w:r>
        <w:r w:rsidR="00095D9A">
          <w:rPr>
            <w:noProof/>
            <w:webHidden/>
          </w:rPr>
          <w:t>23</w:t>
        </w:r>
        <w:r w:rsidR="00560264" w:rsidRPr="00691719">
          <w:rPr>
            <w:noProof/>
            <w:webHidden/>
          </w:rPr>
          <w:fldChar w:fldCharType="end"/>
        </w:r>
      </w:hyperlink>
    </w:p>
    <w:p w:rsidR="00560264" w:rsidRPr="00691719" w:rsidRDefault="00130CEE" w:rsidP="00691719">
      <w:pPr>
        <w:pStyle w:val="TOC3"/>
        <w:rPr>
          <w:noProof/>
        </w:rPr>
      </w:pPr>
      <w:hyperlink w:anchor="_Toc340669983" w:history="1">
        <w:r w:rsidR="00560264" w:rsidRPr="00691719">
          <w:rPr>
            <w:rStyle w:val="Hyperlink"/>
            <w:noProof/>
            <w:color w:val="auto"/>
            <w:u w:val="none"/>
          </w:rPr>
          <w:t>1.</w:t>
        </w:r>
        <w:r w:rsidR="00560264" w:rsidRPr="00691719">
          <w:rPr>
            <w:noProof/>
          </w:rPr>
          <w:tab/>
        </w:r>
        <w:r w:rsidR="00560264" w:rsidRPr="00691719">
          <w:rPr>
            <w:rStyle w:val="Hyperlink"/>
            <w:noProof/>
            <w:color w:val="auto"/>
            <w:u w:val="none"/>
          </w:rPr>
          <w:t>Burden of Proof</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_Toc340669983 \h </w:instrText>
        </w:r>
        <w:r w:rsidR="00560264" w:rsidRPr="00691719">
          <w:rPr>
            <w:noProof/>
            <w:webHidden/>
          </w:rPr>
        </w:r>
        <w:r w:rsidR="00560264" w:rsidRPr="00691719">
          <w:rPr>
            <w:noProof/>
            <w:webHidden/>
          </w:rPr>
          <w:fldChar w:fldCharType="separate"/>
        </w:r>
        <w:r w:rsidR="00095D9A">
          <w:rPr>
            <w:noProof/>
            <w:webHidden/>
          </w:rPr>
          <w:t>23</w:t>
        </w:r>
        <w:r w:rsidR="00560264" w:rsidRPr="00691719">
          <w:rPr>
            <w:noProof/>
            <w:webHidden/>
          </w:rPr>
          <w:fldChar w:fldCharType="end"/>
        </w:r>
      </w:hyperlink>
    </w:p>
    <w:p w:rsidR="00560264" w:rsidRPr="00691719" w:rsidRDefault="00130CEE" w:rsidP="00691719">
      <w:pPr>
        <w:pStyle w:val="TOC3"/>
        <w:rPr>
          <w:noProof/>
        </w:rPr>
      </w:pPr>
      <w:hyperlink w:anchor="_Toc340669984" w:history="1">
        <w:r w:rsidR="00560264" w:rsidRPr="00691719">
          <w:rPr>
            <w:rStyle w:val="Hyperlink"/>
            <w:noProof/>
            <w:color w:val="auto"/>
            <w:u w:val="none"/>
          </w:rPr>
          <w:t>2.</w:t>
        </w:r>
        <w:r w:rsidR="00560264" w:rsidRPr="00691719">
          <w:rPr>
            <w:noProof/>
          </w:rPr>
          <w:tab/>
        </w:r>
        <w:r w:rsidR="00560264" w:rsidRPr="00691719">
          <w:rPr>
            <w:rStyle w:val="Hyperlink"/>
            <w:noProof/>
            <w:color w:val="auto"/>
            <w:u w:val="none"/>
          </w:rPr>
          <w:t>Standards for Default Service</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_Toc340669984 \h </w:instrText>
        </w:r>
        <w:r w:rsidR="00560264" w:rsidRPr="00691719">
          <w:rPr>
            <w:noProof/>
            <w:webHidden/>
          </w:rPr>
        </w:r>
        <w:r w:rsidR="00560264" w:rsidRPr="00691719">
          <w:rPr>
            <w:noProof/>
            <w:webHidden/>
          </w:rPr>
          <w:fldChar w:fldCharType="separate"/>
        </w:r>
        <w:r w:rsidR="00095D9A">
          <w:rPr>
            <w:noProof/>
            <w:webHidden/>
          </w:rPr>
          <w:t>24</w:t>
        </w:r>
        <w:r w:rsidR="00560264" w:rsidRPr="00691719">
          <w:rPr>
            <w:noProof/>
            <w:webHidden/>
          </w:rPr>
          <w:fldChar w:fldCharType="end"/>
        </w:r>
      </w:hyperlink>
    </w:p>
    <w:p w:rsidR="00560264" w:rsidRPr="00691719" w:rsidRDefault="00130CEE" w:rsidP="00560264">
      <w:pPr>
        <w:pStyle w:val="TOC2"/>
        <w:rPr>
          <w:noProof/>
        </w:rPr>
      </w:pPr>
      <w:hyperlink w:anchor="_Toc340669985" w:history="1">
        <w:r w:rsidR="00560264" w:rsidRPr="00691719">
          <w:rPr>
            <w:rStyle w:val="Hyperlink"/>
            <w:noProof/>
            <w:color w:val="auto"/>
            <w:u w:val="none"/>
          </w:rPr>
          <w:t>B.</w:t>
        </w:r>
        <w:r w:rsidR="00560264" w:rsidRPr="00691719">
          <w:rPr>
            <w:noProof/>
          </w:rPr>
          <w:tab/>
        </w:r>
        <w:r w:rsidR="00560264" w:rsidRPr="00691719">
          <w:rPr>
            <w:rStyle w:val="Hyperlink"/>
            <w:noProof/>
            <w:color w:val="auto"/>
            <w:u w:val="none"/>
          </w:rPr>
          <w:t>Description of the Default Service Plan II</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_Toc340669985 \h </w:instrText>
        </w:r>
        <w:r w:rsidR="00560264" w:rsidRPr="00691719">
          <w:rPr>
            <w:noProof/>
            <w:webHidden/>
          </w:rPr>
        </w:r>
        <w:r w:rsidR="00560264" w:rsidRPr="00691719">
          <w:rPr>
            <w:noProof/>
            <w:webHidden/>
          </w:rPr>
          <w:fldChar w:fldCharType="separate"/>
        </w:r>
        <w:r w:rsidR="00095D9A">
          <w:rPr>
            <w:noProof/>
            <w:webHidden/>
          </w:rPr>
          <w:t>25</w:t>
        </w:r>
        <w:r w:rsidR="00560264" w:rsidRPr="00691719">
          <w:rPr>
            <w:noProof/>
            <w:webHidden/>
          </w:rPr>
          <w:fldChar w:fldCharType="end"/>
        </w:r>
      </w:hyperlink>
    </w:p>
    <w:p w:rsidR="00560264" w:rsidRPr="00691719" w:rsidRDefault="00130CEE" w:rsidP="00691719">
      <w:pPr>
        <w:pStyle w:val="TOC3"/>
        <w:rPr>
          <w:noProof/>
        </w:rPr>
      </w:pPr>
      <w:hyperlink w:anchor="_Toc340669986" w:history="1">
        <w:r w:rsidR="00560264" w:rsidRPr="00691719">
          <w:rPr>
            <w:rStyle w:val="Hyperlink"/>
            <w:noProof/>
            <w:color w:val="auto"/>
            <w:u w:val="none"/>
          </w:rPr>
          <w:t>1.</w:t>
        </w:r>
        <w:r w:rsidR="00560264" w:rsidRPr="00691719">
          <w:rPr>
            <w:noProof/>
          </w:rPr>
          <w:tab/>
        </w:r>
        <w:r w:rsidR="00560264" w:rsidRPr="00691719">
          <w:rPr>
            <w:rStyle w:val="Hyperlink"/>
            <w:noProof/>
            <w:color w:val="auto"/>
            <w:u w:val="none"/>
          </w:rPr>
          <w:t>Class Procurements</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_Toc340669986 \h </w:instrText>
        </w:r>
        <w:r w:rsidR="00560264" w:rsidRPr="00691719">
          <w:rPr>
            <w:noProof/>
            <w:webHidden/>
          </w:rPr>
        </w:r>
        <w:r w:rsidR="00560264" w:rsidRPr="00691719">
          <w:rPr>
            <w:noProof/>
            <w:webHidden/>
          </w:rPr>
          <w:fldChar w:fldCharType="separate"/>
        </w:r>
        <w:r w:rsidR="00095D9A">
          <w:rPr>
            <w:noProof/>
            <w:webHidden/>
          </w:rPr>
          <w:t>27</w:t>
        </w:r>
        <w:r w:rsidR="00560264" w:rsidRPr="00691719">
          <w:rPr>
            <w:noProof/>
            <w:webHidden/>
          </w:rPr>
          <w:fldChar w:fldCharType="end"/>
        </w:r>
      </w:hyperlink>
    </w:p>
    <w:p w:rsidR="00560264" w:rsidRPr="00691719" w:rsidRDefault="00560264" w:rsidP="00691719">
      <w:pPr>
        <w:pStyle w:val="TOC4"/>
        <w:rPr>
          <w:noProof/>
        </w:rPr>
      </w:pPr>
      <w:r w:rsidRPr="00691719">
        <w:rPr>
          <w:rStyle w:val="Hyperlink"/>
          <w:noProof/>
          <w:color w:val="auto"/>
          <w:u w:val="none"/>
        </w:rPr>
        <w:t>a.</w:t>
      </w:r>
      <w:r w:rsidRPr="00691719">
        <w:rPr>
          <w:rStyle w:val="Hyperlink"/>
          <w:noProof/>
          <w:color w:val="auto"/>
          <w:u w:val="none"/>
        </w:rPr>
        <w:tab/>
      </w:r>
      <w:hyperlink w:anchor="_Toc340669987" w:history="1">
        <w:r w:rsidRPr="00691719">
          <w:rPr>
            <w:rStyle w:val="Hyperlink"/>
            <w:noProof/>
            <w:color w:val="auto"/>
            <w:u w:val="none"/>
          </w:rPr>
          <w:t>Residential - Fixed Rate</w:t>
        </w:r>
        <w:r w:rsidRPr="00691719">
          <w:rPr>
            <w:noProof/>
            <w:webHidden/>
          </w:rPr>
          <w:tab/>
        </w:r>
        <w:r w:rsidRPr="00691719">
          <w:rPr>
            <w:noProof/>
            <w:webHidden/>
          </w:rPr>
          <w:fldChar w:fldCharType="begin"/>
        </w:r>
        <w:r w:rsidRPr="00691719">
          <w:rPr>
            <w:noProof/>
            <w:webHidden/>
          </w:rPr>
          <w:instrText xml:space="preserve"> PAGEREF _Toc340669987 \h </w:instrText>
        </w:r>
        <w:r w:rsidRPr="00691719">
          <w:rPr>
            <w:noProof/>
            <w:webHidden/>
          </w:rPr>
        </w:r>
        <w:r w:rsidRPr="00691719">
          <w:rPr>
            <w:noProof/>
            <w:webHidden/>
          </w:rPr>
          <w:fldChar w:fldCharType="separate"/>
        </w:r>
        <w:r w:rsidR="00095D9A">
          <w:rPr>
            <w:noProof/>
            <w:webHidden/>
          </w:rPr>
          <w:t>27</w:t>
        </w:r>
        <w:r w:rsidRPr="00691719">
          <w:rPr>
            <w:noProof/>
            <w:webHidden/>
          </w:rPr>
          <w:fldChar w:fldCharType="end"/>
        </w:r>
      </w:hyperlink>
    </w:p>
    <w:p w:rsidR="00560264" w:rsidRPr="00691719" w:rsidRDefault="00130CEE" w:rsidP="00691719">
      <w:pPr>
        <w:pStyle w:val="TOC5"/>
        <w:rPr>
          <w:noProof/>
        </w:rPr>
      </w:pPr>
      <w:hyperlink w:anchor="_Toc340669988" w:history="1">
        <w:r w:rsidR="00560264" w:rsidRPr="00691719">
          <w:rPr>
            <w:rStyle w:val="Hyperlink"/>
            <w:noProof/>
            <w:color w:val="auto"/>
            <w:u w:val="none"/>
          </w:rPr>
          <w:t>i.</w:t>
        </w:r>
        <w:r w:rsidR="00560264" w:rsidRPr="00691719">
          <w:rPr>
            <w:noProof/>
          </w:rPr>
          <w:tab/>
        </w:r>
        <w:r w:rsidR="00560264" w:rsidRPr="00691719">
          <w:rPr>
            <w:rStyle w:val="Hyperlink"/>
            <w:noProof/>
            <w:color w:val="auto"/>
            <w:u w:val="none"/>
          </w:rPr>
          <w:t>Product Mixture</w:t>
        </w:r>
        <w:r w:rsidR="00560264" w:rsidRPr="00691719">
          <w:rPr>
            <w:rStyle w:val="Hyperlink"/>
            <w:noProof/>
            <w:color w:val="auto"/>
            <w:u w:val="none"/>
          </w:rPr>
          <w:tab/>
        </w:r>
        <w:r w:rsidR="00560264" w:rsidRPr="00691719">
          <w:rPr>
            <w:noProof/>
            <w:webHidden/>
          </w:rPr>
          <w:fldChar w:fldCharType="begin"/>
        </w:r>
        <w:r w:rsidR="00560264" w:rsidRPr="00691719">
          <w:rPr>
            <w:noProof/>
            <w:webHidden/>
          </w:rPr>
          <w:instrText xml:space="preserve"> PAGEREF _Toc340669988 \h </w:instrText>
        </w:r>
        <w:r w:rsidR="00560264" w:rsidRPr="00691719">
          <w:rPr>
            <w:noProof/>
            <w:webHidden/>
          </w:rPr>
        </w:r>
        <w:r w:rsidR="00560264" w:rsidRPr="00691719">
          <w:rPr>
            <w:noProof/>
            <w:webHidden/>
          </w:rPr>
          <w:fldChar w:fldCharType="separate"/>
        </w:r>
        <w:r w:rsidR="00095D9A">
          <w:rPr>
            <w:noProof/>
            <w:webHidden/>
          </w:rPr>
          <w:t>27</w:t>
        </w:r>
        <w:r w:rsidR="00560264" w:rsidRPr="00691719">
          <w:rPr>
            <w:noProof/>
            <w:webHidden/>
          </w:rPr>
          <w:fldChar w:fldCharType="end"/>
        </w:r>
      </w:hyperlink>
    </w:p>
    <w:p w:rsidR="00560264" w:rsidRPr="00691719" w:rsidRDefault="00130CEE" w:rsidP="00691719">
      <w:pPr>
        <w:pStyle w:val="TOC5"/>
        <w:rPr>
          <w:noProof/>
        </w:rPr>
      </w:pPr>
      <w:hyperlink w:anchor="_Toc340669989" w:history="1">
        <w:r w:rsidR="00560264" w:rsidRPr="00691719">
          <w:rPr>
            <w:rStyle w:val="Hyperlink"/>
            <w:noProof/>
            <w:color w:val="auto"/>
            <w:u w:val="none"/>
          </w:rPr>
          <w:t>ii.</w:t>
        </w:r>
        <w:r w:rsidR="00560264" w:rsidRPr="00691719">
          <w:rPr>
            <w:noProof/>
          </w:rPr>
          <w:tab/>
        </w:r>
        <w:r w:rsidR="00560264" w:rsidRPr="00691719">
          <w:rPr>
            <w:rStyle w:val="Hyperlink"/>
            <w:noProof/>
            <w:color w:val="auto"/>
            <w:u w:val="none"/>
          </w:rPr>
          <w:t>Procurement Schedule</w:t>
        </w:r>
        <w:r w:rsidR="00560264" w:rsidRPr="00691719">
          <w:rPr>
            <w:rStyle w:val="Hyperlink"/>
            <w:noProof/>
            <w:color w:val="auto"/>
            <w:u w:val="none"/>
          </w:rPr>
          <w:tab/>
        </w:r>
        <w:r w:rsidR="00560264" w:rsidRPr="00691719">
          <w:rPr>
            <w:noProof/>
            <w:webHidden/>
          </w:rPr>
          <w:fldChar w:fldCharType="begin"/>
        </w:r>
        <w:r w:rsidR="00560264" w:rsidRPr="00691719">
          <w:rPr>
            <w:noProof/>
            <w:webHidden/>
          </w:rPr>
          <w:instrText xml:space="preserve"> PAGEREF _Toc340669989 \h </w:instrText>
        </w:r>
        <w:r w:rsidR="00560264" w:rsidRPr="00691719">
          <w:rPr>
            <w:noProof/>
            <w:webHidden/>
          </w:rPr>
        </w:r>
        <w:r w:rsidR="00560264" w:rsidRPr="00691719">
          <w:rPr>
            <w:noProof/>
            <w:webHidden/>
          </w:rPr>
          <w:fldChar w:fldCharType="separate"/>
        </w:r>
        <w:r w:rsidR="00095D9A">
          <w:rPr>
            <w:noProof/>
            <w:webHidden/>
          </w:rPr>
          <w:t>39</w:t>
        </w:r>
        <w:r w:rsidR="00560264" w:rsidRPr="00691719">
          <w:rPr>
            <w:noProof/>
            <w:webHidden/>
          </w:rPr>
          <w:fldChar w:fldCharType="end"/>
        </w:r>
      </w:hyperlink>
    </w:p>
    <w:p w:rsidR="00560264" w:rsidRPr="00691719" w:rsidRDefault="00130CEE" w:rsidP="00691719">
      <w:pPr>
        <w:pStyle w:val="TOC5"/>
        <w:rPr>
          <w:noProof/>
        </w:rPr>
      </w:pPr>
      <w:hyperlink w:anchor="_Toc340669990" w:history="1">
        <w:r w:rsidR="00560264" w:rsidRPr="00691719">
          <w:rPr>
            <w:rStyle w:val="Hyperlink"/>
            <w:noProof/>
            <w:color w:val="auto"/>
            <w:u w:val="none"/>
          </w:rPr>
          <w:t>iii.</w:t>
        </w:r>
        <w:r w:rsidR="00560264" w:rsidRPr="00691719">
          <w:rPr>
            <w:noProof/>
          </w:rPr>
          <w:tab/>
        </w:r>
        <w:r w:rsidR="00560264" w:rsidRPr="00691719">
          <w:rPr>
            <w:rStyle w:val="Hyperlink"/>
            <w:noProof/>
            <w:color w:val="auto"/>
            <w:u w:val="none"/>
          </w:rPr>
          <w:t>Wholesale Supplier Load Cap</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_Toc340669990 \h </w:instrText>
        </w:r>
        <w:r w:rsidR="00560264" w:rsidRPr="00691719">
          <w:rPr>
            <w:noProof/>
            <w:webHidden/>
          </w:rPr>
        </w:r>
        <w:r w:rsidR="00560264" w:rsidRPr="00691719">
          <w:rPr>
            <w:noProof/>
            <w:webHidden/>
          </w:rPr>
          <w:fldChar w:fldCharType="separate"/>
        </w:r>
        <w:r w:rsidR="00095D9A">
          <w:rPr>
            <w:noProof/>
            <w:webHidden/>
          </w:rPr>
          <w:t>41</w:t>
        </w:r>
        <w:r w:rsidR="00560264" w:rsidRPr="00691719">
          <w:rPr>
            <w:noProof/>
            <w:webHidden/>
          </w:rPr>
          <w:fldChar w:fldCharType="end"/>
        </w:r>
      </w:hyperlink>
    </w:p>
    <w:p w:rsidR="00560264" w:rsidRPr="00691719" w:rsidRDefault="00560264" w:rsidP="00691719">
      <w:pPr>
        <w:pStyle w:val="TOC4"/>
        <w:rPr>
          <w:noProof/>
        </w:rPr>
      </w:pPr>
      <w:r w:rsidRPr="00691719">
        <w:rPr>
          <w:rStyle w:val="Hyperlink"/>
          <w:noProof/>
          <w:color w:val="auto"/>
          <w:u w:val="none"/>
        </w:rPr>
        <w:t>b.</w:t>
      </w:r>
      <w:r w:rsidRPr="00691719">
        <w:rPr>
          <w:rStyle w:val="Hyperlink"/>
          <w:noProof/>
          <w:color w:val="auto"/>
          <w:u w:val="none"/>
        </w:rPr>
        <w:tab/>
      </w:r>
      <w:hyperlink w:anchor="_Toc340669991" w:history="1">
        <w:r w:rsidRPr="00691719">
          <w:rPr>
            <w:rStyle w:val="Hyperlink"/>
            <w:noProof/>
            <w:color w:val="auto"/>
            <w:u w:val="none"/>
          </w:rPr>
          <w:t>Small C&amp;I - Fixed Rate</w:t>
        </w:r>
        <w:r w:rsidRPr="00691719">
          <w:rPr>
            <w:noProof/>
            <w:webHidden/>
          </w:rPr>
          <w:t xml:space="preserve"> </w:t>
        </w:r>
        <w:r w:rsidRPr="00691719">
          <w:rPr>
            <w:noProof/>
            <w:webHidden/>
          </w:rPr>
          <w:tab/>
        </w:r>
        <w:r w:rsidRPr="00691719">
          <w:rPr>
            <w:noProof/>
            <w:webHidden/>
          </w:rPr>
          <w:fldChar w:fldCharType="begin"/>
        </w:r>
        <w:r w:rsidRPr="00691719">
          <w:rPr>
            <w:noProof/>
            <w:webHidden/>
          </w:rPr>
          <w:instrText xml:space="preserve"> PAGEREF _Toc340669991 \h </w:instrText>
        </w:r>
        <w:r w:rsidRPr="00691719">
          <w:rPr>
            <w:noProof/>
            <w:webHidden/>
          </w:rPr>
        </w:r>
        <w:r w:rsidRPr="00691719">
          <w:rPr>
            <w:noProof/>
            <w:webHidden/>
          </w:rPr>
          <w:fldChar w:fldCharType="separate"/>
        </w:r>
        <w:r w:rsidR="00095D9A">
          <w:rPr>
            <w:noProof/>
            <w:webHidden/>
          </w:rPr>
          <w:t>43</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t>i.</w:t>
      </w:r>
      <w:r w:rsidRPr="00691719">
        <w:rPr>
          <w:rStyle w:val="Hyperlink"/>
          <w:noProof/>
          <w:color w:val="auto"/>
          <w:u w:val="none"/>
        </w:rPr>
        <w:tab/>
      </w:r>
      <w:hyperlink w:anchor="_Toc340669992" w:history="1">
        <w:r w:rsidRPr="00691719">
          <w:rPr>
            <w:rStyle w:val="Hyperlink"/>
            <w:noProof/>
            <w:color w:val="auto"/>
            <w:u w:val="none"/>
          </w:rPr>
          <w:t>Product Mixture and Procurement</w:t>
        </w:r>
        <w:r w:rsidRPr="00691719">
          <w:rPr>
            <w:noProof/>
            <w:webHidden/>
          </w:rPr>
          <w:tab/>
        </w:r>
        <w:r w:rsidRPr="00691719">
          <w:rPr>
            <w:noProof/>
            <w:webHidden/>
          </w:rPr>
          <w:fldChar w:fldCharType="begin"/>
        </w:r>
        <w:r w:rsidRPr="00691719">
          <w:rPr>
            <w:noProof/>
            <w:webHidden/>
          </w:rPr>
          <w:instrText xml:space="preserve"> PAGEREF _Toc340669992 \h </w:instrText>
        </w:r>
        <w:r w:rsidRPr="00691719">
          <w:rPr>
            <w:noProof/>
            <w:webHidden/>
          </w:rPr>
        </w:r>
        <w:r w:rsidRPr="00691719">
          <w:rPr>
            <w:noProof/>
            <w:webHidden/>
          </w:rPr>
          <w:fldChar w:fldCharType="separate"/>
        </w:r>
        <w:r w:rsidR="00095D9A">
          <w:rPr>
            <w:noProof/>
            <w:webHidden/>
          </w:rPr>
          <w:t>43</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t>ii.</w:t>
      </w:r>
      <w:r w:rsidRPr="00691719">
        <w:rPr>
          <w:rStyle w:val="Hyperlink"/>
          <w:noProof/>
          <w:color w:val="auto"/>
          <w:u w:val="none"/>
        </w:rPr>
        <w:tab/>
      </w:r>
      <w:hyperlink w:anchor="_Toc340669993" w:history="1">
        <w:r w:rsidRPr="00691719">
          <w:rPr>
            <w:rStyle w:val="Hyperlink"/>
            <w:noProof/>
            <w:color w:val="auto"/>
            <w:u w:val="none"/>
          </w:rPr>
          <w:t>Wholesale Supplier Load Cap</w:t>
        </w:r>
        <w:r w:rsidRPr="00691719">
          <w:rPr>
            <w:noProof/>
            <w:webHidden/>
          </w:rPr>
          <w:tab/>
        </w:r>
        <w:r w:rsidRPr="00691719">
          <w:rPr>
            <w:noProof/>
            <w:webHidden/>
          </w:rPr>
          <w:fldChar w:fldCharType="begin"/>
        </w:r>
        <w:r w:rsidRPr="00691719">
          <w:rPr>
            <w:noProof/>
            <w:webHidden/>
          </w:rPr>
          <w:instrText xml:space="preserve"> PAGEREF _Toc340669993 \h </w:instrText>
        </w:r>
        <w:r w:rsidRPr="00691719">
          <w:rPr>
            <w:noProof/>
            <w:webHidden/>
          </w:rPr>
        </w:r>
        <w:r w:rsidRPr="00691719">
          <w:rPr>
            <w:noProof/>
            <w:webHidden/>
          </w:rPr>
          <w:fldChar w:fldCharType="separate"/>
        </w:r>
        <w:r w:rsidR="00095D9A">
          <w:rPr>
            <w:noProof/>
            <w:webHidden/>
          </w:rPr>
          <w:t>46</w:t>
        </w:r>
        <w:r w:rsidRPr="00691719">
          <w:rPr>
            <w:noProof/>
            <w:webHidden/>
          </w:rPr>
          <w:fldChar w:fldCharType="end"/>
        </w:r>
      </w:hyperlink>
    </w:p>
    <w:p w:rsidR="00560264" w:rsidRPr="00691719" w:rsidRDefault="00560264" w:rsidP="00691719">
      <w:pPr>
        <w:pStyle w:val="TOC4"/>
        <w:rPr>
          <w:noProof/>
        </w:rPr>
      </w:pPr>
      <w:r w:rsidRPr="00691719">
        <w:rPr>
          <w:rStyle w:val="Hyperlink"/>
          <w:noProof/>
          <w:color w:val="auto"/>
          <w:u w:val="none"/>
        </w:rPr>
        <w:t>c.</w:t>
      </w:r>
      <w:r w:rsidRPr="00691719">
        <w:rPr>
          <w:rStyle w:val="Hyperlink"/>
          <w:noProof/>
          <w:color w:val="auto"/>
          <w:u w:val="none"/>
        </w:rPr>
        <w:tab/>
      </w:r>
      <w:hyperlink w:anchor="_Toc340669994" w:history="1">
        <w:r w:rsidRPr="00691719">
          <w:rPr>
            <w:rStyle w:val="Hyperlink"/>
            <w:noProof/>
            <w:color w:val="auto"/>
            <w:u w:val="none"/>
          </w:rPr>
          <w:t>Large C&amp;I - Real-Time Hourly Rate</w:t>
        </w:r>
        <w:r w:rsidRPr="00691719">
          <w:rPr>
            <w:noProof/>
            <w:webHidden/>
          </w:rPr>
          <w:tab/>
        </w:r>
        <w:r w:rsidRPr="00691719">
          <w:rPr>
            <w:noProof/>
            <w:webHidden/>
          </w:rPr>
          <w:fldChar w:fldCharType="begin"/>
        </w:r>
        <w:r w:rsidRPr="00691719">
          <w:rPr>
            <w:noProof/>
            <w:webHidden/>
          </w:rPr>
          <w:instrText xml:space="preserve"> PAGEREF _Toc340669994 \h </w:instrText>
        </w:r>
        <w:r w:rsidRPr="00691719">
          <w:rPr>
            <w:noProof/>
            <w:webHidden/>
          </w:rPr>
        </w:r>
        <w:r w:rsidRPr="00691719">
          <w:rPr>
            <w:noProof/>
            <w:webHidden/>
          </w:rPr>
          <w:fldChar w:fldCharType="separate"/>
        </w:r>
        <w:r w:rsidR="00095D9A">
          <w:rPr>
            <w:noProof/>
            <w:webHidden/>
          </w:rPr>
          <w:t>47</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t>i.</w:t>
      </w:r>
      <w:r w:rsidRPr="00691719">
        <w:rPr>
          <w:rStyle w:val="Hyperlink"/>
          <w:noProof/>
          <w:color w:val="auto"/>
          <w:u w:val="none"/>
        </w:rPr>
        <w:tab/>
      </w:r>
      <w:hyperlink w:anchor="_Toc340669995" w:history="1">
        <w:r w:rsidRPr="00691719">
          <w:rPr>
            <w:rStyle w:val="Hyperlink"/>
            <w:noProof/>
            <w:color w:val="auto"/>
            <w:u w:val="none"/>
          </w:rPr>
          <w:t>Product Mixture</w:t>
        </w:r>
        <w:r w:rsidRPr="00691719">
          <w:rPr>
            <w:noProof/>
            <w:webHidden/>
          </w:rPr>
          <w:tab/>
        </w:r>
        <w:r w:rsidRPr="00691719">
          <w:rPr>
            <w:noProof/>
            <w:webHidden/>
          </w:rPr>
          <w:fldChar w:fldCharType="begin"/>
        </w:r>
        <w:r w:rsidRPr="00691719">
          <w:rPr>
            <w:noProof/>
            <w:webHidden/>
          </w:rPr>
          <w:instrText xml:space="preserve"> PAGEREF _Toc340669995 \h </w:instrText>
        </w:r>
        <w:r w:rsidRPr="00691719">
          <w:rPr>
            <w:noProof/>
            <w:webHidden/>
          </w:rPr>
        </w:r>
        <w:r w:rsidRPr="00691719">
          <w:rPr>
            <w:noProof/>
            <w:webHidden/>
          </w:rPr>
          <w:fldChar w:fldCharType="separate"/>
        </w:r>
        <w:r w:rsidR="00095D9A">
          <w:rPr>
            <w:noProof/>
            <w:webHidden/>
          </w:rPr>
          <w:t>47</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t>ii.</w:t>
      </w:r>
      <w:r w:rsidRPr="00691719">
        <w:rPr>
          <w:rStyle w:val="Hyperlink"/>
          <w:noProof/>
          <w:color w:val="auto"/>
          <w:u w:val="none"/>
        </w:rPr>
        <w:tab/>
      </w:r>
      <w:hyperlink w:anchor="_Toc340669996" w:history="1">
        <w:r w:rsidR="00691719" w:rsidRPr="00691719">
          <w:rPr>
            <w:rStyle w:val="Hyperlink"/>
            <w:noProof/>
            <w:color w:val="auto"/>
            <w:u w:val="none"/>
          </w:rPr>
          <w:t>Procurement Schedul</w:t>
        </w:r>
        <w:r w:rsidR="00691719" w:rsidRPr="00691719">
          <w:rPr>
            <w:noProof/>
            <w:webHidden/>
          </w:rPr>
          <w:t>e</w:t>
        </w:r>
        <w:r w:rsidRPr="00691719">
          <w:rPr>
            <w:noProof/>
            <w:webHidden/>
          </w:rPr>
          <w:tab/>
        </w:r>
        <w:r w:rsidRPr="00691719">
          <w:rPr>
            <w:noProof/>
            <w:webHidden/>
          </w:rPr>
          <w:fldChar w:fldCharType="begin"/>
        </w:r>
        <w:r w:rsidRPr="00691719">
          <w:rPr>
            <w:noProof/>
            <w:webHidden/>
          </w:rPr>
          <w:instrText xml:space="preserve"> PAGEREF _Toc340669996 \h </w:instrText>
        </w:r>
        <w:r w:rsidRPr="00691719">
          <w:rPr>
            <w:noProof/>
            <w:webHidden/>
          </w:rPr>
        </w:r>
        <w:r w:rsidRPr="00691719">
          <w:rPr>
            <w:noProof/>
            <w:webHidden/>
          </w:rPr>
          <w:fldChar w:fldCharType="separate"/>
        </w:r>
        <w:r w:rsidR="00095D9A">
          <w:rPr>
            <w:noProof/>
            <w:webHidden/>
          </w:rPr>
          <w:t>48</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t>iii.</w:t>
      </w:r>
      <w:r w:rsidRPr="00691719">
        <w:rPr>
          <w:rStyle w:val="Hyperlink"/>
          <w:noProof/>
          <w:color w:val="auto"/>
          <w:u w:val="none"/>
        </w:rPr>
        <w:tab/>
      </w:r>
      <w:hyperlink w:anchor="_Toc340669997" w:history="1">
        <w:r w:rsidRPr="00691719">
          <w:rPr>
            <w:rStyle w:val="Hyperlink"/>
            <w:noProof/>
            <w:color w:val="auto"/>
            <w:u w:val="none"/>
          </w:rPr>
          <w:t>Wholesale Supplier Load Cap</w:t>
        </w:r>
        <w:r w:rsidRPr="00691719">
          <w:rPr>
            <w:noProof/>
            <w:webHidden/>
          </w:rPr>
          <w:tab/>
        </w:r>
        <w:r w:rsidRPr="00691719">
          <w:rPr>
            <w:noProof/>
            <w:webHidden/>
          </w:rPr>
          <w:fldChar w:fldCharType="begin"/>
        </w:r>
        <w:r w:rsidRPr="00691719">
          <w:rPr>
            <w:noProof/>
            <w:webHidden/>
          </w:rPr>
          <w:instrText xml:space="preserve"> PAGEREF _Toc340669997 \h </w:instrText>
        </w:r>
        <w:r w:rsidRPr="00691719">
          <w:rPr>
            <w:noProof/>
            <w:webHidden/>
          </w:rPr>
        </w:r>
        <w:r w:rsidRPr="00691719">
          <w:rPr>
            <w:noProof/>
            <w:webHidden/>
          </w:rPr>
          <w:fldChar w:fldCharType="separate"/>
        </w:r>
        <w:r w:rsidR="00095D9A">
          <w:rPr>
            <w:noProof/>
            <w:webHidden/>
          </w:rPr>
          <w:t>48</w:t>
        </w:r>
        <w:r w:rsidRPr="00691719">
          <w:rPr>
            <w:noProof/>
            <w:webHidden/>
          </w:rPr>
          <w:fldChar w:fldCharType="end"/>
        </w:r>
      </w:hyperlink>
    </w:p>
    <w:p w:rsidR="00560264" w:rsidRPr="00691719" w:rsidRDefault="00130CEE" w:rsidP="00691719">
      <w:pPr>
        <w:pStyle w:val="TOC4"/>
        <w:rPr>
          <w:noProof/>
        </w:rPr>
      </w:pPr>
      <w:hyperlink w:anchor="_Toc340669998" w:history="1">
        <w:r w:rsidR="00560264" w:rsidRPr="00691719">
          <w:rPr>
            <w:rStyle w:val="Hyperlink"/>
            <w:noProof/>
            <w:color w:val="auto"/>
            <w:u w:val="none"/>
          </w:rPr>
          <w:t>d.</w:t>
        </w:r>
        <w:r w:rsidR="00560264" w:rsidRPr="00691719">
          <w:rPr>
            <w:noProof/>
          </w:rPr>
          <w:tab/>
        </w:r>
        <w:r w:rsidR="00560264" w:rsidRPr="00691719">
          <w:rPr>
            <w:rStyle w:val="Hyperlink"/>
            <w:noProof/>
            <w:color w:val="auto"/>
            <w:u w:val="none"/>
          </w:rPr>
          <w:t>Contract Terms Beyond May 31, 2015</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_Toc340669998 \h </w:instrText>
        </w:r>
        <w:r w:rsidR="00560264" w:rsidRPr="00691719">
          <w:rPr>
            <w:noProof/>
            <w:webHidden/>
          </w:rPr>
        </w:r>
        <w:r w:rsidR="00560264" w:rsidRPr="00691719">
          <w:rPr>
            <w:noProof/>
            <w:webHidden/>
          </w:rPr>
          <w:fldChar w:fldCharType="separate"/>
        </w:r>
        <w:r w:rsidR="00095D9A">
          <w:rPr>
            <w:noProof/>
            <w:webHidden/>
          </w:rPr>
          <w:t>48</w:t>
        </w:r>
        <w:r w:rsidR="00560264" w:rsidRPr="00691719">
          <w:rPr>
            <w:noProof/>
            <w:webHidden/>
          </w:rPr>
          <w:fldChar w:fldCharType="end"/>
        </w:r>
      </w:hyperlink>
    </w:p>
    <w:p w:rsidR="00560264" w:rsidRPr="00691719" w:rsidRDefault="00130CEE" w:rsidP="00691719">
      <w:pPr>
        <w:pStyle w:val="TOC4"/>
        <w:rPr>
          <w:noProof/>
        </w:rPr>
      </w:pPr>
      <w:hyperlink w:anchor="_Toc340669999" w:history="1">
        <w:r w:rsidR="00560264" w:rsidRPr="00691719">
          <w:rPr>
            <w:rStyle w:val="Hyperlink"/>
            <w:noProof/>
            <w:color w:val="auto"/>
            <w:u w:val="none"/>
          </w:rPr>
          <w:t>e.</w:t>
        </w:r>
        <w:r w:rsidR="00560264" w:rsidRPr="00691719">
          <w:rPr>
            <w:noProof/>
          </w:rPr>
          <w:tab/>
        </w:r>
        <w:r w:rsidR="00560264" w:rsidRPr="00691719">
          <w:rPr>
            <w:rStyle w:val="Hyperlink"/>
            <w:noProof/>
            <w:color w:val="auto"/>
            <w:u w:val="none"/>
          </w:rPr>
          <w:t>AEPS Procurement</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_Toc340669999 \h </w:instrText>
        </w:r>
        <w:r w:rsidR="00560264" w:rsidRPr="00691719">
          <w:rPr>
            <w:noProof/>
            <w:webHidden/>
          </w:rPr>
        </w:r>
        <w:r w:rsidR="00560264" w:rsidRPr="00691719">
          <w:rPr>
            <w:noProof/>
            <w:webHidden/>
          </w:rPr>
          <w:fldChar w:fldCharType="separate"/>
        </w:r>
        <w:r w:rsidR="00095D9A">
          <w:rPr>
            <w:noProof/>
            <w:webHidden/>
          </w:rPr>
          <w:t>51</w:t>
        </w:r>
        <w:r w:rsidR="00560264" w:rsidRPr="00691719">
          <w:rPr>
            <w:noProof/>
            <w:webHidden/>
          </w:rPr>
          <w:fldChar w:fldCharType="end"/>
        </w:r>
      </w:hyperlink>
    </w:p>
    <w:p w:rsidR="00560264" w:rsidRPr="00691719" w:rsidRDefault="00130CEE" w:rsidP="00691719">
      <w:pPr>
        <w:pStyle w:val="TOC5"/>
        <w:rPr>
          <w:noProof/>
        </w:rPr>
      </w:pPr>
      <w:hyperlink w:anchor="_Toc340670000" w:history="1">
        <w:r w:rsidR="00560264" w:rsidRPr="00691719">
          <w:rPr>
            <w:rStyle w:val="Hyperlink"/>
            <w:noProof/>
            <w:color w:val="auto"/>
            <w:u w:val="none"/>
          </w:rPr>
          <w:t>i.</w:t>
        </w:r>
        <w:r w:rsidR="00560264" w:rsidRPr="00691719">
          <w:rPr>
            <w:noProof/>
          </w:rPr>
          <w:tab/>
        </w:r>
        <w:r w:rsidR="00560264" w:rsidRPr="00691719">
          <w:rPr>
            <w:rStyle w:val="Hyperlink"/>
            <w:noProof/>
            <w:color w:val="auto"/>
            <w:u w:val="none"/>
          </w:rPr>
          <w:t>Transfer of AECs</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_Toc340670000 \h </w:instrText>
        </w:r>
        <w:r w:rsidR="00560264" w:rsidRPr="00691719">
          <w:rPr>
            <w:noProof/>
            <w:webHidden/>
          </w:rPr>
        </w:r>
        <w:r w:rsidR="00560264" w:rsidRPr="00691719">
          <w:rPr>
            <w:noProof/>
            <w:webHidden/>
          </w:rPr>
          <w:fldChar w:fldCharType="separate"/>
        </w:r>
        <w:r w:rsidR="00095D9A">
          <w:rPr>
            <w:noProof/>
            <w:webHidden/>
          </w:rPr>
          <w:t>53</w:t>
        </w:r>
        <w:r w:rsidR="00560264" w:rsidRPr="00691719">
          <w:rPr>
            <w:noProof/>
            <w:webHidden/>
          </w:rPr>
          <w:fldChar w:fldCharType="end"/>
        </w:r>
      </w:hyperlink>
    </w:p>
    <w:p w:rsidR="00560264" w:rsidRPr="00691719" w:rsidRDefault="00130CEE" w:rsidP="00691719">
      <w:pPr>
        <w:pStyle w:val="TOC5"/>
        <w:rPr>
          <w:noProof/>
        </w:rPr>
      </w:pPr>
      <w:hyperlink w:anchor="_Toc340670001" w:history="1">
        <w:r w:rsidR="00560264" w:rsidRPr="00691719">
          <w:rPr>
            <w:rStyle w:val="Hyperlink"/>
            <w:noProof/>
            <w:color w:val="auto"/>
            <w:u w:val="none"/>
          </w:rPr>
          <w:t>ii.</w:t>
        </w:r>
        <w:r w:rsidR="00560264" w:rsidRPr="00691719">
          <w:rPr>
            <w:noProof/>
          </w:rPr>
          <w:tab/>
        </w:r>
        <w:r w:rsidR="00560264" w:rsidRPr="00691719">
          <w:rPr>
            <w:rStyle w:val="Hyperlink"/>
            <w:noProof/>
            <w:color w:val="auto"/>
            <w:u w:val="none"/>
          </w:rPr>
          <w:t>Alternative Compliance Payment</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_Toc340670001 \h </w:instrText>
        </w:r>
        <w:r w:rsidR="00560264" w:rsidRPr="00691719">
          <w:rPr>
            <w:noProof/>
            <w:webHidden/>
          </w:rPr>
        </w:r>
        <w:r w:rsidR="00560264" w:rsidRPr="00691719">
          <w:rPr>
            <w:noProof/>
            <w:webHidden/>
          </w:rPr>
          <w:fldChar w:fldCharType="separate"/>
        </w:r>
        <w:r w:rsidR="00095D9A">
          <w:rPr>
            <w:noProof/>
            <w:webHidden/>
          </w:rPr>
          <w:t>54</w:t>
        </w:r>
        <w:r w:rsidR="00560264" w:rsidRPr="00691719">
          <w:rPr>
            <w:noProof/>
            <w:webHidden/>
          </w:rPr>
          <w:fldChar w:fldCharType="end"/>
        </w:r>
      </w:hyperlink>
    </w:p>
    <w:p w:rsidR="00560264" w:rsidRPr="00691719" w:rsidRDefault="00130CEE" w:rsidP="00691719">
      <w:pPr>
        <w:pStyle w:val="TOC4"/>
        <w:rPr>
          <w:noProof/>
        </w:rPr>
      </w:pPr>
      <w:hyperlink w:anchor="_Toc340670002" w:history="1">
        <w:r w:rsidR="00560264" w:rsidRPr="00691719">
          <w:rPr>
            <w:rStyle w:val="Hyperlink"/>
            <w:noProof/>
            <w:color w:val="auto"/>
            <w:u w:val="none"/>
          </w:rPr>
          <w:t>f.</w:t>
        </w:r>
        <w:r w:rsidR="00560264" w:rsidRPr="00691719">
          <w:rPr>
            <w:noProof/>
          </w:rPr>
          <w:tab/>
        </w:r>
        <w:r w:rsidR="00560264" w:rsidRPr="00691719">
          <w:rPr>
            <w:rStyle w:val="Hyperlink"/>
            <w:noProof/>
            <w:color w:val="auto"/>
            <w:u w:val="none"/>
          </w:rPr>
          <w:t>Administrative Costs and Cash Working Capital</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_Toc340670002 \h </w:instrText>
        </w:r>
        <w:r w:rsidR="00560264" w:rsidRPr="00691719">
          <w:rPr>
            <w:noProof/>
            <w:webHidden/>
          </w:rPr>
        </w:r>
        <w:r w:rsidR="00560264" w:rsidRPr="00691719">
          <w:rPr>
            <w:noProof/>
            <w:webHidden/>
          </w:rPr>
          <w:fldChar w:fldCharType="separate"/>
        </w:r>
        <w:r w:rsidR="00095D9A">
          <w:rPr>
            <w:noProof/>
            <w:webHidden/>
          </w:rPr>
          <w:t>55</w:t>
        </w:r>
        <w:r w:rsidR="00560264" w:rsidRPr="00691719">
          <w:rPr>
            <w:noProof/>
            <w:webHidden/>
          </w:rPr>
          <w:fldChar w:fldCharType="end"/>
        </w:r>
      </w:hyperlink>
    </w:p>
    <w:p w:rsidR="00560264" w:rsidRPr="00691719" w:rsidRDefault="00130CEE" w:rsidP="00691719">
      <w:pPr>
        <w:pStyle w:val="TOC3"/>
        <w:rPr>
          <w:noProof/>
        </w:rPr>
      </w:pPr>
      <w:hyperlink w:anchor="_Toc340670003" w:history="1">
        <w:r w:rsidR="00560264" w:rsidRPr="00691719">
          <w:rPr>
            <w:rStyle w:val="Hyperlink"/>
            <w:noProof/>
            <w:color w:val="auto"/>
            <w:u w:val="none"/>
          </w:rPr>
          <w:t>2.</w:t>
        </w:r>
        <w:r w:rsidR="00560264" w:rsidRPr="00691719">
          <w:rPr>
            <w:noProof/>
          </w:rPr>
          <w:tab/>
        </w:r>
        <w:r w:rsidR="00560264" w:rsidRPr="00691719">
          <w:rPr>
            <w:rStyle w:val="Hyperlink"/>
            <w:noProof/>
            <w:color w:val="auto"/>
            <w:u w:val="none"/>
          </w:rPr>
          <w:t>Rate Design</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_Toc340670003 \h </w:instrText>
        </w:r>
        <w:r w:rsidR="00560264" w:rsidRPr="00691719">
          <w:rPr>
            <w:noProof/>
            <w:webHidden/>
          </w:rPr>
        </w:r>
        <w:r w:rsidR="00560264" w:rsidRPr="00691719">
          <w:rPr>
            <w:noProof/>
            <w:webHidden/>
          </w:rPr>
          <w:fldChar w:fldCharType="separate"/>
        </w:r>
        <w:r w:rsidR="00095D9A">
          <w:rPr>
            <w:noProof/>
            <w:webHidden/>
          </w:rPr>
          <w:t>56</w:t>
        </w:r>
        <w:r w:rsidR="00560264" w:rsidRPr="00691719">
          <w:rPr>
            <w:noProof/>
            <w:webHidden/>
          </w:rPr>
          <w:fldChar w:fldCharType="end"/>
        </w:r>
      </w:hyperlink>
    </w:p>
    <w:p w:rsidR="00560264" w:rsidRPr="00691719" w:rsidRDefault="00560264" w:rsidP="00691719">
      <w:pPr>
        <w:pStyle w:val="TOC4"/>
        <w:rPr>
          <w:noProof/>
        </w:rPr>
      </w:pPr>
      <w:r w:rsidRPr="00691719">
        <w:rPr>
          <w:rStyle w:val="Hyperlink"/>
          <w:noProof/>
          <w:color w:val="auto"/>
          <w:u w:val="none"/>
        </w:rPr>
        <w:t>a.</w:t>
      </w:r>
      <w:r w:rsidRPr="00691719">
        <w:rPr>
          <w:rStyle w:val="Hyperlink"/>
          <w:noProof/>
          <w:color w:val="auto"/>
          <w:u w:val="none"/>
        </w:rPr>
        <w:tab/>
      </w:r>
      <w:hyperlink w:anchor="_Toc340670004" w:history="1">
        <w:r w:rsidRPr="00691719">
          <w:rPr>
            <w:rStyle w:val="Hyperlink"/>
            <w:noProof/>
            <w:color w:val="auto"/>
            <w:u w:val="none"/>
          </w:rPr>
          <w:t>Residential and Small C&amp;I Customer Classes - Fixed Rate Option</w:t>
        </w:r>
        <w:r w:rsidRPr="00691719">
          <w:rPr>
            <w:noProof/>
            <w:webHidden/>
          </w:rPr>
          <w:tab/>
        </w:r>
        <w:r w:rsidRPr="00691719">
          <w:rPr>
            <w:noProof/>
            <w:webHidden/>
          </w:rPr>
          <w:fldChar w:fldCharType="begin"/>
        </w:r>
        <w:r w:rsidRPr="00691719">
          <w:rPr>
            <w:noProof/>
            <w:webHidden/>
          </w:rPr>
          <w:instrText xml:space="preserve"> PAGEREF _Toc340670004 \h </w:instrText>
        </w:r>
        <w:r w:rsidRPr="00691719">
          <w:rPr>
            <w:noProof/>
            <w:webHidden/>
          </w:rPr>
        </w:r>
        <w:r w:rsidRPr="00691719">
          <w:rPr>
            <w:noProof/>
            <w:webHidden/>
          </w:rPr>
          <w:fldChar w:fldCharType="separate"/>
        </w:r>
        <w:r w:rsidR="00095D9A">
          <w:rPr>
            <w:noProof/>
            <w:webHidden/>
          </w:rPr>
          <w:t>56</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t>i.</w:t>
      </w:r>
      <w:r w:rsidRPr="00691719">
        <w:rPr>
          <w:rStyle w:val="Hyperlink"/>
          <w:noProof/>
          <w:color w:val="auto"/>
          <w:u w:val="none"/>
        </w:rPr>
        <w:tab/>
      </w:r>
      <w:hyperlink w:anchor="_Toc340670005" w:history="1">
        <w:r w:rsidRPr="00691719">
          <w:rPr>
            <w:rStyle w:val="Hyperlink"/>
            <w:noProof/>
            <w:color w:val="auto"/>
            <w:u w:val="none"/>
          </w:rPr>
          <w:t>Frequency of Rate Changes</w:t>
        </w:r>
        <w:r w:rsidRPr="00691719">
          <w:rPr>
            <w:noProof/>
            <w:webHidden/>
          </w:rPr>
          <w:tab/>
        </w:r>
        <w:r w:rsidRPr="00691719">
          <w:rPr>
            <w:noProof/>
            <w:webHidden/>
          </w:rPr>
          <w:fldChar w:fldCharType="begin"/>
        </w:r>
        <w:r w:rsidRPr="00691719">
          <w:rPr>
            <w:noProof/>
            <w:webHidden/>
          </w:rPr>
          <w:instrText xml:space="preserve"> PAGEREF _Toc340670005 \h </w:instrText>
        </w:r>
        <w:r w:rsidRPr="00691719">
          <w:rPr>
            <w:noProof/>
            <w:webHidden/>
          </w:rPr>
        </w:r>
        <w:r w:rsidRPr="00691719">
          <w:rPr>
            <w:noProof/>
            <w:webHidden/>
          </w:rPr>
          <w:fldChar w:fldCharType="separate"/>
        </w:r>
        <w:r w:rsidR="00095D9A">
          <w:rPr>
            <w:noProof/>
            <w:webHidden/>
          </w:rPr>
          <w:t>56</w:t>
        </w:r>
        <w:r w:rsidRPr="00691719">
          <w:rPr>
            <w:noProof/>
            <w:webHidden/>
          </w:rPr>
          <w:fldChar w:fldCharType="end"/>
        </w:r>
      </w:hyperlink>
    </w:p>
    <w:p w:rsidR="00560264" w:rsidRPr="00691719" w:rsidRDefault="00560264" w:rsidP="00691719">
      <w:pPr>
        <w:pStyle w:val="TOC5"/>
        <w:rPr>
          <w:noProof/>
        </w:rPr>
      </w:pPr>
      <w:r w:rsidRPr="00691719">
        <w:rPr>
          <w:rStyle w:val="Hyperlink"/>
          <w:noProof/>
          <w:color w:val="auto"/>
          <w:u w:val="none"/>
        </w:rPr>
        <w:lastRenderedPageBreak/>
        <w:t>ii.</w:t>
      </w:r>
      <w:r w:rsidRPr="00691719">
        <w:rPr>
          <w:rStyle w:val="Hyperlink"/>
          <w:noProof/>
          <w:color w:val="auto"/>
          <w:u w:val="none"/>
        </w:rPr>
        <w:tab/>
      </w:r>
      <w:hyperlink w:anchor="_Toc340670006" w:history="1">
        <w:r w:rsidRPr="00691719">
          <w:rPr>
            <w:rStyle w:val="Hyperlink"/>
            <w:noProof/>
            <w:color w:val="auto"/>
            <w:u w:val="none"/>
          </w:rPr>
          <w:t>Hourly Priced Default Service for Small C&amp;I Customers with Load Over 100 kW</w:t>
        </w:r>
        <w:r w:rsidRPr="00691719">
          <w:rPr>
            <w:noProof/>
            <w:webHidden/>
          </w:rPr>
          <w:tab/>
        </w:r>
        <w:r w:rsidRPr="00691719">
          <w:rPr>
            <w:noProof/>
            <w:webHidden/>
          </w:rPr>
          <w:fldChar w:fldCharType="begin"/>
        </w:r>
        <w:r w:rsidRPr="00691719">
          <w:rPr>
            <w:noProof/>
            <w:webHidden/>
          </w:rPr>
          <w:instrText xml:space="preserve"> PAGEREF _Toc340670006 \h </w:instrText>
        </w:r>
        <w:r w:rsidRPr="00691719">
          <w:rPr>
            <w:noProof/>
            <w:webHidden/>
          </w:rPr>
        </w:r>
        <w:r w:rsidRPr="00691719">
          <w:rPr>
            <w:noProof/>
            <w:webHidden/>
          </w:rPr>
          <w:fldChar w:fldCharType="separate"/>
        </w:r>
        <w:r w:rsidR="00095D9A">
          <w:rPr>
            <w:noProof/>
            <w:webHidden/>
          </w:rPr>
          <w:t>58</w:t>
        </w:r>
        <w:r w:rsidRPr="00691719">
          <w:rPr>
            <w:noProof/>
            <w:webHidden/>
          </w:rPr>
          <w:fldChar w:fldCharType="end"/>
        </w:r>
      </w:hyperlink>
    </w:p>
    <w:p w:rsidR="00560264" w:rsidRPr="00691719" w:rsidRDefault="00560264" w:rsidP="00691719">
      <w:pPr>
        <w:pStyle w:val="TOC4"/>
        <w:rPr>
          <w:noProof/>
        </w:rPr>
      </w:pPr>
      <w:r w:rsidRPr="00691719">
        <w:rPr>
          <w:rStyle w:val="Hyperlink"/>
          <w:noProof/>
          <w:color w:val="auto"/>
          <w:u w:val="none"/>
        </w:rPr>
        <w:t>b.</w:t>
      </w:r>
      <w:r w:rsidRPr="00691719">
        <w:rPr>
          <w:rStyle w:val="Hyperlink"/>
          <w:noProof/>
          <w:color w:val="auto"/>
          <w:u w:val="none"/>
        </w:rPr>
        <w:tab/>
      </w:r>
      <w:hyperlink w:anchor="_Toc340670007" w:history="1">
        <w:r w:rsidRPr="00691719">
          <w:rPr>
            <w:rStyle w:val="Hyperlink"/>
            <w:noProof/>
            <w:color w:val="auto"/>
            <w:u w:val="none"/>
          </w:rPr>
          <w:t>Residential and Small C&amp;I – Reconciliation</w:t>
        </w:r>
        <w:r w:rsidRPr="00691719">
          <w:rPr>
            <w:noProof/>
            <w:webHidden/>
          </w:rPr>
          <w:tab/>
        </w:r>
        <w:r w:rsidRPr="00691719">
          <w:rPr>
            <w:noProof/>
            <w:webHidden/>
          </w:rPr>
          <w:fldChar w:fldCharType="begin"/>
        </w:r>
        <w:r w:rsidRPr="00691719">
          <w:rPr>
            <w:noProof/>
            <w:webHidden/>
          </w:rPr>
          <w:instrText xml:space="preserve"> PAGEREF _Toc340670007 \h </w:instrText>
        </w:r>
        <w:r w:rsidRPr="00691719">
          <w:rPr>
            <w:noProof/>
            <w:webHidden/>
          </w:rPr>
        </w:r>
        <w:r w:rsidRPr="00691719">
          <w:rPr>
            <w:noProof/>
            <w:webHidden/>
          </w:rPr>
          <w:fldChar w:fldCharType="separate"/>
        </w:r>
        <w:r w:rsidR="00095D9A">
          <w:rPr>
            <w:noProof/>
            <w:webHidden/>
          </w:rPr>
          <w:t>59</w:t>
        </w:r>
        <w:r w:rsidRPr="00691719">
          <w:rPr>
            <w:noProof/>
            <w:webHidden/>
          </w:rPr>
          <w:fldChar w:fldCharType="end"/>
        </w:r>
      </w:hyperlink>
    </w:p>
    <w:p w:rsidR="00560264" w:rsidRPr="00691719" w:rsidRDefault="00560264" w:rsidP="00691719">
      <w:pPr>
        <w:pStyle w:val="TOC4"/>
        <w:rPr>
          <w:noProof/>
        </w:rPr>
      </w:pPr>
      <w:r w:rsidRPr="00691719">
        <w:rPr>
          <w:rStyle w:val="Hyperlink"/>
          <w:noProof/>
          <w:color w:val="auto"/>
          <w:u w:val="none"/>
        </w:rPr>
        <w:t>c.</w:t>
      </w:r>
      <w:r w:rsidRPr="00691719">
        <w:rPr>
          <w:rStyle w:val="Hyperlink"/>
          <w:noProof/>
          <w:color w:val="auto"/>
          <w:u w:val="none"/>
        </w:rPr>
        <w:tab/>
      </w:r>
      <w:hyperlink w:anchor="_Toc340670008" w:history="1">
        <w:r w:rsidRPr="00691719">
          <w:rPr>
            <w:rStyle w:val="Hyperlink"/>
            <w:noProof/>
            <w:color w:val="auto"/>
            <w:u w:val="none"/>
          </w:rPr>
          <w:t>Residential and Small C&amp;I – Reconciliation</w:t>
        </w:r>
        <w:r w:rsidRPr="00691719">
          <w:rPr>
            <w:noProof/>
            <w:webHidden/>
          </w:rPr>
          <w:tab/>
        </w:r>
        <w:r w:rsidRPr="00691719">
          <w:rPr>
            <w:noProof/>
            <w:webHidden/>
          </w:rPr>
          <w:fldChar w:fldCharType="begin"/>
        </w:r>
        <w:r w:rsidRPr="00691719">
          <w:rPr>
            <w:noProof/>
            <w:webHidden/>
          </w:rPr>
          <w:instrText xml:space="preserve"> PAGEREF _Toc340670008 \h </w:instrText>
        </w:r>
        <w:r w:rsidRPr="00691719">
          <w:rPr>
            <w:noProof/>
            <w:webHidden/>
          </w:rPr>
        </w:r>
        <w:r w:rsidRPr="00691719">
          <w:rPr>
            <w:noProof/>
            <w:webHidden/>
          </w:rPr>
          <w:fldChar w:fldCharType="separate"/>
        </w:r>
        <w:r w:rsidR="00095D9A">
          <w:rPr>
            <w:noProof/>
            <w:webHidden/>
          </w:rPr>
          <w:t>59</w:t>
        </w:r>
        <w:r w:rsidRPr="00691719">
          <w:rPr>
            <w:noProof/>
            <w:webHidden/>
          </w:rPr>
          <w:fldChar w:fldCharType="end"/>
        </w:r>
      </w:hyperlink>
    </w:p>
    <w:p w:rsidR="00560264" w:rsidRPr="00691719" w:rsidRDefault="00130CEE" w:rsidP="00691719">
      <w:pPr>
        <w:pStyle w:val="TOC4"/>
        <w:rPr>
          <w:noProof/>
        </w:rPr>
      </w:pPr>
      <w:hyperlink w:anchor="_Toc340670009" w:history="1">
        <w:r w:rsidR="00560264" w:rsidRPr="00691719">
          <w:rPr>
            <w:rStyle w:val="Hyperlink"/>
            <w:noProof/>
            <w:color w:val="auto"/>
            <w:u w:val="none"/>
          </w:rPr>
          <w:t>d.</w:t>
        </w:r>
        <w:r w:rsidR="00560264" w:rsidRPr="00691719">
          <w:rPr>
            <w:noProof/>
          </w:rPr>
          <w:tab/>
        </w:r>
        <w:r w:rsidR="00560264" w:rsidRPr="00691719">
          <w:rPr>
            <w:rStyle w:val="Hyperlink"/>
            <w:noProof/>
            <w:color w:val="auto"/>
            <w:u w:val="none"/>
          </w:rPr>
          <w:t>Large C&amp;I Customer Class – Rates</w:t>
        </w:r>
        <w:r w:rsidR="00560264" w:rsidRPr="00691719">
          <w:rPr>
            <w:rStyle w:val="Hyperlink"/>
            <w:noProof/>
            <w:color w:val="auto"/>
            <w:u w:val="none"/>
          </w:rPr>
          <w:tab/>
        </w:r>
        <w:r w:rsidR="00560264" w:rsidRPr="00691719">
          <w:rPr>
            <w:noProof/>
            <w:webHidden/>
          </w:rPr>
          <w:fldChar w:fldCharType="begin"/>
        </w:r>
        <w:r w:rsidR="00560264" w:rsidRPr="00691719">
          <w:rPr>
            <w:noProof/>
            <w:webHidden/>
          </w:rPr>
          <w:instrText xml:space="preserve"> PAGEREF _Toc340670009 \h </w:instrText>
        </w:r>
        <w:r w:rsidR="00560264" w:rsidRPr="00691719">
          <w:rPr>
            <w:noProof/>
            <w:webHidden/>
          </w:rPr>
        </w:r>
        <w:r w:rsidR="00560264" w:rsidRPr="00691719">
          <w:rPr>
            <w:noProof/>
            <w:webHidden/>
          </w:rPr>
          <w:fldChar w:fldCharType="separate"/>
        </w:r>
        <w:r w:rsidR="00095D9A">
          <w:rPr>
            <w:noProof/>
            <w:webHidden/>
          </w:rPr>
          <w:t>67</w:t>
        </w:r>
        <w:r w:rsidR="00560264" w:rsidRPr="00691719">
          <w:rPr>
            <w:noProof/>
            <w:webHidden/>
          </w:rPr>
          <w:fldChar w:fldCharType="end"/>
        </w:r>
      </w:hyperlink>
    </w:p>
    <w:p w:rsidR="00560264" w:rsidRPr="00691719" w:rsidRDefault="00130CEE" w:rsidP="00691719">
      <w:pPr>
        <w:pStyle w:val="TOC4"/>
        <w:rPr>
          <w:noProof/>
        </w:rPr>
      </w:pPr>
      <w:hyperlink w:anchor="_Toc340670010" w:history="1">
        <w:r w:rsidR="00560264" w:rsidRPr="00691719">
          <w:rPr>
            <w:rStyle w:val="Hyperlink"/>
            <w:noProof/>
            <w:color w:val="auto"/>
            <w:u w:val="none"/>
          </w:rPr>
          <w:t>e.</w:t>
        </w:r>
        <w:r w:rsidR="00560264" w:rsidRPr="00691719">
          <w:rPr>
            <w:noProof/>
          </w:rPr>
          <w:tab/>
        </w:r>
        <w:r w:rsidR="00560264" w:rsidRPr="00691719">
          <w:rPr>
            <w:rStyle w:val="Hyperlink"/>
            <w:noProof/>
            <w:color w:val="auto"/>
            <w:u w:val="none"/>
          </w:rPr>
          <w:t>Large C&amp;I Customer Class – Reconciliation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_Toc340670010 \h </w:instrText>
        </w:r>
        <w:r w:rsidR="00560264" w:rsidRPr="00691719">
          <w:rPr>
            <w:noProof/>
            <w:webHidden/>
          </w:rPr>
        </w:r>
        <w:r w:rsidR="00560264" w:rsidRPr="00691719">
          <w:rPr>
            <w:noProof/>
            <w:webHidden/>
          </w:rPr>
          <w:fldChar w:fldCharType="separate"/>
        </w:r>
        <w:r w:rsidR="00095D9A">
          <w:rPr>
            <w:noProof/>
            <w:webHidden/>
          </w:rPr>
          <w:t>67</w:t>
        </w:r>
        <w:r w:rsidR="00560264" w:rsidRPr="00691719">
          <w:rPr>
            <w:noProof/>
            <w:webHidden/>
          </w:rPr>
          <w:fldChar w:fldCharType="end"/>
        </w:r>
      </w:hyperlink>
    </w:p>
    <w:p w:rsidR="00560264" w:rsidRPr="00691719" w:rsidRDefault="00130CEE" w:rsidP="00691719">
      <w:pPr>
        <w:pStyle w:val="TOC4"/>
        <w:rPr>
          <w:noProof/>
        </w:rPr>
      </w:pPr>
      <w:hyperlink w:anchor="_Toc340670011" w:history="1">
        <w:r w:rsidR="00560264" w:rsidRPr="00691719">
          <w:rPr>
            <w:rStyle w:val="Hyperlink"/>
            <w:noProof/>
            <w:color w:val="auto"/>
            <w:u w:val="none"/>
          </w:rPr>
          <w:t>f.</w:t>
        </w:r>
        <w:r w:rsidR="00560264" w:rsidRPr="00691719">
          <w:rPr>
            <w:noProof/>
          </w:rPr>
          <w:tab/>
        </w:r>
        <w:r w:rsidR="00560264" w:rsidRPr="00691719">
          <w:rPr>
            <w:rStyle w:val="Hyperlink"/>
            <w:noProof/>
            <w:color w:val="auto"/>
            <w:u w:val="none"/>
          </w:rPr>
          <w:t>The Green Power Program</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_Toc340670011 \h </w:instrText>
        </w:r>
        <w:r w:rsidR="00560264" w:rsidRPr="00691719">
          <w:rPr>
            <w:noProof/>
            <w:webHidden/>
          </w:rPr>
        </w:r>
        <w:r w:rsidR="00560264" w:rsidRPr="00691719">
          <w:rPr>
            <w:noProof/>
            <w:webHidden/>
          </w:rPr>
          <w:fldChar w:fldCharType="separate"/>
        </w:r>
        <w:r w:rsidR="00095D9A">
          <w:rPr>
            <w:noProof/>
            <w:webHidden/>
          </w:rPr>
          <w:t>68</w:t>
        </w:r>
        <w:r w:rsidR="00560264" w:rsidRPr="00691719">
          <w:rPr>
            <w:noProof/>
            <w:webHidden/>
          </w:rPr>
          <w:fldChar w:fldCharType="end"/>
        </w:r>
      </w:hyperlink>
    </w:p>
    <w:p w:rsidR="00560264" w:rsidRPr="00691719" w:rsidRDefault="00130CEE" w:rsidP="00691719">
      <w:pPr>
        <w:pStyle w:val="TOC4"/>
        <w:rPr>
          <w:noProof/>
        </w:rPr>
      </w:pPr>
      <w:hyperlink w:anchor="_Toc340670012" w:history="1">
        <w:r w:rsidR="00560264" w:rsidRPr="00691719">
          <w:rPr>
            <w:rStyle w:val="Hyperlink"/>
            <w:noProof/>
            <w:color w:val="auto"/>
            <w:u w:val="none"/>
          </w:rPr>
          <w:t>g.</w:t>
        </w:r>
        <w:r w:rsidR="00560264" w:rsidRPr="00691719">
          <w:rPr>
            <w:noProof/>
          </w:rPr>
          <w:tab/>
        </w:r>
        <w:r w:rsidR="00560264" w:rsidRPr="00691719">
          <w:rPr>
            <w:rStyle w:val="Hyperlink"/>
            <w:noProof/>
            <w:color w:val="auto"/>
            <w:u w:val="none"/>
          </w:rPr>
          <w:t>Optional Monthly Pricing Service</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_Toc340670012 \h </w:instrText>
        </w:r>
        <w:r w:rsidR="00560264" w:rsidRPr="00691719">
          <w:rPr>
            <w:noProof/>
            <w:webHidden/>
          </w:rPr>
        </w:r>
        <w:r w:rsidR="00560264" w:rsidRPr="00691719">
          <w:rPr>
            <w:noProof/>
            <w:webHidden/>
          </w:rPr>
          <w:fldChar w:fldCharType="separate"/>
        </w:r>
        <w:r w:rsidR="00095D9A">
          <w:rPr>
            <w:noProof/>
            <w:webHidden/>
          </w:rPr>
          <w:t>70</w:t>
        </w:r>
        <w:r w:rsidR="00560264" w:rsidRPr="00691719">
          <w:rPr>
            <w:noProof/>
            <w:webHidden/>
          </w:rPr>
          <w:fldChar w:fldCharType="end"/>
        </w:r>
      </w:hyperlink>
    </w:p>
    <w:p w:rsidR="00560264" w:rsidRPr="00691719" w:rsidRDefault="00130CEE" w:rsidP="00691719">
      <w:pPr>
        <w:pStyle w:val="TOC4"/>
        <w:rPr>
          <w:noProof/>
        </w:rPr>
      </w:pPr>
      <w:hyperlink w:anchor="_Toc340670013" w:history="1">
        <w:r w:rsidR="00560264" w:rsidRPr="00691719">
          <w:rPr>
            <w:rStyle w:val="Hyperlink"/>
            <w:noProof/>
            <w:color w:val="auto"/>
            <w:u w:val="none"/>
          </w:rPr>
          <w:t>h.</w:t>
        </w:r>
        <w:r w:rsidR="00560264" w:rsidRPr="00691719">
          <w:rPr>
            <w:noProof/>
          </w:rPr>
          <w:tab/>
        </w:r>
        <w:r w:rsidR="00560264" w:rsidRPr="00691719">
          <w:rPr>
            <w:rStyle w:val="Hyperlink"/>
            <w:noProof/>
            <w:color w:val="auto"/>
            <w:u w:val="none"/>
          </w:rPr>
          <w:t>Price to Compare Calculation Date</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_Toc340670013 \h </w:instrText>
        </w:r>
        <w:r w:rsidR="00560264" w:rsidRPr="00691719">
          <w:rPr>
            <w:noProof/>
            <w:webHidden/>
          </w:rPr>
        </w:r>
        <w:r w:rsidR="00560264" w:rsidRPr="00691719">
          <w:rPr>
            <w:noProof/>
            <w:webHidden/>
          </w:rPr>
          <w:fldChar w:fldCharType="separate"/>
        </w:r>
        <w:r w:rsidR="00095D9A">
          <w:rPr>
            <w:noProof/>
            <w:webHidden/>
          </w:rPr>
          <w:t>70</w:t>
        </w:r>
        <w:r w:rsidR="00560264" w:rsidRPr="00691719">
          <w:rPr>
            <w:noProof/>
            <w:webHidden/>
          </w:rPr>
          <w:fldChar w:fldCharType="end"/>
        </w:r>
      </w:hyperlink>
    </w:p>
    <w:p w:rsidR="00560264" w:rsidRPr="00691719" w:rsidRDefault="00130CEE" w:rsidP="00691719">
      <w:pPr>
        <w:pStyle w:val="TOC4"/>
        <w:rPr>
          <w:noProof/>
        </w:rPr>
      </w:pPr>
      <w:hyperlink w:anchor="_Toc340670014" w:history="1">
        <w:r w:rsidR="00560264" w:rsidRPr="00691719">
          <w:rPr>
            <w:rStyle w:val="Hyperlink"/>
            <w:noProof/>
            <w:color w:val="auto"/>
            <w:u w:val="none"/>
          </w:rPr>
          <w:t>i.</w:t>
        </w:r>
        <w:r w:rsidR="00560264" w:rsidRPr="00691719">
          <w:rPr>
            <w:noProof/>
          </w:rPr>
          <w:tab/>
        </w:r>
        <w:r w:rsidR="00560264" w:rsidRPr="00691719">
          <w:rPr>
            <w:rStyle w:val="Hyperlink"/>
            <w:noProof/>
            <w:color w:val="auto"/>
            <w:u w:val="none"/>
          </w:rPr>
          <w:t>Recovery of Transmission and Other Related Charges</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_Toc340670014 \h </w:instrText>
        </w:r>
        <w:r w:rsidR="00560264" w:rsidRPr="00691719">
          <w:rPr>
            <w:noProof/>
            <w:webHidden/>
          </w:rPr>
        </w:r>
        <w:r w:rsidR="00560264" w:rsidRPr="00691719">
          <w:rPr>
            <w:noProof/>
            <w:webHidden/>
          </w:rPr>
          <w:fldChar w:fldCharType="separate"/>
        </w:r>
        <w:r w:rsidR="00095D9A">
          <w:rPr>
            <w:noProof/>
            <w:webHidden/>
          </w:rPr>
          <w:t>72</w:t>
        </w:r>
        <w:r w:rsidR="00560264" w:rsidRPr="00691719">
          <w:rPr>
            <w:noProof/>
            <w:webHidden/>
          </w:rPr>
          <w:fldChar w:fldCharType="end"/>
        </w:r>
      </w:hyperlink>
    </w:p>
    <w:p w:rsidR="00560264" w:rsidRPr="00691719" w:rsidRDefault="00691719" w:rsidP="00691719">
      <w:pPr>
        <w:pStyle w:val="TOC5"/>
        <w:rPr>
          <w:noProof/>
        </w:rPr>
      </w:pPr>
      <w:r w:rsidRPr="00691719">
        <w:rPr>
          <w:rStyle w:val="Hyperlink"/>
          <w:noProof/>
          <w:color w:val="auto"/>
          <w:u w:val="none"/>
        </w:rPr>
        <w:t>i.</w:t>
      </w:r>
      <w:r w:rsidRPr="00691719">
        <w:rPr>
          <w:rStyle w:val="Hyperlink"/>
          <w:noProof/>
          <w:color w:val="auto"/>
          <w:u w:val="none"/>
        </w:rPr>
        <w:tab/>
      </w:r>
      <w:hyperlink w:anchor="_Toc340670015" w:history="1">
        <w:r w:rsidR="00560264" w:rsidRPr="00691719">
          <w:rPr>
            <w:rStyle w:val="Hyperlink"/>
            <w:noProof/>
            <w:color w:val="auto"/>
            <w:u w:val="none"/>
          </w:rPr>
          <w:t>Costs to be Included in the TSC or GSC</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_Toc340670015 \h </w:instrText>
        </w:r>
        <w:r w:rsidR="00560264" w:rsidRPr="00691719">
          <w:rPr>
            <w:noProof/>
            <w:webHidden/>
          </w:rPr>
        </w:r>
        <w:r w:rsidR="00560264" w:rsidRPr="00691719">
          <w:rPr>
            <w:noProof/>
            <w:webHidden/>
          </w:rPr>
          <w:fldChar w:fldCharType="separate"/>
        </w:r>
        <w:r w:rsidR="00095D9A">
          <w:rPr>
            <w:noProof/>
            <w:webHidden/>
          </w:rPr>
          <w:t>74</w:t>
        </w:r>
        <w:r w:rsidR="00560264" w:rsidRPr="00691719">
          <w:rPr>
            <w:noProof/>
            <w:webHidden/>
          </w:rPr>
          <w:fldChar w:fldCharType="end"/>
        </w:r>
      </w:hyperlink>
    </w:p>
    <w:p w:rsidR="00560264" w:rsidRPr="00691719" w:rsidRDefault="00691719" w:rsidP="00691719">
      <w:pPr>
        <w:pStyle w:val="TOC5"/>
        <w:rPr>
          <w:noProof/>
        </w:rPr>
      </w:pPr>
      <w:r w:rsidRPr="00691719">
        <w:rPr>
          <w:rStyle w:val="Hyperlink"/>
          <w:noProof/>
          <w:color w:val="auto"/>
          <w:u w:val="none"/>
        </w:rPr>
        <w:t>ii.</w:t>
      </w:r>
      <w:r w:rsidRPr="00691719">
        <w:rPr>
          <w:rStyle w:val="Hyperlink"/>
          <w:noProof/>
          <w:color w:val="auto"/>
          <w:u w:val="none"/>
        </w:rPr>
        <w:tab/>
      </w:r>
      <w:hyperlink w:anchor="_Toc340670016" w:history="1">
        <w:r w:rsidR="00560264" w:rsidRPr="00691719">
          <w:rPr>
            <w:rStyle w:val="Hyperlink"/>
            <w:noProof/>
            <w:color w:val="auto"/>
            <w:u w:val="none"/>
          </w:rPr>
          <w:t>Non-Bypassable Structure</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_Toc340670016 \h </w:instrText>
        </w:r>
        <w:r w:rsidR="00560264" w:rsidRPr="00691719">
          <w:rPr>
            <w:noProof/>
            <w:webHidden/>
          </w:rPr>
        </w:r>
        <w:r w:rsidR="00560264" w:rsidRPr="00691719">
          <w:rPr>
            <w:noProof/>
            <w:webHidden/>
          </w:rPr>
          <w:fldChar w:fldCharType="separate"/>
        </w:r>
        <w:r w:rsidR="00095D9A">
          <w:rPr>
            <w:noProof/>
            <w:webHidden/>
          </w:rPr>
          <w:t>74</w:t>
        </w:r>
        <w:r w:rsidR="00560264" w:rsidRPr="00691719">
          <w:rPr>
            <w:noProof/>
            <w:webHidden/>
          </w:rPr>
          <w:fldChar w:fldCharType="end"/>
        </w:r>
      </w:hyperlink>
    </w:p>
    <w:p w:rsidR="00560264" w:rsidRPr="00691719" w:rsidRDefault="00691719" w:rsidP="00691719">
      <w:pPr>
        <w:pStyle w:val="TOC5"/>
        <w:rPr>
          <w:noProof/>
        </w:rPr>
      </w:pPr>
      <w:r w:rsidRPr="00691719">
        <w:rPr>
          <w:rStyle w:val="Hyperlink"/>
          <w:noProof/>
          <w:color w:val="auto"/>
          <w:u w:val="none"/>
        </w:rPr>
        <w:t>iii.</w:t>
      </w:r>
      <w:r w:rsidRPr="00691719">
        <w:rPr>
          <w:rStyle w:val="Hyperlink"/>
          <w:noProof/>
          <w:color w:val="auto"/>
          <w:u w:val="none"/>
        </w:rPr>
        <w:tab/>
      </w:r>
      <w:hyperlink w:anchor="_Toc340670017" w:history="1">
        <w:r w:rsidR="00560264" w:rsidRPr="00691719">
          <w:rPr>
            <w:rStyle w:val="Hyperlink"/>
            <w:noProof/>
            <w:color w:val="auto"/>
            <w:u w:val="none"/>
          </w:rPr>
          <w:t>Reconciliation</w:t>
        </w:r>
        <w:r w:rsidR="00560264" w:rsidRPr="00691719">
          <w:rPr>
            <w:noProof/>
            <w:webHidden/>
          </w:rPr>
          <w:tab/>
        </w:r>
        <w:r w:rsidR="00560264" w:rsidRPr="00691719">
          <w:rPr>
            <w:noProof/>
            <w:webHidden/>
          </w:rPr>
          <w:fldChar w:fldCharType="begin"/>
        </w:r>
        <w:r w:rsidR="00560264" w:rsidRPr="00691719">
          <w:rPr>
            <w:noProof/>
            <w:webHidden/>
          </w:rPr>
          <w:instrText xml:space="preserve"> PAGEREF _Toc340670017 \h </w:instrText>
        </w:r>
        <w:r w:rsidR="00560264" w:rsidRPr="00691719">
          <w:rPr>
            <w:noProof/>
            <w:webHidden/>
          </w:rPr>
        </w:r>
        <w:r w:rsidR="00560264" w:rsidRPr="00691719">
          <w:rPr>
            <w:noProof/>
            <w:webHidden/>
          </w:rPr>
          <w:fldChar w:fldCharType="separate"/>
        </w:r>
        <w:r w:rsidR="00095D9A">
          <w:rPr>
            <w:noProof/>
            <w:webHidden/>
          </w:rPr>
          <w:t>76</w:t>
        </w:r>
        <w:r w:rsidR="00560264" w:rsidRPr="00691719">
          <w:rPr>
            <w:noProof/>
            <w:webHidden/>
          </w:rPr>
          <w:fldChar w:fldCharType="end"/>
        </w:r>
      </w:hyperlink>
    </w:p>
    <w:p w:rsidR="00560264" w:rsidRPr="00691719" w:rsidRDefault="00691719" w:rsidP="00691719">
      <w:pPr>
        <w:pStyle w:val="TOC3"/>
        <w:rPr>
          <w:noProof/>
        </w:rPr>
      </w:pPr>
      <w:r w:rsidRPr="00691719">
        <w:rPr>
          <w:rStyle w:val="Hyperlink"/>
          <w:noProof/>
          <w:color w:val="auto"/>
          <w:u w:val="none"/>
        </w:rPr>
        <w:t>3.</w:t>
      </w:r>
      <w:r w:rsidRPr="00691719">
        <w:rPr>
          <w:rStyle w:val="Hyperlink"/>
          <w:noProof/>
          <w:color w:val="auto"/>
          <w:u w:val="none"/>
        </w:rPr>
        <w:tab/>
      </w:r>
      <w:hyperlink w:anchor="_Toc340670018" w:history="1">
        <w:r w:rsidR="00560264" w:rsidRPr="00691719">
          <w:rPr>
            <w:rStyle w:val="Hyperlink"/>
            <w:noProof/>
            <w:color w:val="auto"/>
            <w:u w:val="none"/>
          </w:rPr>
          <w:t>Time of Use Rate Option</w:t>
        </w:r>
        <w:r w:rsidRPr="00691719">
          <w:rPr>
            <w:noProof/>
            <w:webHidden/>
          </w:rPr>
          <w:tab/>
        </w:r>
        <w:r w:rsidR="00560264" w:rsidRPr="00691719">
          <w:rPr>
            <w:noProof/>
            <w:webHidden/>
          </w:rPr>
          <w:fldChar w:fldCharType="begin"/>
        </w:r>
        <w:r w:rsidR="00560264" w:rsidRPr="00691719">
          <w:rPr>
            <w:noProof/>
            <w:webHidden/>
          </w:rPr>
          <w:instrText xml:space="preserve"> PAGEREF _Toc340670018 \h </w:instrText>
        </w:r>
        <w:r w:rsidR="00560264" w:rsidRPr="00691719">
          <w:rPr>
            <w:noProof/>
            <w:webHidden/>
          </w:rPr>
        </w:r>
        <w:r w:rsidR="00560264" w:rsidRPr="00691719">
          <w:rPr>
            <w:noProof/>
            <w:webHidden/>
          </w:rPr>
          <w:fldChar w:fldCharType="separate"/>
        </w:r>
        <w:r w:rsidR="00095D9A">
          <w:rPr>
            <w:noProof/>
            <w:webHidden/>
          </w:rPr>
          <w:t>77</w:t>
        </w:r>
        <w:r w:rsidR="00560264" w:rsidRPr="00691719">
          <w:rPr>
            <w:noProof/>
            <w:webHidden/>
          </w:rPr>
          <w:fldChar w:fldCharType="end"/>
        </w:r>
      </w:hyperlink>
    </w:p>
    <w:p w:rsidR="00560264" w:rsidRPr="00691719" w:rsidRDefault="00691719" w:rsidP="00691719">
      <w:pPr>
        <w:pStyle w:val="TOC4"/>
        <w:rPr>
          <w:noProof/>
        </w:rPr>
      </w:pPr>
      <w:r w:rsidRPr="00691719">
        <w:rPr>
          <w:rStyle w:val="Hyperlink"/>
          <w:noProof/>
          <w:color w:val="auto"/>
          <w:u w:val="none"/>
        </w:rPr>
        <w:t>a.</w:t>
      </w:r>
      <w:r w:rsidRPr="00691719">
        <w:rPr>
          <w:rStyle w:val="Hyperlink"/>
          <w:noProof/>
          <w:color w:val="auto"/>
          <w:u w:val="none"/>
        </w:rPr>
        <w:tab/>
      </w:r>
      <w:hyperlink w:anchor="_Toc340670019" w:history="1">
        <w:r w:rsidR="00560264" w:rsidRPr="00691719">
          <w:rPr>
            <w:rStyle w:val="Hyperlink"/>
            <w:noProof/>
            <w:color w:val="auto"/>
            <w:u w:val="none"/>
          </w:rPr>
          <w:t>Introduction</w:t>
        </w:r>
        <w:r w:rsidRPr="00691719">
          <w:rPr>
            <w:noProof/>
            <w:webHidden/>
          </w:rPr>
          <w:tab/>
        </w:r>
        <w:r w:rsidR="00560264" w:rsidRPr="00691719">
          <w:rPr>
            <w:noProof/>
            <w:webHidden/>
          </w:rPr>
          <w:fldChar w:fldCharType="begin"/>
        </w:r>
        <w:r w:rsidR="00560264" w:rsidRPr="00691719">
          <w:rPr>
            <w:noProof/>
            <w:webHidden/>
          </w:rPr>
          <w:instrText xml:space="preserve"> PAGEREF _Toc340670019 \h </w:instrText>
        </w:r>
        <w:r w:rsidR="00560264" w:rsidRPr="00691719">
          <w:rPr>
            <w:noProof/>
            <w:webHidden/>
          </w:rPr>
        </w:r>
        <w:r w:rsidR="00560264" w:rsidRPr="00691719">
          <w:rPr>
            <w:noProof/>
            <w:webHidden/>
          </w:rPr>
          <w:fldChar w:fldCharType="separate"/>
        </w:r>
        <w:r w:rsidR="00095D9A">
          <w:rPr>
            <w:noProof/>
            <w:webHidden/>
          </w:rPr>
          <w:t>77</w:t>
        </w:r>
        <w:r w:rsidR="00560264" w:rsidRPr="00691719">
          <w:rPr>
            <w:noProof/>
            <w:webHidden/>
          </w:rPr>
          <w:fldChar w:fldCharType="end"/>
        </w:r>
      </w:hyperlink>
    </w:p>
    <w:p w:rsidR="00560264" w:rsidRPr="00691719" w:rsidRDefault="00130CEE" w:rsidP="00691719">
      <w:pPr>
        <w:pStyle w:val="TOC4"/>
        <w:rPr>
          <w:noProof/>
        </w:rPr>
      </w:pPr>
      <w:hyperlink w:anchor="_Toc340670020" w:history="1">
        <w:r w:rsidR="00560264" w:rsidRPr="00691719">
          <w:rPr>
            <w:rStyle w:val="Hyperlink"/>
            <w:noProof/>
            <w:color w:val="auto"/>
            <w:u w:val="none"/>
          </w:rPr>
          <w:t>b.</w:t>
        </w:r>
        <w:r w:rsidR="00560264" w:rsidRPr="00691719">
          <w:rPr>
            <w:noProof/>
          </w:rPr>
          <w:tab/>
        </w:r>
        <w:r w:rsidR="00560264" w:rsidRPr="00691719">
          <w:rPr>
            <w:rStyle w:val="Hyperlink"/>
            <w:noProof/>
            <w:color w:val="auto"/>
            <w:u w:val="none"/>
          </w:rPr>
          <w:t>PPL Electric’s As Filed Proposal</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_Toc340670020 \h </w:instrText>
        </w:r>
        <w:r w:rsidR="00560264" w:rsidRPr="00691719">
          <w:rPr>
            <w:noProof/>
            <w:webHidden/>
          </w:rPr>
        </w:r>
        <w:r w:rsidR="00560264" w:rsidRPr="00691719">
          <w:rPr>
            <w:noProof/>
            <w:webHidden/>
          </w:rPr>
          <w:fldChar w:fldCharType="separate"/>
        </w:r>
        <w:r w:rsidR="00095D9A">
          <w:rPr>
            <w:noProof/>
            <w:webHidden/>
          </w:rPr>
          <w:t>83</w:t>
        </w:r>
        <w:r w:rsidR="00560264" w:rsidRPr="00691719">
          <w:rPr>
            <w:noProof/>
            <w:webHidden/>
          </w:rPr>
          <w:fldChar w:fldCharType="end"/>
        </w:r>
      </w:hyperlink>
    </w:p>
    <w:p w:rsidR="00560264" w:rsidRPr="00691719" w:rsidRDefault="00130CEE" w:rsidP="00691719">
      <w:pPr>
        <w:pStyle w:val="TOC4"/>
        <w:rPr>
          <w:noProof/>
        </w:rPr>
      </w:pPr>
      <w:hyperlink w:anchor="_Toc340670021" w:history="1">
        <w:r w:rsidR="00560264" w:rsidRPr="00691719">
          <w:rPr>
            <w:rStyle w:val="Hyperlink"/>
            <w:noProof/>
            <w:color w:val="auto"/>
            <w:u w:val="none"/>
          </w:rPr>
          <w:t>c.</w:t>
        </w:r>
        <w:r w:rsidR="00560264" w:rsidRPr="00691719">
          <w:rPr>
            <w:noProof/>
          </w:rPr>
          <w:tab/>
        </w:r>
        <w:r w:rsidR="00560264" w:rsidRPr="00691719">
          <w:rPr>
            <w:rStyle w:val="Hyperlink"/>
            <w:noProof/>
            <w:color w:val="auto"/>
            <w:u w:val="none"/>
          </w:rPr>
          <w:t>The SEF Alternative</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_Toc340670021 \h </w:instrText>
        </w:r>
        <w:r w:rsidR="00560264" w:rsidRPr="00691719">
          <w:rPr>
            <w:noProof/>
            <w:webHidden/>
          </w:rPr>
        </w:r>
        <w:r w:rsidR="00560264" w:rsidRPr="00691719">
          <w:rPr>
            <w:noProof/>
            <w:webHidden/>
          </w:rPr>
          <w:fldChar w:fldCharType="separate"/>
        </w:r>
        <w:r w:rsidR="00095D9A">
          <w:rPr>
            <w:noProof/>
            <w:webHidden/>
          </w:rPr>
          <w:t>91</w:t>
        </w:r>
        <w:r w:rsidR="00560264" w:rsidRPr="00691719">
          <w:rPr>
            <w:noProof/>
            <w:webHidden/>
          </w:rPr>
          <w:fldChar w:fldCharType="end"/>
        </w:r>
      </w:hyperlink>
    </w:p>
    <w:p w:rsidR="00560264" w:rsidRPr="00691719" w:rsidRDefault="00130CEE" w:rsidP="00691719">
      <w:pPr>
        <w:pStyle w:val="TOC3"/>
        <w:rPr>
          <w:noProof/>
        </w:rPr>
      </w:pPr>
      <w:hyperlink w:anchor="_Toc340670022" w:history="1">
        <w:r w:rsidR="00560264" w:rsidRPr="00691719">
          <w:rPr>
            <w:rStyle w:val="Hyperlink"/>
            <w:noProof/>
            <w:color w:val="auto"/>
            <w:u w:val="none"/>
          </w:rPr>
          <w:t>4.</w:t>
        </w:r>
        <w:r w:rsidR="00560264" w:rsidRPr="00691719">
          <w:rPr>
            <w:noProof/>
          </w:rPr>
          <w:tab/>
        </w:r>
        <w:r w:rsidR="00560264" w:rsidRPr="00691719">
          <w:rPr>
            <w:rStyle w:val="Hyperlink"/>
            <w:noProof/>
            <w:color w:val="auto"/>
            <w:u w:val="none"/>
          </w:rPr>
          <w:t>Other Default Service Program Issues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_Toc340670022 \h </w:instrText>
        </w:r>
        <w:r w:rsidR="00560264" w:rsidRPr="00691719">
          <w:rPr>
            <w:noProof/>
            <w:webHidden/>
          </w:rPr>
        </w:r>
        <w:r w:rsidR="00560264" w:rsidRPr="00691719">
          <w:rPr>
            <w:noProof/>
            <w:webHidden/>
          </w:rPr>
          <w:fldChar w:fldCharType="separate"/>
        </w:r>
        <w:r w:rsidR="00095D9A">
          <w:rPr>
            <w:noProof/>
            <w:webHidden/>
          </w:rPr>
          <w:t>96</w:t>
        </w:r>
        <w:r w:rsidR="00560264" w:rsidRPr="00691719">
          <w:rPr>
            <w:noProof/>
            <w:webHidden/>
          </w:rPr>
          <w:fldChar w:fldCharType="end"/>
        </w:r>
      </w:hyperlink>
    </w:p>
    <w:p w:rsidR="00560264" w:rsidRPr="00691719" w:rsidRDefault="00691719" w:rsidP="00691719">
      <w:pPr>
        <w:pStyle w:val="TOC4"/>
        <w:rPr>
          <w:noProof/>
        </w:rPr>
      </w:pPr>
      <w:r w:rsidRPr="00691719">
        <w:rPr>
          <w:rStyle w:val="Hyperlink"/>
          <w:noProof/>
          <w:color w:val="auto"/>
          <w:u w:val="none"/>
        </w:rPr>
        <w:t>a.</w:t>
      </w:r>
      <w:r w:rsidRPr="00691719">
        <w:rPr>
          <w:rStyle w:val="Hyperlink"/>
          <w:noProof/>
          <w:color w:val="auto"/>
          <w:u w:val="none"/>
        </w:rPr>
        <w:tab/>
      </w:r>
      <w:hyperlink w:anchor="_Toc340670023" w:history="1">
        <w:r w:rsidR="00560264" w:rsidRPr="00691719">
          <w:rPr>
            <w:rStyle w:val="Hyperlink"/>
            <w:noProof/>
            <w:color w:val="auto"/>
            <w:u w:val="none"/>
          </w:rPr>
          <w:t>Supply Master Agreement and RFP Process and Rules</w:t>
        </w:r>
        <w:r w:rsidRPr="00691719">
          <w:rPr>
            <w:noProof/>
            <w:webHidden/>
          </w:rPr>
          <w:tab/>
        </w:r>
        <w:r w:rsidR="00560264" w:rsidRPr="00691719">
          <w:rPr>
            <w:noProof/>
            <w:webHidden/>
          </w:rPr>
          <w:fldChar w:fldCharType="begin"/>
        </w:r>
        <w:r w:rsidR="00560264" w:rsidRPr="00691719">
          <w:rPr>
            <w:noProof/>
            <w:webHidden/>
          </w:rPr>
          <w:instrText xml:space="preserve"> PAGEREF _Toc340670023 \h </w:instrText>
        </w:r>
        <w:r w:rsidR="00560264" w:rsidRPr="00691719">
          <w:rPr>
            <w:noProof/>
            <w:webHidden/>
          </w:rPr>
        </w:r>
        <w:r w:rsidR="00560264" w:rsidRPr="00691719">
          <w:rPr>
            <w:noProof/>
            <w:webHidden/>
          </w:rPr>
          <w:fldChar w:fldCharType="separate"/>
        </w:r>
        <w:r w:rsidR="00095D9A">
          <w:rPr>
            <w:noProof/>
            <w:webHidden/>
          </w:rPr>
          <w:t>96</w:t>
        </w:r>
        <w:r w:rsidR="00560264" w:rsidRPr="00691719">
          <w:rPr>
            <w:noProof/>
            <w:webHidden/>
          </w:rPr>
          <w:fldChar w:fldCharType="end"/>
        </w:r>
      </w:hyperlink>
    </w:p>
    <w:p w:rsidR="00560264" w:rsidRPr="00691719" w:rsidRDefault="00130CEE" w:rsidP="00691719">
      <w:pPr>
        <w:pStyle w:val="TOC5"/>
        <w:rPr>
          <w:noProof/>
        </w:rPr>
      </w:pPr>
      <w:hyperlink w:anchor="_Toc340670024" w:history="1">
        <w:r w:rsidR="00560264" w:rsidRPr="00691719">
          <w:rPr>
            <w:rStyle w:val="Hyperlink"/>
            <w:noProof/>
            <w:color w:val="auto"/>
            <w:u w:val="none"/>
          </w:rPr>
          <w:t>i.</w:t>
        </w:r>
        <w:r w:rsidR="00560264" w:rsidRPr="00691719">
          <w:rPr>
            <w:noProof/>
          </w:rPr>
          <w:tab/>
        </w:r>
        <w:r w:rsidR="00691719" w:rsidRPr="00691719">
          <w:rPr>
            <w:rStyle w:val="Hyperlink"/>
            <w:noProof/>
            <w:color w:val="auto"/>
            <w:u w:val="none"/>
          </w:rPr>
          <w:t>Unrecovered Credit</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_Toc340670024 \h </w:instrText>
        </w:r>
        <w:r w:rsidR="00560264" w:rsidRPr="00691719">
          <w:rPr>
            <w:noProof/>
            <w:webHidden/>
          </w:rPr>
        </w:r>
        <w:r w:rsidR="00560264" w:rsidRPr="00691719">
          <w:rPr>
            <w:noProof/>
            <w:webHidden/>
          </w:rPr>
          <w:fldChar w:fldCharType="separate"/>
        </w:r>
        <w:r w:rsidR="00095D9A">
          <w:rPr>
            <w:noProof/>
            <w:webHidden/>
          </w:rPr>
          <w:t>98</w:t>
        </w:r>
        <w:r w:rsidR="00560264" w:rsidRPr="00691719">
          <w:rPr>
            <w:noProof/>
            <w:webHidden/>
          </w:rPr>
          <w:fldChar w:fldCharType="end"/>
        </w:r>
      </w:hyperlink>
    </w:p>
    <w:p w:rsidR="00560264" w:rsidRPr="00691719" w:rsidRDefault="00130CEE" w:rsidP="00691719">
      <w:pPr>
        <w:pStyle w:val="TOC5"/>
        <w:rPr>
          <w:noProof/>
        </w:rPr>
      </w:pPr>
      <w:hyperlink w:anchor="_Toc340670025" w:history="1">
        <w:r w:rsidR="00560264" w:rsidRPr="00691719">
          <w:rPr>
            <w:rStyle w:val="Hyperlink"/>
            <w:noProof/>
            <w:color w:val="auto"/>
            <w:u w:val="none"/>
          </w:rPr>
          <w:t>ii.</w:t>
        </w:r>
        <w:r w:rsidR="00560264" w:rsidRPr="00691719">
          <w:rPr>
            <w:noProof/>
          </w:rPr>
          <w:tab/>
        </w:r>
        <w:r w:rsidR="00691719" w:rsidRPr="00691719">
          <w:rPr>
            <w:rStyle w:val="Hyperlink"/>
            <w:noProof/>
            <w:color w:val="auto"/>
            <w:u w:val="none"/>
          </w:rPr>
          <w:t>Monthly vs. Weekly Payment</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_Toc340670025 \h </w:instrText>
        </w:r>
        <w:r w:rsidR="00560264" w:rsidRPr="00691719">
          <w:rPr>
            <w:noProof/>
            <w:webHidden/>
          </w:rPr>
        </w:r>
        <w:r w:rsidR="00560264" w:rsidRPr="00691719">
          <w:rPr>
            <w:noProof/>
            <w:webHidden/>
          </w:rPr>
          <w:fldChar w:fldCharType="separate"/>
        </w:r>
        <w:r w:rsidR="00095D9A">
          <w:rPr>
            <w:noProof/>
            <w:webHidden/>
          </w:rPr>
          <w:t>100</w:t>
        </w:r>
        <w:r w:rsidR="00560264" w:rsidRPr="00691719">
          <w:rPr>
            <w:noProof/>
            <w:webHidden/>
          </w:rPr>
          <w:fldChar w:fldCharType="end"/>
        </w:r>
      </w:hyperlink>
    </w:p>
    <w:p w:rsidR="00560264" w:rsidRPr="00691719" w:rsidRDefault="00130CEE" w:rsidP="00691719">
      <w:pPr>
        <w:pStyle w:val="TOC5"/>
        <w:rPr>
          <w:noProof/>
        </w:rPr>
      </w:pPr>
      <w:hyperlink w:anchor="_Toc340670026" w:history="1">
        <w:r w:rsidR="00560264" w:rsidRPr="00691719">
          <w:rPr>
            <w:rStyle w:val="Hyperlink"/>
            <w:noProof/>
            <w:color w:val="auto"/>
            <w:u w:val="none"/>
          </w:rPr>
          <w:t>iii.</w:t>
        </w:r>
        <w:r w:rsidR="00560264" w:rsidRPr="00691719">
          <w:rPr>
            <w:noProof/>
          </w:rPr>
          <w:tab/>
        </w:r>
        <w:r w:rsidR="00560264" w:rsidRPr="00691719">
          <w:rPr>
            <w:rStyle w:val="Hyperlink"/>
            <w:noProof/>
            <w:color w:val="auto"/>
            <w:u w:val="none"/>
          </w:rPr>
          <w:t>Letter of C</w:t>
        </w:r>
        <w:r w:rsidR="00691719" w:rsidRPr="00691719">
          <w:rPr>
            <w:rStyle w:val="Hyperlink"/>
            <w:noProof/>
            <w:color w:val="auto"/>
            <w:u w:val="none"/>
          </w:rPr>
          <w:t>redit</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_Toc340670026 \h </w:instrText>
        </w:r>
        <w:r w:rsidR="00560264" w:rsidRPr="00691719">
          <w:rPr>
            <w:noProof/>
            <w:webHidden/>
          </w:rPr>
        </w:r>
        <w:r w:rsidR="00560264" w:rsidRPr="00691719">
          <w:rPr>
            <w:noProof/>
            <w:webHidden/>
          </w:rPr>
          <w:fldChar w:fldCharType="separate"/>
        </w:r>
        <w:r w:rsidR="00095D9A">
          <w:rPr>
            <w:noProof/>
            <w:webHidden/>
          </w:rPr>
          <w:t>101</w:t>
        </w:r>
        <w:r w:rsidR="00560264" w:rsidRPr="00691719">
          <w:rPr>
            <w:noProof/>
            <w:webHidden/>
          </w:rPr>
          <w:fldChar w:fldCharType="end"/>
        </w:r>
      </w:hyperlink>
    </w:p>
    <w:p w:rsidR="00560264" w:rsidRPr="00691719" w:rsidRDefault="00691719" w:rsidP="00691719">
      <w:pPr>
        <w:pStyle w:val="TOC4"/>
        <w:rPr>
          <w:noProof/>
        </w:rPr>
      </w:pPr>
      <w:r w:rsidRPr="00691719">
        <w:rPr>
          <w:rStyle w:val="Hyperlink"/>
          <w:noProof/>
          <w:color w:val="auto"/>
          <w:u w:val="none"/>
        </w:rPr>
        <w:t>b.</w:t>
      </w:r>
      <w:r w:rsidRPr="00691719">
        <w:rPr>
          <w:rStyle w:val="Hyperlink"/>
          <w:noProof/>
          <w:color w:val="auto"/>
          <w:u w:val="none"/>
        </w:rPr>
        <w:tab/>
      </w:r>
      <w:hyperlink w:anchor="_Toc340670027" w:history="1">
        <w:r w:rsidR="00560264" w:rsidRPr="00691719">
          <w:rPr>
            <w:rStyle w:val="Hyperlink"/>
            <w:noProof/>
            <w:color w:val="auto"/>
            <w:u w:val="none"/>
          </w:rPr>
          <w:t>Third-Party Manager</w:t>
        </w:r>
        <w:r w:rsidRPr="00691719">
          <w:rPr>
            <w:noProof/>
            <w:webHidden/>
          </w:rPr>
          <w:tab/>
        </w:r>
        <w:r w:rsidR="00560264" w:rsidRPr="00691719">
          <w:rPr>
            <w:noProof/>
            <w:webHidden/>
          </w:rPr>
          <w:fldChar w:fldCharType="begin"/>
        </w:r>
        <w:r w:rsidR="00560264" w:rsidRPr="00691719">
          <w:rPr>
            <w:noProof/>
            <w:webHidden/>
          </w:rPr>
          <w:instrText xml:space="preserve"> PAGEREF _Toc340670027 \h </w:instrText>
        </w:r>
        <w:r w:rsidR="00560264" w:rsidRPr="00691719">
          <w:rPr>
            <w:noProof/>
            <w:webHidden/>
          </w:rPr>
        </w:r>
        <w:r w:rsidR="00560264" w:rsidRPr="00691719">
          <w:rPr>
            <w:noProof/>
            <w:webHidden/>
          </w:rPr>
          <w:fldChar w:fldCharType="separate"/>
        </w:r>
        <w:r w:rsidR="00095D9A">
          <w:rPr>
            <w:noProof/>
            <w:webHidden/>
          </w:rPr>
          <w:t>101</w:t>
        </w:r>
        <w:r w:rsidR="00560264" w:rsidRPr="00691719">
          <w:rPr>
            <w:noProof/>
            <w:webHidden/>
          </w:rPr>
          <w:fldChar w:fldCharType="end"/>
        </w:r>
      </w:hyperlink>
    </w:p>
    <w:p w:rsidR="00560264" w:rsidRPr="00691719" w:rsidRDefault="00691719" w:rsidP="00691719">
      <w:pPr>
        <w:pStyle w:val="TOC4"/>
        <w:rPr>
          <w:noProof/>
        </w:rPr>
      </w:pPr>
      <w:r w:rsidRPr="00691719">
        <w:rPr>
          <w:rStyle w:val="Hyperlink"/>
          <w:noProof/>
          <w:color w:val="auto"/>
          <w:u w:val="none"/>
        </w:rPr>
        <w:t>c.</w:t>
      </w:r>
      <w:r w:rsidRPr="00691719">
        <w:rPr>
          <w:rStyle w:val="Hyperlink"/>
          <w:noProof/>
          <w:color w:val="auto"/>
          <w:u w:val="none"/>
        </w:rPr>
        <w:tab/>
      </w:r>
      <w:hyperlink w:anchor="_Toc340670028" w:history="1">
        <w:r w:rsidR="00560264" w:rsidRPr="00691719">
          <w:rPr>
            <w:rStyle w:val="Hyperlink"/>
            <w:noProof/>
            <w:color w:val="auto"/>
            <w:u w:val="none"/>
          </w:rPr>
          <w:t>RTO Compliance and Consistency</w:t>
        </w:r>
        <w:r w:rsidRPr="00691719">
          <w:rPr>
            <w:noProof/>
            <w:webHidden/>
          </w:rPr>
          <w:tab/>
        </w:r>
        <w:r w:rsidR="00560264" w:rsidRPr="00691719">
          <w:rPr>
            <w:noProof/>
            <w:webHidden/>
          </w:rPr>
          <w:fldChar w:fldCharType="begin"/>
        </w:r>
        <w:r w:rsidR="00560264" w:rsidRPr="00691719">
          <w:rPr>
            <w:noProof/>
            <w:webHidden/>
          </w:rPr>
          <w:instrText xml:space="preserve"> PAGEREF _Toc340670028 \h </w:instrText>
        </w:r>
        <w:r w:rsidR="00560264" w:rsidRPr="00691719">
          <w:rPr>
            <w:noProof/>
            <w:webHidden/>
          </w:rPr>
        </w:r>
        <w:r w:rsidR="00560264" w:rsidRPr="00691719">
          <w:rPr>
            <w:noProof/>
            <w:webHidden/>
          </w:rPr>
          <w:fldChar w:fldCharType="separate"/>
        </w:r>
        <w:r w:rsidR="00095D9A">
          <w:rPr>
            <w:noProof/>
            <w:webHidden/>
          </w:rPr>
          <w:t>102</w:t>
        </w:r>
        <w:r w:rsidR="00560264" w:rsidRPr="00691719">
          <w:rPr>
            <w:noProof/>
            <w:webHidden/>
          </w:rPr>
          <w:fldChar w:fldCharType="end"/>
        </w:r>
      </w:hyperlink>
    </w:p>
    <w:p w:rsidR="00560264" w:rsidRPr="00691719" w:rsidRDefault="00691719" w:rsidP="00691719">
      <w:pPr>
        <w:pStyle w:val="TOC4"/>
        <w:rPr>
          <w:noProof/>
        </w:rPr>
      </w:pPr>
      <w:r w:rsidRPr="00691719">
        <w:rPr>
          <w:rStyle w:val="Hyperlink"/>
          <w:noProof/>
          <w:color w:val="auto"/>
          <w:u w:val="none"/>
        </w:rPr>
        <w:t>d.</w:t>
      </w:r>
      <w:r w:rsidRPr="00691719">
        <w:rPr>
          <w:rStyle w:val="Hyperlink"/>
          <w:noProof/>
          <w:color w:val="auto"/>
          <w:u w:val="none"/>
        </w:rPr>
        <w:tab/>
      </w:r>
      <w:hyperlink w:anchor="_Toc340670029" w:history="1">
        <w:r w:rsidR="00560264" w:rsidRPr="00691719">
          <w:rPr>
            <w:rStyle w:val="Hyperlink"/>
            <w:noProof/>
            <w:color w:val="auto"/>
            <w:u w:val="none"/>
          </w:rPr>
          <w:t>Contingency Planning</w:t>
        </w:r>
        <w:r w:rsidRPr="00691719">
          <w:rPr>
            <w:rStyle w:val="Hyperlink"/>
            <w:noProof/>
            <w:color w:val="auto"/>
            <w:u w:val="none"/>
          </w:rPr>
          <w:tab/>
        </w:r>
        <w:r w:rsidR="00560264" w:rsidRPr="00691719">
          <w:rPr>
            <w:noProof/>
            <w:webHidden/>
          </w:rPr>
          <w:fldChar w:fldCharType="begin"/>
        </w:r>
        <w:r w:rsidR="00560264" w:rsidRPr="00691719">
          <w:rPr>
            <w:noProof/>
            <w:webHidden/>
          </w:rPr>
          <w:instrText xml:space="preserve"> PAGEREF _Toc340670029 \h </w:instrText>
        </w:r>
        <w:r w:rsidR="00560264" w:rsidRPr="00691719">
          <w:rPr>
            <w:noProof/>
            <w:webHidden/>
          </w:rPr>
        </w:r>
        <w:r w:rsidR="00560264" w:rsidRPr="00691719">
          <w:rPr>
            <w:noProof/>
            <w:webHidden/>
          </w:rPr>
          <w:fldChar w:fldCharType="separate"/>
        </w:r>
        <w:r w:rsidR="00095D9A">
          <w:rPr>
            <w:noProof/>
            <w:webHidden/>
          </w:rPr>
          <w:t>103</w:t>
        </w:r>
        <w:r w:rsidR="00560264" w:rsidRPr="00691719">
          <w:rPr>
            <w:noProof/>
            <w:webHidden/>
          </w:rPr>
          <w:fldChar w:fldCharType="end"/>
        </w:r>
      </w:hyperlink>
    </w:p>
    <w:p w:rsidR="00560264" w:rsidRPr="00691719" w:rsidRDefault="00691719" w:rsidP="00691719">
      <w:pPr>
        <w:pStyle w:val="TOC4"/>
        <w:rPr>
          <w:noProof/>
        </w:rPr>
      </w:pPr>
      <w:r w:rsidRPr="00691719">
        <w:rPr>
          <w:rStyle w:val="Hyperlink"/>
          <w:noProof/>
          <w:color w:val="auto"/>
          <w:u w:val="none"/>
        </w:rPr>
        <w:t>e.</w:t>
      </w:r>
      <w:r w:rsidRPr="00691719">
        <w:rPr>
          <w:rStyle w:val="Hyperlink"/>
          <w:noProof/>
          <w:color w:val="auto"/>
          <w:u w:val="none"/>
        </w:rPr>
        <w:tab/>
      </w:r>
      <w:hyperlink w:anchor="_Toc340670030" w:history="1">
        <w:r w:rsidR="00560264" w:rsidRPr="00691719">
          <w:rPr>
            <w:rStyle w:val="Hyperlink"/>
            <w:noProof/>
            <w:color w:val="auto"/>
            <w:u w:val="none"/>
          </w:rPr>
          <w:t>Additional Information to Wholesale Suppliers Regarding Shopping and Procurements</w:t>
        </w:r>
        <w:r w:rsidR="00560264" w:rsidRPr="00691719">
          <w:rPr>
            <w:noProof/>
            <w:webHidden/>
          </w:rPr>
          <w:t xml:space="preserve"> </w:t>
        </w:r>
        <w:r w:rsidRPr="00691719">
          <w:rPr>
            <w:noProof/>
            <w:webHidden/>
          </w:rPr>
          <w:tab/>
        </w:r>
        <w:r w:rsidR="00560264" w:rsidRPr="00691719">
          <w:rPr>
            <w:noProof/>
            <w:webHidden/>
          </w:rPr>
          <w:fldChar w:fldCharType="begin"/>
        </w:r>
        <w:r w:rsidR="00560264" w:rsidRPr="00691719">
          <w:rPr>
            <w:noProof/>
            <w:webHidden/>
          </w:rPr>
          <w:instrText xml:space="preserve"> PAGEREF _Toc340670030 \h </w:instrText>
        </w:r>
        <w:r w:rsidR="00560264" w:rsidRPr="00691719">
          <w:rPr>
            <w:noProof/>
            <w:webHidden/>
          </w:rPr>
        </w:r>
        <w:r w:rsidR="00560264" w:rsidRPr="00691719">
          <w:rPr>
            <w:noProof/>
            <w:webHidden/>
          </w:rPr>
          <w:fldChar w:fldCharType="separate"/>
        </w:r>
        <w:r w:rsidR="00095D9A">
          <w:rPr>
            <w:noProof/>
            <w:webHidden/>
          </w:rPr>
          <w:t>104</w:t>
        </w:r>
        <w:r w:rsidR="00560264" w:rsidRPr="00691719">
          <w:rPr>
            <w:noProof/>
            <w:webHidden/>
          </w:rPr>
          <w:fldChar w:fldCharType="end"/>
        </w:r>
      </w:hyperlink>
    </w:p>
    <w:p w:rsidR="00560264" w:rsidRPr="00691719" w:rsidRDefault="00130CEE" w:rsidP="00560264">
      <w:pPr>
        <w:pStyle w:val="TOC2"/>
        <w:rPr>
          <w:noProof/>
        </w:rPr>
      </w:pPr>
      <w:hyperlink w:anchor="_Toc340670031" w:history="1">
        <w:r w:rsidR="00560264" w:rsidRPr="00691719">
          <w:rPr>
            <w:rStyle w:val="Hyperlink"/>
            <w:noProof/>
            <w:color w:val="auto"/>
            <w:u w:val="none"/>
          </w:rPr>
          <w:t>C.</w:t>
        </w:r>
        <w:r w:rsidR="00560264" w:rsidRPr="00691719">
          <w:rPr>
            <w:noProof/>
          </w:rPr>
          <w:tab/>
        </w:r>
        <w:r w:rsidR="00560264" w:rsidRPr="00691719">
          <w:rPr>
            <w:rStyle w:val="Hyperlink"/>
            <w:noProof/>
            <w:color w:val="auto"/>
            <w:u w:val="none"/>
          </w:rPr>
          <w:t>Retail Market Enhancements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_Toc340670031 \h </w:instrText>
        </w:r>
        <w:r w:rsidR="00560264" w:rsidRPr="00691719">
          <w:rPr>
            <w:noProof/>
            <w:webHidden/>
          </w:rPr>
        </w:r>
        <w:r w:rsidR="00560264" w:rsidRPr="00691719">
          <w:rPr>
            <w:noProof/>
            <w:webHidden/>
          </w:rPr>
          <w:fldChar w:fldCharType="separate"/>
        </w:r>
        <w:r w:rsidR="00095D9A">
          <w:rPr>
            <w:noProof/>
            <w:webHidden/>
          </w:rPr>
          <w:t>105</w:t>
        </w:r>
        <w:r w:rsidR="00560264" w:rsidRPr="00691719">
          <w:rPr>
            <w:noProof/>
            <w:webHidden/>
          </w:rPr>
          <w:fldChar w:fldCharType="end"/>
        </w:r>
      </w:hyperlink>
    </w:p>
    <w:p w:rsidR="00560264" w:rsidRPr="00691719" w:rsidRDefault="00130CEE" w:rsidP="00691719">
      <w:pPr>
        <w:pStyle w:val="TOC3"/>
        <w:rPr>
          <w:noProof/>
        </w:rPr>
      </w:pPr>
      <w:hyperlink w:anchor="_Toc340670032" w:history="1">
        <w:r w:rsidR="00560264" w:rsidRPr="00691719">
          <w:rPr>
            <w:rStyle w:val="Hyperlink"/>
            <w:noProof/>
            <w:color w:val="auto"/>
            <w:u w:val="none"/>
          </w:rPr>
          <w:t>1.</w:t>
        </w:r>
        <w:r w:rsidR="00560264" w:rsidRPr="00691719">
          <w:rPr>
            <w:noProof/>
          </w:rPr>
          <w:tab/>
        </w:r>
        <w:r w:rsidR="00560264" w:rsidRPr="00691719">
          <w:rPr>
            <w:rStyle w:val="Hyperlink"/>
            <w:noProof/>
            <w:color w:val="auto"/>
            <w:u w:val="none"/>
          </w:rPr>
          <w:t>Separate consumer education mailings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_Toc340670032 \h </w:instrText>
        </w:r>
        <w:r w:rsidR="00560264" w:rsidRPr="00691719">
          <w:rPr>
            <w:noProof/>
            <w:webHidden/>
          </w:rPr>
        </w:r>
        <w:r w:rsidR="00560264" w:rsidRPr="00691719">
          <w:rPr>
            <w:noProof/>
            <w:webHidden/>
          </w:rPr>
          <w:fldChar w:fldCharType="separate"/>
        </w:r>
        <w:r w:rsidR="00095D9A">
          <w:rPr>
            <w:noProof/>
            <w:webHidden/>
          </w:rPr>
          <w:t>107</w:t>
        </w:r>
        <w:r w:rsidR="00560264" w:rsidRPr="00691719">
          <w:rPr>
            <w:noProof/>
            <w:webHidden/>
          </w:rPr>
          <w:fldChar w:fldCharType="end"/>
        </w:r>
      </w:hyperlink>
    </w:p>
    <w:p w:rsidR="00560264" w:rsidRPr="00691719" w:rsidRDefault="00130CEE" w:rsidP="00691719">
      <w:pPr>
        <w:pStyle w:val="TOC3"/>
        <w:rPr>
          <w:noProof/>
        </w:rPr>
      </w:pPr>
      <w:hyperlink w:anchor="_Toc340670033" w:history="1">
        <w:r w:rsidR="00560264" w:rsidRPr="00691719">
          <w:rPr>
            <w:rStyle w:val="Hyperlink"/>
            <w:noProof/>
            <w:color w:val="auto"/>
            <w:u w:val="none"/>
          </w:rPr>
          <w:t>2.</w:t>
        </w:r>
        <w:r w:rsidR="00560264" w:rsidRPr="00691719">
          <w:rPr>
            <w:noProof/>
          </w:rPr>
          <w:tab/>
        </w:r>
        <w:r w:rsidR="00560264" w:rsidRPr="00691719">
          <w:rPr>
            <w:rStyle w:val="Hyperlink"/>
            <w:noProof/>
            <w:color w:val="auto"/>
            <w:u w:val="none"/>
          </w:rPr>
          <w:t>New/Moving Customer program</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_Toc340670033 \h </w:instrText>
        </w:r>
        <w:r w:rsidR="00560264" w:rsidRPr="00691719">
          <w:rPr>
            <w:noProof/>
            <w:webHidden/>
          </w:rPr>
        </w:r>
        <w:r w:rsidR="00560264" w:rsidRPr="00691719">
          <w:rPr>
            <w:noProof/>
            <w:webHidden/>
          </w:rPr>
          <w:fldChar w:fldCharType="separate"/>
        </w:r>
        <w:r w:rsidR="00095D9A">
          <w:rPr>
            <w:noProof/>
            <w:webHidden/>
          </w:rPr>
          <w:t>108</w:t>
        </w:r>
        <w:r w:rsidR="00560264" w:rsidRPr="00691719">
          <w:rPr>
            <w:noProof/>
            <w:webHidden/>
          </w:rPr>
          <w:fldChar w:fldCharType="end"/>
        </w:r>
      </w:hyperlink>
    </w:p>
    <w:p w:rsidR="00560264" w:rsidRPr="00691719" w:rsidRDefault="00130CEE" w:rsidP="00691719">
      <w:pPr>
        <w:pStyle w:val="TOC3"/>
        <w:rPr>
          <w:noProof/>
        </w:rPr>
      </w:pPr>
      <w:hyperlink w:anchor="_Toc340670034" w:history="1">
        <w:r w:rsidR="00560264" w:rsidRPr="00691719">
          <w:rPr>
            <w:rStyle w:val="Hyperlink"/>
            <w:noProof/>
            <w:color w:val="auto"/>
            <w:u w:val="none"/>
          </w:rPr>
          <w:t>3.</w:t>
        </w:r>
        <w:r w:rsidR="00560264" w:rsidRPr="00691719">
          <w:rPr>
            <w:noProof/>
          </w:rPr>
          <w:tab/>
        </w:r>
        <w:r w:rsidR="00560264" w:rsidRPr="00691719">
          <w:rPr>
            <w:rStyle w:val="Hyperlink"/>
            <w:noProof/>
            <w:color w:val="auto"/>
            <w:u w:val="none"/>
          </w:rPr>
          <w:t>Retail Opt-In Auction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_Toc340670034 \h </w:instrText>
        </w:r>
        <w:r w:rsidR="00560264" w:rsidRPr="00691719">
          <w:rPr>
            <w:noProof/>
            <w:webHidden/>
          </w:rPr>
        </w:r>
        <w:r w:rsidR="00560264" w:rsidRPr="00691719">
          <w:rPr>
            <w:noProof/>
            <w:webHidden/>
          </w:rPr>
          <w:fldChar w:fldCharType="separate"/>
        </w:r>
        <w:r w:rsidR="00095D9A">
          <w:rPr>
            <w:noProof/>
            <w:webHidden/>
          </w:rPr>
          <w:t>111</w:t>
        </w:r>
        <w:r w:rsidR="00560264" w:rsidRPr="00691719">
          <w:rPr>
            <w:noProof/>
            <w:webHidden/>
          </w:rPr>
          <w:fldChar w:fldCharType="end"/>
        </w:r>
      </w:hyperlink>
    </w:p>
    <w:p w:rsidR="00560264" w:rsidRPr="00691719" w:rsidRDefault="00130CEE" w:rsidP="00691719">
      <w:pPr>
        <w:pStyle w:val="TOC4"/>
        <w:rPr>
          <w:noProof/>
        </w:rPr>
      </w:pPr>
      <w:hyperlink w:anchor="_Toc340670035" w:history="1">
        <w:r w:rsidR="00560264" w:rsidRPr="00691719">
          <w:rPr>
            <w:rStyle w:val="Hyperlink"/>
            <w:noProof/>
            <w:color w:val="auto"/>
            <w:u w:val="none"/>
          </w:rPr>
          <w:t>a.</w:t>
        </w:r>
        <w:r w:rsidR="00560264" w:rsidRPr="00691719">
          <w:rPr>
            <w:noProof/>
          </w:rPr>
          <w:tab/>
        </w:r>
        <w:r w:rsidR="00560264" w:rsidRPr="00691719">
          <w:rPr>
            <w:rStyle w:val="Hyperlink"/>
            <w:noProof/>
            <w:color w:val="auto"/>
            <w:u w:val="none"/>
          </w:rPr>
          <w:t>Description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_Toc340670035 \h </w:instrText>
        </w:r>
        <w:r w:rsidR="00560264" w:rsidRPr="00691719">
          <w:rPr>
            <w:noProof/>
            <w:webHidden/>
          </w:rPr>
        </w:r>
        <w:r w:rsidR="00560264" w:rsidRPr="00691719">
          <w:rPr>
            <w:noProof/>
            <w:webHidden/>
          </w:rPr>
          <w:fldChar w:fldCharType="separate"/>
        </w:r>
        <w:r w:rsidR="00095D9A">
          <w:rPr>
            <w:noProof/>
            <w:webHidden/>
          </w:rPr>
          <w:t>111</w:t>
        </w:r>
        <w:r w:rsidR="00560264" w:rsidRPr="00691719">
          <w:rPr>
            <w:noProof/>
            <w:webHidden/>
          </w:rPr>
          <w:fldChar w:fldCharType="end"/>
        </w:r>
      </w:hyperlink>
    </w:p>
    <w:p w:rsidR="00560264" w:rsidRPr="00691719" w:rsidRDefault="00130CEE" w:rsidP="00691719">
      <w:pPr>
        <w:pStyle w:val="TOC4"/>
        <w:rPr>
          <w:noProof/>
        </w:rPr>
      </w:pPr>
      <w:hyperlink w:anchor="_Toc340670036" w:history="1">
        <w:r w:rsidR="00560264" w:rsidRPr="00691719">
          <w:rPr>
            <w:rStyle w:val="Hyperlink"/>
            <w:noProof/>
            <w:color w:val="auto"/>
            <w:u w:val="none"/>
          </w:rPr>
          <w:t>b.</w:t>
        </w:r>
        <w:r w:rsidR="00560264" w:rsidRPr="00691719">
          <w:rPr>
            <w:noProof/>
          </w:rPr>
          <w:tab/>
        </w:r>
        <w:r w:rsidR="00560264" w:rsidRPr="00691719">
          <w:rPr>
            <w:rStyle w:val="Hyperlink"/>
            <w:noProof/>
            <w:color w:val="auto"/>
            <w:u w:val="none"/>
          </w:rPr>
          <w:t>Length of time of program</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_Toc340670036 \h </w:instrText>
        </w:r>
        <w:r w:rsidR="00560264" w:rsidRPr="00691719">
          <w:rPr>
            <w:noProof/>
            <w:webHidden/>
          </w:rPr>
        </w:r>
        <w:r w:rsidR="00560264" w:rsidRPr="00691719">
          <w:rPr>
            <w:noProof/>
            <w:webHidden/>
          </w:rPr>
          <w:fldChar w:fldCharType="separate"/>
        </w:r>
        <w:r w:rsidR="00095D9A">
          <w:rPr>
            <w:noProof/>
            <w:webHidden/>
          </w:rPr>
          <w:t>113</w:t>
        </w:r>
        <w:r w:rsidR="00560264" w:rsidRPr="00691719">
          <w:rPr>
            <w:noProof/>
            <w:webHidden/>
          </w:rPr>
          <w:fldChar w:fldCharType="end"/>
        </w:r>
      </w:hyperlink>
    </w:p>
    <w:p w:rsidR="00560264" w:rsidRPr="00691719" w:rsidRDefault="00130CEE" w:rsidP="00691719">
      <w:pPr>
        <w:pStyle w:val="TOC4"/>
        <w:rPr>
          <w:noProof/>
        </w:rPr>
      </w:pPr>
      <w:hyperlink w:anchor="_Toc340670037" w:history="1">
        <w:r w:rsidR="00560264" w:rsidRPr="00691719">
          <w:rPr>
            <w:rStyle w:val="Hyperlink"/>
            <w:noProof/>
            <w:color w:val="auto"/>
            <w:u w:val="none"/>
          </w:rPr>
          <w:t>c.</w:t>
        </w:r>
        <w:r w:rsidR="00560264" w:rsidRPr="00691719">
          <w:rPr>
            <w:noProof/>
          </w:rPr>
          <w:tab/>
        </w:r>
        <w:r w:rsidR="00560264" w:rsidRPr="00691719">
          <w:rPr>
            <w:rStyle w:val="Hyperlink"/>
            <w:noProof/>
            <w:color w:val="auto"/>
            <w:u w:val="none"/>
          </w:rPr>
          <w:t>Limitation of participants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_Toc340670037 \h </w:instrText>
        </w:r>
        <w:r w:rsidR="00560264" w:rsidRPr="00691719">
          <w:rPr>
            <w:noProof/>
            <w:webHidden/>
          </w:rPr>
        </w:r>
        <w:r w:rsidR="00560264" w:rsidRPr="00691719">
          <w:rPr>
            <w:noProof/>
            <w:webHidden/>
          </w:rPr>
          <w:fldChar w:fldCharType="separate"/>
        </w:r>
        <w:r w:rsidR="00095D9A">
          <w:rPr>
            <w:noProof/>
            <w:webHidden/>
          </w:rPr>
          <w:t>118</w:t>
        </w:r>
        <w:r w:rsidR="00560264" w:rsidRPr="00691719">
          <w:rPr>
            <w:noProof/>
            <w:webHidden/>
          </w:rPr>
          <w:fldChar w:fldCharType="end"/>
        </w:r>
      </w:hyperlink>
    </w:p>
    <w:p w:rsidR="00560264" w:rsidRPr="00691719" w:rsidRDefault="00130CEE" w:rsidP="00691719">
      <w:pPr>
        <w:pStyle w:val="TOC5"/>
        <w:rPr>
          <w:noProof/>
        </w:rPr>
      </w:pPr>
      <w:hyperlink w:anchor="_Toc340670038" w:history="1">
        <w:r w:rsidR="00560264" w:rsidRPr="00691719">
          <w:rPr>
            <w:rStyle w:val="Hyperlink"/>
            <w:noProof/>
            <w:color w:val="auto"/>
            <w:u w:val="none"/>
          </w:rPr>
          <w:t>i.</w:t>
        </w:r>
        <w:r w:rsidR="00560264" w:rsidRPr="00691719">
          <w:rPr>
            <w:noProof/>
          </w:rPr>
          <w:tab/>
        </w:r>
        <w:r w:rsidR="00560264" w:rsidRPr="00691719">
          <w:rPr>
            <w:rStyle w:val="Hyperlink"/>
            <w:noProof/>
            <w:color w:val="auto"/>
            <w:u w:val="none"/>
          </w:rPr>
          <w:t>Residential customers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_Toc340670038 \h </w:instrText>
        </w:r>
        <w:r w:rsidR="00560264" w:rsidRPr="00691719">
          <w:rPr>
            <w:noProof/>
            <w:webHidden/>
          </w:rPr>
        </w:r>
        <w:r w:rsidR="00560264" w:rsidRPr="00691719">
          <w:rPr>
            <w:noProof/>
            <w:webHidden/>
          </w:rPr>
          <w:fldChar w:fldCharType="separate"/>
        </w:r>
        <w:r w:rsidR="00095D9A">
          <w:rPr>
            <w:noProof/>
            <w:webHidden/>
          </w:rPr>
          <w:t>118</w:t>
        </w:r>
        <w:r w:rsidR="00560264" w:rsidRPr="00691719">
          <w:rPr>
            <w:noProof/>
            <w:webHidden/>
          </w:rPr>
          <w:fldChar w:fldCharType="end"/>
        </w:r>
      </w:hyperlink>
    </w:p>
    <w:p w:rsidR="00560264" w:rsidRPr="00691719" w:rsidRDefault="00130CEE" w:rsidP="00691719">
      <w:pPr>
        <w:pStyle w:val="TOC5"/>
        <w:rPr>
          <w:noProof/>
        </w:rPr>
      </w:pPr>
      <w:hyperlink w:anchor="_Toc340670039" w:history="1">
        <w:r w:rsidR="00560264" w:rsidRPr="00691719">
          <w:rPr>
            <w:rStyle w:val="Hyperlink"/>
            <w:noProof/>
            <w:color w:val="auto"/>
            <w:u w:val="none"/>
          </w:rPr>
          <w:t>ii.</w:t>
        </w:r>
        <w:r w:rsidR="00560264" w:rsidRPr="00691719">
          <w:rPr>
            <w:noProof/>
          </w:rPr>
          <w:tab/>
        </w:r>
        <w:r w:rsidR="00560264" w:rsidRPr="00691719">
          <w:rPr>
            <w:rStyle w:val="Hyperlink"/>
            <w:noProof/>
            <w:color w:val="auto"/>
            <w:u w:val="none"/>
          </w:rPr>
          <w:t>Small C&amp;I Customers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_Toc340670039 \h </w:instrText>
        </w:r>
        <w:r w:rsidR="00560264" w:rsidRPr="00691719">
          <w:rPr>
            <w:noProof/>
            <w:webHidden/>
          </w:rPr>
        </w:r>
        <w:r w:rsidR="00560264" w:rsidRPr="00691719">
          <w:rPr>
            <w:noProof/>
            <w:webHidden/>
          </w:rPr>
          <w:fldChar w:fldCharType="separate"/>
        </w:r>
        <w:r w:rsidR="00095D9A">
          <w:rPr>
            <w:noProof/>
            <w:webHidden/>
          </w:rPr>
          <w:t>121</w:t>
        </w:r>
        <w:r w:rsidR="00560264" w:rsidRPr="00691719">
          <w:rPr>
            <w:noProof/>
            <w:webHidden/>
          </w:rPr>
          <w:fldChar w:fldCharType="end"/>
        </w:r>
      </w:hyperlink>
    </w:p>
    <w:p w:rsidR="00560264" w:rsidRPr="00691719" w:rsidRDefault="00130CEE" w:rsidP="00691719">
      <w:pPr>
        <w:pStyle w:val="TOC4"/>
        <w:rPr>
          <w:noProof/>
        </w:rPr>
      </w:pPr>
      <w:hyperlink w:anchor="_Toc340670040" w:history="1">
        <w:r w:rsidR="00560264" w:rsidRPr="00691719">
          <w:rPr>
            <w:rStyle w:val="Hyperlink"/>
            <w:noProof/>
            <w:color w:val="auto"/>
            <w:u w:val="none"/>
          </w:rPr>
          <w:t>d.</w:t>
        </w:r>
        <w:r w:rsidR="00560264" w:rsidRPr="00691719">
          <w:rPr>
            <w:noProof/>
          </w:rPr>
          <w:tab/>
        </w:r>
        <w:r w:rsidR="00560264" w:rsidRPr="00691719">
          <w:rPr>
            <w:rStyle w:val="Hyperlink"/>
            <w:noProof/>
            <w:color w:val="auto"/>
            <w:u w:val="none"/>
          </w:rPr>
          <w:t>Price</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_Toc340670040 \h </w:instrText>
        </w:r>
        <w:r w:rsidR="00560264" w:rsidRPr="00691719">
          <w:rPr>
            <w:noProof/>
            <w:webHidden/>
          </w:rPr>
        </w:r>
        <w:r w:rsidR="00560264" w:rsidRPr="00691719">
          <w:rPr>
            <w:noProof/>
            <w:webHidden/>
          </w:rPr>
          <w:fldChar w:fldCharType="separate"/>
        </w:r>
        <w:r w:rsidR="00095D9A">
          <w:rPr>
            <w:noProof/>
            <w:webHidden/>
          </w:rPr>
          <w:t>122</w:t>
        </w:r>
        <w:r w:rsidR="00560264" w:rsidRPr="00691719">
          <w:rPr>
            <w:noProof/>
            <w:webHidden/>
          </w:rPr>
          <w:fldChar w:fldCharType="end"/>
        </w:r>
      </w:hyperlink>
    </w:p>
    <w:p w:rsidR="00560264" w:rsidRPr="00691719" w:rsidRDefault="00130CEE" w:rsidP="00691719">
      <w:pPr>
        <w:pStyle w:val="TOC4"/>
        <w:rPr>
          <w:noProof/>
        </w:rPr>
      </w:pPr>
      <w:hyperlink w:anchor="_Toc340670041" w:history="1">
        <w:r w:rsidR="00560264" w:rsidRPr="00691719">
          <w:rPr>
            <w:rStyle w:val="Hyperlink"/>
            <w:noProof/>
            <w:color w:val="auto"/>
            <w:u w:val="none"/>
          </w:rPr>
          <w:t>e.</w:t>
        </w:r>
        <w:r w:rsidR="00560264" w:rsidRPr="00691719">
          <w:rPr>
            <w:noProof/>
          </w:rPr>
          <w:tab/>
        </w:r>
        <w:r w:rsidR="00560264" w:rsidRPr="00691719">
          <w:rPr>
            <w:rStyle w:val="Hyperlink"/>
            <w:noProof/>
            <w:color w:val="auto"/>
            <w:u w:val="none"/>
          </w:rPr>
          <w:t>Terms and Conditions disclosure</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_Toc340670041 \h </w:instrText>
        </w:r>
        <w:r w:rsidR="00560264" w:rsidRPr="00691719">
          <w:rPr>
            <w:noProof/>
            <w:webHidden/>
          </w:rPr>
        </w:r>
        <w:r w:rsidR="00560264" w:rsidRPr="00691719">
          <w:rPr>
            <w:noProof/>
            <w:webHidden/>
          </w:rPr>
          <w:fldChar w:fldCharType="separate"/>
        </w:r>
        <w:r w:rsidR="00095D9A">
          <w:rPr>
            <w:noProof/>
            <w:webHidden/>
          </w:rPr>
          <w:t>123</w:t>
        </w:r>
        <w:r w:rsidR="00560264" w:rsidRPr="00691719">
          <w:rPr>
            <w:noProof/>
            <w:webHidden/>
          </w:rPr>
          <w:fldChar w:fldCharType="end"/>
        </w:r>
      </w:hyperlink>
    </w:p>
    <w:p w:rsidR="00560264" w:rsidRPr="00691719" w:rsidRDefault="00130CEE" w:rsidP="00691719">
      <w:pPr>
        <w:pStyle w:val="TOC4"/>
        <w:rPr>
          <w:noProof/>
        </w:rPr>
      </w:pPr>
      <w:hyperlink w:anchor="_Toc340670042" w:history="1">
        <w:r w:rsidR="00560264" w:rsidRPr="00691719">
          <w:rPr>
            <w:rStyle w:val="Hyperlink"/>
            <w:noProof/>
            <w:color w:val="auto"/>
            <w:u w:val="none"/>
          </w:rPr>
          <w:t>f.</w:t>
        </w:r>
        <w:r w:rsidR="00560264" w:rsidRPr="00691719">
          <w:rPr>
            <w:noProof/>
          </w:rPr>
          <w:tab/>
        </w:r>
        <w:r w:rsidR="00560264" w:rsidRPr="00691719">
          <w:rPr>
            <w:rStyle w:val="Hyperlink"/>
            <w:noProof/>
            <w:color w:val="auto"/>
            <w:u w:val="none"/>
          </w:rPr>
          <w:t>Supplier Participation Load Cap</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_Toc340670042 \h </w:instrText>
        </w:r>
        <w:r w:rsidR="00560264" w:rsidRPr="00691719">
          <w:rPr>
            <w:noProof/>
            <w:webHidden/>
          </w:rPr>
        </w:r>
        <w:r w:rsidR="00560264" w:rsidRPr="00691719">
          <w:rPr>
            <w:noProof/>
            <w:webHidden/>
          </w:rPr>
          <w:fldChar w:fldCharType="separate"/>
        </w:r>
        <w:r w:rsidR="00095D9A">
          <w:rPr>
            <w:noProof/>
            <w:webHidden/>
          </w:rPr>
          <w:t>124</w:t>
        </w:r>
        <w:r w:rsidR="00560264" w:rsidRPr="00691719">
          <w:rPr>
            <w:noProof/>
            <w:webHidden/>
          </w:rPr>
          <w:fldChar w:fldCharType="end"/>
        </w:r>
      </w:hyperlink>
    </w:p>
    <w:p w:rsidR="00560264" w:rsidRPr="00691719" w:rsidRDefault="00130CEE" w:rsidP="00691719">
      <w:pPr>
        <w:pStyle w:val="TOC4"/>
        <w:rPr>
          <w:noProof/>
        </w:rPr>
      </w:pPr>
      <w:hyperlink w:anchor="_Toc340670043" w:history="1">
        <w:r w:rsidR="00560264" w:rsidRPr="00691719">
          <w:rPr>
            <w:rStyle w:val="Hyperlink"/>
            <w:noProof/>
            <w:color w:val="auto"/>
            <w:u w:val="none"/>
          </w:rPr>
          <w:t>g.</w:t>
        </w:r>
        <w:r w:rsidR="00560264" w:rsidRPr="00691719">
          <w:rPr>
            <w:noProof/>
          </w:rPr>
          <w:tab/>
        </w:r>
        <w:r w:rsidR="00560264" w:rsidRPr="00691719">
          <w:rPr>
            <w:rStyle w:val="Hyperlink"/>
            <w:noProof/>
            <w:color w:val="auto"/>
            <w:u w:val="none"/>
          </w:rPr>
          <w:t>Customer Options on Product Expiration and Notice Requirements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_Toc340670043 \h </w:instrText>
        </w:r>
        <w:r w:rsidR="00560264" w:rsidRPr="00691719">
          <w:rPr>
            <w:noProof/>
            <w:webHidden/>
          </w:rPr>
        </w:r>
        <w:r w:rsidR="00560264" w:rsidRPr="00691719">
          <w:rPr>
            <w:noProof/>
            <w:webHidden/>
          </w:rPr>
          <w:fldChar w:fldCharType="separate"/>
        </w:r>
        <w:r w:rsidR="00095D9A">
          <w:rPr>
            <w:noProof/>
            <w:webHidden/>
          </w:rPr>
          <w:t>125</w:t>
        </w:r>
        <w:r w:rsidR="00560264" w:rsidRPr="00691719">
          <w:rPr>
            <w:noProof/>
            <w:webHidden/>
          </w:rPr>
          <w:fldChar w:fldCharType="end"/>
        </w:r>
      </w:hyperlink>
    </w:p>
    <w:p w:rsidR="00560264" w:rsidRPr="00691719" w:rsidRDefault="00130CEE" w:rsidP="00691719">
      <w:pPr>
        <w:pStyle w:val="TOC4"/>
        <w:rPr>
          <w:noProof/>
        </w:rPr>
      </w:pPr>
      <w:hyperlink w:anchor="_Toc340670044" w:history="1">
        <w:r w:rsidR="00560264" w:rsidRPr="00691719">
          <w:rPr>
            <w:rStyle w:val="Hyperlink"/>
            <w:noProof/>
            <w:color w:val="auto"/>
            <w:u w:val="none"/>
          </w:rPr>
          <w:t>h.</w:t>
        </w:r>
        <w:r w:rsidR="00560264" w:rsidRPr="00691719">
          <w:rPr>
            <w:noProof/>
          </w:rPr>
          <w:tab/>
        </w:r>
        <w:r w:rsidR="00560264" w:rsidRPr="00691719">
          <w:rPr>
            <w:rStyle w:val="Hyperlink"/>
            <w:noProof/>
            <w:color w:val="auto"/>
            <w:u w:val="none"/>
          </w:rPr>
          <w:t>Structure of Opt-In Auction – sealed bid format vs. descending price clock auction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_Toc340670044 \h </w:instrText>
        </w:r>
        <w:r w:rsidR="00560264" w:rsidRPr="00691719">
          <w:rPr>
            <w:noProof/>
            <w:webHidden/>
          </w:rPr>
        </w:r>
        <w:r w:rsidR="00560264" w:rsidRPr="00691719">
          <w:rPr>
            <w:noProof/>
            <w:webHidden/>
          </w:rPr>
          <w:fldChar w:fldCharType="separate"/>
        </w:r>
        <w:r w:rsidR="00095D9A">
          <w:rPr>
            <w:noProof/>
            <w:webHidden/>
          </w:rPr>
          <w:t>127</w:t>
        </w:r>
        <w:r w:rsidR="00560264" w:rsidRPr="00691719">
          <w:rPr>
            <w:noProof/>
            <w:webHidden/>
          </w:rPr>
          <w:fldChar w:fldCharType="end"/>
        </w:r>
      </w:hyperlink>
    </w:p>
    <w:p w:rsidR="00560264" w:rsidRPr="00691719" w:rsidRDefault="00130CEE" w:rsidP="00691719">
      <w:pPr>
        <w:pStyle w:val="TOC4"/>
        <w:rPr>
          <w:noProof/>
        </w:rPr>
      </w:pPr>
      <w:hyperlink w:anchor="_Toc340670045" w:history="1">
        <w:r w:rsidR="00560264" w:rsidRPr="00691719">
          <w:rPr>
            <w:rStyle w:val="Hyperlink"/>
            <w:noProof/>
            <w:color w:val="auto"/>
            <w:u w:val="none"/>
          </w:rPr>
          <w:t>i.</w:t>
        </w:r>
        <w:r w:rsidR="00560264" w:rsidRPr="00691719">
          <w:rPr>
            <w:noProof/>
          </w:rPr>
          <w:tab/>
        </w:r>
        <w:r w:rsidR="00560264" w:rsidRPr="00691719">
          <w:rPr>
            <w:rStyle w:val="Hyperlink"/>
            <w:noProof/>
            <w:color w:val="auto"/>
            <w:u w:val="none"/>
          </w:rPr>
          <w:t>Low Income Participation in Retail Market Enhancements</w:t>
        </w:r>
        <w:r w:rsidR="00560264" w:rsidRPr="00691719">
          <w:rPr>
            <w:noProof/>
            <w:webHidden/>
          </w:rPr>
          <w:t xml:space="preserve"> </w:t>
        </w:r>
        <w:r w:rsidR="00560264" w:rsidRPr="00691719">
          <w:rPr>
            <w:noProof/>
            <w:webHidden/>
          </w:rPr>
          <w:fldChar w:fldCharType="begin"/>
        </w:r>
        <w:r w:rsidR="00560264" w:rsidRPr="00691719">
          <w:rPr>
            <w:noProof/>
            <w:webHidden/>
          </w:rPr>
          <w:instrText xml:space="preserve"> PAGEREF _Toc340670045 \h </w:instrText>
        </w:r>
        <w:r w:rsidR="00560264" w:rsidRPr="00691719">
          <w:rPr>
            <w:noProof/>
            <w:webHidden/>
          </w:rPr>
        </w:r>
        <w:r w:rsidR="00560264" w:rsidRPr="00691719">
          <w:rPr>
            <w:noProof/>
            <w:webHidden/>
          </w:rPr>
          <w:fldChar w:fldCharType="separate"/>
        </w:r>
        <w:r w:rsidR="00095D9A">
          <w:rPr>
            <w:noProof/>
            <w:webHidden/>
          </w:rPr>
          <w:t>128</w:t>
        </w:r>
        <w:r w:rsidR="00560264" w:rsidRPr="00691719">
          <w:rPr>
            <w:noProof/>
            <w:webHidden/>
          </w:rPr>
          <w:fldChar w:fldCharType="end"/>
        </w:r>
      </w:hyperlink>
    </w:p>
    <w:p w:rsidR="00560264" w:rsidRPr="00691719" w:rsidRDefault="00130CEE" w:rsidP="00691719">
      <w:pPr>
        <w:pStyle w:val="TOC3"/>
        <w:rPr>
          <w:noProof/>
        </w:rPr>
      </w:pPr>
      <w:hyperlink w:anchor="_Toc340670046" w:history="1">
        <w:r w:rsidR="00560264" w:rsidRPr="00691719">
          <w:rPr>
            <w:rStyle w:val="Hyperlink"/>
            <w:noProof/>
            <w:color w:val="auto"/>
            <w:u w:val="none"/>
          </w:rPr>
          <w:t>4.</w:t>
        </w:r>
        <w:r w:rsidR="00560264" w:rsidRPr="00691719">
          <w:rPr>
            <w:noProof/>
          </w:rPr>
          <w:tab/>
        </w:r>
        <w:r w:rsidR="00560264" w:rsidRPr="00691719">
          <w:rPr>
            <w:rStyle w:val="Hyperlink"/>
            <w:noProof/>
            <w:color w:val="auto"/>
            <w:u w:val="none"/>
          </w:rPr>
          <w:t>Standard Offer Program Design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_Toc340670046 \h </w:instrText>
        </w:r>
        <w:r w:rsidR="00560264" w:rsidRPr="00691719">
          <w:rPr>
            <w:noProof/>
            <w:webHidden/>
          </w:rPr>
        </w:r>
        <w:r w:rsidR="00560264" w:rsidRPr="00691719">
          <w:rPr>
            <w:noProof/>
            <w:webHidden/>
          </w:rPr>
          <w:fldChar w:fldCharType="separate"/>
        </w:r>
        <w:r w:rsidR="00095D9A">
          <w:rPr>
            <w:noProof/>
            <w:webHidden/>
          </w:rPr>
          <w:t>134</w:t>
        </w:r>
        <w:r w:rsidR="00560264" w:rsidRPr="00691719">
          <w:rPr>
            <w:noProof/>
            <w:webHidden/>
          </w:rPr>
          <w:fldChar w:fldCharType="end"/>
        </w:r>
      </w:hyperlink>
    </w:p>
    <w:p w:rsidR="00560264" w:rsidRPr="00691719" w:rsidRDefault="00130CEE" w:rsidP="00691719">
      <w:pPr>
        <w:pStyle w:val="TOC4"/>
        <w:rPr>
          <w:noProof/>
        </w:rPr>
      </w:pPr>
      <w:hyperlink w:anchor="_Toc340670047" w:history="1">
        <w:r w:rsidR="00560264" w:rsidRPr="00691719">
          <w:rPr>
            <w:rStyle w:val="Hyperlink"/>
            <w:noProof/>
            <w:color w:val="auto"/>
            <w:u w:val="none"/>
          </w:rPr>
          <w:t>a.</w:t>
        </w:r>
        <w:r w:rsidR="00560264" w:rsidRPr="00691719">
          <w:rPr>
            <w:noProof/>
          </w:rPr>
          <w:tab/>
        </w:r>
        <w:r w:rsidR="00560264" w:rsidRPr="00691719">
          <w:rPr>
            <w:rStyle w:val="Hyperlink"/>
            <w:noProof/>
            <w:color w:val="auto"/>
            <w:u w:val="none"/>
          </w:rPr>
          <w:t>Description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_Toc340670047 \h </w:instrText>
        </w:r>
        <w:r w:rsidR="00560264" w:rsidRPr="00691719">
          <w:rPr>
            <w:noProof/>
            <w:webHidden/>
          </w:rPr>
        </w:r>
        <w:r w:rsidR="00560264" w:rsidRPr="00691719">
          <w:rPr>
            <w:noProof/>
            <w:webHidden/>
          </w:rPr>
          <w:fldChar w:fldCharType="separate"/>
        </w:r>
        <w:r w:rsidR="00095D9A">
          <w:rPr>
            <w:noProof/>
            <w:webHidden/>
          </w:rPr>
          <w:t>134</w:t>
        </w:r>
        <w:r w:rsidR="00560264" w:rsidRPr="00691719">
          <w:rPr>
            <w:noProof/>
            <w:webHidden/>
          </w:rPr>
          <w:fldChar w:fldCharType="end"/>
        </w:r>
      </w:hyperlink>
    </w:p>
    <w:p w:rsidR="00560264" w:rsidRPr="00691719" w:rsidRDefault="00130CEE" w:rsidP="00691719">
      <w:pPr>
        <w:pStyle w:val="TOC4"/>
        <w:rPr>
          <w:noProof/>
        </w:rPr>
      </w:pPr>
      <w:hyperlink w:anchor="_Toc340670048" w:history="1">
        <w:r w:rsidR="00560264" w:rsidRPr="00691719">
          <w:rPr>
            <w:rStyle w:val="Hyperlink"/>
            <w:noProof/>
            <w:color w:val="auto"/>
            <w:u w:val="none"/>
          </w:rPr>
          <w:t>b.</w:t>
        </w:r>
        <w:r w:rsidR="00560264" w:rsidRPr="00691719">
          <w:rPr>
            <w:noProof/>
          </w:rPr>
          <w:tab/>
        </w:r>
        <w:r w:rsidR="00560264" w:rsidRPr="00691719">
          <w:rPr>
            <w:rStyle w:val="Hyperlink"/>
            <w:noProof/>
            <w:color w:val="auto"/>
            <w:u w:val="none"/>
          </w:rPr>
          <w:t>Composition of product offer</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_Toc340670048 \h </w:instrText>
        </w:r>
        <w:r w:rsidR="00560264" w:rsidRPr="00691719">
          <w:rPr>
            <w:noProof/>
            <w:webHidden/>
          </w:rPr>
        </w:r>
        <w:r w:rsidR="00560264" w:rsidRPr="00691719">
          <w:rPr>
            <w:noProof/>
            <w:webHidden/>
          </w:rPr>
          <w:fldChar w:fldCharType="separate"/>
        </w:r>
        <w:r w:rsidR="00095D9A">
          <w:rPr>
            <w:noProof/>
            <w:webHidden/>
          </w:rPr>
          <w:t>136</w:t>
        </w:r>
        <w:r w:rsidR="00560264" w:rsidRPr="00691719">
          <w:rPr>
            <w:noProof/>
            <w:webHidden/>
          </w:rPr>
          <w:fldChar w:fldCharType="end"/>
        </w:r>
      </w:hyperlink>
    </w:p>
    <w:p w:rsidR="00560264" w:rsidRPr="00691719" w:rsidRDefault="00130CEE" w:rsidP="00691719">
      <w:pPr>
        <w:pStyle w:val="TOC4"/>
        <w:rPr>
          <w:noProof/>
        </w:rPr>
      </w:pPr>
      <w:hyperlink w:anchor="_Toc340670049" w:history="1">
        <w:r w:rsidR="00560264" w:rsidRPr="00691719">
          <w:rPr>
            <w:rStyle w:val="Hyperlink"/>
            <w:noProof/>
            <w:color w:val="auto"/>
            <w:u w:val="none"/>
          </w:rPr>
          <w:t>c.</w:t>
        </w:r>
        <w:r w:rsidR="00560264" w:rsidRPr="00691719">
          <w:rPr>
            <w:noProof/>
          </w:rPr>
          <w:tab/>
        </w:r>
        <w:r w:rsidR="00560264" w:rsidRPr="00691719">
          <w:rPr>
            <w:rStyle w:val="Hyperlink"/>
            <w:noProof/>
            <w:color w:val="auto"/>
            <w:u w:val="none"/>
          </w:rPr>
          <w:t>Customer Options Upon Expiration</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_Toc340670049 \h </w:instrText>
        </w:r>
        <w:r w:rsidR="00560264" w:rsidRPr="00691719">
          <w:rPr>
            <w:noProof/>
            <w:webHidden/>
          </w:rPr>
        </w:r>
        <w:r w:rsidR="00560264" w:rsidRPr="00691719">
          <w:rPr>
            <w:noProof/>
            <w:webHidden/>
          </w:rPr>
          <w:fldChar w:fldCharType="separate"/>
        </w:r>
        <w:r w:rsidR="00095D9A">
          <w:rPr>
            <w:noProof/>
            <w:webHidden/>
          </w:rPr>
          <w:t>140</w:t>
        </w:r>
        <w:r w:rsidR="00560264" w:rsidRPr="00691719">
          <w:rPr>
            <w:noProof/>
            <w:webHidden/>
          </w:rPr>
          <w:fldChar w:fldCharType="end"/>
        </w:r>
      </w:hyperlink>
    </w:p>
    <w:p w:rsidR="00560264" w:rsidRPr="00691719" w:rsidRDefault="00130CEE" w:rsidP="00691719">
      <w:pPr>
        <w:pStyle w:val="TOC4"/>
        <w:rPr>
          <w:noProof/>
        </w:rPr>
      </w:pPr>
      <w:hyperlink w:anchor="_Toc340670050" w:history="1">
        <w:r w:rsidR="00560264" w:rsidRPr="00691719">
          <w:rPr>
            <w:rStyle w:val="Hyperlink"/>
            <w:noProof/>
            <w:color w:val="auto"/>
            <w:u w:val="none"/>
          </w:rPr>
          <w:t>d.</w:t>
        </w:r>
        <w:r w:rsidR="00560264" w:rsidRPr="00691719">
          <w:rPr>
            <w:noProof/>
          </w:rPr>
          <w:tab/>
        </w:r>
        <w:r w:rsidR="00560264" w:rsidRPr="00691719">
          <w:rPr>
            <w:rStyle w:val="Hyperlink"/>
            <w:noProof/>
            <w:color w:val="auto"/>
            <w:u w:val="none"/>
          </w:rPr>
          <w:t>Types of Customer Calls Eligible for Referral</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_Toc340670050 \h </w:instrText>
        </w:r>
        <w:r w:rsidR="00560264" w:rsidRPr="00691719">
          <w:rPr>
            <w:noProof/>
            <w:webHidden/>
          </w:rPr>
        </w:r>
        <w:r w:rsidR="00560264" w:rsidRPr="00691719">
          <w:rPr>
            <w:noProof/>
            <w:webHidden/>
          </w:rPr>
          <w:fldChar w:fldCharType="separate"/>
        </w:r>
        <w:r w:rsidR="00095D9A">
          <w:rPr>
            <w:noProof/>
            <w:webHidden/>
          </w:rPr>
          <w:t>141</w:t>
        </w:r>
        <w:r w:rsidR="00560264" w:rsidRPr="00691719">
          <w:rPr>
            <w:noProof/>
            <w:webHidden/>
          </w:rPr>
          <w:fldChar w:fldCharType="end"/>
        </w:r>
      </w:hyperlink>
    </w:p>
    <w:p w:rsidR="00560264" w:rsidRPr="00691719" w:rsidRDefault="00130CEE" w:rsidP="00691719">
      <w:pPr>
        <w:pStyle w:val="TOC3"/>
        <w:rPr>
          <w:noProof/>
        </w:rPr>
      </w:pPr>
      <w:hyperlink w:anchor="_Toc340670051" w:history="1">
        <w:r w:rsidR="00560264" w:rsidRPr="00691719">
          <w:rPr>
            <w:rStyle w:val="Hyperlink"/>
            <w:noProof/>
            <w:color w:val="auto"/>
            <w:u w:val="none"/>
          </w:rPr>
          <w:t>5.</w:t>
        </w:r>
        <w:r w:rsidR="00560264" w:rsidRPr="00691719">
          <w:rPr>
            <w:noProof/>
          </w:rPr>
          <w:tab/>
        </w:r>
        <w:r w:rsidR="00560264" w:rsidRPr="00691719">
          <w:rPr>
            <w:rStyle w:val="Hyperlink"/>
            <w:noProof/>
            <w:color w:val="auto"/>
            <w:u w:val="none"/>
          </w:rPr>
          <w:t>Timing of the Retail Market Enhancements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_Toc340670051 \h </w:instrText>
        </w:r>
        <w:r w:rsidR="00560264" w:rsidRPr="00691719">
          <w:rPr>
            <w:noProof/>
            <w:webHidden/>
          </w:rPr>
        </w:r>
        <w:r w:rsidR="00560264" w:rsidRPr="00691719">
          <w:rPr>
            <w:noProof/>
            <w:webHidden/>
          </w:rPr>
          <w:fldChar w:fldCharType="separate"/>
        </w:r>
        <w:r w:rsidR="00095D9A">
          <w:rPr>
            <w:noProof/>
            <w:webHidden/>
          </w:rPr>
          <w:t>143</w:t>
        </w:r>
        <w:r w:rsidR="00560264" w:rsidRPr="00691719">
          <w:rPr>
            <w:noProof/>
            <w:webHidden/>
          </w:rPr>
          <w:fldChar w:fldCharType="end"/>
        </w:r>
      </w:hyperlink>
    </w:p>
    <w:p w:rsidR="00560264" w:rsidRPr="00691719" w:rsidRDefault="00130CEE" w:rsidP="00691719">
      <w:pPr>
        <w:pStyle w:val="TOC3"/>
        <w:rPr>
          <w:noProof/>
        </w:rPr>
      </w:pPr>
      <w:hyperlink w:anchor="_Toc340670052" w:history="1">
        <w:r w:rsidR="00560264" w:rsidRPr="00691719">
          <w:rPr>
            <w:rStyle w:val="Hyperlink"/>
            <w:noProof/>
            <w:color w:val="auto"/>
            <w:u w:val="none"/>
          </w:rPr>
          <w:t>6.</w:t>
        </w:r>
        <w:r w:rsidR="00560264" w:rsidRPr="00691719">
          <w:rPr>
            <w:noProof/>
          </w:rPr>
          <w:tab/>
        </w:r>
        <w:r w:rsidR="00560264" w:rsidRPr="00691719">
          <w:rPr>
            <w:rStyle w:val="Hyperlink"/>
            <w:noProof/>
            <w:color w:val="auto"/>
            <w:u w:val="none"/>
          </w:rPr>
          <w:t>Cost Recovery for the Retail Market Enhancements and Customer Referral Programs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_Toc340670052 \h </w:instrText>
        </w:r>
        <w:r w:rsidR="00560264" w:rsidRPr="00691719">
          <w:rPr>
            <w:noProof/>
            <w:webHidden/>
          </w:rPr>
        </w:r>
        <w:r w:rsidR="00560264" w:rsidRPr="00691719">
          <w:rPr>
            <w:noProof/>
            <w:webHidden/>
          </w:rPr>
          <w:fldChar w:fldCharType="separate"/>
        </w:r>
        <w:r w:rsidR="00095D9A">
          <w:rPr>
            <w:noProof/>
            <w:webHidden/>
          </w:rPr>
          <w:t>147</w:t>
        </w:r>
        <w:r w:rsidR="00560264" w:rsidRPr="00691719">
          <w:rPr>
            <w:noProof/>
            <w:webHidden/>
          </w:rPr>
          <w:fldChar w:fldCharType="end"/>
        </w:r>
      </w:hyperlink>
    </w:p>
    <w:p w:rsidR="00560264" w:rsidRPr="00691719" w:rsidRDefault="00130CEE" w:rsidP="00560264">
      <w:pPr>
        <w:pStyle w:val="TOC2"/>
        <w:rPr>
          <w:noProof/>
        </w:rPr>
      </w:pPr>
      <w:hyperlink w:anchor="_Toc340670053" w:history="1">
        <w:r w:rsidR="00560264" w:rsidRPr="00691719">
          <w:rPr>
            <w:rStyle w:val="Hyperlink"/>
            <w:noProof/>
            <w:color w:val="auto"/>
            <w:u w:val="none"/>
          </w:rPr>
          <w:t>D.</w:t>
        </w:r>
        <w:r w:rsidR="00560264" w:rsidRPr="00691719">
          <w:rPr>
            <w:noProof/>
          </w:rPr>
          <w:tab/>
        </w:r>
        <w:r w:rsidR="00560264" w:rsidRPr="00691719">
          <w:rPr>
            <w:rStyle w:val="Hyperlink"/>
            <w:noProof/>
            <w:color w:val="auto"/>
            <w:u w:val="none"/>
          </w:rPr>
          <w:t>Additional Issues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_Toc340670053 \h </w:instrText>
        </w:r>
        <w:r w:rsidR="00560264" w:rsidRPr="00691719">
          <w:rPr>
            <w:noProof/>
            <w:webHidden/>
          </w:rPr>
        </w:r>
        <w:r w:rsidR="00560264" w:rsidRPr="00691719">
          <w:rPr>
            <w:noProof/>
            <w:webHidden/>
          </w:rPr>
          <w:fldChar w:fldCharType="separate"/>
        </w:r>
        <w:r w:rsidR="00095D9A">
          <w:rPr>
            <w:noProof/>
            <w:webHidden/>
          </w:rPr>
          <w:t>155</w:t>
        </w:r>
        <w:r w:rsidR="00560264" w:rsidRPr="00691719">
          <w:rPr>
            <w:noProof/>
            <w:webHidden/>
          </w:rPr>
          <w:fldChar w:fldCharType="end"/>
        </w:r>
      </w:hyperlink>
    </w:p>
    <w:p w:rsidR="00560264" w:rsidRPr="00691719" w:rsidRDefault="00130CEE" w:rsidP="00691719">
      <w:pPr>
        <w:pStyle w:val="TOC3"/>
        <w:rPr>
          <w:noProof/>
        </w:rPr>
      </w:pPr>
      <w:hyperlink w:anchor="_Toc340670054" w:history="1">
        <w:r w:rsidR="00560264" w:rsidRPr="00691719">
          <w:rPr>
            <w:rStyle w:val="Hyperlink"/>
            <w:noProof/>
            <w:color w:val="auto"/>
            <w:u w:val="none"/>
          </w:rPr>
          <w:t>1.</w:t>
        </w:r>
        <w:r w:rsidR="00560264" w:rsidRPr="00691719">
          <w:rPr>
            <w:noProof/>
          </w:rPr>
          <w:tab/>
        </w:r>
        <w:r w:rsidR="00560264" w:rsidRPr="00691719">
          <w:rPr>
            <w:rStyle w:val="Hyperlink"/>
            <w:noProof/>
            <w:color w:val="auto"/>
            <w:u w:val="none"/>
          </w:rPr>
          <w:t>RESA's proposed 5 mils/kWh charge added to default service rates</w:t>
        </w:r>
        <w:r w:rsidR="00691719" w:rsidRPr="00691719">
          <w:rPr>
            <w:rStyle w:val="Hyperlink"/>
            <w:noProof/>
            <w:color w:val="auto"/>
            <w:u w:val="none"/>
          </w:rPr>
          <w:tab/>
        </w:r>
        <w:r w:rsidR="00560264" w:rsidRPr="00691719">
          <w:rPr>
            <w:noProof/>
            <w:webHidden/>
          </w:rPr>
          <w:fldChar w:fldCharType="begin"/>
        </w:r>
        <w:r w:rsidR="00560264" w:rsidRPr="00691719">
          <w:rPr>
            <w:noProof/>
            <w:webHidden/>
          </w:rPr>
          <w:instrText xml:space="preserve"> PAGEREF _Toc340670054 \h </w:instrText>
        </w:r>
        <w:r w:rsidR="00560264" w:rsidRPr="00691719">
          <w:rPr>
            <w:noProof/>
            <w:webHidden/>
          </w:rPr>
        </w:r>
        <w:r w:rsidR="00560264" w:rsidRPr="00691719">
          <w:rPr>
            <w:noProof/>
            <w:webHidden/>
          </w:rPr>
          <w:fldChar w:fldCharType="separate"/>
        </w:r>
        <w:r w:rsidR="00095D9A">
          <w:rPr>
            <w:noProof/>
            <w:webHidden/>
          </w:rPr>
          <w:t>155</w:t>
        </w:r>
        <w:r w:rsidR="00560264" w:rsidRPr="00691719">
          <w:rPr>
            <w:noProof/>
            <w:webHidden/>
          </w:rPr>
          <w:fldChar w:fldCharType="end"/>
        </w:r>
      </w:hyperlink>
    </w:p>
    <w:p w:rsidR="00560264" w:rsidRPr="00691719" w:rsidRDefault="00130CEE" w:rsidP="00691719">
      <w:pPr>
        <w:pStyle w:val="TOC3"/>
        <w:rPr>
          <w:noProof/>
        </w:rPr>
      </w:pPr>
      <w:hyperlink w:anchor="_Toc340670055" w:history="1">
        <w:r w:rsidR="00560264" w:rsidRPr="00691719">
          <w:rPr>
            <w:rStyle w:val="Hyperlink"/>
            <w:noProof/>
            <w:color w:val="auto"/>
            <w:u w:val="none"/>
          </w:rPr>
          <w:t>2.</w:t>
        </w:r>
        <w:r w:rsidR="00560264" w:rsidRPr="00691719">
          <w:rPr>
            <w:noProof/>
          </w:rPr>
          <w:tab/>
        </w:r>
        <w:r w:rsidR="00560264" w:rsidRPr="00691719">
          <w:rPr>
            <w:rStyle w:val="Hyperlink"/>
            <w:noProof/>
            <w:color w:val="auto"/>
            <w:u w:val="none"/>
          </w:rPr>
          <w:t>Requested Ruling Pursuant to 66 Pa. C.S. § 2102</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_Toc340670055 \h </w:instrText>
        </w:r>
        <w:r w:rsidR="00560264" w:rsidRPr="00691719">
          <w:rPr>
            <w:noProof/>
            <w:webHidden/>
          </w:rPr>
        </w:r>
        <w:r w:rsidR="00560264" w:rsidRPr="00691719">
          <w:rPr>
            <w:noProof/>
            <w:webHidden/>
          </w:rPr>
          <w:fldChar w:fldCharType="separate"/>
        </w:r>
        <w:r w:rsidR="00095D9A">
          <w:rPr>
            <w:noProof/>
            <w:webHidden/>
          </w:rPr>
          <w:t>156</w:t>
        </w:r>
        <w:r w:rsidR="00560264" w:rsidRPr="00691719">
          <w:rPr>
            <w:noProof/>
            <w:webHidden/>
          </w:rPr>
          <w:fldChar w:fldCharType="end"/>
        </w:r>
      </w:hyperlink>
    </w:p>
    <w:p w:rsidR="00560264" w:rsidRPr="00691719" w:rsidRDefault="00130CEE" w:rsidP="00691719">
      <w:pPr>
        <w:pStyle w:val="TOC3"/>
        <w:rPr>
          <w:noProof/>
        </w:rPr>
      </w:pPr>
      <w:hyperlink w:anchor="_Toc340670056" w:history="1">
        <w:r w:rsidR="00560264" w:rsidRPr="00691719">
          <w:rPr>
            <w:rStyle w:val="Hyperlink"/>
            <w:noProof/>
            <w:color w:val="auto"/>
            <w:u w:val="none"/>
          </w:rPr>
          <w:t>3.</w:t>
        </w:r>
        <w:r w:rsidR="00560264" w:rsidRPr="00691719">
          <w:rPr>
            <w:noProof/>
          </w:rPr>
          <w:tab/>
        </w:r>
        <w:r w:rsidR="00560264" w:rsidRPr="00691719">
          <w:rPr>
            <w:rStyle w:val="Hyperlink"/>
            <w:noProof/>
            <w:color w:val="auto"/>
            <w:u w:val="none"/>
          </w:rPr>
          <w:t>Requested Waivers</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_Toc340670056 \h </w:instrText>
        </w:r>
        <w:r w:rsidR="00560264" w:rsidRPr="00691719">
          <w:rPr>
            <w:noProof/>
            <w:webHidden/>
          </w:rPr>
        </w:r>
        <w:r w:rsidR="00560264" w:rsidRPr="00691719">
          <w:rPr>
            <w:noProof/>
            <w:webHidden/>
          </w:rPr>
          <w:fldChar w:fldCharType="separate"/>
        </w:r>
        <w:r w:rsidR="00095D9A">
          <w:rPr>
            <w:noProof/>
            <w:webHidden/>
          </w:rPr>
          <w:t>157</w:t>
        </w:r>
        <w:r w:rsidR="00560264" w:rsidRPr="00691719">
          <w:rPr>
            <w:noProof/>
            <w:webHidden/>
          </w:rPr>
          <w:fldChar w:fldCharType="end"/>
        </w:r>
      </w:hyperlink>
    </w:p>
    <w:p w:rsidR="00560264" w:rsidRPr="00691719" w:rsidRDefault="00130CEE" w:rsidP="00560264">
      <w:pPr>
        <w:pStyle w:val="TOC1"/>
        <w:rPr>
          <w:noProof/>
        </w:rPr>
      </w:pPr>
      <w:hyperlink w:anchor="_Toc340670057" w:history="1">
        <w:r w:rsidR="00560264" w:rsidRPr="00691719">
          <w:rPr>
            <w:rStyle w:val="Hyperlink"/>
            <w:noProof/>
            <w:color w:val="auto"/>
            <w:u w:val="none"/>
          </w:rPr>
          <w:t>IV.</w:t>
        </w:r>
        <w:r w:rsidR="00560264" w:rsidRPr="00691719">
          <w:rPr>
            <w:noProof/>
          </w:rPr>
          <w:tab/>
        </w:r>
        <w:r w:rsidR="00560264" w:rsidRPr="00691719">
          <w:rPr>
            <w:rStyle w:val="Hyperlink"/>
            <w:noProof/>
            <w:color w:val="auto"/>
            <w:u w:val="none"/>
          </w:rPr>
          <w:t>CONCLUSIONS OF LAW</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_Toc340670057 \h </w:instrText>
        </w:r>
        <w:r w:rsidR="00560264" w:rsidRPr="00691719">
          <w:rPr>
            <w:noProof/>
            <w:webHidden/>
          </w:rPr>
        </w:r>
        <w:r w:rsidR="00560264" w:rsidRPr="00691719">
          <w:rPr>
            <w:noProof/>
            <w:webHidden/>
          </w:rPr>
          <w:fldChar w:fldCharType="separate"/>
        </w:r>
        <w:r w:rsidR="00095D9A">
          <w:rPr>
            <w:noProof/>
            <w:webHidden/>
          </w:rPr>
          <w:t>159</w:t>
        </w:r>
        <w:r w:rsidR="00560264" w:rsidRPr="00691719">
          <w:rPr>
            <w:noProof/>
            <w:webHidden/>
          </w:rPr>
          <w:fldChar w:fldCharType="end"/>
        </w:r>
      </w:hyperlink>
    </w:p>
    <w:p w:rsidR="00560264" w:rsidRPr="00691719" w:rsidRDefault="00130CEE" w:rsidP="00560264">
      <w:pPr>
        <w:pStyle w:val="TOC1"/>
        <w:rPr>
          <w:noProof/>
        </w:rPr>
      </w:pPr>
      <w:hyperlink w:anchor="_Toc340670058" w:history="1">
        <w:r w:rsidR="00560264" w:rsidRPr="00691719">
          <w:rPr>
            <w:rStyle w:val="Hyperlink"/>
            <w:noProof/>
            <w:color w:val="auto"/>
            <w:u w:val="none"/>
          </w:rPr>
          <w:t>V.</w:t>
        </w:r>
        <w:r w:rsidR="00560264" w:rsidRPr="00691719">
          <w:rPr>
            <w:noProof/>
          </w:rPr>
          <w:tab/>
        </w:r>
        <w:r w:rsidR="00560264" w:rsidRPr="00691719">
          <w:rPr>
            <w:rStyle w:val="Hyperlink"/>
            <w:noProof/>
            <w:color w:val="auto"/>
            <w:u w:val="none"/>
          </w:rPr>
          <w:t>ORDER</w:t>
        </w:r>
        <w:r w:rsidR="00691719" w:rsidRPr="00691719">
          <w:rPr>
            <w:noProof/>
            <w:webHidden/>
          </w:rPr>
          <w:tab/>
        </w:r>
        <w:r w:rsidR="00560264" w:rsidRPr="00691719">
          <w:rPr>
            <w:noProof/>
            <w:webHidden/>
          </w:rPr>
          <w:fldChar w:fldCharType="begin"/>
        </w:r>
        <w:r w:rsidR="00560264" w:rsidRPr="00691719">
          <w:rPr>
            <w:noProof/>
            <w:webHidden/>
          </w:rPr>
          <w:instrText xml:space="preserve"> PAGEREF _Toc340670058 \h </w:instrText>
        </w:r>
        <w:r w:rsidR="00560264" w:rsidRPr="00691719">
          <w:rPr>
            <w:noProof/>
            <w:webHidden/>
          </w:rPr>
        </w:r>
        <w:r w:rsidR="00560264" w:rsidRPr="00691719">
          <w:rPr>
            <w:noProof/>
            <w:webHidden/>
          </w:rPr>
          <w:fldChar w:fldCharType="separate"/>
        </w:r>
        <w:r w:rsidR="00095D9A">
          <w:rPr>
            <w:noProof/>
            <w:webHidden/>
          </w:rPr>
          <w:t>165</w:t>
        </w:r>
        <w:r w:rsidR="00560264" w:rsidRPr="00691719">
          <w:rPr>
            <w:noProof/>
            <w:webHidden/>
          </w:rPr>
          <w:fldChar w:fldCharType="end"/>
        </w:r>
      </w:hyperlink>
    </w:p>
    <w:p w:rsidR="001F1974" w:rsidRDefault="00560264" w:rsidP="00560264">
      <w:pPr>
        <w:jc w:val="left"/>
        <w:rPr>
          <w:u w:val="single"/>
        </w:rPr>
      </w:pPr>
      <w:r w:rsidRPr="00691719">
        <w:fldChar w:fldCharType="end"/>
      </w:r>
    </w:p>
    <w:p w:rsidR="00EE5AC8" w:rsidRDefault="00EE5AC8" w:rsidP="001F1974">
      <w:pPr>
        <w:rPr>
          <w:u w:val="single"/>
        </w:rPr>
      </w:pPr>
    </w:p>
    <w:p w:rsidR="00EE5AC8" w:rsidRDefault="00EE5AC8" w:rsidP="001F1974">
      <w:pPr>
        <w:rPr>
          <w:u w:val="single"/>
        </w:rPr>
        <w:sectPr w:rsidR="00EE5AC8" w:rsidSect="00560264">
          <w:footerReference w:type="first" r:id="rId10"/>
          <w:pgSz w:w="12240" w:h="15840"/>
          <w:pgMar w:top="1440" w:right="1440" w:bottom="1440" w:left="1440" w:header="720" w:footer="720" w:gutter="0"/>
          <w:pgNumType w:fmt="lowerRoman" w:start="1"/>
          <w:cols w:space="720"/>
          <w:titlePg/>
          <w:docGrid w:linePitch="360"/>
        </w:sectPr>
      </w:pPr>
    </w:p>
    <w:p w:rsidR="00916034" w:rsidRDefault="00CA6A74" w:rsidP="001F1974">
      <w:pPr>
        <w:spacing w:line="240" w:lineRule="auto"/>
        <w:rPr>
          <w:u w:val="single"/>
        </w:rPr>
      </w:pPr>
      <w:r>
        <w:lastRenderedPageBreak/>
        <w:t>I.</w:t>
      </w:r>
      <w:r>
        <w:tab/>
      </w:r>
      <w:r w:rsidR="00DD5958">
        <w:rPr>
          <w:u w:val="single"/>
        </w:rPr>
        <w:t>HISTORY OF THE PROCEEDING</w:t>
      </w:r>
      <w:r w:rsidR="00FF18D0">
        <w:rPr>
          <w:u w:val="single"/>
        </w:rPr>
        <w:fldChar w:fldCharType="begin"/>
      </w:r>
      <w:r w:rsidR="00FF18D0">
        <w:instrText xml:space="preserve"> TC "</w:instrText>
      </w:r>
      <w:bookmarkStart w:id="0" w:name="_Toc340669979"/>
      <w:r w:rsidR="00FF18D0" w:rsidRPr="009B7B20">
        <w:instrText>I.</w:instrText>
      </w:r>
      <w:r w:rsidR="00FF18D0" w:rsidRPr="009B7B20">
        <w:tab/>
      </w:r>
      <w:r w:rsidR="00FF18D0" w:rsidRPr="009B7B20">
        <w:rPr>
          <w:u w:val="single"/>
        </w:rPr>
        <w:instrText>HISTORY OF THE PROCEEDING</w:instrText>
      </w:r>
      <w:bookmarkEnd w:id="0"/>
      <w:r w:rsidR="00FF18D0">
        <w:instrText xml:space="preserve">" \f C \l "1" </w:instrText>
      </w:r>
      <w:r w:rsidR="00FF18D0">
        <w:rPr>
          <w:u w:val="single"/>
        </w:rPr>
        <w:fldChar w:fldCharType="end"/>
      </w:r>
    </w:p>
    <w:p w:rsidR="00DD5958" w:rsidRDefault="00DD5958" w:rsidP="001F1974">
      <w:pPr>
        <w:spacing w:line="240" w:lineRule="auto"/>
        <w:rPr>
          <w:u w:val="single"/>
        </w:rPr>
      </w:pPr>
    </w:p>
    <w:p w:rsidR="00DD5958" w:rsidRDefault="00DD5958" w:rsidP="001F1974">
      <w:pPr>
        <w:spacing w:line="240" w:lineRule="auto"/>
      </w:pPr>
    </w:p>
    <w:p w:rsidR="00DD5958" w:rsidRPr="00DD5958" w:rsidRDefault="00DD5958" w:rsidP="001F1974">
      <w:pPr>
        <w:jc w:val="left"/>
        <w:rPr>
          <w:b/>
        </w:rPr>
      </w:pPr>
      <w:r>
        <w:tab/>
      </w:r>
      <w:r>
        <w:tab/>
        <w:t>The purpose of this Recommended Decision is to recommend approval/approval with modifications of the second default service program filed by PPL Electric Utilities Corporation (PPL Electric or Company).</w:t>
      </w:r>
    </w:p>
    <w:p w:rsidR="00916034" w:rsidRDefault="00916034" w:rsidP="001F1974">
      <w:pPr>
        <w:jc w:val="left"/>
        <w:rPr>
          <w:b/>
        </w:rPr>
      </w:pPr>
    </w:p>
    <w:p w:rsidR="00916034" w:rsidRDefault="00916034" w:rsidP="001F1974">
      <w:pPr>
        <w:jc w:val="left"/>
      </w:pPr>
      <w:r>
        <w:tab/>
      </w:r>
      <w:r>
        <w:tab/>
        <w:t xml:space="preserve">On May 1, 2012, PPL Electric filed its Petition for approval of a default service program and procurement plan (DSP II) for the period of June 1, 2013 through May 31, 2015.  The Company served the Petition on the public advocates and the electric generation suppliers doing business in its territory.  The Company asks that the Commission approve its program no later than February 1, 2013, in order to have sufficient time to implement the program and to comply with the statutory deadline.  </w:t>
      </w:r>
      <w:r w:rsidR="00856E9E">
        <w:t>The Commission's statutory deadline is Februar</w:t>
      </w:r>
      <w:r w:rsidR="00A356EC">
        <w:t>y 1, 2013.  66 Pa. C.S. § 2807(e</w:t>
      </w:r>
      <w:proofErr w:type="gramStart"/>
      <w:r w:rsidR="00856E9E">
        <w:t>)(</w:t>
      </w:r>
      <w:proofErr w:type="gramEnd"/>
      <w:r w:rsidR="00856E9E">
        <w:t xml:space="preserve">3.6).  </w:t>
      </w:r>
    </w:p>
    <w:p w:rsidR="00916034" w:rsidRDefault="00916034" w:rsidP="001F1974">
      <w:pPr>
        <w:jc w:val="left"/>
      </w:pPr>
    </w:p>
    <w:p w:rsidR="00916034" w:rsidRDefault="00916034" w:rsidP="001F1974">
      <w:pPr>
        <w:jc w:val="left"/>
      </w:pPr>
      <w:r>
        <w:tab/>
      </w:r>
      <w:r>
        <w:tab/>
        <w:t xml:space="preserve">On May 19, 2012, notice of the Petition was published in the </w:t>
      </w:r>
      <w:r>
        <w:rPr>
          <w:i/>
        </w:rPr>
        <w:t>Pennsylvania Bulletin</w:t>
      </w:r>
      <w:r>
        <w:t>, 42 Pa.B. 2871, along with notice of the prehearing conference scheduled for June 6, 2012.  The deadline for filing interventions and protests was set for June 4, 2012.</w:t>
      </w:r>
    </w:p>
    <w:p w:rsidR="00916034" w:rsidRDefault="00916034" w:rsidP="001F1974">
      <w:pPr>
        <w:jc w:val="left"/>
      </w:pPr>
    </w:p>
    <w:p w:rsidR="00916034" w:rsidRDefault="00916034" w:rsidP="001F1974">
      <w:pPr>
        <w:jc w:val="left"/>
      </w:pPr>
      <w:r>
        <w:tab/>
      </w:r>
      <w:r>
        <w:tab/>
        <w:t xml:space="preserve">Notice of appearance was filed by the Commission's Bureau of Investigation and Enforcement (I&amp;E) on May 14, 2012.  Notice of Intervention and Answer was filed by the Office of Consumer Advocate (OCA) on May 21, 2012, and by the Office of Small Business Advocate (OSBA) on June 4, 2012.  </w:t>
      </w:r>
    </w:p>
    <w:p w:rsidR="00916034" w:rsidRDefault="00916034" w:rsidP="001F1974">
      <w:pPr>
        <w:jc w:val="left"/>
      </w:pPr>
    </w:p>
    <w:p w:rsidR="00916034" w:rsidRDefault="00916034" w:rsidP="001F1974">
      <w:pPr>
        <w:jc w:val="left"/>
      </w:pPr>
      <w:r>
        <w:tab/>
      </w:r>
      <w:r>
        <w:tab/>
        <w:t>Timely petitions to intervene were filed by:</w:t>
      </w:r>
      <w:r w:rsidR="00FF18D0">
        <w:t xml:space="preserve">  </w:t>
      </w:r>
      <w:r>
        <w:t>Sustainable Energy Fund (SEF), Eric Joseph Epstein, UGI Energy Services d/b/a UGI EnergyLink</w:t>
      </w:r>
      <w:r w:rsidR="00A34F14">
        <w:t xml:space="preserve"> (UGIES)</w:t>
      </w:r>
      <w:r>
        <w:t>, Direct Energy Services (Direct Energy), Retail Energy Supply Association (RESA), PP&amp;L Industrial Customer Alliance (PPLICA), FirstEnergy Solutions Corporation (FES), the Coalition for Affordable Utility Services and Energy Efficiency in Pennsylvania (CAUSE</w:t>
      </w:r>
      <w:r w:rsidR="00A34F14">
        <w:t xml:space="preserve"> or CAUSE-PA</w:t>
      </w:r>
      <w:r>
        <w:t>), Dominion Retail, Inc. d/b/a Dominion Energy Solutions (DR), and Interstate Gas Supply (IGS)</w:t>
      </w:r>
      <w:r w:rsidR="004C0091">
        <w:t>(filing jointly and referred to as DR/IGS)</w:t>
      </w:r>
      <w:r>
        <w:t xml:space="preserve">, Constellation NewEnergy, Inc. (CNE) and Exelon Generation Company, </w:t>
      </w:r>
      <w:r>
        <w:lastRenderedPageBreak/>
        <w:t>LLC (collectively Constellation</w:t>
      </w:r>
      <w:r w:rsidR="00A34F14">
        <w:t xml:space="preserve"> or Joint Suppliers</w:t>
      </w:r>
      <w:r>
        <w:t>), Nextera Energy Resources,</w:t>
      </w:r>
      <w:r w:rsidR="00A34F14">
        <w:t xml:space="preserve"> LLC, </w:t>
      </w:r>
      <w:r>
        <w:t xml:space="preserve">and Noble Americas Energy Solutions.  </w:t>
      </w:r>
    </w:p>
    <w:p w:rsidR="00916034" w:rsidRDefault="00916034" w:rsidP="001F1974">
      <w:pPr>
        <w:jc w:val="left"/>
      </w:pPr>
    </w:p>
    <w:p w:rsidR="00916034" w:rsidRDefault="00916034" w:rsidP="001F1974">
      <w:pPr>
        <w:jc w:val="left"/>
      </w:pPr>
      <w:r>
        <w:tab/>
      </w:r>
      <w:r>
        <w:tab/>
        <w:t xml:space="preserve">By prehearing order served on the same list used by the Company to serve the Petition, those entities intending to participate in the litigation were directed to file and serve a prehearing memo on or before June 4, 2012.  Each of the parties and intervenors filed a prehearing memo.  </w:t>
      </w:r>
    </w:p>
    <w:p w:rsidR="00916034" w:rsidRDefault="00916034" w:rsidP="001F1974">
      <w:pPr>
        <w:jc w:val="left"/>
      </w:pPr>
    </w:p>
    <w:p w:rsidR="00916034" w:rsidRDefault="00916034" w:rsidP="001F1974">
      <w:pPr>
        <w:jc w:val="left"/>
      </w:pPr>
      <w:r>
        <w:tab/>
      </w:r>
      <w:r>
        <w:tab/>
        <w:t>The Company filed a motion for admission pro ha</w:t>
      </w:r>
      <w:r w:rsidR="00A34F14">
        <w:t>c</w:t>
      </w:r>
      <w:r>
        <w:t xml:space="preserve"> vice for Matthew Agen, Esq.  </w:t>
      </w:r>
    </w:p>
    <w:p w:rsidR="00916034" w:rsidRDefault="00916034" w:rsidP="001F1974">
      <w:pPr>
        <w:jc w:val="left"/>
      </w:pPr>
    </w:p>
    <w:p w:rsidR="00916034" w:rsidRDefault="00916034" w:rsidP="001F1974">
      <w:pPr>
        <w:jc w:val="left"/>
      </w:pPr>
      <w:r>
        <w:tab/>
      </w:r>
      <w:r>
        <w:tab/>
        <w:t>The prehearing conference was held as scheduled.  In attendance were the following:  on behalf of PPL Electric</w:t>
      </w:r>
      <w:r w:rsidR="00703630">
        <w:t>,</w:t>
      </w:r>
      <w:r>
        <w:t xml:space="preserve"> Paul E. Russell, Esq., David B. MacGregor, Esq., and Michael W. Hassell, Esq.; on behalf of I&amp;E, Regina L. Matz, Esq.; on behalf of the OCA, James A. Mullins, Esq.; on behalf of the OSBA, Steven C. Gray, Esq.; on behalf of UGI </w:t>
      </w:r>
      <w:r w:rsidR="00184BBF">
        <w:t>EnergyLink</w:t>
      </w:r>
      <w:proofErr w:type="gramStart"/>
      <w:r>
        <w:t>,  Melanie</w:t>
      </w:r>
      <w:proofErr w:type="gramEnd"/>
      <w:r>
        <w:t xml:space="preserve"> J. Elatieh, Esq.; on behalf of Direct Energy Services and RESA, Daniel Clearfield, Esq.; </w:t>
      </w:r>
    </w:p>
    <w:p w:rsidR="00916034" w:rsidRDefault="00A34F14" w:rsidP="001F1974">
      <w:pPr>
        <w:jc w:val="left"/>
      </w:pPr>
      <w:r>
        <w:t>o</w:t>
      </w:r>
      <w:r w:rsidR="00916034">
        <w:t>n behalf of PPLICA, Adeolu Bakare, Esq.; on behalf of FirstEnergy Services, Brian J. Knipe, Esq.; on behalf of the Coalition for Affordable Utility Services and Energy Efficiency, Patrick M. Cicero, Esq.; Eric Joseph Epstein appeared pro se; on behalf of DR, William Lehman, Esq.; on behalf of Constellation, Divesh Gupta, Esq.; Norman J. Kennard, Esq., on behalf of Noble Americas; and on behalf of SEF, Kenneth L. Mickens, Esq.</w:t>
      </w:r>
    </w:p>
    <w:p w:rsidR="00916034" w:rsidRDefault="00916034" w:rsidP="001F1974">
      <w:pPr>
        <w:jc w:val="left"/>
      </w:pPr>
    </w:p>
    <w:p w:rsidR="00916034" w:rsidRDefault="00916034" w:rsidP="001F1974">
      <w:pPr>
        <w:jc w:val="left"/>
      </w:pPr>
      <w:r>
        <w:tab/>
      </w:r>
      <w:r>
        <w:tab/>
        <w:t>The OCA and I&amp;E proposed modifications to the Commission's rules regarding discovery, which were unopposed.  The modifications and the litigation schedule, also agreed upon, were adopted in the scheduling order (second prehearing order) issued June 7, 2012.</w:t>
      </w:r>
    </w:p>
    <w:p w:rsidR="00916034" w:rsidRDefault="00916034" w:rsidP="001F1974">
      <w:pPr>
        <w:jc w:val="left"/>
      </w:pPr>
    </w:p>
    <w:p w:rsidR="00916034" w:rsidRDefault="00916034" w:rsidP="001F1974">
      <w:pPr>
        <w:jc w:val="left"/>
      </w:pPr>
      <w:r>
        <w:tab/>
      </w:r>
      <w:r>
        <w:tab/>
        <w:t xml:space="preserve">On July 11, 2012, the Company filed a Motion for Protective Order, alleging that it is warranted because certain information requested, or which may be requested, in discovery, relates to confidential information.  This includes market-sensitive, operationally sensitive, or competitive information.  Following expiration of the response time, and no objection having been filed, it was granted by Order dated August 15, 2012 (Third Prehearing Order).  </w:t>
      </w:r>
    </w:p>
    <w:p w:rsidR="00916034" w:rsidRDefault="00916034" w:rsidP="001F1974">
      <w:pPr>
        <w:jc w:val="left"/>
      </w:pPr>
    </w:p>
    <w:p w:rsidR="00916034" w:rsidRDefault="00916034" w:rsidP="001F1974">
      <w:pPr>
        <w:jc w:val="left"/>
      </w:pPr>
      <w:r>
        <w:lastRenderedPageBreak/>
        <w:tab/>
      </w:r>
      <w:r>
        <w:tab/>
        <w:t xml:space="preserve">On July 20, 2012, the following parties served their prepared direct testimony:  CAUSE – PA, Constellation, Dominion Retail, FirstEnergy Solutions, OCA, PPLICA, RESA, and SEF.  </w:t>
      </w:r>
      <w:r w:rsidR="00A34F14">
        <w:t>R</w:t>
      </w:r>
      <w:r>
        <w:t>e</w:t>
      </w:r>
      <w:r w:rsidR="00E27F47">
        <w:t>buttal testimony was served by August 17, 2012.</w:t>
      </w:r>
    </w:p>
    <w:p w:rsidR="00916034" w:rsidRDefault="00916034" w:rsidP="001F1974">
      <w:pPr>
        <w:jc w:val="left"/>
      </w:pPr>
    </w:p>
    <w:p w:rsidR="00916034" w:rsidRDefault="00916034" w:rsidP="001F1974">
      <w:pPr>
        <w:jc w:val="left"/>
      </w:pPr>
      <w:r>
        <w:tab/>
      </w:r>
      <w:r>
        <w:tab/>
        <w:t xml:space="preserve">The hearings convened as scheduled on September 7, 10 and 11, 2012.  A transcript of </w:t>
      </w:r>
      <w:r w:rsidR="00E27F47">
        <w:t>322</w:t>
      </w:r>
      <w:r>
        <w:t xml:space="preserve"> pages was developed.  Initial briefs were filed on October 5, 2012, and reply briefs on October </w:t>
      </w:r>
      <w:r w:rsidR="00703630">
        <w:t>22</w:t>
      </w:r>
      <w:r>
        <w:t xml:space="preserve">, 2012.  The record closed upon receipt of the reply briefs.  </w:t>
      </w:r>
    </w:p>
    <w:p w:rsidR="00916034" w:rsidRDefault="00916034" w:rsidP="001F1974">
      <w:pPr>
        <w:jc w:val="left"/>
      </w:pPr>
    </w:p>
    <w:p w:rsidR="00916034" w:rsidRDefault="00916034" w:rsidP="001F1974">
      <w:pPr>
        <w:jc w:val="left"/>
      </w:pPr>
      <w:r>
        <w:tab/>
      </w:r>
      <w:r>
        <w:tab/>
        <w:t>The matter is ripe for disposition.</w:t>
      </w:r>
    </w:p>
    <w:p w:rsidR="00DD5958" w:rsidRDefault="00DD5958" w:rsidP="001F1974"/>
    <w:p w:rsidR="00341B26" w:rsidRPr="00341B26" w:rsidRDefault="007325FF" w:rsidP="00341B26">
      <w:pPr>
        <w:rPr>
          <w:u w:val="single"/>
        </w:rPr>
      </w:pPr>
      <w:r>
        <w:t>II.</w:t>
      </w:r>
      <w:r>
        <w:tab/>
      </w:r>
      <w:r w:rsidR="00341B26" w:rsidRPr="00341B26">
        <w:rPr>
          <w:u w:val="single"/>
        </w:rPr>
        <w:t>FINDINGS OF FACT</w:t>
      </w:r>
      <w:r w:rsidR="00FF18D0">
        <w:rPr>
          <w:u w:val="single"/>
        </w:rPr>
        <w:fldChar w:fldCharType="begin"/>
      </w:r>
      <w:r w:rsidR="00FF18D0">
        <w:instrText xml:space="preserve"> TC "</w:instrText>
      </w:r>
      <w:bookmarkStart w:id="1" w:name="_Toc340669980"/>
      <w:r w:rsidR="00FF18D0" w:rsidRPr="009B7B20">
        <w:instrText>II.</w:instrText>
      </w:r>
      <w:r w:rsidR="00FF18D0" w:rsidRPr="009B7B20">
        <w:tab/>
      </w:r>
      <w:r w:rsidR="00FF18D0" w:rsidRPr="009B7B20">
        <w:rPr>
          <w:u w:val="single"/>
        </w:rPr>
        <w:instrText>FINDINGS OF FACT</w:instrText>
      </w:r>
      <w:bookmarkEnd w:id="1"/>
      <w:r w:rsidR="00FF18D0">
        <w:instrText xml:space="preserve">" \f C \l "1" </w:instrText>
      </w:r>
      <w:r w:rsidR="00FF18D0">
        <w:rPr>
          <w:u w:val="single"/>
        </w:rPr>
        <w:fldChar w:fldCharType="end"/>
      </w:r>
    </w:p>
    <w:p w:rsidR="00341B26" w:rsidRDefault="00341B26" w:rsidP="00341B26"/>
    <w:p w:rsidR="00341B26" w:rsidRDefault="00341B26" w:rsidP="00341B26">
      <w:pPr>
        <w:pStyle w:val="Pleading2L3"/>
        <w:numPr>
          <w:ilvl w:val="0"/>
          <w:numId w:val="0"/>
        </w:numPr>
        <w:tabs>
          <w:tab w:val="num" w:pos="0"/>
        </w:tabs>
        <w:spacing w:line="360" w:lineRule="auto"/>
        <w:contextualSpacing/>
      </w:pPr>
      <w:r>
        <w:tab/>
      </w:r>
      <w:r>
        <w:tab/>
        <w:t>1.</w:t>
      </w:r>
      <w:r>
        <w:tab/>
        <w:t xml:space="preserve">PPL Electric Utilities Corporation is an electric distribution company providing service to approximately 1.4 million customers in its certificated service territory over about 10,000 square miles in 29 counties of the Commonwealth.  </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2.</w:t>
      </w:r>
      <w:r>
        <w:tab/>
        <w:t xml:space="preserve">OCA is a statutorily created public advocate empowered to represent the interests of consumers before the Public Utility Commission pursuant to Act 161 of the General Assembly, as amended, 71 P.S. §§ 309-1 </w:t>
      </w:r>
      <w:r>
        <w:rPr>
          <w:i/>
        </w:rPr>
        <w:t>et seq.</w:t>
      </w:r>
      <w:r>
        <w:t xml:space="preserve">  </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3.</w:t>
      </w:r>
      <w:r>
        <w:tab/>
        <w:t xml:space="preserve">I&amp;E is an office within the Commission charged with representing the public interest in matters involving utility rates.  </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4.</w:t>
      </w:r>
      <w:r>
        <w:tab/>
        <w:t xml:space="preserve">OSBA is authorized to represent the interests of small business customers of utility services before the Commission pursuant to the provisions of the Small Business Advocate Act, Act 181 of 1988, 73 P.S. §§ 399.41-399.50.  </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5.</w:t>
      </w:r>
      <w:r>
        <w:tab/>
        <w:t xml:space="preserve">SEF is a Pennsylvania corporation established at the conclusion of PPL Electric’s restructuring proceeding and pursuant to the terms of the joint settlement filed in that proceeding.  Its mission is to promote and invest in energy efficiency, renewable energy and </w:t>
      </w:r>
      <w:r>
        <w:lastRenderedPageBreak/>
        <w:t xml:space="preserve">energy conservation in order to provide opportunities and benefits for PPL Electric’s ratepayers.  </w:t>
      </w:r>
      <w:proofErr w:type="gramStart"/>
      <w:r>
        <w:t>Petition to Intervene of SEF.</w:t>
      </w:r>
      <w:proofErr w:type="gramEnd"/>
    </w:p>
    <w:p w:rsidR="00341B26" w:rsidRDefault="00341B26" w:rsidP="00341B26">
      <w:pPr>
        <w:pStyle w:val="Pleading2L3"/>
        <w:numPr>
          <w:ilvl w:val="0"/>
          <w:numId w:val="0"/>
        </w:numPr>
        <w:tabs>
          <w:tab w:val="num" w:pos="0"/>
        </w:tabs>
        <w:spacing w:line="360" w:lineRule="auto"/>
        <w:contextualSpacing/>
      </w:pPr>
    </w:p>
    <w:p w:rsidR="00341B26" w:rsidRPr="00DD5958" w:rsidRDefault="00341B26" w:rsidP="00341B26">
      <w:pPr>
        <w:pStyle w:val="Pleading2L3"/>
        <w:numPr>
          <w:ilvl w:val="0"/>
          <w:numId w:val="0"/>
        </w:numPr>
        <w:tabs>
          <w:tab w:val="num" w:pos="0"/>
        </w:tabs>
        <w:spacing w:line="360" w:lineRule="auto"/>
        <w:contextualSpacing/>
        <w:rPr>
          <w:b/>
          <w:i/>
        </w:rPr>
      </w:pPr>
      <w:r>
        <w:tab/>
      </w:r>
      <w:r>
        <w:tab/>
        <w:t>6.</w:t>
      </w:r>
      <w:r>
        <w:tab/>
        <w:t xml:space="preserve">RESA is a trade association of power marketers, independent power producers, and a broad range of companies within the Mid-Atlantic marketplace, whose members at the time of filing included Champion Energy Services, LLE; ConEdison </w:t>
      </w:r>
      <w:r w:rsidR="00184BBF">
        <w:t>Solutions</w:t>
      </w:r>
      <w:r>
        <w:t xml:space="preserve">;  Constellation NewEnergy, Inc.; Direct Energy Services, LLC; Energetix, Inc.; Energy Plus Holdings LLC; Exelon Energy Company; GDF SUEZ Energy Resources NA, Inc.; Green Mountain Energy Company; Hess Corporation; Integrys Energy Services, Inc.; Just Energy; Liberty Power; PPL EnergyPlus; Reliant; Stream Energy; TransCanada Power Marketing Ltd. And TriEagle Energy, L.P.  The positions taken by RESA may not reflect those of the individual members.  </w:t>
      </w:r>
      <w:proofErr w:type="gramStart"/>
      <w:r>
        <w:t>RESA Petition to Intervene at 1.</w:t>
      </w:r>
      <w:proofErr w:type="gramEnd"/>
      <w:r>
        <w:t xml:space="preserve">  </w:t>
      </w:r>
    </w:p>
    <w:p w:rsidR="00341B26" w:rsidRDefault="00341B26" w:rsidP="00341B26">
      <w:pPr>
        <w:pStyle w:val="Pleading2L3"/>
        <w:numPr>
          <w:ilvl w:val="0"/>
          <w:numId w:val="0"/>
        </w:numPr>
        <w:tabs>
          <w:tab w:val="num" w:pos="0"/>
        </w:tabs>
        <w:spacing w:line="360" w:lineRule="auto"/>
        <w:contextualSpacing/>
      </w:pPr>
    </w:p>
    <w:p w:rsidR="00341B26" w:rsidRPr="00DD5958" w:rsidRDefault="00341B26" w:rsidP="00341B26">
      <w:pPr>
        <w:pStyle w:val="Pleading2L3"/>
        <w:numPr>
          <w:ilvl w:val="0"/>
          <w:numId w:val="0"/>
        </w:numPr>
        <w:tabs>
          <w:tab w:val="num" w:pos="0"/>
        </w:tabs>
        <w:spacing w:line="360" w:lineRule="auto"/>
        <w:contextualSpacing/>
        <w:rPr>
          <w:b/>
          <w:i/>
        </w:rPr>
      </w:pPr>
      <w:r>
        <w:tab/>
      </w:r>
      <w:r>
        <w:tab/>
        <w:t>7.</w:t>
      </w:r>
      <w:r>
        <w:tab/>
        <w:t xml:space="preserve">PPLICA is a an organization of industrial and commercial users which included the following at the time of filing:  Air Products and Chemicals, Inc.; Armstrong World Industries, Inc.; General Dynamics-OTS Scranton; Hercules Cement Company; Linde LLC; SAPA Extrusions, Inc.; The Hershey Company; TIMET North America; and Wegmans Food Markets, Inc.  </w:t>
      </w:r>
      <w:proofErr w:type="gramStart"/>
      <w:r>
        <w:t>PPLICA Petition to Intervene.</w:t>
      </w:r>
      <w:proofErr w:type="gramEnd"/>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8.</w:t>
      </w:r>
      <w:r>
        <w:tab/>
        <w:t>Dominion Retail, Inc., and Interstate Gas Supply, Inc., d/b/a IGS Energy (DR/IGS) are licensed electric generation supplier</w:t>
      </w:r>
      <w:r w:rsidR="00A34F14">
        <w:t>s (EGSs)</w:t>
      </w:r>
      <w:r>
        <w:t xml:space="preserve"> in PPL Electric’s service territory.  </w:t>
      </w:r>
      <w:proofErr w:type="gramStart"/>
      <w:r>
        <w:t>Joint Petition to Intervene of DR/IGS.</w:t>
      </w:r>
      <w:proofErr w:type="gramEnd"/>
    </w:p>
    <w:p w:rsidR="00341B26" w:rsidRDefault="00341B26" w:rsidP="00341B26">
      <w:pPr>
        <w:pStyle w:val="Pleading2L3"/>
        <w:numPr>
          <w:ilvl w:val="0"/>
          <w:numId w:val="0"/>
        </w:numPr>
        <w:tabs>
          <w:tab w:val="num" w:pos="0"/>
        </w:tabs>
        <w:spacing w:line="360" w:lineRule="auto"/>
        <w:contextualSpacing/>
      </w:pPr>
      <w:r>
        <w:t xml:space="preserve">  </w:t>
      </w:r>
    </w:p>
    <w:p w:rsidR="00341B26" w:rsidRDefault="00341B26" w:rsidP="00341B26">
      <w:pPr>
        <w:pStyle w:val="Pleading2L3"/>
        <w:numPr>
          <w:ilvl w:val="0"/>
          <w:numId w:val="0"/>
        </w:numPr>
        <w:tabs>
          <w:tab w:val="num" w:pos="0"/>
        </w:tabs>
        <w:spacing w:line="360" w:lineRule="auto"/>
        <w:contextualSpacing/>
      </w:pPr>
      <w:r>
        <w:tab/>
      </w:r>
      <w:r>
        <w:tab/>
        <w:t>9.</w:t>
      </w:r>
      <w:r>
        <w:tab/>
        <w:t>UGI Energy Services, Inc., d/b/a UGI EnergyLink is an indirect, wholly-owned subsidiary of UGI Corporation licensed to provide electricity supply to retail customers in Pennsylvania, New Jersey, Delaware, Maryland, and District of Columbia and New York.  Petition of Intervene of UGIES.</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10.</w:t>
      </w:r>
      <w:r>
        <w:tab/>
        <w:t xml:space="preserve">Direct Energy Services, LLC, is an EGS licensed in Pennsylvania, with approximately 5.1 million customers in 20 states, the District of Columbia, and Canada.  Direct Energy Petition to Intervene.  </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11.</w:t>
      </w:r>
      <w:r>
        <w:tab/>
        <w:t xml:space="preserve">FirstEnergy Solutions Corporation (FES) is a subsidiary of FirstEnergy Corporation, and is a licensed EGS in Pennsylvania.  </w:t>
      </w:r>
      <w:proofErr w:type="gramStart"/>
      <w:r>
        <w:t>Petition to Intervene of FES.</w:t>
      </w:r>
      <w:proofErr w:type="gramEnd"/>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12.</w:t>
      </w:r>
      <w:r>
        <w:tab/>
        <w:t xml:space="preserve">Coalition for Affordable Utility Services and Energy Efficiency in Pennsylvania (CAUSE) is an unincorporated association of low-income individuals that advocates on behalf of its members to enable consumers of limited economic means to connect to and maintain </w:t>
      </w:r>
      <w:r w:rsidR="00A34F14">
        <w:t>affordable water, electric, heat</w:t>
      </w:r>
      <w:r>
        <w:t>ing and telecommunication services.  Petition to Intervene of CAUSE</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13.</w:t>
      </w:r>
      <w:r>
        <w:tab/>
        <w:t xml:space="preserve">Constellation NewEnergy, Inc. and Exelon Generation Company, LLC, filed jointly as indirect, wholly-owned subsidiaries of Exelon Corporation, and EGSs licensed in Pennsylvania.  </w:t>
      </w:r>
      <w:proofErr w:type="gramStart"/>
      <w:r>
        <w:t>Petition to Intervene of CNE/Exelon.</w:t>
      </w:r>
      <w:proofErr w:type="gramEnd"/>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14.</w:t>
      </w:r>
      <w:r>
        <w:tab/>
        <w:t>Nextera Energy Services Pennsylvania, LLC and NextEra Energy Power Marketing, LLC, (Nextera) are active retail and wholesale suppliers of electricity products in the Commonwealth, and are part of NextEra Energy Resources, LLC, the largest generator of wind and solar energy in the country, owning and operating nearly 130 MW o</w:t>
      </w:r>
      <w:r w:rsidR="00A34F14">
        <w:t>f</w:t>
      </w:r>
      <w:r>
        <w:t xml:space="preserve"> wind generation and approximately 800 MW of natural gas generation.  </w:t>
      </w:r>
      <w:proofErr w:type="gramStart"/>
      <w:r>
        <w:t>Petition to Intervene of NextEra.</w:t>
      </w:r>
      <w:proofErr w:type="gramEnd"/>
      <w:r>
        <w:t xml:space="preserve"> </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15.</w:t>
      </w:r>
      <w:r>
        <w:tab/>
        <w:t xml:space="preserve">Noble Americas Energy Solutions is a California LLC authorized to provide EGS services in Pennsylvania.  </w:t>
      </w:r>
      <w:proofErr w:type="gramStart"/>
      <w:r>
        <w:t>Petition to Intervene of Noble Americas.</w:t>
      </w:r>
      <w:proofErr w:type="gramEnd"/>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Pleading2L3"/>
        <w:numPr>
          <w:ilvl w:val="0"/>
          <w:numId w:val="0"/>
        </w:numPr>
        <w:tabs>
          <w:tab w:val="num" w:pos="0"/>
        </w:tabs>
        <w:spacing w:line="360" w:lineRule="auto"/>
        <w:contextualSpacing/>
      </w:pPr>
      <w:r>
        <w:tab/>
      </w:r>
      <w:r>
        <w:tab/>
        <w:t>16.</w:t>
      </w:r>
      <w:r>
        <w:tab/>
        <w:t xml:space="preserve">Eric Joseph Epstein is a residential customer of PPL Electric with a history of intervention in PPL Electric’s cases before the Commission.  </w:t>
      </w:r>
      <w:proofErr w:type="gramStart"/>
      <w:r>
        <w:t>Petition to Intervene of Eric Joseph Epstein.</w:t>
      </w:r>
      <w:proofErr w:type="gramEnd"/>
    </w:p>
    <w:p w:rsidR="00341B26" w:rsidRDefault="00341B26" w:rsidP="00341B26">
      <w:pPr>
        <w:pStyle w:val="Pleading2L3"/>
        <w:numPr>
          <w:ilvl w:val="0"/>
          <w:numId w:val="0"/>
        </w:numPr>
        <w:tabs>
          <w:tab w:val="num" w:pos="0"/>
        </w:tabs>
        <w:spacing w:line="360" w:lineRule="auto"/>
        <w:contextualSpacing/>
      </w:pPr>
    </w:p>
    <w:p w:rsidR="00FF18D0" w:rsidRDefault="00341B26" w:rsidP="00341B26">
      <w:pPr>
        <w:pStyle w:val="Pleading2L3"/>
        <w:numPr>
          <w:ilvl w:val="0"/>
          <w:numId w:val="0"/>
        </w:numPr>
        <w:tabs>
          <w:tab w:val="num" w:pos="0"/>
        </w:tabs>
        <w:spacing w:line="360" w:lineRule="auto"/>
        <w:contextualSpacing/>
      </w:pPr>
      <w:r>
        <w:tab/>
      </w:r>
      <w:r>
        <w:tab/>
      </w:r>
      <w:r w:rsidR="00FF18D0">
        <w:br w:type="page"/>
      </w:r>
    </w:p>
    <w:p w:rsidR="00341B26" w:rsidRDefault="00341B26" w:rsidP="00FF18D0">
      <w:pPr>
        <w:pStyle w:val="Pleading2L3"/>
        <w:numPr>
          <w:ilvl w:val="0"/>
          <w:numId w:val="0"/>
        </w:numPr>
        <w:spacing w:line="360" w:lineRule="auto"/>
        <w:ind w:firstLine="1440"/>
        <w:contextualSpacing/>
      </w:pPr>
      <w:r>
        <w:lastRenderedPageBreak/>
        <w:t>17.</w:t>
      </w:r>
      <w:r>
        <w:tab/>
        <w:t>PPL Electric’s proposed DSP II Program contains the following major default service components:</w:t>
      </w:r>
    </w:p>
    <w:p w:rsidR="00341B26" w:rsidRDefault="00341B26" w:rsidP="00341B26">
      <w:pPr>
        <w:pStyle w:val="Pleading2L3"/>
        <w:numPr>
          <w:ilvl w:val="0"/>
          <w:numId w:val="0"/>
        </w:numPr>
        <w:tabs>
          <w:tab w:val="num" w:pos="0"/>
        </w:tabs>
        <w:spacing w:line="360" w:lineRule="auto"/>
        <w:contextualSpacing/>
      </w:pPr>
    </w:p>
    <w:p w:rsidR="00341B26" w:rsidRDefault="00341B26" w:rsidP="00341B26">
      <w:pPr>
        <w:pStyle w:val="ListBullet"/>
        <w:spacing w:line="240" w:lineRule="auto"/>
        <w:ind w:left="2160" w:right="1440" w:hanging="720"/>
        <w:jc w:val="left"/>
      </w:pPr>
      <w:r>
        <w:t>Residential and Small Commercial and Industrial (“Small C&amp;I”) Customer Class default service supplies will be separately acquired through a series of fixed-price, full-requirements, load-following contracts;</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The fixed-price, full-requirements, load-following supply will be obtained through semi-annual solicitations beginning in April 2013 and continuing through October of</w:t>
      </w:r>
      <w:r w:rsidR="00FF18D0">
        <w:t> </w:t>
      </w:r>
      <w:r>
        <w:t>2014;</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PPL Electric will obtain fixed percentages of default service load through 12 and 9</w:t>
      </w:r>
      <w:r w:rsidR="00A34F14">
        <w:t xml:space="preserve"> </w:t>
      </w:r>
      <w:r>
        <w:t>month contracts replacing expiring contracts under the DSP I Program, in order to position itself for procurements to be made under laddered yearly contracts procured every six months;</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The October 2014 procurement will procure 6</w:t>
      </w:r>
      <w:r w:rsidR="00A34F14">
        <w:t xml:space="preserve"> and 3 </w:t>
      </w:r>
      <w:r>
        <w:t xml:space="preserve">month contracts, so that no fixed-price load-following, full-requirements contracts extend beyond May 31, 2015, consistent with the Commission’s </w:t>
      </w:r>
      <w:r>
        <w:rPr>
          <w:i/>
        </w:rPr>
        <w:t>December 16 RMI Order</w:t>
      </w:r>
      <w:r>
        <w:t>;</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The Company will cease procuring spot supply for the Residential and Small C&amp;I Customer Classes;</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The Company will not procure additional block supplies and will allow block supplies procured for the Residential Customer Class under the DSP I Program to expire as scheduled, with the result that the Company will have only 150 MW of block supply under contract at May 3</w:t>
      </w:r>
      <w:r w:rsidR="00A34F14">
        <w:t>1, 2015, pursuant to existing 5</w:t>
      </w:r>
      <w:r>
        <w:t xml:space="preserve"> and </w:t>
      </w:r>
      <w:r w:rsidR="00A34F14">
        <w:t>10</w:t>
      </w:r>
      <w:r>
        <w:t xml:space="preserve"> year contracts procured under DSP I Program;</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The Company proposes that certain winning suppliers under the default service procurements for the Residential and Small C&amp;I Customer Classes also would be responsible to provide supply to serve default ser</w:t>
      </w:r>
      <w:r w:rsidR="00A34F14">
        <w:t>vice time-of-use (</w:t>
      </w:r>
      <w:r>
        <w:t>TOU) load under separately established payment terms.</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lastRenderedPageBreak/>
        <w:t>Regarding the Large C&amp;I Customer Class, the Company proposes to continue to procure default service supply with energy priced to the PJM real-time spot market, through annual solicitations to obtain competitive offers from wholesale suppliers.</w:t>
      </w:r>
    </w:p>
    <w:p w:rsidR="00341B26" w:rsidRDefault="00341B26" w:rsidP="00341B26">
      <w:pPr>
        <w:pStyle w:val="BodyText2"/>
        <w:spacing w:line="360" w:lineRule="auto"/>
        <w:contextualSpacing/>
        <w:jc w:val="left"/>
      </w:pPr>
      <w:r>
        <w:t>PPL Electric Stmt. 1 at 8, 13; PPL Electric Stmt. 2 at 14-23.</w:t>
      </w:r>
    </w:p>
    <w:p w:rsidR="00341B26" w:rsidRDefault="00341B26" w:rsidP="00341B26">
      <w:pPr>
        <w:pStyle w:val="BodyText2"/>
        <w:spacing w:line="360" w:lineRule="auto"/>
        <w:contextualSpacing/>
        <w:jc w:val="left"/>
      </w:pPr>
    </w:p>
    <w:p w:rsidR="00341B26" w:rsidRDefault="00341B26" w:rsidP="00341B26">
      <w:pPr>
        <w:pStyle w:val="BodyText2"/>
        <w:spacing w:after="0" w:line="360" w:lineRule="auto"/>
        <w:contextualSpacing/>
        <w:jc w:val="left"/>
      </w:pPr>
      <w:r>
        <w:tab/>
      </w:r>
      <w:r>
        <w:tab/>
        <w:t>18.</w:t>
      </w:r>
      <w:r>
        <w:tab/>
        <w:t>PPL Electric’s proposed DSP II Program also includes proposals to establish new retail market enhancement initiatives.  These initiatives include:</w:t>
      </w:r>
    </w:p>
    <w:p w:rsidR="00341B26" w:rsidRDefault="00341B26" w:rsidP="00341B26">
      <w:pPr>
        <w:pStyle w:val="BodyText2"/>
        <w:spacing w:after="0" w:line="360" w:lineRule="auto"/>
        <w:contextualSpacing/>
        <w:jc w:val="left"/>
      </w:pPr>
    </w:p>
    <w:p w:rsidR="00341B26" w:rsidRDefault="00341B26" w:rsidP="00341B26">
      <w:pPr>
        <w:pStyle w:val="ListBullet"/>
        <w:spacing w:line="240" w:lineRule="auto"/>
        <w:ind w:left="2160" w:right="1440" w:hanging="720"/>
        <w:jc w:val="left"/>
      </w:pPr>
      <w:r>
        <w:t>A Customer Referral Mailing prior to undertaking the Opt-In Auction Program;</w:t>
      </w:r>
    </w:p>
    <w:p w:rsidR="00341B26" w:rsidRDefault="00341B26" w:rsidP="00341B26">
      <w:pPr>
        <w:pStyle w:val="ListBullet"/>
        <w:numPr>
          <w:ilvl w:val="0"/>
          <w:numId w:val="0"/>
        </w:numPr>
        <w:spacing w:line="240" w:lineRule="auto"/>
        <w:ind w:left="2160" w:right="1440" w:hanging="720"/>
        <w:jc w:val="left"/>
      </w:pPr>
    </w:p>
    <w:p w:rsidR="00341B26" w:rsidRDefault="00341B26" w:rsidP="00341B26">
      <w:pPr>
        <w:pStyle w:val="ListBullet"/>
        <w:spacing w:line="240" w:lineRule="auto"/>
        <w:ind w:left="2160" w:right="1440" w:hanging="720"/>
        <w:jc w:val="left"/>
      </w:pPr>
      <w:r>
        <w:t xml:space="preserve">An Opt-In Auction Program with a minimum 5% discount off the </w:t>
      </w:r>
      <w:r w:rsidR="00A34F14">
        <w:t>price to compare (</w:t>
      </w:r>
      <w:r>
        <w:t>PTC</w:t>
      </w:r>
      <w:r w:rsidR="00A34F14">
        <w:t>)</w:t>
      </w:r>
      <w:r>
        <w:t>, a $50 bonus, and a 6-month contract term; and</w:t>
      </w:r>
    </w:p>
    <w:p w:rsidR="00341B26" w:rsidRDefault="00341B26" w:rsidP="00341B26">
      <w:pPr>
        <w:pStyle w:val="ListBullet"/>
        <w:numPr>
          <w:ilvl w:val="0"/>
          <w:numId w:val="0"/>
        </w:numPr>
        <w:spacing w:line="240" w:lineRule="auto"/>
        <w:ind w:left="2160" w:right="1440" w:hanging="720"/>
        <w:jc w:val="left"/>
      </w:pPr>
    </w:p>
    <w:p w:rsidR="00341B26" w:rsidRDefault="00341B26" w:rsidP="00FF18D0">
      <w:pPr>
        <w:pStyle w:val="ListBullet"/>
        <w:tabs>
          <w:tab w:val="clear" w:pos="360"/>
        </w:tabs>
        <w:spacing w:line="240" w:lineRule="auto"/>
        <w:ind w:left="2160" w:right="1440" w:hanging="720"/>
        <w:jc w:val="left"/>
      </w:pPr>
      <w:r>
        <w:t>A Standard Offer Referral Program with a 7% discount off the PTC and a 6-month contract term.</w:t>
      </w:r>
    </w:p>
    <w:p w:rsidR="00341B26" w:rsidRDefault="00341B26" w:rsidP="00341B26">
      <w:pPr>
        <w:pStyle w:val="BodyText2"/>
        <w:spacing w:after="0" w:line="360" w:lineRule="auto"/>
        <w:contextualSpacing/>
        <w:jc w:val="left"/>
      </w:pPr>
      <w:r>
        <w:t xml:space="preserve">PPL Electric Stmt. 4 at 19-29. </w:t>
      </w:r>
    </w:p>
    <w:p w:rsidR="00341B26" w:rsidRDefault="00341B26" w:rsidP="00341B26">
      <w:pPr>
        <w:pStyle w:val="BodyText2"/>
        <w:spacing w:after="0" w:line="360" w:lineRule="auto"/>
        <w:contextualSpacing/>
        <w:jc w:val="left"/>
      </w:pPr>
    </w:p>
    <w:p w:rsidR="00341B26" w:rsidRDefault="00341B26" w:rsidP="00341B26">
      <w:pPr>
        <w:pStyle w:val="BodyText2"/>
        <w:spacing w:after="0" w:line="360" w:lineRule="auto"/>
        <w:contextualSpacing/>
        <w:jc w:val="left"/>
      </w:pPr>
      <w:r>
        <w:tab/>
      </w:r>
      <w:r>
        <w:tab/>
        <w:t>19.</w:t>
      </w:r>
      <w:r>
        <w:tab/>
        <w:t xml:space="preserve">The DSP II Plan proposes to eliminate 24-month fixed-price, full-requirements, load-following contracts for Residential and Small C&amp;I customers that are currently acquired under the Company’s DSP I Program.  As these contracts expire, they will be replaced with fixed-price, full-requirements, </w:t>
      </w:r>
      <w:proofErr w:type="gramStart"/>
      <w:r>
        <w:t>load</w:t>
      </w:r>
      <w:proofErr w:type="gramEnd"/>
      <w:r>
        <w:t xml:space="preserve">-following products with contract terms that are no greater than 12 months.  </w:t>
      </w:r>
      <w:proofErr w:type="gramStart"/>
      <w:r>
        <w:t>PPL Electric Stmt. 2 at 5; PPL Electric Stmt. 1-R at 6.</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20.</w:t>
      </w:r>
      <w:r>
        <w:tab/>
        <w:t xml:space="preserve">The DSP II Plan proposes to eliminate the purchase of spot market full-requirements load-following supplies for the Residential and Small C&amp;I classes and replace these products with fixed-price, full-requirements, </w:t>
      </w:r>
      <w:proofErr w:type="gramStart"/>
      <w:r>
        <w:t>load</w:t>
      </w:r>
      <w:proofErr w:type="gramEnd"/>
      <w:r>
        <w:t xml:space="preserve">-following products with terms no greater than 12 months.  </w:t>
      </w:r>
      <w:proofErr w:type="gramStart"/>
      <w:r>
        <w:t>PPL Electric Stmt. 2 at 5; PPL Electric Stmt. 1-R at 6.</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21.</w:t>
      </w:r>
      <w:r>
        <w:tab/>
        <w:t xml:space="preserve">The DSP II Plan proposes to eliminate the procurement of additional block supply for the Residential Customer class and allow a gradual phase down in the amount of block supply procured for the Residential Class as block supply contracts executed during the </w:t>
      </w:r>
      <w:r>
        <w:lastRenderedPageBreak/>
        <w:t xml:space="preserve">DSP I Program expire during the DSP II Program.  </w:t>
      </w:r>
      <w:proofErr w:type="gramStart"/>
      <w:r>
        <w:t>PPL Electric Stmt. 2 at 5; PPL Electric Stmt. 1-R at 6.</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22.</w:t>
      </w:r>
      <w:r>
        <w:tab/>
        <w:t>As of July 1, 2012, over 46% of residential customer load was being served by an alternative supplier in the PPL Electric territory.  OSBA Ex. IEc-S1; PPL Electric Stmt. 2 at 17-20.</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23.</w:t>
      </w:r>
      <w:r>
        <w:tab/>
        <w:t xml:space="preserve">There is less supplier interest in bidding on a 24-month product as compared to the 12-month product.  </w:t>
      </w:r>
      <w:proofErr w:type="gramStart"/>
      <w:r>
        <w:t>PPL Electric Stmt. 2-R at 25; PPL Electric Ex. JC-1-R.</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24.</w:t>
      </w:r>
      <w:r>
        <w:tab/>
        <w:t xml:space="preserve">The use of spot market priced products has contributed to the need for reconciliation adjustments, as spot market projections included in the price to compare vary from actual spot market prices.  </w:t>
      </w:r>
      <w:proofErr w:type="gramStart"/>
      <w:r>
        <w:t>PPL Electric Stmt. 2 at 19.</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25.</w:t>
      </w:r>
      <w:r>
        <w:tab/>
        <w:t xml:space="preserve">Increased shopping has increased the proportion of default service load that is being provided by block supply.  PPL Electric’s current reliance on block supply has risen to almost 40% of total annual residential default service load.  </w:t>
      </w:r>
      <w:proofErr w:type="gramStart"/>
      <w:r>
        <w:t>PPL Electric Stmt. 2 at 12.</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26.</w:t>
      </w:r>
      <w:r>
        <w:tab/>
        <w:t xml:space="preserve">Allowing existing block purchases to expire without replacement will reduce PPL Electric’s reliance on block products to approximately 15-20% of its residential default service supply during the term of the DSP II Program.  </w:t>
      </w:r>
      <w:proofErr w:type="gramStart"/>
      <w:r>
        <w:t>PPL Electric Stmt. 2 at 20.</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27.</w:t>
      </w:r>
      <w:r>
        <w:tab/>
        <w:t xml:space="preserve">The DSP II Plan proposes to reduce the frequency of procurements from a quarterly basis to a semi-annual basis.  </w:t>
      </w:r>
      <w:proofErr w:type="gramStart"/>
      <w:r>
        <w:t xml:space="preserve">PPL Electric Stmt. 2 </w:t>
      </w:r>
      <w:r w:rsidR="007F7BC7">
        <w:t>a</w:t>
      </w:r>
      <w:r>
        <w:t>t 16; PPL Electric Stmt. 1-R at 6.</w:t>
      </w:r>
      <w:proofErr w:type="gramEnd"/>
      <w:r>
        <w:t xml:space="preserve">  The Company proposes to purchase 12- and 9-month products semi-annually.  </w:t>
      </w:r>
      <w:proofErr w:type="gramStart"/>
      <w:r>
        <w:t>PPL Electric Stmt. 2 at 16; PPL Electric Exhibit JC</w:t>
      </w:r>
      <w:r>
        <w:noBreakHyphen/>
        <w:t>4A.</w:t>
      </w:r>
      <w:proofErr w:type="gramEnd"/>
      <w:r>
        <w:t xml:space="preserve">  The one exception to this procurement schedule is that the October 2014 procurement will obtain supplies under 6- and 3-month fixed-price, full-requirements, load-following contracts, so that no fixed-price load-following contracts would extend beyond May 31, 2015.  PPL Electric Stmt. 1-R at 6-7.</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28.</w:t>
      </w:r>
      <w:r>
        <w:tab/>
        <w:t xml:space="preserve">The semi-annual procurements will procure a relatively larger percentage of supply for shorter durations than under the DSP I Program.  </w:t>
      </w:r>
      <w:proofErr w:type="gramStart"/>
      <w:r>
        <w:t>PPL Electric Stmt. 1 at 8.</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29.</w:t>
      </w:r>
      <w:r>
        <w:tab/>
        <w:t>PPL Electric’s goal is to move to a procurement schedule where half of default service supplies turn over every six months.  PPL Electric Stmt. 2 at 17</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30.</w:t>
      </w:r>
      <w:r>
        <w:tab/>
        <w:t xml:space="preserve">Multiple procurements create instances where actual default supplier load obligations can be very small, due to shopping and block supplies.  Less frequent laddered procurements can allow for increased product size.  </w:t>
      </w:r>
      <w:proofErr w:type="gramStart"/>
      <w:r>
        <w:t>PPL Electric Stmt. 2 at 13.</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31.</w:t>
      </w:r>
      <w:r>
        <w:tab/>
        <w:t>Quarterly laddered solicitations obtain a smaller share of supplies needed for default service than semi-annual solicitations, with the result that default service prices will tend to change more slowly.  PPL Electric Stmt. 2 at 13-14.</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32.</w:t>
      </w:r>
      <w:r>
        <w:tab/>
        <w:t xml:space="preserve">By eliminating two-year contracts in the DSP II Program, PPL Electric is shortening the time between procurement and the final month of delivery under its contracts.  PPL Electric St. 1-R at 10-11.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33.</w:t>
      </w:r>
      <w:r>
        <w:tab/>
        <w:t xml:space="preserve">The cost to undertake quarterly default service solicitations is approximately $225,000-$275,000.  By changing from quarterly to semi-annual procurements, the Company can reduce procurement costs by roughly $500,000 per year.  </w:t>
      </w:r>
      <w:proofErr w:type="gramStart"/>
      <w:r>
        <w:t>PPL Electric Ex. 1 at 36; PPL Electric Stmt. 1-RJ at 2; FES Stmt. 1-R at 14.</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34.</w:t>
      </w:r>
      <w:r>
        <w:tab/>
        <w:t xml:space="preserve">PPL Electric’s current DSP I Program currently has two load caps that limit the amount of supply that may be won by any wholesale supplier.  </w:t>
      </w:r>
      <w:proofErr w:type="gramStart"/>
      <w:r>
        <w:t>PPL Electric St. 1, p. 22; PPL Electric Stmt. 1-R at 19.</w:t>
      </w:r>
      <w:proofErr w:type="gramEnd"/>
      <w:r>
        <w:t xml:space="preserve">  There is a Solicitation Load Cap of 85% that is applicable to each of the three customer solicitation groups (Residential, Small C&amp;I and Large C&amp;I).  In addition, there is an aggregate load cap of 70% applied to wholesale suppliers providing supply to the Residential customer class and 65% applied to wholesale suppliers providing supply to the Small C&amp;I class.  </w:t>
      </w:r>
      <w:proofErr w:type="gramStart"/>
      <w:r>
        <w:t>PPL Electric Stmt. 1-R at 19.</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35.</w:t>
      </w:r>
      <w:r>
        <w:tab/>
        <w:t xml:space="preserve">There are currently 22 different suppliers providing products to meet PPL Electric’s default service requirements.  </w:t>
      </w:r>
      <w:proofErr w:type="gramStart"/>
      <w:r>
        <w:t>PPL Electric Stmt. 1-R at 20.</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36.</w:t>
      </w:r>
      <w:r>
        <w:tab/>
        <w:t xml:space="preserve">As of August 8, 2012, nearly 50% of Small C&amp;I customers representing over 88% of load were shopping.  </w:t>
      </w:r>
      <w:proofErr w:type="gramStart"/>
      <w:r>
        <w:t>PPL Electric Stmt. 1-R at 4.</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37.</w:t>
      </w:r>
      <w:r>
        <w:tab/>
        <w:t xml:space="preserve">PPL Electric proposes to continue the strategy used in the DSP I Program to satisfy its Large C&amp;I Customer Class Default Service obligation, </w:t>
      </w:r>
      <w:r>
        <w:rPr>
          <w:i/>
        </w:rPr>
        <w:t>i.e.,</w:t>
      </w:r>
      <w:r>
        <w:t xml:space="preserve"> it will acquire supply via the spot market.  PPL Electric Stmt. 2 at 15, 22-23.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38.</w:t>
      </w:r>
      <w:r>
        <w:tab/>
        <w:t>Each winning supplier is paid the hourly real-time spot market energy price for the PPL Zone, PJM’s capacity charge for the PPL Zone, and the price it bid to cover all other components of the full-requirements, load-following service.  PPL Electric Ex. 1, Appendix B, p. 8.</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39.</w:t>
      </w:r>
      <w:r>
        <w:tab/>
        <w:t xml:space="preserve">The vast majority of PPL Electric’s large commercial and industrial customers </w:t>
      </w:r>
      <w:proofErr w:type="gramStart"/>
      <w:r>
        <w:t>are</w:t>
      </w:r>
      <w:proofErr w:type="gramEnd"/>
      <w:r>
        <w:t xml:space="preserve"> purchasing power supplies from competitive retail suppliers and can be expected to continue to seek supplies from competitive retail suppliers. </w:t>
      </w:r>
      <w:proofErr w:type="gramStart"/>
      <w:r>
        <w:t>PPL Electric Stmt. 2 at 24.</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40.</w:t>
      </w:r>
      <w:r>
        <w:tab/>
        <w:t xml:space="preserve">The Company proposes to procure certain </w:t>
      </w:r>
      <w:r w:rsidR="00CF45D9">
        <w:t>alternative energy credits (</w:t>
      </w:r>
      <w:r>
        <w:t>AEC</w:t>
      </w:r>
      <w:r w:rsidR="00CF45D9">
        <w:t>s)</w:t>
      </w:r>
      <w:r>
        <w:t xml:space="preserve"> to meet its obligation under the AEPS Act as a component of its fixed-price and spot-market Default Service supply contracts.  This process is unchanged from that used in the DSP I Program.  PPL Electric Stmt. 1 at 15-16.</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41.</w:t>
      </w:r>
      <w:r>
        <w:tab/>
        <w:t xml:space="preserve">The Company separately has entered into contracts to procure AECs for certain of its residential block contracts.  However, PPL Electric must still acquire Tier I non-solar and Tier II AECs to cover the period from June 1, 2013 through May 31, 2015 for the 10-year long-term product obligation during the DSP II Program Period.  </w:t>
      </w:r>
      <w:proofErr w:type="gramStart"/>
      <w:r>
        <w:t>PPL Electric Stmt. 1 at 15.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42.</w:t>
      </w:r>
      <w:r>
        <w:tab/>
        <w:t xml:space="preserve">Because PPL Electric only needs to acquire additional AECs to cover a 50 MW obligation, PPL Electric proposes to solicit at least 3 pricing offers from AEC brokers in </w:t>
      </w:r>
      <w:r>
        <w:lastRenderedPageBreak/>
        <w:t xml:space="preserve">both June of 2013 and June of 2014 for Tier I non-solar and Tier II credits required </w:t>
      </w:r>
      <w:proofErr w:type="gramStart"/>
      <w:r>
        <w:t>to cover</w:t>
      </w:r>
      <w:proofErr w:type="gramEnd"/>
      <w:r>
        <w:t xml:space="preserve"> this long-term contract obligation.  </w:t>
      </w:r>
      <w:proofErr w:type="gramStart"/>
      <w:r>
        <w:t>PPL Electric Stmt. 1 at 15.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43.</w:t>
      </w:r>
      <w:r>
        <w:tab/>
        <w:t xml:space="preserve">There is no need to address PPL's Cash Working Capital issue in this proceeding.  </w:t>
      </w:r>
      <w:proofErr w:type="gramStart"/>
      <w:r>
        <w:t>OSBA Stmt. 3 at 7.</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44.</w:t>
      </w:r>
      <w:r>
        <w:tab/>
        <w:t>Semi-annual changes in default service prices align with the Company’s proposals for six month contract terms for the Opt-In and Standard Offer Referral Programs.  PPL Electric Stmt. 4 at 22-23, 25-27.</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45.</w:t>
      </w:r>
      <w:r>
        <w:tab/>
        <w:t xml:space="preserve">The Company currently provides real time hourly </w:t>
      </w:r>
      <w:r w:rsidR="007F7BC7">
        <w:t>default service pricing to its L</w:t>
      </w:r>
      <w:r>
        <w:t xml:space="preserve">arge C&amp;I customer class.  </w:t>
      </w:r>
      <w:proofErr w:type="gramStart"/>
      <w:r>
        <w:t>PPL Electric Ex. JMK-2.</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46.</w:t>
      </w:r>
      <w:r>
        <w:tab/>
        <w:t xml:space="preserve">PPL Electric estimated that it would cost over $360,000 to implement real-time default service pricing for all default service customers larger than 100 kW.  </w:t>
      </w:r>
      <w:proofErr w:type="gramStart"/>
      <w:r>
        <w:t>PPL Electric Stmt. 1-R at 31.</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47.</w:t>
      </w:r>
      <w:r>
        <w:tab/>
        <w:t xml:space="preserve">A rolling 12-month average reconciliation methodology will smooth E-Factor rate adjustments and allow C-factor rate adjustments, which reflect the changes in market prices resulting from default service procurements, to more accurately reflect default service rates over time.  </w:t>
      </w:r>
      <w:proofErr w:type="gramStart"/>
      <w:r>
        <w:t>PPL Electric Exs.</w:t>
      </w:r>
      <w:proofErr w:type="gramEnd"/>
      <w:r>
        <w:t xml:space="preserve"> </w:t>
      </w:r>
      <w:proofErr w:type="gramStart"/>
      <w:r>
        <w:t>JMK-5 and JMK-6; OCA Stmt. 1 at 14; Exhibit OCA-RSH-5.</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48.</w:t>
      </w:r>
      <w:r>
        <w:tab/>
        <w:t xml:space="preserve">The overall impact on customer bills from interest is negligible and will not have a substantial effect on the E-Factor calculations or on customer shopping decisions.  </w:t>
      </w:r>
      <w:proofErr w:type="gramStart"/>
      <w:r>
        <w:t>PPL Electric Stmt. 5-R at 9.</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49.</w:t>
      </w:r>
      <w:r>
        <w:tab/>
        <w:t xml:space="preserve">A 12-month rolling average will incorporate periods of overcollection and undercollection, with the net effect that interest calculated and due to the Company on monthly undercollection balances may be offset by interest owed to customers on monthly overcollection balances.  </w:t>
      </w:r>
      <w:proofErr w:type="gramStart"/>
      <w:r>
        <w:t>PPL Electric Ex. JMK-5.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50.</w:t>
      </w:r>
      <w:r>
        <w:tab/>
        <w:t xml:space="preserve">The DSP II GSC-1 reconciliation calculations will include the remaining over/under collection balances for both the fixed price and TOU price rate options as of May 31, 2013 under the DSP I Program for the separate Residential and Small C&amp;I customer classes.  </w:t>
      </w:r>
      <w:proofErr w:type="gramStart"/>
      <w:r>
        <w:t>PPL Electric Stmt. 5-RJ at 2.</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51.</w:t>
      </w:r>
      <w:r>
        <w:tab/>
        <w:t>PPL Electric is proposing in this proceeding not to extend the PPL Electric Green Power Program, which became effective on August 11, 2009</w:t>
      </w:r>
      <w:r w:rsidR="007F7BC7">
        <w:t>,</w:t>
      </w:r>
      <w:r>
        <w:t xml:space="preserve"> and is scheduled to terminate on May 31, 2013.  </w:t>
      </w:r>
      <w:proofErr w:type="gramStart"/>
      <w:r>
        <w:t>PPL Electric Stmt. 4 at 34.</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52.</w:t>
      </w:r>
      <w:r>
        <w:tab/>
        <w:t xml:space="preserve">Customer participation in the Green Power Program varies from month to month, but has never exceeded a few hundred customers.  </w:t>
      </w:r>
      <w:proofErr w:type="gramStart"/>
      <w:r>
        <w:t>PPL Electric Stmt. 4 at 34.</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53.</w:t>
      </w:r>
      <w:r>
        <w:tab/>
        <w:t>The contract between Community Energy, Inc.</w:t>
      </w:r>
      <w:r w:rsidR="007F7BC7">
        <w:t xml:space="preserve">, </w:t>
      </w:r>
      <w:r>
        <w:t>the supplier of the AECs in this program</w:t>
      </w:r>
      <w:r w:rsidR="007F7BC7">
        <w:t xml:space="preserve">, </w:t>
      </w:r>
      <w:r>
        <w:t>and PPL Electric</w:t>
      </w:r>
      <w:r w:rsidR="007F7BC7">
        <w:t>,</w:t>
      </w:r>
      <w:r>
        <w:t xml:space="preserve"> will terminate on May 31, 2013.  </w:t>
      </w:r>
      <w:proofErr w:type="gramStart"/>
      <w:r>
        <w:t>PPL Electric Stmt. 4 at 34.</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54.</w:t>
      </w:r>
      <w:r>
        <w:tab/>
        <w:t>There are now many green options available to customers and they are easily found on PaPowerSwitch.</w:t>
      </w:r>
      <w:r w:rsidR="00CF45D9">
        <w:t>com.</w:t>
      </w:r>
      <w:r>
        <w:t xml:space="preserve">  </w:t>
      </w:r>
      <w:proofErr w:type="gramStart"/>
      <w:r>
        <w:t>PPL Electric Stmt. 4-R at 50.</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55.</w:t>
      </w:r>
      <w:r>
        <w:tab/>
        <w:t>The Company proposes in this proceeding to eliminate procurements for the Opt</w:t>
      </w:r>
      <w:r w:rsidR="007F7BC7">
        <w:t>ional Monthly Pricing Service (</w:t>
      </w:r>
      <w:r>
        <w:t xml:space="preserve">OMPS) and to eliminate this rate option for the Large C&amp;I Customer Class.  </w:t>
      </w:r>
      <w:proofErr w:type="gramStart"/>
      <w:r>
        <w:t>PPL Electric Stmt. 1 at 10.</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56.</w:t>
      </w:r>
      <w:r>
        <w:tab/>
        <w:t xml:space="preserve">The provision of OMPS was contingent upon PPL Electric receiving bids from wholesale suppliers to provide the service.  </w:t>
      </w:r>
      <w:proofErr w:type="gramStart"/>
      <w:r>
        <w:t>In every procurement</w:t>
      </w:r>
      <w:proofErr w:type="gramEnd"/>
      <w:r>
        <w:t xml:space="preserve"> to date under the DSP I Program, no supplier has bid to provide OMPS service, and the service has never been available.  </w:t>
      </w:r>
      <w:proofErr w:type="gramStart"/>
      <w:r>
        <w:t>PPL Electric Stmt. 1 at 10.</w:t>
      </w:r>
      <w:proofErr w:type="gramEnd"/>
      <w:r>
        <w:tab/>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57.</w:t>
      </w:r>
      <w:r>
        <w:tab/>
        <w:t>PPL Electric publi</w:t>
      </w:r>
      <w:r w:rsidR="007F7BC7">
        <w:t>shes a final P</w:t>
      </w:r>
      <w:r>
        <w:t xml:space="preserve">TC rate about 10-15 days prior to the rate effective date.  </w:t>
      </w:r>
      <w:proofErr w:type="gramStart"/>
      <w:r>
        <w:t>PPL Electric Stmt. 1-R at 14.</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58.</w:t>
      </w:r>
      <w:r>
        <w:tab/>
        <w:t xml:space="preserve">PPL Electric also provides a preliminary PTC rate approximately 90 days in advance of the final PTC rate.  </w:t>
      </w:r>
      <w:proofErr w:type="gramStart"/>
      <w:r>
        <w:t>Tr. 157.</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59.</w:t>
      </w:r>
      <w:r>
        <w:tab/>
        <w:t xml:space="preserve">The Company’s regulatory accounting department does not finalize its calculation of the E-factor component of the PTC until about 15 days prior to the effective date of new GSC rates.  </w:t>
      </w:r>
      <w:proofErr w:type="gramStart"/>
      <w:r>
        <w:t>PPL Electric Stmt. 1-R at 14.</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60.</w:t>
      </w:r>
      <w:r>
        <w:tab/>
        <w:t xml:space="preserve">PPL Electric's TOU default service supply load should be bid separately from PPL Electric's fixed price load.  </w:t>
      </w:r>
      <w:proofErr w:type="gramStart"/>
      <w:r>
        <w:t>FES Stmt. 1 at 12.</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61.</w:t>
      </w:r>
      <w:r>
        <w:tab/>
        <w:t xml:space="preserve">Combining TOU and fixed-price products in one bid for wholesale supply complicates the bid design and may result in higher bids than would be obtained on just the fixed-price full requirements portion.  </w:t>
      </w:r>
      <w:proofErr w:type="gramStart"/>
      <w:r>
        <w:t>FES Stmt. 1 at 12.</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62.</w:t>
      </w:r>
      <w:r>
        <w:tab/>
        <w:t xml:space="preserve">TOU and fixed-price loads are two different wholesale products, with different risk profiles.  </w:t>
      </w:r>
      <w:proofErr w:type="gramStart"/>
      <w:r>
        <w:t>FES Stmt. 1 at 12.</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63.</w:t>
      </w:r>
      <w:r>
        <w:tab/>
        <w:t xml:space="preserve">The Company imposes </w:t>
      </w:r>
      <w:r w:rsidR="007F7BC7">
        <w:t>a Transmission Service Charge (</w:t>
      </w:r>
      <w:r>
        <w:t xml:space="preserve">TSC) on all default service customers to recover the cost of acquiring transmission service for such customers.  </w:t>
      </w:r>
      <w:proofErr w:type="gramStart"/>
      <w:r>
        <w:t>PPL Electric Stmt. 5 at 10.</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64.</w:t>
      </w:r>
      <w:r>
        <w:tab/>
        <w:t xml:space="preserve">Pursuant to PPL Electric’s tariff, the TSC is separately computed and applied to four customer classes:  Residential, Small C&amp;I, Large C&amp;I Primary and Large C&amp;I Transmission.  For TSC purposes, the Large C&amp;I – Primary customers take service at 12 kV primary voltage level and are served under Rate Schedules LP-4 and IS-P(R).  Large C&amp;I – Transmission customers take service at the 69 kV or higher transmission voltage level.  Residential and Small C&amp;I customers are served at a secondary voltage level.  </w:t>
      </w:r>
      <w:proofErr w:type="gramStart"/>
      <w:r>
        <w:t>PPL Electric Stmt. 5-R at 10.</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65.</w:t>
      </w:r>
      <w:r>
        <w:tab/>
        <w:t xml:space="preserve">A change in the class assignment of certain customers will result in adverse effects on such customers and cost shifting among the different customer classes.  PPL Electric St. 5-R at 12; PPL Electric Stmt. 5-RJ at 1-2.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66.</w:t>
      </w:r>
      <w:r>
        <w:tab/>
        <w:t xml:space="preserve">To revise the TSC to apply to all distribution customers, shopping and non-shopping, on a non-bypassable basis would require that transmission-related costs currently billed by PJM to EGSs be reassigned to PPL Electric, which would then need to develop new class cost allocators.  </w:t>
      </w:r>
      <w:proofErr w:type="gramStart"/>
      <w:r>
        <w:t>Constellation Stmt. 1-SR at 2.</w:t>
      </w:r>
      <w:proofErr w:type="gramEnd"/>
      <w:r>
        <w:t xml:space="preserve">  This process would need to account for all customers’ load, peak load and costs.  </w:t>
      </w:r>
      <w:proofErr w:type="gramStart"/>
      <w:r>
        <w:t>PPL Electric Stmt. 5-R at 13.</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67.</w:t>
      </w:r>
      <w:r>
        <w:tab/>
        <w:t xml:space="preserve">A change to a non-bypassable charge applied to all distribution customers would deprive customers of the opportunity to seek alternative arrangements for payment of transmission-related costs.  </w:t>
      </w:r>
      <w:proofErr w:type="gramStart"/>
      <w:r>
        <w:t>Constellation Stmt. 1-SR at 6.</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68.</w:t>
      </w:r>
      <w:r>
        <w:tab/>
        <w:t xml:space="preserve">Current contracts with wholesale suppliers under the DSP I Program do not provide for suppliers to be responsible for these transmission-related charges, and several of these will not expire until March of 2015.  </w:t>
      </w:r>
      <w:proofErr w:type="gramStart"/>
      <w:r>
        <w:t>PPL Electric S</w:t>
      </w:r>
      <w:r w:rsidR="007F7BC7">
        <w:t>t</w:t>
      </w:r>
      <w:r>
        <w:t>mt. 1-R at 30; PPL Electric Ex. JC-4A; PPL Electric Ex. JC-4B.</w:t>
      </w:r>
      <w:proofErr w:type="gramEnd"/>
      <w:r>
        <w:t xml:space="preserve">  As such, it is not possible to require these suppliers to bear such transmission-related costs.  </w:t>
      </w:r>
      <w:proofErr w:type="gramStart"/>
      <w:r>
        <w:t>PPL Electric Stmt. 1-R at 30; OSBA Stmt. 3 at 2.</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69.</w:t>
      </w:r>
      <w:r>
        <w:tab/>
        <w:t>PPL Electric’s current TSC cost allocation and reconciliation procedure among the customer classes is based on each transmission customer class’s percentage contribution to the five highest coincident peaks used by PJM to bill PPL Electric for default service transmission costs.  PPL Electric Stmt. 5-R at 13-14.</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70.</w:t>
      </w:r>
      <w:r>
        <w:tab/>
        <w:t xml:space="preserve">Maintaining the same customer class allocation factors can distort the class’s responsibility for demand related costs due to customers moving to and from default service.  Therefore, the customer class allocation factors for the demand related transmission costs should be adjusted on a monthly basis.  </w:t>
      </w:r>
      <w:proofErr w:type="gramStart"/>
      <w:r>
        <w:t>PPL Electric Stmt. 5-R at 15.</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71.</w:t>
      </w:r>
      <w:r>
        <w:tab/>
        <w:t xml:space="preserve">The proposed monthly adjustment to the customer class allocation factors would be reflected in the annual reconciliation of TSC demand-related costs.  </w:t>
      </w:r>
      <w:proofErr w:type="gramStart"/>
      <w:r>
        <w:t>PPL Electric S</w:t>
      </w:r>
      <w:r w:rsidR="007F7BC7">
        <w:t>t</w:t>
      </w:r>
      <w:r>
        <w:t>mt. 5-R at 15.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72.</w:t>
      </w:r>
      <w:r>
        <w:tab/>
        <w:t xml:space="preserve">There is little interest in a time-of-use program from the Company's Small </w:t>
      </w:r>
      <w:proofErr w:type="gramStart"/>
      <w:r>
        <w:t>C&amp;I</w:t>
      </w:r>
      <w:proofErr w:type="gramEnd"/>
      <w:r>
        <w:t xml:space="preserve"> customer class.  </w:t>
      </w:r>
      <w:proofErr w:type="gramStart"/>
      <w:r>
        <w:t>OSBA Stmt. 1 at 11.</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73.</w:t>
      </w:r>
      <w:r>
        <w:tab/>
        <w:t>Small C&amp;I customer shopping rates in PPL's service territory are the highest in the Commonwealth.  OSBA Stmt. 3 at 5-6.</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74.</w:t>
      </w:r>
      <w:r>
        <w:tab/>
        <w:t xml:space="preserve">PPL Electric currently pays suppliers on a monthly basis, and proposes to continue that payment process in the DSP II Program.  </w:t>
      </w:r>
      <w:proofErr w:type="gramStart"/>
      <w:r>
        <w:t>PPL Electric Stmt. 1-R at 25.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75.</w:t>
      </w:r>
      <w:r>
        <w:tab/>
        <w:t xml:space="preserve">PPL Electric has held twelve successful DSP I Program solicitations, which included monthly settlement provisions.  Throughout that period of time, PJM has invoiced suppliers on a weekly basis.  There is no evidence that implementation of a monthly settlement process in the SMA has negatively impacted participation or the success of any solicitation.  </w:t>
      </w:r>
      <w:proofErr w:type="gramStart"/>
      <w:r>
        <w:t>PPL Electric Stmt. 1-R at 25.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76.</w:t>
      </w:r>
      <w:r>
        <w:tab/>
        <w:t xml:space="preserve">A change to a weekly settlement process will shift the Cash Working Capital responsibility from being borne by suppliers and included in their bid prices to being borne by PPL Electric and being charged to customers as an additional cost in Default Service rates.  PPL Electric Stmt. 5-R at 15-16.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77.</w:t>
      </w:r>
      <w:r>
        <w:tab/>
        <w:t xml:space="preserve">A Letter of Credit is a form of Performance Assurance given as security against default.  PPL Electric Ex. 1, Appendix A, page 15 – definition of Performance Assurance.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78.</w:t>
      </w:r>
      <w:r>
        <w:tab/>
        <w:t xml:space="preserve">PPL Electric's highest Unsecured Credit threshold is lower than three of the EDCs that the Company reviewed.  </w:t>
      </w:r>
      <w:proofErr w:type="gramStart"/>
      <w:r>
        <w:t>PPL Electric Stmt. 1-R at Ex. RGY-1R.</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79.</w:t>
      </w:r>
      <w:r>
        <w:tab/>
        <w:t xml:space="preserve">The fourth EDC reviewed is NSTAR, which is not located within the PJM territory.  </w:t>
      </w:r>
      <w:proofErr w:type="gramStart"/>
      <w:r>
        <w:t>PPL Electric Stmt. 1-R at Ex. RGY-1R.</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80.</w:t>
      </w:r>
      <w:r>
        <w:tab/>
        <w:t xml:space="preserve">PPL Electric has retained NERA as the independent third-party to administer </w:t>
      </w:r>
      <w:proofErr w:type="gramStart"/>
      <w:r>
        <w:t>each procurement</w:t>
      </w:r>
      <w:proofErr w:type="gramEnd"/>
      <w:r>
        <w:t xml:space="preserve">, analyze the results of the solicitations for each customer class, select the supplier(s) that will provide services at the lowest cost and submit all necessary reports to the Commission.  </w:t>
      </w:r>
      <w:proofErr w:type="gramStart"/>
      <w:r>
        <w:t>PPL Electric Stmt. 1 at 23.</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81.</w:t>
      </w:r>
      <w:r>
        <w:tab/>
        <w:t>PPL Electric developed the following timeline for the five foregoing retail market enhancement initiatives:</w:t>
      </w:r>
    </w:p>
    <w:p w:rsidR="00341B26" w:rsidRDefault="00341B26" w:rsidP="00341B26">
      <w:pPr>
        <w:pStyle w:val="BodyText2"/>
        <w:spacing w:line="360" w:lineRule="auto"/>
        <w:contextualSpacing/>
        <w:jc w:val="left"/>
      </w:pPr>
    </w:p>
    <w:p w:rsidR="00341B26" w:rsidRDefault="00341B26" w:rsidP="00FF18D0">
      <w:pPr>
        <w:pStyle w:val="BodyText2"/>
        <w:spacing w:after="240" w:line="240" w:lineRule="auto"/>
        <w:ind w:left="2880" w:right="1440" w:hanging="720"/>
        <w:contextualSpacing/>
        <w:jc w:val="left"/>
      </w:pPr>
      <w:r>
        <w:t>1.</w:t>
      </w:r>
      <w:r>
        <w:tab/>
        <w:t>Undertake the customer education mailing in late 2012-early 2013, as directed by the Commission.</w:t>
      </w:r>
    </w:p>
    <w:p w:rsidR="00341B26" w:rsidRDefault="00341B26" w:rsidP="00FF18D0">
      <w:pPr>
        <w:pStyle w:val="BodyText2"/>
        <w:spacing w:after="240" w:line="240" w:lineRule="auto"/>
        <w:ind w:left="2880" w:right="1440" w:hanging="720"/>
        <w:contextualSpacing/>
        <w:jc w:val="left"/>
      </w:pPr>
    </w:p>
    <w:p w:rsidR="00341B26" w:rsidRDefault="00341B26" w:rsidP="00FF18D0">
      <w:pPr>
        <w:pStyle w:val="BodyText2"/>
        <w:spacing w:after="240" w:line="240" w:lineRule="auto"/>
        <w:ind w:left="2880" w:right="1440" w:hanging="720"/>
        <w:contextualSpacing/>
        <w:jc w:val="left"/>
      </w:pPr>
      <w:r>
        <w:t>2.</w:t>
      </w:r>
      <w:r>
        <w:tab/>
        <w:t>Implement the New/Moving Customer program scripts and New Customer Welcome Package in late 2012, as directed by the Commission.</w:t>
      </w:r>
    </w:p>
    <w:p w:rsidR="00341B26" w:rsidRDefault="00341B26" w:rsidP="00FF18D0">
      <w:pPr>
        <w:pStyle w:val="BodyText2"/>
        <w:spacing w:after="240" w:line="240" w:lineRule="auto"/>
        <w:ind w:left="2880" w:right="1440" w:hanging="720"/>
        <w:contextualSpacing/>
        <w:jc w:val="left"/>
      </w:pPr>
    </w:p>
    <w:p w:rsidR="00341B26" w:rsidRDefault="00341B26" w:rsidP="00FF18D0">
      <w:pPr>
        <w:pStyle w:val="BodyText2"/>
        <w:spacing w:after="240" w:line="240" w:lineRule="auto"/>
        <w:ind w:left="2880" w:right="1440" w:hanging="720"/>
        <w:contextualSpacing/>
        <w:jc w:val="left"/>
      </w:pPr>
      <w:r>
        <w:t>3.</w:t>
      </w:r>
      <w:r>
        <w:tab/>
        <w:t>Undertake the added Customer Referral Mailing in the second or third quarter of 2013.</w:t>
      </w:r>
    </w:p>
    <w:p w:rsidR="00341B26" w:rsidRDefault="00341B26" w:rsidP="00FF18D0">
      <w:pPr>
        <w:pStyle w:val="BodyText2"/>
        <w:spacing w:after="240" w:line="240" w:lineRule="auto"/>
        <w:ind w:left="2880" w:right="1440" w:hanging="720"/>
        <w:contextualSpacing/>
        <w:jc w:val="left"/>
      </w:pPr>
    </w:p>
    <w:p w:rsidR="00341B26" w:rsidRDefault="00341B26" w:rsidP="00FF18D0">
      <w:pPr>
        <w:pStyle w:val="BodyText2"/>
        <w:spacing w:after="240" w:line="240" w:lineRule="auto"/>
        <w:ind w:left="2880" w:right="1440" w:hanging="720"/>
        <w:contextualSpacing/>
        <w:jc w:val="left"/>
      </w:pPr>
      <w:r>
        <w:t>4.</w:t>
      </w:r>
      <w:r>
        <w:tab/>
        <w:t>Undertake the Opt-In Auction in late November/early December 2013.</w:t>
      </w:r>
    </w:p>
    <w:p w:rsidR="00341B26" w:rsidRDefault="00341B26" w:rsidP="00FF18D0">
      <w:pPr>
        <w:pStyle w:val="BodyText2"/>
        <w:spacing w:after="240" w:line="240" w:lineRule="auto"/>
        <w:ind w:left="2880" w:right="1440" w:hanging="720"/>
        <w:contextualSpacing/>
        <w:jc w:val="left"/>
      </w:pPr>
    </w:p>
    <w:p w:rsidR="00341B26" w:rsidRDefault="00341B26" w:rsidP="00FF18D0">
      <w:pPr>
        <w:pStyle w:val="BodyText2"/>
        <w:spacing w:after="240" w:line="240" w:lineRule="auto"/>
        <w:ind w:left="2880" w:right="1440" w:hanging="720"/>
        <w:contextualSpacing/>
        <w:jc w:val="left"/>
      </w:pPr>
      <w:r>
        <w:t>5.</w:t>
      </w:r>
      <w:r>
        <w:tab/>
        <w:t>Initiate the ongoing Standard Offer Referral Program in mid-2014.</w:t>
      </w:r>
    </w:p>
    <w:p w:rsidR="00341B26" w:rsidRDefault="00341B26" w:rsidP="00341B26">
      <w:pPr>
        <w:pStyle w:val="BodyText2"/>
        <w:spacing w:line="360" w:lineRule="auto"/>
        <w:contextualSpacing/>
        <w:jc w:val="left"/>
      </w:pPr>
      <w:r>
        <w:t xml:space="preserve">PPL Electric Stmt. 4 at 12-13.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82.</w:t>
      </w:r>
      <w:r>
        <w:tab/>
        <w:t xml:space="preserve">The Commission’s New/Moving Customer program working group has developed strict objectives, and the Company anticipates that it would start the New/Moving Customer referral program by the end of September 2012.  </w:t>
      </w:r>
      <w:proofErr w:type="gramStart"/>
      <w:r>
        <w:t>Tr. 86.</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83.</w:t>
      </w:r>
      <w:r>
        <w:tab/>
        <w:t xml:space="preserve">System modifications are needed to include a “day-one switch” capability envisioned by </w:t>
      </w:r>
      <w:proofErr w:type="gramStart"/>
      <w:r>
        <w:t>RESA, that</w:t>
      </w:r>
      <w:proofErr w:type="gramEnd"/>
      <w:r>
        <w:t xml:space="preserve"> would allow the customer to initiate service with an EGS directly through the Company’s Cu</w:t>
      </w:r>
      <w:r w:rsidR="007F7BC7">
        <w:t>stomer Service Representative (</w:t>
      </w:r>
      <w:r>
        <w:t xml:space="preserve">CSR), without a transfer to an EGS </w:t>
      </w:r>
      <w:r>
        <w:lastRenderedPageBreak/>
        <w:t xml:space="preserve">representative.  </w:t>
      </w:r>
      <w:proofErr w:type="gramStart"/>
      <w:r>
        <w:t>Tr. 92.</w:t>
      </w:r>
      <w:proofErr w:type="gramEnd"/>
      <w:r>
        <w:t xml:space="preserve">  These modifications are anticipated in support of the Company’s Standard Offer Referral Program.  </w:t>
      </w:r>
      <w:proofErr w:type="gramStart"/>
      <w:r>
        <w:t>Tr. 92.</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84.</w:t>
      </w:r>
      <w:r>
        <w:tab/>
        <w:t xml:space="preserve">As part of the New/Moving Customer Program, the Company will transfer a requesting customer to an EGS’s customer service center to initiate service from the EGS.  </w:t>
      </w:r>
      <w:proofErr w:type="gramStart"/>
      <w:r>
        <w:t>Tr. 90.</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85.</w:t>
      </w:r>
      <w:r>
        <w:tab/>
        <w:t xml:space="preserve">Because the New/Moving Customer Program does not involve standarized EGS offers, the Company’s CSR could not place a new/moving customer on EGS service, but must instead refer customers to an EGS or to the Commission’s PowerSwitch website, as the terms of service would be unknown.  </w:t>
      </w:r>
      <w:proofErr w:type="gramStart"/>
      <w:r>
        <w:t>Tr. 92.</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86.</w:t>
      </w:r>
      <w:r>
        <w:tab/>
        <w:t xml:space="preserve">Customer confusion and negative views of customer choice can be created by presenting multiple different offers to customers in overlapping contexts.  </w:t>
      </w:r>
      <w:proofErr w:type="gramStart"/>
      <w:r>
        <w:t>PPL Electric Stmt. 4-R at 21.</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87.</w:t>
      </w:r>
      <w:r>
        <w:tab/>
        <w:t xml:space="preserve">With small modifications, the Company’s basic structure of </w:t>
      </w:r>
      <w:r w:rsidR="007F7BC7">
        <w:t>the</w:t>
      </w:r>
      <w:r>
        <w:t xml:space="preserve"> </w:t>
      </w:r>
      <w:r w:rsidR="007F7BC7">
        <w:t>R</w:t>
      </w:r>
      <w:r>
        <w:t xml:space="preserve">etail Opt-In Auction Program could be modified to </w:t>
      </w:r>
      <w:proofErr w:type="gramStart"/>
      <w:r>
        <w:t>a retail</w:t>
      </w:r>
      <w:proofErr w:type="gramEnd"/>
      <w:r>
        <w:t xml:space="preserve"> Opt-In Aggregation Program as adopted by the Commission in the </w:t>
      </w:r>
      <w:r>
        <w:rPr>
          <w:i/>
        </w:rPr>
        <w:t>FirstEnergy Order</w:t>
      </w:r>
      <w:r>
        <w:t>.  PPL Electric Stmt. 4-SR at 6-11.</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88.</w:t>
      </w:r>
      <w:r>
        <w:tab/>
        <w:t xml:space="preserve">The Company’s proposal for a 6-month term, coupled with its proposed schedule for implementing the auction and changing the PTC on a semi-annual basis, would effectively assure that participants would achieve five months of certain savings off the PTC.  </w:t>
      </w:r>
      <w:proofErr w:type="gramStart"/>
      <w:r>
        <w:t>PPL Electric Stmt. 4-R at 25.</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89.</w:t>
      </w:r>
      <w:r>
        <w:tab/>
        <w:t>An opt-in program that does not have standardized price terms among all participating EGS</w:t>
      </w:r>
      <w:r w:rsidR="00CF45D9">
        <w:t>s</w:t>
      </w:r>
      <w:r>
        <w:t xml:space="preserve"> for the length of the contract may result in customer confusion and dissatisfaction and, ultimately, be harmful to shopping.  </w:t>
      </w:r>
      <w:proofErr w:type="gramStart"/>
      <w:r>
        <w:t>PPL Electric Stmt. 4-SR at 11.</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90.</w:t>
      </w:r>
      <w:r>
        <w:tab/>
        <w:t xml:space="preserve">An aggregation approach that establishes a 6-month term with a stated discount of 5% would produce a more positive shopping experience than a 5% discount for 4 </w:t>
      </w:r>
      <w:r>
        <w:lastRenderedPageBreak/>
        <w:t xml:space="preserve">months followed by a non-standard price among EGSs for a remaining 8-month period.  </w:t>
      </w:r>
      <w:proofErr w:type="gramStart"/>
      <w:r>
        <w:t>PPL Electric St. 4-SR at 11.</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91.</w:t>
      </w:r>
      <w:r>
        <w:tab/>
        <w:t xml:space="preserve">Guaranteeing savings for the entire Opt-In Program term will avoid the situation where customers learn about price changes long after the differential has been in effect and have a negative opinion about the competitive market as a result.  </w:t>
      </w:r>
      <w:proofErr w:type="gramStart"/>
      <w:r>
        <w:t>OCA Stmt. 2-S at 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92.</w:t>
      </w:r>
      <w:r>
        <w:tab/>
        <w:t>Customers participating in the Retail Opt-In Program should have the same information as customers in the retail competitive market, i.e., price, material terms and conditions, and identity of the EGS that will provide service.  OCA Stmt. 2-R at 8-9.</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93.</w:t>
      </w:r>
      <w:r>
        <w:tab/>
        <w:t xml:space="preserve">Adding additional notice requirements, or adding a requirement that the Company separately track low-income customers under the program and determine whether such customers have made an affirmative election to continue to shop, will add costs to the program.  PPL Electric Stmt. 4-R at 29-30.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94.</w:t>
      </w:r>
      <w:r>
        <w:tab/>
        <w:t xml:space="preserve">There is much more robust shopping by small business customers in PPL Electric’s service territory than in FirstEnergy’s service territory.  </w:t>
      </w:r>
      <w:proofErr w:type="gramStart"/>
      <w:r>
        <w:t>OSBA Ex. 1Ec-S1; RESA Ex. CHK-4; Tr. 320.</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95.</w:t>
      </w:r>
      <w:r>
        <w:tab/>
        <w:t xml:space="preserve">Adding a requirement of a minimum of four winning bidders complicates the process of selecting winning bidders through an auction process and may result in a lesser percentage discount being provided to customers.  </w:t>
      </w:r>
      <w:proofErr w:type="gramStart"/>
      <w:r>
        <w:t>PPL Electric Stmt. 4-R at 31; PPL Electric Ex. DAK-1R.</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96.</w:t>
      </w:r>
      <w:r>
        <w:tab/>
        <w:t xml:space="preserve">A sealed bid approach is less complex, less costly and more consistent with the processes that the Company routinely uses to acquire full requirements default service than a declining clock auction.  PPL Electric Stmt. 4-R at 31-32.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97.</w:t>
      </w:r>
      <w:r>
        <w:tab/>
        <w:t xml:space="preserve">A separate process for tracking and changing low income customers back to default service at the end of a standard offer contract term would add costs.  PPL Electric Stmt. 4-R at 41-42.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98.</w:t>
      </w:r>
      <w:r>
        <w:tab/>
        <w:t xml:space="preserve">PPL Electric has entered into several contracts under its DSP I Program that would be affected by a June 1, 2013 start date for the Opt </w:t>
      </w:r>
      <w:proofErr w:type="gramStart"/>
      <w:r>
        <w:t>In</w:t>
      </w:r>
      <w:proofErr w:type="gramEnd"/>
      <w:r>
        <w:t xml:space="preserve"> Program and the Standard Offer Program.</w:t>
      </w:r>
      <w:r w:rsidR="00CF45D9">
        <w:t xml:space="preserve">  </w:t>
      </w:r>
      <w:proofErr w:type="gramStart"/>
      <w:r>
        <w:t xml:space="preserve">PPL Electric Stmt. 4-R at 14; PPL Electric Stmt. 1-R at 30; PPL Electric Stmt. 2-R </w:t>
      </w:r>
      <w:r w:rsidRPr="00FF18D0">
        <w:t>at</w:t>
      </w:r>
      <w:r w:rsidR="00FF18D0">
        <w:t> </w:t>
      </w:r>
      <w:r w:rsidRPr="00FF18D0">
        <w:t>8</w:t>
      </w:r>
      <w:r>
        <w:t>.</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99.</w:t>
      </w:r>
      <w:r>
        <w:tab/>
        <w:t xml:space="preserve">Bidding for the Opt-In </w:t>
      </w:r>
      <w:r w:rsidR="00095D9A">
        <w:t>P</w:t>
      </w:r>
      <w:r>
        <w:t xml:space="preserve">rogram should be held after PPL Electric's default service supply procurement but before customer enrollment.  </w:t>
      </w:r>
      <w:proofErr w:type="gramStart"/>
      <w:r>
        <w:t>FES Stmt. 1 at 3.</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100.</w:t>
      </w:r>
      <w:r>
        <w:tab/>
        <w:t xml:space="preserve">Absent affirmative action by the customer, at the end of the Opt-In Program and Standard Offer Referral Program, the participating customer should remain with the EGS on a month-to-month contract.  </w:t>
      </w:r>
      <w:proofErr w:type="gramStart"/>
      <w:r>
        <w:t>FES Stmt. 1 at 3.</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101.</w:t>
      </w:r>
      <w:r>
        <w:tab/>
        <w:t>The Company proposes to begin the Standard Offer Referral Program in mid-2014 in order to provide sufficient time to make appropriate enhancements to its customer information and billing systems.  PPL Electric Stmt. 4 at 31; PPL Electric Stmt. 4-R at 18; Tr.</w:t>
      </w:r>
      <w:r w:rsidR="00FF18D0">
        <w:t> </w:t>
      </w:r>
      <w:r>
        <w:t xml:space="preserve">91-92.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102.</w:t>
      </w:r>
      <w:r>
        <w:tab/>
        <w:t xml:space="preserve">Any proposal to limit recovery of market enhancement program costs to default service customers could result in difficulties in PPL Electric fully recovering the costs of the Program.  </w:t>
      </w:r>
      <w:proofErr w:type="gramStart"/>
      <w:r>
        <w:t>PPL Electric Stmt. 4-R at 47.</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103.</w:t>
      </w:r>
      <w:r>
        <w:tab/>
        <w:t xml:space="preserve">An aggregation approach would eliminate the need for a pre-auction mailing and the auction itself, and thus, would substantially reduce the cost of the Program.  </w:t>
      </w:r>
      <w:proofErr w:type="gramStart"/>
      <w:r>
        <w:t>(PPL Electric St. 4-SR, p. 9).</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104.</w:t>
      </w:r>
      <w:r>
        <w:tab/>
        <w:t xml:space="preserve">Recovering costs only from winning EGSs in the Opt </w:t>
      </w:r>
      <w:proofErr w:type="gramStart"/>
      <w:r>
        <w:t>In</w:t>
      </w:r>
      <w:proofErr w:type="gramEnd"/>
      <w:r>
        <w:t xml:space="preserve"> Auction Program could increase the risk that PPL Electric could bill no EGSs for the costs of an auction and result </w:t>
      </w:r>
      <w:r>
        <w:lastRenderedPageBreak/>
        <w:t>in the need for substantial cost recovery from the Company’s customers in the event of a failed auction.</w:t>
      </w:r>
      <w:r w:rsidR="00FF18D0">
        <w:t xml:space="preserve">  </w:t>
      </w:r>
      <w:proofErr w:type="gramStart"/>
      <w:r>
        <w:t>PPL Electric Stmt. 4-R at 48.</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105.</w:t>
      </w:r>
      <w:r>
        <w:tab/>
        <w:t xml:space="preserve">By requiring EGSs to pay for pre-auction costs up front, the Company can determine whether EGSs are committed to participate in an auction, and avoid unwanted costs.  </w:t>
      </w:r>
      <w:proofErr w:type="gramStart"/>
      <w:r>
        <w:t>PPL Electric Stmt. 4-R at 48.</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106.</w:t>
      </w:r>
      <w:r>
        <w:tab/>
        <w:t xml:space="preserve">Without a true up process that charges remaining pre-auction costs to winning EGSs, PPL Electric could be left with unrecovered program costs that it would have to charge to customers.  </w:t>
      </w:r>
      <w:proofErr w:type="gramStart"/>
      <w:r>
        <w:t>PPL Electric Stmt. 4-R at 48.</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107.</w:t>
      </w:r>
      <w:r>
        <w:tab/>
        <w:t xml:space="preserve">PPL Electric identified two categories of costs that could be viewed as associated with the Standard Offer Referral Program that would not be recovered from participating EGSs.  The first of these would be service representative call time, which costs PPL Electric cannot separately identify and, therefore, would be reflected as part of operating expenses in a future rate case.  </w:t>
      </w:r>
      <w:proofErr w:type="gramStart"/>
      <w:r>
        <w:t>PPL Electric S</w:t>
      </w:r>
      <w:r w:rsidR="001A6669">
        <w:t>t</w:t>
      </w:r>
      <w:r>
        <w:t>mt. 4 at 29; PPL Electric Stmt. 4-R at 44.</w:t>
      </w:r>
      <w:proofErr w:type="gramEnd"/>
      <w:r>
        <w:t xml:space="preserve">  The second category of costs that would not be billed to EGSs are capital costs associated with the modifications to the Company’s customer information and billing systems, and that can provide other customer relationship functions.  These costs are estimated at $3 million, and would be recovered in a future base rate case.  </w:t>
      </w:r>
      <w:proofErr w:type="gramStart"/>
      <w:r>
        <w:t>PPL Electric Stmt. 4 at 29.</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108.</w:t>
      </w:r>
      <w:r>
        <w:tab/>
        <w:t xml:space="preserve">PPL Electric's low-income customers are economically vulnerable.  </w:t>
      </w:r>
      <w:proofErr w:type="gramStart"/>
      <w:r>
        <w:t>CAUSE-PA Stmt. 1 at 3, 8.</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109.</w:t>
      </w:r>
      <w:r>
        <w:tab/>
        <w:t xml:space="preserve">As many as 73% of </w:t>
      </w:r>
      <w:r w:rsidR="00CE16E3">
        <w:t xml:space="preserve">OnTrack, the Company's </w:t>
      </w:r>
      <w:r w:rsidR="00CF45D9">
        <w:t>customer assistance program (</w:t>
      </w:r>
      <w:r>
        <w:t>CAP</w:t>
      </w:r>
      <w:r w:rsidR="00CF45D9">
        <w:t>)</w:t>
      </w:r>
      <w:r>
        <w:t xml:space="preserve"> customers being served by an EGS are being charged a higher price than the PTC.  CAUSE-PA Stmt. 1 at 16; Appendix B, PPL Response to CAUSE-PA Interrogatory, Set I, Nos. 5 &amp; 6.</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110.</w:t>
      </w:r>
      <w:r>
        <w:tab/>
        <w:t xml:space="preserve">Approximately 12% of PPL's residential customers have been confirmed by PPL as low-income.  </w:t>
      </w:r>
      <w:proofErr w:type="gramStart"/>
      <w:r>
        <w:t>CAUSE-PA Stmt. 1 at 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111.</w:t>
      </w:r>
      <w:r>
        <w:tab/>
        <w:t xml:space="preserve">Non-CAP residential customers pay the CAP shortfall, which is the difference between the full bill and the CAP customer’s unique required payment.  If OnTrack customers’ full bill responsibility increases, the CAP shortfall increases.  </w:t>
      </w:r>
      <w:proofErr w:type="gramStart"/>
      <w:r>
        <w:t>PPL Electric Stmt. 4-SR at 11-15; CAUSE Stmt. 1 at 13.</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112.</w:t>
      </w:r>
      <w:r>
        <w:tab/>
        <w:t xml:space="preserve">If CAP customers receive benefits that are not reflected in the determination of their required payment, non-CAP customer cost responsibility would be higher than necessary to provide an affordable bill payment for CAP customers.  </w:t>
      </w:r>
      <w:proofErr w:type="gramStart"/>
      <w:r>
        <w:t>Tr. 106.</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113.</w:t>
      </w:r>
      <w:r>
        <w:tab/>
        <w:t xml:space="preserve">If OnTrack customers’ required payments are unaffordable, they will default and likely face service termination.  PPL Electric Stmt. 4-SR at 13-14.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114.</w:t>
      </w:r>
      <w:r>
        <w:tab/>
        <w:t xml:space="preserve">OnTrack customers have been eligible to shop since the beginning of customer choice in the PPL Electric service territory.  </w:t>
      </w:r>
      <w:proofErr w:type="gramStart"/>
      <w:r>
        <w:t>PPL Electric Stmt. 4-R at 7.</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115.</w:t>
      </w:r>
      <w:r>
        <w:tab/>
        <w:t xml:space="preserve">The Company has put in place billing protocols that provide for a sharing of the costs and benefits of shopping by OnTrack participants.  These protocols are designed to encourage efficient shopping by OnTrack customers by increasing their required payment if they take more expensive service from an EGS while allowing them to receive a share of savings from shopping, while providing a share of shopping savings to the non-CAP residential customers that pay the CAP shortfall.  </w:t>
      </w:r>
      <w:proofErr w:type="gramStart"/>
      <w:r>
        <w:t>PPL Electric Stmt. 4-R at 8.</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116.</w:t>
      </w:r>
      <w:r>
        <w:tab/>
        <w:t>A CAP</w:t>
      </w:r>
      <w:r w:rsidR="00C014A1">
        <w:t xml:space="preserve"> customer participating in the S</w:t>
      </w:r>
      <w:r>
        <w:t xml:space="preserve">tandard </w:t>
      </w:r>
      <w:r w:rsidR="00C014A1">
        <w:t>O</w:t>
      </w:r>
      <w:r>
        <w:t xml:space="preserve">ffer </w:t>
      </w:r>
      <w:r w:rsidR="00C014A1">
        <w:t>R</w:t>
      </w:r>
      <w:r>
        <w:t xml:space="preserve">eferral program would see only 50% of the 7% savings in the program.  </w:t>
      </w:r>
      <w:proofErr w:type="gramStart"/>
      <w:r>
        <w:t>CAUSE-PA Stmt. 1 at 15.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117.</w:t>
      </w:r>
      <w:r>
        <w:tab/>
        <w:t xml:space="preserve">A CAP customer participating in the auction would see only 40% of the 5% savings within the program.  </w:t>
      </w:r>
      <w:proofErr w:type="gramStart"/>
      <w:r>
        <w:t>CAUSE-PA Stmt. 1 at 15.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lastRenderedPageBreak/>
        <w:tab/>
      </w:r>
      <w:r>
        <w:tab/>
        <w:t>118.</w:t>
      </w:r>
      <w:r>
        <w:tab/>
        <w:t xml:space="preserve">The savings to CAP customers within the auction will occur only if their total consumption bill for any given month were to exceed $100 for non-electric heating or </w:t>
      </w:r>
      <w:r w:rsidR="00C014A1">
        <w:t>$</w:t>
      </w:r>
      <w:r>
        <w:t xml:space="preserve">200 for electric heating customers.  </w:t>
      </w:r>
      <w:proofErr w:type="gramStart"/>
      <w:r>
        <w:t>CAUSE-PA Stmt. 1 at 15.</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119.</w:t>
      </w:r>
      <w:r>
        <w:tab/>
        <w:t xml:space="preserve">If a CAP customer selects a supplier whose price results in a bill that is more than $5 higher per month for non-electric heating customers and more than $10 per month for electric heating customers then the CAP customer must pay all of the difference as a part of his or her CAP bill.  </w:t>
      </w:r>
      <w:proofErr w:type="gramStart"/>
      <w:r>
        <w:t>CAUSE-PA Stmt. 1 at 17; Appendix B, PPL Response to CAUSA-PA Interrogatory, Set I, No. 10, Attachment 1.</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120.</w:t>
      </w:r>
      <w:r>
        <w:tab/>
        <w:t xml:space="preserve">A CAP customer must bear the entire cost of a rate increase if it exceeds the monthly thresholds.  </w:t>
      </w:r>
      <w:proofErr w:type="gramStart"/>
      <w:r>
        <w:t>CAUSE-PA Stmt 1 at 17.</w:t>
      </w:r>
      <w:proofErr w:type="gramEnd"/>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121.</w:t>
      </w:r>
      <w:r>
        <w:tab/>
        <w:t xml:space="preserve">All of PPL Electric’s costs of providing default service have been unbundled.  </w:t>
      </w:r>
      <w:proofErr w:type="gramStart"/>
      <w:r>
        <w:t>PPL Electric Stmt. 1-R at 14.</w:t>
      </w:r>
      <w:proofErr w:type="gramEnd"/>
      <w:r>
        <w:t xml:space="preserv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122.</w:t>
      </w:r>
      <w:r>
        <w:tab/>
        <w:t xml:space="preserve">If an affiliate supplier is the successful bidder for one or more tranches of Default Service supply, PPL Electric would enter into a SMA with that affiliate.  It would not be practical or efficient, in light of the procurement schedule, for the Commission to review the SMA under 66 Pa. C.S. § 2102 at that time.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123.</w:t>
      </w:r>
      <w:r>
        <w:tab/>
        <w:t>The rate schedule designations in PPL Electric’s tariff are primarily based upon the nature of the service (</w:t>
      </w:r>
      <w:r>
        <w:rPr>
          <w:i/>
        </w:rPr>
        <w:t>e.g.,</w:t>
      </w:r>
      <w:r>
        <w:t xml:space="preserve"> residential or commercial) and the voltage at which that service is provided.  The Company’s tariffs, with limited exceptions, are not based on registered peak demand.</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124.</w:t>
      </w:r>
      <w:r>
        <w:tab/>
        <w:t xml:space="preserve">A requirement to divide all customers by maximum registered peak demand for Default Service purposes would create several problems for the Company and potentially its customers.  First, such an approach would create a situation where two customers served under the same rate schedule would be classified differently for purposes of purchasing Default Service supply.  Second, as a customer’s peak load changes, that customer may have to </w:t>
      </w:r>
      <w:r>
        <w:lastRenderedPageBreak/>
        <w:t xml:space="preserve">be re-assigned to a different customer class for Default Service purposes.  Both circumstances could create customer confusion and dissatisfaction, particularly because a customer assigned to the Large C&amp;I Customer Class could only purchase Default Service supply on an hourly basis.  </w:t>
      </w:r>
    </w:p>
    <w:p w:rsidR="00341B26" w:rsidRDefault="00341B26" w:rsidP="00341B26">
      <w:pPr>
        <w:pStyle w:val="BodyText2"/>
        <w:spacing w:line="360" w:lineRule="auto"/>
        <w:contextualSpacing/>
        <w:jc w:val="left"/>
      </w:pPr>
    </w:p>
    <w:p w:rsidR="00341B26" w:rsidRDefault="00341B26" w:rsidP="00341B26">
      <w:pPr>
        <w:pStyle w:val="BodyText2"/>
        <w:spacing w:line="360" w:lineRule="auto"/>
        <w:contextualSpacing/>
        <w:jc w:val="left"/>
      </w:pPr>
      <w:r>
        <w:tab/>
      </w:r>
      <w:r>
        <w:tab/>
        <w:t>125.</w:t>
      </w:r>
      <w:r>
        <w:tab/>
        <w:t xml:space="preserve">PPL Electric proposes to use its current rate schedule designations as a basis for identifying customer classes in the DSP II Program.  The Company currently is using that approach in the DSP I Program, and it is working well.  PPL Electric Stmt. 1 at 6-7; PPL Electric Ex. 1, p. 47.  </w:t>
      </w:r>
    </w:p>
    <w:p w:rsidR="00341B26" w:rsidRDefault="00341B26" w:rsidP="00341B26">
      <w:pPr>
        <w:pStyle w:val="BodyText2"/>
        <w:spacing w:line="360" w:lineRule="auto"/>
        <w:contextualSpacing/>
        <w:jc w:val="left"/>
      </w:pPr>
    </w:p>
    <w:p w:rsidR="00341B26" w:rsidRDefault="00C014A1" w:rsidP="00341B26">
      <w:pPr>
        <w:pStyle w:val="BodyText2"/>
        <w:spacing w:line="360" w:lineRule="auto"/>
        <w:contextualSpacing/>
        <w:jc w:val="left"/>
      </w:pPr>
      <w:r>
        <w:tab/>
      </w:r>
      <w:r>
        <w:tab/>
        <w:t>126</w:t>
      </w:r>
      <w:r w:rsidR="00341B26">
        <w:t>.</w:t>
      </w:r>
      <w:r w:rsidR="00341B26">
        <w:tab/>
        <w:t xml:space="preserve">RESA's proposal for a 5 mils/kWh adder to default service rates is not needed to recover any identifiable default service costs.  </w:t>
      </w:r>
      <w:proofErr w:type="gramStart"/>
      <w:r w:rsidR="00341B26">
        <w:t>OSBA Stmt. 2 at 13.</w:t>
      </w:r>
      <w:proofErr w:type="gramEnd"/>
    </w:p>
    <w:p w:rsidR="00341B26" w:rsidRDefault="00341B26" w:rsidP="00341B26">
      <w:pPr>
        <w:pStyle w:val="BodyText2"/>
        <w:spacing w:line="360" w:lineRule="auto"/>
        <w:contextualSpacing/>
        <w:jc w:val="left"/>
      </w:pPr>
    </w:p>
    <w:p w:rsidR="00341B26" w:rsidRDefault="00C014A1" w:rsidP="00341B26">
      <w:pPr>
        <w:pStyle w:val="BodyText2"/>
        <w:spacing w:line="360" w:lineRule="auto"/>
        <w:contextualSpacing/>
        <w:jc w:val="left"/>
      </w:pPr>
      <w:r>
        <w:tab/>
      </w:r>
      <w:r>
        <w:tab/>
        <w:t>127</w:t>
      </w:r>
      <w:r w:rsidR="00341B26">
        <w:t>.</w:t>
      </w:r>
      <w:r w:rsidR="00341B26">
        <w:tab/>
        <w:t>RESA has not quantified any costs that would be recovered by its proposed $0.005/kWh surcharge that would be imposed on Residential, Small C&amp;I and Large C&amp;I default service customers.  PPL Stmt. 1-R at 14-15.</w:t>
      </w:r>
    </w:p>
    <w:p w:rsidR="00341B26" w:rsidRDefault="00341B26" w:rsidP="00FF18D0">
      <w:pPr>
        <w:pStyle w:val="BodyText2"/>
        <w:spacing w:after="0" w:line="360" w:lineRule="auto"/>
        <w:contextualSpacing/>
        <w:jc w:val="left"/>
      </w:pPr>
    </w:p>
    <w:p w:rsidR="00341B26" w:rsidRDefault="00C014A1" w:rsidP="00FF18D0">
      <w:pPr>
        <w:pStyle w:val="BodyText2"/>
        <w:spacing w:after="0" w:line="360" w:lineRule="auto"/>
        <w:contextualSpacing/>
        <w:jc w:val="left"/>
      </w:pPr>
      <w:r>
        <w:tab/>
      </w:r>
      <w:r>
        <w:tab/>
        <w:t>128</w:t>
      </w:r>
      <w:r w:rsidR="00341B26">
        <w:t>.</w:t>
      </w:r>
      <w:r w:rsidR="00341B26">
        <w:tab/>
        <w:t xml:space="preserve">RESA's proposed surcharge is not related to any cost for implementing default service or the retail market enhancement.  </w:t>
      </w:r>
      <w:proofErr w:type="gramStart"/>
      <w:r w:rsidR="00341B26">
        <w:t>OCA Stmt. 2-R at 8.</w:t>
      </w:r>
      <w:proofErr w:type="gramEnd"/>
    </w:p>
    <w:p w:rsidR="00341B26" w:rsidRDefault="00341B26" w:rsidP="00FF18D0">
      <w:pPr>
        <w:pStyle w:val="ListNumber"/>
        <w:numPr>
          <w:ilvl w:val="0"/>
          <w:numId w:val="0"/>
        </w:numPr>
        <w:spacing w:line="360" w:lineRule="auto"/>
        <w:jc w:val="left"/>
      </w:pPr>
    </w:p>
    <w:p w:rsidR="002A56CD" w:rsidRDefault="00341B26" w:rsidP="00FF18D0">
      <w:pPr>
        <w:rPr>
          <w:u w:val="single"/>
        </w:rPr>
      </w:pPr>
      <w:r>
        <w:t>III.</w:t>
      </w:r>
      <w:r>
        <w:tab/>
      </w:r>
      <w:r w:rsidR="002A56CD">
        <w:rPr>
          <w:u w:val="single"/>
        </w:rPr>
        <w:t>DISCUSSION</w:t>
      </w:r>
      <w:r w:rsidR="00FF18D0">
        <w:rPr>
          <w:u w:val="single"/>
        </w:rPr>
        <w:fldChar w:fldCharType="begin"/>
      </w:r>
      <w:r w:rsidR="00FF18D0">
        <w:instrText xml:space="preserve"> TC "</w:instrText>
      </w:r>
      <w:bookmarkStart w:id="2" w:name="_Toc340669981"/>
      <w:r w:rsidR="00FF18D0" w:rsidRPr="009B7B20">
        <w:instrText>III.</w:instrText>
      </w:r>
      <w:r w:rsidR="00FF18D0" w:rsidRPr="009B7B20">
        <w:tab/>
      </w:r>
      <w:r w:rsidR="00FF18D0" w:rsidRPr="009B7B20">
        <w:rPr>
          <w:u w:val="single"/>
        </w:rPr>
        <w:instrText>DISCUSSION</w:instrText>
      </w:r>
      <w:bookmarkEnd w:id="2"/>
      <w:r w:rsidR="00FF18D0">
        <w:instrText xml:space="preserve">" \f C \l "1" </w:instrText>
      </w:r>
      <w:r w:rsidR="00FF18D0">
        <w:rPr>
          <w:u w:val="single"/>
        </w:rPr>
        <w:fldChar w:fldCharType="end"/>
      </w:r>
    </w:p>
    <w:p w:rsidR="002A56CD" w:rsidRDefault="002A56CD" w:rsidP="00FF18D0">
      <w:pPr>
        <w:rPr>
          <w:u w:val="single"/>
        </w:rPr>
      </w:pPr>
    </w:p>
    <w:p w:rsidR="00CC30DC" w:rsidRPr="00341B26" w:rsidRDefault="001F1974" w:rsidP="00FF18D0">
      <w:pPr>
        <w:jc w:val="left"/>
        <w:rPr>
          <w:b/>
        </w:rPr>
      </w:pPr>
      <w:r w:rsidRPr="00341B26">
        <w:rPr>
          <w:b/>
        </w:rPr>
        <w:t>A.</w:t>
      </w:r>
      <w:r w:rsidRPr="00341B26">
        <w:rPr>
          <w:b/>
        </w:rPr>
        <w:tab/>
      </w:r>
      <w:r w:rsidR="00CC30DC" w:rsidRPr="00341B26">
        <w:rPr>
          <w:b/>
        </w:rPr>
        <w:t>LEGAL STANDARDS</w:t>
      </w:r>
      <w:r w:rsidR="00FF18D0">
        <w:rPr>
          <w:b/>
        </w:rPr>
        <w:fldChar w:fldCharType="begin"/>
      </w:r>
      <w:r w:rsidR="00FF18D0">
        <w:instrText xml:space="preserve"> TC "</w:instrText>
      </w:r>
      <w:bookmarkStart w:id="3" w:name="_Toc340669982"/>
      <w:r w:rsidR="00FF18D0" w:rsidRPr="009B7B20">
        <w:rPr>
          <w:b/>
        </w:rPr>
        <w:instrText>A.</w:instrText>
      </w:r>
      <w:r w:rsidR="00FF18D0" w:rsidRPr="009B7B20">
        <w:rPr>
          <w:b/>
        </w:rPr>
        <w:tab/>
        <w:instrText>LEGAL STANDARDS</w:instrText>
      </w:r>
      <w:bookmarkEnd w:id="3"/>
      <w:r w:rsidR="00FF18D0">
        <w:instrText xml:space="preserve">" \f C \l "2" </w:instrText>
      </w:r>
      <w:r w:rsidR="00FF18D0">
        <w:rPr>
          <w:b/>
        </w:rPr>
        <w:fldChar w:fldCharType="end"/>
      </w:r>
    </w:p>
    <w:p w:rsidR="001F1974" w:rsidRDefault="001F1974" w:rsidP="00FF18D0">
      <w:pPr>
        <w:jc w:val="left"/>
      </w:pPr>
    </w:p>
    <w:p w:rsidR="00CC30DC" w:rsidRPr="001F1974" w:rsidRDefault="00CC30DC" w:rsidP="00FF18D0">
      <w:pPr>
        <w:ind w:left="720"/>
        <w:jc w:val="left"/>
        <w:rPr>
          <w:b/>
        </w:rPr>
      </w:pPr>
      <w:r w:rsidRPr="001F1974">
        <w:rPr>
          <w:b/>
        </w:rPr>
        <w:t>1.</w:t>
      </w:r>
      <w:r w:rsidRPr="001F1974">
        <w:rPr>
          <w:b/>
        </w:rPr>
        <w:tab/>
        <w:t>Burden of Proof</w:t>
      </w:r>
      <w:r w:rsidR="00FF18D0">
        <w:rPr>
          <w:b/>
        </w:rPr>
        <w:fldChar w:fldCharType="begin"/>
      </w:r>
      <w:r w:rsidR="00FF18D0">
        <w:instrText xml:space="preserve"> TC "</w:instrText>
      </w:r>
      <w:bookmarkStart w:id="4" w:name="_Toc340669983"/>
      <w:r w:rsidR="00FF18D0" w:rsidRPr="009B7B20">
        <w:rPr>
          <w:b/>
        </w:rPr>
        <w:instrText>1.</w:instrText>
      </w:r>
      <w:r w:rsidR="00FF18D0" w:rsidRPr="009B7B20">
        <w:rPr>
          <w:b/>
        </w:rPr>
        <w:tab/>
        <w:instrText>Burden of Proof</w:instrText>
      </w:r>
      <w:bookmarkEnd w:id="4"/>
      <w:r w:rsidR="00FF18D0">
        <w:instrText xml:space="preserve">" \f C \l "3" </w:instrText>
      </w:r>
      <w:r w:rsidR="00FF18D0">
        <w:rPr>
          <w:b/>
        </w:rPr>
        <w:fldChar w:fldCharType="end"/>
      </w:r>
    </w:p>
    <w:p w:rsidR="00CC30DC" w:rsidRDefault="00CC30DC" w:rsidP="00FF18D0">
      <w:pPr>
        <w:contextualSpacing/>
        <w:jc w:val="left"/>
      </w:pPr>
    </w:p>
    <w:p w:rsidR="00CC30DC" w:rsidRPr="00B6588E" w:rsidRDefault="00CC30DC" w:rsidP="00FF18D0">
      <w:pPr>
        <w:jc w:val="left"/>
      </w:pPr>
      <w:r>
        <w:tab/>
      </w:r>
      <w:r>
        <w:tab/>
      </w:r>
      <w:r w:rsidRPr="00B6588E">
        <w:t>Section 332(a) of the Code, 66 Pa.</w:t>
      </w:r>
      <w:r>
        <w:t xml:space="preserve"> </w:t>
      </w:r>
      <w:r w:rsidRPr="00B6588E">
        <w:t xml:space="preserve">C.S. §332(a), provides that the party seeking a rule or order from the Commission has the burden of proof in that proceeding.  It is </w:t>
      </w:r>
      <w:r>
        <w:t>well-established</w:t>
      </w:r>
      <w:r w:rsidRPr="00B6588E">
        <w:t xml:space="preserve"> that “[a] litigant’s burden of proof before administrative tribunals as well as before most civil proceedings is satisfied by establishing a preponderance of evidence which is substantial and legally credible.”  </w:t>
      </w:r>
      <w:proofErr w:type="gramStart"/>
      <w:r w:rsidRPr="00B6588E">
        <w:rPr>
          <w:i/>
        </w:rPr>
        <w:t>Samuel J. Lansberry, Inc. v. Pa. PUC</w:t>
      </w:r>
      <w:r w:rsidRPr="00B6588E">
        <w:t>, 578 A.2d 600, 602 (Pa. Cmwlth. 1990).</w:t>
      </w:r>
      <w:proofErr w:type="gramEnd"/>
      <w:r w:rsidRPr="00B6588E">
        <w:t xml:space="preserve">  </w:t>
      </w:r>
    </w:p>
    <w:p w:rsidR="00CC30DC" w:rsidRDefault="00CC30DC" w:rsidP="001F1974">
      <w:pPr>
        <w:jc w:val="left"/>
      </w:pPr>
    </w:p>
    <w:p w:rsidR="00CC30DC" w:rsidRDefault="00CC30DC" w:rsidP="001F1974">
      <w:pPr>
        <w:jc w:val="left"/>
      </w:pPr>
      <w:r>
        <w:tab/>
      </w:r>
      <w:r>
        <w:tab/>
        <w:t xml:space="preserve">The burden of proof is comprised of two distinct burdens:  the burden of production and the burden of persuasion.  The burden of production tells the adjudicator which party must come forward with evidence to support a particular proposition.  See </w:t>
      </w:r>
      <w:r>
        <w:rPr>
          <w:i/>
        </w:rPr>
        <w:t>In re Loudenslager’s Estate</w:t>
      </w:r>
      <w:r>
        <w:t xml:space="preserve">, 430 Pa. 33, 240 A.2d 477, 482 (1968).  The burden of persuasion determines which party must produce sufficient evidence to convince a judge that a fact has been established, and it never leaves the party on whom it is originally cast.  </w:t>
      </w:r>
      <w:proofErr w:type="gramStart"/>
      <w:r>
        <w:rPr>
          <w:i/>
        </w:rPr>
        <w:t>Reidel v. County of Allegheny</w:t>
      </w:r>
      <w:r>
        <w:t>, 633 A.2d 1325, 1329 n. 11 (Pa. Cmwlth. Ct. 1993).</w:t>
      </w:r>
      <w:proofErr w:type="gramEnd"/>
      <w:r>
        <w:t xml:space="preserve">  </w:t>
      </w:r>
    </w:p>
    <w:p w:rsidR="00CC30DC" w:rsidRDefault="00CC30DC" w:rsidP="001F1974">
      <w:pPr>
        <w:jc w:val="left"/>
      </w:pPr>
    </w:p>
    <w:p w:rsidR="00CC30DC" w:rsidRDefault="00CC30DC" w:rsidP="001F1974">
      <w:pPr>
        <w:contextualSpacing/>
        <w:jc w:val="left"/>
      </w:pPr>
      <w:r>
        <w:tab/>
      </w:r>
      <w:r>
        <w:tab/>
        <w:t xml:space="preserve">Therefore, the Company has the burden of proving that its proposed </w:t>
      </w:r>
      <w:r w:rsidR="00FF3A21">
        <w:t xml:space="preserve">default service provider program </w:t>
      </w:r>
      <w:r>
        <w:t>is just and reasonable, and any party contesting it has the burden of persuading the Commission that the filing is not just and reasonable.</w:t>
      </w:r>
    </w:p>
    <w:p w:rsidR="00FF3A21" w:rsidRDefault="00FF3A21" w:rsidP="001F1974">
      <w:pPr>
        <w:contextualSpacing/>
        <w:jc w:val="left"/>
      </w:pPr>
    </w:p>
    <w:p w:rsidR="00FF3A21" w:rsidRPr="001F1974" w:rsidRDefault="00FF3A21" w:rsidP="00FF18D0">
      <w:pPr>
        <w:ind w:left="720"/>
        <w:contextualSpacing/>
        <w:jc w:val="left"/>
        <w:rPr>
          <w:b/>
        </w:rPr>
      </w:pPr>
      <w:r w:rsidRPr="001F1974">
        <w:rPr>
          <w:b/>
        </w:rPr>
        <w:t>2.</w:t>
      </w:r>
      <w:r w:rsidRPr="001F1974">
        <w:rPr>
          <w:b/>
        </w:rPr>
        <w:tab/>
      </w:r>
      <w:r w:rsidR="00B44FFF" w:rsidRPr="001F1974">
        <w:rPr>
          <w:b/>
        </w:rPr>
        <w:t>Standards for Default Service</w:t>
      </w:r>
      <w:r w:rsidR="00FF18D0">
        <w:rPr>
          <w:b/>
        </w:rPr>
        <w:fldChar w:fldCharType="begin"/>
      </w:r>
      <w:r w:rsidR="00FF18D0">
        <w:instrText xml:space="preserve"> TC "</w:instrText>
      </w:r>
      <w:bookmarkStart w:id="5" w:name="_Toc340669984"/>
      <w:r w:rsidR="00FF18D0" w:rsidRPr="009B7B20">
        <w:rPr>
          <w:b/>
        </w:rPr>
        <w:instrText>2.</w:instrText>
      </w:r>
      <w:r w:rsidR="00FF18D0" w:rsidRPr="009B7B20">
        <w:rPr>
          <w:b/>
        </w:rPr>
        <w:tab/>
        <w:instrText>Standards for Default Service</w:instrText>
      </w:r>
      <w:bookmarkEnd w:id="5"/>
      <w:r w:rsidR="00FF18D0">
        <w:instrText xml:space="preserve">" \f C \l "3" </w:instrText>
      </w:r>
      <w:r w:rsidR="00FF18D0">
        <w:rPr>
          <w:b/>
        </w:rPr>
        <w:fldChar w:fldCharType="end"/>
      </w:r>
    </w:p>
    <w:p w:rsidR="00FF3A21" w:rsidRDefault="00FF3A21" w:rsidP="001F1974">
      <w:pPr>
        <w:contextualSpacing/>
        <w:jc w:val="left"/>
      </w:pPr>
    </w:p>
    <w:p w:rsidR="005A652A" w:rsidRDefault="00FF3A21" w:rsidP="001F1974">
      <w:pPr>
        <w:contextualSpacing/>
        <w:jc w:val="left"/>
      </w:pPr>
      <w:r>
        <w:tab/>
      </w:r>
      <w:r>
        <w:tab/>
      </w:r>
      <w:r w:rsidR="005A652A">
        <w:t>The requirements of a default service plan appear in Section 2807(e) of the Publi</w:t>
      </w:r>
      <w:r w:rsidR="007643D6">
        <w:t>c Utility Code,</w:t>
      </w:r>
      <w:r w:rsidR="007643D6">
        <w:rPr>
          <w:rStyle w:val="FootnoteReference"/>
        </w:rPr>
        <w:footnoteReference w:id="1"/>
      </w:r>
      <w:r w:rsidR="007643D6">
        <w:t xml:space="preserve"> 66 Pa. C.S. § 28</w:t>
      </w:r>
      <w:r w:rsidR="005A652A">
        <w:t xml:space="preserve">07(e).  The requirements include that </w:t>
      </w:r>
      <w:r w:rsidR="003A562B">
        <w:t>the default service provider follow a Commission-approved competitive procurement plan, that the competitive procurement plan include auctions, requests for proposal, and/or bilateral agreements, that the plan include a prudent mi</w:t>
      </w:r>
      <w:r w:rsidR="007643D6">
        <w:t>x</w:t>
      </w:r>
      <w:r w:rsidR="003A562B">
        <w:t xml:space="preserve"> of spot market purchases, short-term contracts, and long-term purchase contracts designed to ensure adequate and reliable service at the least cost to customers over time, and shall offer a time-of-use program for customers who have smart meter technology.</w:t>
      </w:r>
      <w:r w:rsidR="00FF18D0">
        <w:t xml:space="preserve">  </w:t>
      </w:r>
      <w:proofErr w:type="gramStart"/>
      <w:r w:rsidR="003A562B">
        <w:t>66 Pa. Code §§ 2707(e), 2708.</w:t>
      </w:r>
      <w:proofErr w:type="gramEnd"/>
      <w:r w:rsidR="003A562B">
        <w:t xml:space="preserve"> </w:t>
      </w:r>
    </w:p>
    <w:p w:rsidR="003A562B" w:rsidRDefault="003A562B" w:rsidP="001F1974">
      <w:pPr>
        <w:contextualSpacing/>
        <w:jc w:val="left"/>
      </w:pPr>
    </w:p>
    <w:p w:rsidR="007643D6" w:rsidRDefault="007643D6" w:rsidP="001F1974">
      <w:pPr>
        <w:spacing w:line="240" w:lineRule="auto"/>
        <w:ind w:left="1440" w:right="1440"/>
        <w:contextualSpacing/>
        <w:jc w:val="left"/>
      </w:pPr>
      <w:r>
        <w:tab/>
        <w:t xml:space="preserve">The Competition Act also mandates that customers have direct access to a competitive retail generation market.  </w:t>
      </w:r>
      <w:proofErr w:type="gramStart"/>
      <w:r>
        <w:t>66 Pa. C.S. § 2801(3).</w:t>
      </w:r>
      <w:proofErr w:type="gramEnd"/>
      <w:r>
        <w:t xml:space="preserve">  This mandate is based on the legislative finding that "competitive market forces are more effective than economic regulation in controlling the cost of generating electricity."  </w:t>
      </w:r>
      <w:proofErr w:type="gramStart"/>
      <w:r>
        <w:t>66 Pa. C.S. § 2801(5).</w:t>
      </w:r>
      <w:proofErr w:type="gramEnd"/>
      <w:r>
        <w:t xml:space="preserve">  </w:t>
      </w:r>
      <w:proofErr w:type="gramStart"/>
      <w:r>
        <w:rPr>
          <w:i/>
        </w:rPr>
        <w:t xml:space="preserve">See, Green Mountain Energy Company v. Pa. PUC, </w:t>
      </w:r>
      <w:r>
        <w:t>812 A.2d 740, 742 (Pa. Cmwlth. 2002).</w:t>
      </w:r>
      <w:proofErr w:type="gramEnd"/>
      <w:r>
        <w:t xml:space="preserve">  Thus, a </w:t>
      </w:r>
      <w:r>
        <w:lastRenderedPageBreak/>
        <w:t>fundamental policy underlying the Competition Act is that competition is more effective than economic regulation in controlling the costs of generating electricity.</w:t>
      </w:r>
    </w:p>
    <w:p w:rsidR="0038181B" w:rsidRDefault="007643D6" w:rsidP="001F1974">
      <w:pPr>
        <w:spacing w:line="240" w:lineRule="auto"/>
        <w:contextualSpacing/>
        <w:jc w:val="left"/>
      </w:pPr>
      <w:r>
        <w:rPr>
          <w:i/>
        </w:rPr>
        <w:t xml:space="preserve">Joint Petition of Metropolitan Edison Company, Pennsylvania Electric Company, Pennsylvania Power Company and West Penn Power Company For Approval of Their Default Service Programs, </w:t>
      </w:r>
      <w:r>
        <w:t>Docket Nos. P-2011-2273650, P-2011-2273668, P-2011-2273669, and P-2011-2273670</w:t>
      </w:r>
      <w:r w:rsidR="0038181B">
        <w:t>, at 7-8</w:t>
      </w:r>
      <w:r>
        <w:t xml:space="preserve"> (Opinion and Order entered </w:t>
      </w:r>
      <w:r w:rsidR="0038181B">
        <w:t>August 16, 2012</w:t>
      </w:r>
      <w:proofErr w:type="gramStart"/>
      <w:r w:rsidR="0038181B">
        <w:t>)</w:t>
      </w:r>
      <w:r w:rsidR="001A6669">
        <w:t>(</w:t>
      </w:r>
      <w:proofErr w:type="gramEnd"/>
      <w:r w:rsidR="001A6669">
        <w:rPr>
          <w:i/>
        </w:rPr>
        <w:t>FirstEnergy Order)</w:t>
      </w:r>
      <w:r w:rsidR="0038181B">
        <w:t>.</w:t>
      </w:r>
    </w:p>
    <w:p w:rsidR="0038181B" w:rsidRDefault="0038181B" w:rsidP="001F1974">
      <w:pPr>
        <w:contextualSpacing/>
        <w:jc w:val="left"/>
      </w:pPr>
    </w:p>
    <w:p w:rsidR="00B44FFF" w:rsidRDefault="0038181B" w:rsidP="001F1974">
      <w:pPr>
        <w:contextualSpacing/>
        <w:jc w:val="left"/>
      </w:pPr>
      <w:r>
        <w:tab/>
      </w:r>
      <w:r>
        <w:tab/>
        <w:t>Also applicable are the Commission's default service regulation</w:t>
      </w:r>
      <w:r w:rsidR="00C014A1">
        <w:t>s</w:t>
      </w:r>
      <w:r>
        <w:t xml:space="preserve">, 52 Pa. Code </w:t>
      </w:r>
    </w:p>
    <w:p w:rsidR="007643D6" w:rsidRDefault="0038181B" w:rsidP="001F1974">
      <w:pPr>
        <w:contextualSpacing/>
        <w:jc w:val="left"/>
      </w:pPr>
      <w:proofErr w:type="gramStart"/>
      <w:r>
        <w:t>§§ 54.181-54-189, and policy statement, 52 Pa. Code §§ 69.1802-69-1816.</w:t>
      </w:r>
      <w:proofErr w:type="gramEnd"/>
      <w:r w:rsidR="001A0929">
        <w:t xml:space="preserve">  The Commission has directed that EDCs consider the incorporation of certain market enhancement programs into their DSPs in order to foster a more robust retail competitive market.  </w:t>
      </w:r>
      <w:r w:rsidR="001A0929">
        <w:rPr>
          <w:i/>
        </w:rPr>
        <w:t>Investigation of Pennsylvania's Retail Electricity Market:  Recommendations Regarding Upcoming Default Service Plans,</w:t>
      </w:r>
      <w:r w:rsidR="001A0929">
        <w:t xml:space="preserve"> Docket No. I-2011-2237952 (Order entered December 16, 2011), and </w:t>
      </w:r>
      <w:r w:rsidR="001A0929">
        <w:rPr>
          <w:i/>
        </w:rPr>
        <w:t xml:space="preserve">Intermediate Work Plan </w:t>
      </w:r>
      <w:r w:rsidR="001A0929">
        <w:t>(Final Order entered March 2, 2012</w:t>
      </w:r>
      <w:proofErr w:type="gramStart"/>
      <w:r w:rsidR="001A0929">
        <w:t>)(</w:t>
      </w:r>
      <w:proofErr w:type="gramEnd"/>
      <w:r w:rsidR="001A0929" w:rsidRPr="001A6669">
        <w:rPr>
          <w:i/>
        </w:rPr>
        <w:t>IWP Order</w:t>
      </w:r>
      <w:r w:rsidR="001A0929">
        <w:t xml:space="preserve">).  </w:t>
      </w:r>
      <w:r w:rsidR="007643D6">
        <w:tab/>
        <w:t xml:space="preserve"> </w:t>
      </w:r>
    </w:p>
    <w:p w:rsidR="001A0929" w:rsidRDefault="001A0929" w:rsidP="001F1974">
      <w:pPr>
        <w:contextualSpacing/>
        <w:jc w:val="left"/>
      </w:pPr>
    </w:p>
    <w:p w:rsidR="00FF3A21" w:rsidRDefault="001A0929" w:rsidP="001F1974">
      <w:pPr>
        <w:contextualSpacing/>
        <w:jc w:val="left"/>
      </w:pPr>
      <w:r>
        <w:tab/>
      </w:r>
      <w:r>
        <w:tab/>
        <w:t>Finally, a</w:t>
      </w:r>
      <w:r w:rsidR="005A652A">
        <w:t xml:space="preserve"> default service provider shall file its service program with the Commission no later than 12 months prior to the conclusion of the currently effective program.  </w:t>
      </w:r>
      <w:proofErr w:type="gramStart"/>
      <w:r w:rsidR="005A652A">
        <w:t>52 Pa. Code § 54.185(a).</w:t>
      </w:r>
      <w:proofErr w:type="gramEnd"/>
      <w:r w:rsidR="005A652A">
        <w:t xml:space="preserve">  The Company's current plan expires on May 31, 2013, and the filing date for the DSP II was May 1, 2012, more than 12 months prior to the expiration.  This requirement has been met.</w:t>
      </w:r>
    </w:p>
    <w:p w:rsidR="005A652A" w:rsidRDefault="005A652A" w:rsidP="001F1974">
      <w:pPr>
        <w:contextualSpacing/>
        <w:jc w:val="left"/>
      </w:pPr>
    </w:p>
    <w:p w:rsidR="00CC30DC" w:rsidRPr="00B44FFF" w:rsidRDefault="00C62F39" w:rsidP="001F1974">
      <w:pPr>
        <w:contextualSpacing/>
        <w:jc w:val="left"/>
        <w:rPr>
          <w:b/>
        </w:rPr>
      </w:pPr>
      <w:r>
        <w:rPr>
          <w:b/>
        </w:rPr>
        <w:t>B.</w:t>
      </w:r>
      <w:r>
        <w:rPr>
          <w:b/>
        </w:rPr>
        <w:tab/>
      </w:r>
      <w:r w:rsidR="00B44FFF">
        <w:rPr>
          <w:b/>
        </w:rPr>
        <w:t>Description of the Default Service Plan II</w:t>
      </w:r>
      <w:r w:rsidR="00FF18D0">
        <w:rPr>
          <w:b/>
        </w:rPr>
        <w:fldChar w:fldCharType="begin"/>
      </w:r>
      <w:r w:rsidR="00FF18D0">
        <w:instrText xml:space="preserve"> TC "</w:instrText>
      </w:r>
      <w:bookmarkStart w:id="6" w:name="_Toc340669985"/>
      <w:r w:rsidR="00FF18D0" w:rsidRPr="009B7B20">
        <w:rPr>
          <w:b/>
        </w:rPr>
        <w:instrText>B.</w:instrText>
      </w:r>
      <w:r w:rsidR="00FF18D0" w:rsidRPr="009B7B20">
        <w:rPr>
          <w:b/>
        </w:rPr>
        <w:tab/>
        <w:instrText>Description of the Default Service Plan II</w:instrText>
      </w:r>
      <w:bookmarkEnd w:id="6"/>
      <w:r w:rsidR="00FF18D0">
        <w:instrText xml:space="preserve">" \f C \l "2" </w:instrText>
      </w:r>
      <w:r w:rsidR="00FF18D0">
        <w:rPr>
          <w:b/>
        </w:rPr>
        <w:fldChar w:fldCharType="end"/>
      </w:r>
    </w:p>
    <w:p w:rsidR="002E5717" w:rsidRDefault="002E5717" w:rsidP="001F1974">
      <w:pPr>
        <w:jc w:val="left"/>
      </w:pPr>
    </w:p>
    <w:p w:rsidR="002E5717" w:rsidRDefault="00B44FFF" w:rsidP="001F1974">
      <w:pPr>
        <w:pStyle w:val="BodyText2"/>
        <w:spacing w:after="0" w:line="360" w:lineRule="auto"/>
        <w:contextualSpacing/>
        <w:jc w:val="left"/>
      </w:pPr>
      <w:r>
        <w:tab/>
      </w:r>
      <w:r>
        <w:tab/>
      </w:r>
      <w:r w:rsidR="002E5717">
        <w:t xml:space="preserve">In developing the default service components of the DSP II Program, PPL Electric retained the basic structure of the successful laddered procurement process that is being used in </w:t>
      </w:r>
      <w:r w:rsidR="001A6669">
        <w:t>the current Default Service I (</w:t>
      </w:r>
      <w:r w:rsidR="002E5717">
        <w:t>DSP I) Program and in the predec</w:t>
      </w:r>
      <w:r w:rsidR="001A6669">
        <w:t>essor Competitive Bridge Plan (</w:t>
      </w:r>
      <w:r w:rsidR="002E5717">
        <w:t>CBP)</w:t>
      </w:r>
      <w:r w:rsidR="001A6669">
        <w:t xml:space="preserve">.  </w:t>
      </w:r>
      <w:proofErr w:type="gramStart"/>
      <w:r w:rsidR="002E5717">
        <w:t>PPL Electric St</w:t>
      </w:r>
      <w:r w:rsidR="001A6669">
        <w:t>mt</w:t>
      </w:r>
      <w:r w:rsidR="002E5717">
        <w:t>. 1</w:t>
      </w:r>
      <w:r w:rsidR="001A6669">
        <w:t xml:space="preserve"> at</w:t>
      </w:r>
      <w:r w:rsidR="002E5717">
        <w:t xml:space="preserve"> 7.</w:t>
      </w:r>
      <w:proofErr w:type="gramEnd"/>
      <w:r w:rsidR="002E5717">
        <w:t xml:space="preserve">  The Company incorporated certain modifications in the DSP II Program to address lessons learned from the DSP I Program and to align the program with provisions of the Commission’s order in the </w:t>
      </w:r>
      <w:r w:rsidR="002E5717">
        <w:rPr>
          <w:i/>
        </w:rPr>
        <w:t>Investigation of Pennsylvania's Retail Electricity Market: Intermediate Work Plan</w:t>
      </w:r>
      <w:r w:rsidR="002E5717">
        <w:t xml:space="preserve">, Docket No. </w:t>
      </w:r>
      <w:proofErr w:type="gramStart"/>
      <w:r w:rsidR="002E5717">
        <w:t>I-2011-2237952, 2011 Pa. PUC LEXIS 617 (Dec. 16, 2011) (“</w:t>
      </w:r>
      <w:r w:rsidR="002E5717">
        <w:rPr>
          <w:i/>
        </w:rPr>
        <w:t>December 16 RMI Order</w:t>
      </w:r>
      <w:r w:rsidR="002E5717">
        <w:t>”).</w:t>
      </w:r>
      <w:proofErr w:type="gramEnd"/>
      <w:r w:rsidR="002E5717">
        <w:t xml:space="preserve">  The DSP II Program contains the following major default service components:</w:t>
      </w:r>
    </w:p>
    <w:p w:rsidR="001F1974" w:rsidRDefault="001F1974" w:rsidP="001F1974">
      <w:pPr>
        <w:pStyle w:val="BodyText2"/>
        <w:spacing w:after="0" w:line="360" w:lineRule="auto"/>
        <w:contextualSpacing/>
        <w:jc w:val="left"/>
      </w:pPr>
    </w:p>
    <w:p w:rsidR="002E5717" w:rsidRDefault="002E5717" w:rsidP="00D15FE8">
      <w:pPr>
        <w:pStyle w:val="ListBullet"/>
        <w:spacing w:line="240" w:lineRule="auto"/>
        <w:ind w:left="2160" w:right="1440" w:hanging="720"/>
        <w:contextualSpacing w:val="0"/>
        <w:jc w:val="left"/>
      </w:pPr>
      <w:r>
        <w:t>Residential and Small Commercial and Industrial (“Small C&amp;I”) Customer Class default service supplies will be separately acquired through a series of fixed-price, full-requirements, load-following contracts;</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The fixed-price, full-requirements, load-following supply will be obtained through semi-annual solicitations beginning in April 2013 and continuing through October of 2014;</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PPL Electric will obtain fixed percentages of default service load through 12- and 9-month contracts replacing expiring contracts under the DSP I Program, in order to position itself for procurements to be made under laddered yearly contracts procured every six months;</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 xml:space="preserve">The October 2014 procurement will procure 6- and 3-month contracts, so that no fixed-price load-following, full-requirements contracts extend beyond May 31, 2015, consistent with the Commission’s </w:t>
      </w:r>
      <w:r>
        <w:rPr>
          <w:i/>
        </w:rPr>
        <w:t>December 16 RMI Order</w:t>
      </w:r>
      <w:r>
        <w:t>;</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The Company will cease procuring spot supply for the Residential and Small C&amp;I Customer Classes;</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The Company will not procure additional block supplies and will allow block supplies procured for the Residential Customer Class under the DSP I Program to expire as scheduled, with the result that the Company will have only 150 MW of block supply under contract at May 31, 2015, pursuant to existing 5- and 10- year contracts procured under DSP I Program;</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The Company proposes that certain winning suppliers under the default service procurements for the Residential and Small C&amp;I Customer Classes also would be responsible to provide supply to serve default service time-of-use (“TOU”) load under separately established payment terms.</w:t>
      </w:r>
    </w:p>
    <w:p w:rsidR="00884C42" w:rsidRDefault="00884C42" w:rsidP="00D15FE8">
      <w:pPr>
        <w:pStyle w:val="ListBullet"/>
        <w:numPr>
          <w:ilvl w:val="0"/>
          <w:numId w:val="0"/>
        </w:numPr>
        <w:spacing w:line="240" w:lineRule="auto"/>
        <w:ind w:left="2160" w:right="1440" w:hanging="720"/>
        <w:contextualSpacing w:val="0"/>
        <w:jc w:val="left"/>
      </w:pPr>
    </w:p>
    <w:p w:rsidR="002E5717" w:rsidRDefault="002E5717" w:rsidP="00D15FE8">
      <w:pPr>
        <w:pStyle w:val="ListBullet"/>
        <w:spacing w:line="240" w:lineRule="auto"/>
        <w:ind w:left="2160" w:right="1440" w:hanging="720"/>
        <w:contextualSpacing w:val="0"/>
        <w:jc w:val="left"/>
      </w:pPr>
      <w:r>
        <w:t xml:space="preserve">Regarding the Large C&amp;I Customer Class, the Company proposes to continue to procure default service supply with energy priced to the PJM real-time spot market, through </w:t>
      </w:r>
      <w:r>
        <w:lastRenderedPageBreak/>
        <w:t>annual solicitations to obtain competitive offers from wholesale suppliers.</w:t>
      </w:r>
    </w:p>
    <w:p w:rsidR="002E5717" w:rsidRDefault="00BC1D62" w:rsidP="00D15FE8">
      <w:pPr>
        <w:pStyle w:val="BodyText2"/>
        <w:spacing w:after="0" w:line="240" w:lineRule="auto"/>
        <w:ind w:right="1440"/>
        <w:jc w:val="left"/>
      </w:pPr>
      <w:proofErr w:type="gramStart"/>
      <w:r>
        <w:t>(</w:t>
      </w:r>
      <w:r w:rsidR="002E5717">
        <w:t>PPL Electric St. 1, pp. 8, 13; PPL Electric St. 2, pp. 14-23).</w:t>
      </w:r>
      <w:proofErr w:type="gramEnd"/>
    </w:p>
    <w:p w:rsidR="002E5717" w:rsidRDefault="002E5717" w:rsidP="00D15FE8">
      <w:pPr>
        <w:spacing w:line="240" w:lineRule="auto"/>
        <w:ind w:right="1440"/>
        <w:jc w:val="left"/>
      </w:pPr>
      <w:r>
        <w:t>PPL Electric MB at 9-10.</w:t>
      </w:r>
    </w:p>
    <w:p w:rsidR="002E5717" w:rsidRDefault="002E5717" w:rsidP="00FF18D0">
      <w:pPr>
        <w:jc w:val="left"/>
      </w:pPr>
    </w:p>
    <w:p w:rsidR="00812C11" w:rsidRDefault="00FF18D0" w:rsidP="00FF18D0">
      <w:pPr>
        <w:pStyle w:val="Heading3"/>
        <w:keepNext/>
        <w:numPr>
          <w:ilvl w:val="0"/>
          <w:numId w:val="0"/>
        </w:numPr>
        <w:spacing w:after="0"/>
        <w:ind w:left="1440" w:hanging="720"/>
        <w:contextualSpacing/>
        <w:jc w:val="left"/>
      </w:pPr>
      <w:bookmarkStart w:id="7" w:name="_Toc337196636"/>
      <w:r>
        <w:t>1</w:t>
      </w:r>
      <w:r w:rsidR="007325FF">
        <w:t>.</w:t>
      </w:r>
      <w:r w:rsidR="007325FF">
        <w:tab/>
      </w:r>
      <w:r w:rsidR="00812C11">
        <w:t>Class Procurements</w:t>
      </w:r>
      <w:bookmarkEnd w:id="7"/>
      <w:r>
        <w:fldChar w:fldCharType="begin"/>
      </w:r>
      <w:r>
        <w:instrText xml:space="preserve"> TC "</w:instrText>
      </w:r>
      <w:bookmarkStart w:id="8" w:name="_Toc340669986"/>
      <w:r w:rsidRPr="009B7B20">
        <w:instrText>1.</w:instrText>
      </w:r>
      <w:r w:rsidRPr="009B7B20">
        <w:tab/>
        <w:instrText>Class Procurements</w:instrText>
      </w:r>
      <w:bookmarkEnd w:id="8"/>
      <w:r>
        <w:instrText xml:space="preserve">" \f C \l "3" </w:instrText>
      </w:r>
      <w:r>
        <w:fldChar w:fldCharType="end"/>
      </w:r>
    </w:p>
    <w:p w:rsidR="00D15FE8" w:rsidRPr="00D15FE8" w:rsidRDefault="00D15FE8" w:rsidP="00FF18D0">
      <w:pPr>
        <w:pStyle w:val="BodyText2"/>
        <w:spacing w:after="0" w:line="360" w:lineRule="auto"/>
        <w:jc w:val="left"/>
      </w:pPr>
    </w:p>
    <w:p w:rsidR="00812C11" w:rsidRDefault="00812C11" w:rsidP="00FF18D0">
      <w:pPr>
        <w:pStyle w:val="Heading4"/>
        <w:keepNext/>
        <w:tabs>
          <w:tab w:val="clear" w:pos="3060"/>
        </w:tabs>
        <w:spacing w:after="0"/>
        <w:ind w:left="2160"/>
        <w:contextualSpacing/>
        <w:jc w:val="left"/>
      </w:pPr>
      <w:bookmarkStart w:id="9" w:name="_Toc337196637"/>
      <w:r>
        <w:t>Residential - Fixed Rate</w:t>
      </w:r>
      <w:bookmarkEnd w:id="9"/>
      <w:r w:rsidR="00FF18D0">
        <w:fldChar w:fldCharType="begin"/>
      </w:r>
      <w:r w:rsidR="00FF18D0">
        <w:instrText xml:space="preserve"> TC "</w:instrText>
      </w:r>
      <w:bookmarkStart w:id="10" w:name="_Toc340669987"/>
      <w:r w:rsidR="00FF18D0" w:rsidRPr="009B7B20">
        <w:instrText>Residential - Fixed Rate</w:instrText>
      </w:r>
      <w:bookmarkEnd w:id="10"/>
      <w:r w:rsidR="00FF18D0">
        <w:instrText xml:space="preserve">" \f C \l "4" </w:instrText>
      </w:r>
      <w:r w:rsidR="00FF18D0">
        <w:fldChar w:fldCharType="end"/>
      </w:r>
    </w:p>
    <w:p w:rsidR="00D15FE8" w:rsidRPr="00D15FE8" w:rsidRDefault="00D15FE8" w:rsidP="00FF18D0">
      <w:pPr>
        <w:pStyle w:val="BodyText2"/>
        <w:spacing w:after="0" w:line="360" w:lineRule="auto"/>
        <w:jc w:val="left"/>
      </w:pPr>
    </w:p>
    <w:p w:rsidR="005C6053" w:rsidRDefault="00C62F39" w:rsidP="00FF18D0">
      <w:pPr>
        <w:pStyle w:val="BodyText2"/>
        <w:spacing w:after="0" w:line="360" w:lineRule="auto"/>
        <w:ind w:left="2880" w:hanging="720"/>
        <w:jc w:val="left"/>
        <w:rPr>
          <w:b/>
        </w:rPr>
      </w:pPr>
      <w:r>
        <w:rPr>
          <w:b/>
        </w:rPr>
        <w:t>i.</w:t>
      </w:r>
      <w:r>
        <w:rPr>
          <w:b/>
        </w:rPr>
        <w:tab/>
      </w:r>
      <w:r w:rsidR="005C6053" w:rsidRPr="005C6053">
        <w:rPr>
          <w:b/>
        </w:rPr>
        <w:t>Product Mixture</w:t>
      </w:r>
      <w:r w:rsidR="00FF18D0">
        <w:rPr>
          <w:b/>
        </w:rPr>
        <w:fldChar w:fldCharType="begin"/>
      </w:r>
      <w:r w:rsidR="00FF18D0">
        <w:instrText xml:space="preserve"> TC "</w:instrText>
      </w:r>
      <w:bookmarkStart w:id="11" w:name="_Toc340669988"/>
      <w:r w:rsidR="00FF18D0" w:rsidRPr="009B7B20">
        <w:rPr>
          <w:b/>
        </w:rPr>
        <w:instrText>i.</w:instrText>
      </w:r>
      <w:r w:rsidR="00FF18D0" w:rsidRPr="009B7B20">
        <w:rPr>
          <w:b/>
        </w:rPr>
        <w:tab/>
        <w:instrText>Product Mixture</w:instrText>
      </w:r>
      <w:bookmarkEnd w:id="11"/>
      <w:r w:rsidR="00FF18D0">
        <w:instrText xml:space="preserve">" \f C \l "5" </w:instrText>
      </w:r>
      <w:r w:rsidR="00FF18D0">
        <w:rPr>
          <w:b/>
        </w:rPr>
        <w:fldChar w:fldCharType="end"/>
      </w:r>
    </w:p>
    <w:p w:rsidR="00D15FE8" w:rsidRPr="005C6053" w:rsidRDefault="00D15FE8" w:rsidP="00FF18D0">
      <w:pPr>
        <w:pStyle w:val="BodyText2"/>
        <w:spacing w:after="0" w:line="360" w:lineRule="auto"/>
        <w:jc w:val="left"/>
        <w:rPr>
          <w:b/>
        </w:rPr>
      </w:pPr>
    </w:p>
    <w:p w:rsidR="00812C11" w:rsidRDefault="00050A6B" w:rsidP="00FF18D0">
      <w:pPr>
        <w:pStyle w:val="BodyText2"/>
        <w:spacing w:after="0" w:line="360" w:lineRule="auto"/>
        <w:contextualSpacing/>
        <w:jc w:val="left"/>
      </w:pPr>
      <w:r>
        <w:tab/>
      </w:r>
      <w:r>
        <w:tab/>
      </w:r>
      <w:r w:rsidR="00812C11">
        <w:t xml:space="preserve">PPL Electric </w:t>
      </w:r>
      <w:r w:rsidR="003A562B">
        <w:t xml:space="preserve">has </w:t>
      </w:r>
      <w:r w:rsidR="00812C11">
        <w:t xml:space="preserve">proposed certain modifications to the DSP I Program procurements in its DSP II Program filing </w:t>
      </w:r>
      <w:r w:rsidR="003A562B">
        <w:t>based upon</w:t>
      </w:r>
      <w:r w:rsidR="00812C11">
        <w:t xml:space="preserve"> lessons learned</w:t>
      </w:r>
      <w:r w:rsidR="003A562B">
        <w:t xml:space="preserve"> from its DSP I Plan</w:t>
      </w:r>
      <w:r w:rsidR="00812C11">
        <w:t>.  PPL Electric St</w:t>
      </w:r>
      <w:r w:rsidR="00BC1D62">
        <w:t>mt</w:t>
      </w:r>
      <w:r w:rsidR="00812C11">
        <w:t>. 2</w:t>
      </w:r>
      <w:r w:rsidR="00BC1D62">
        <w:t xml:space="preserve"> at</w:t>
      </w:r>
      <w:r w:rsidR="00812C11">
        <w:t xml:space="preserve"> 8-14; PPL Electric St</w:t>
      </w:r>
      <w:r w:rsidR="00BC1D62">
        <w:t>mt</w:t>
      </w:r>
      <w:r w:rsidR="00812C11">
        <w:t>. 1</w:t>
      </w:r>
      <w:r w:rsidR="00BC1D62">
        <w:t xml:space="preserve"> at</w:t>
      </w:r>
      <w:r w:rsidR="00812C11">
        <w:t xml:space="preserve"> 7-10; PPL Electric St</w:t>
      </w:r>
      <w:r w:rsidR="00BC1D62">
        <w:t>mt</w:t>
      </w:r>
      <w:r w:rsidR="00812C11">
        <w:t>. 1-R</w:t>
      </w:r>
      <w:r w:rsidR="00BC1D62">
        <w:t xml:space="preserve"> at</w:t>
      </w:r>
      <w:r w:rsidR="00812C11">
        <w:t xml:space="preserve"> 5-7.  </w:t>
      </w:r>
    </w:p>
    <w:p w:rsidR="00C64657" w:rsidRDefault="00C64657" w:rsidP="001F1974">
      <w:pPr>
        <w:pStyle w:val="BodyText2"/>
        <w:spacing w:after="0" w:line="360" w:lineRule="auto"/>
        <w:contextualSpacing/>
        <w:jc w:val="left"/>
      </w:pPr>
    </w:p>
    <w:p w:rsidR="007325FF" w:rsidRDefault="00812C11" w:rsidP="001F1974">
      <w:pPr>
        <w:pStyle w:val="BodyText2"/>
        <w:spacing w:after="0" w:line="240" w:lineRule="auto"/>
        <w:ind w:left="1440" w:right="1440"/>
        <w:contextualSpacing/>
        <w:jc w:val="left"/>
      </w:pPr>
      <w:r>
        <w:t>PPL Electric’s DSP I Program obtains a portfolio of laddered fixed-price full-requirements</w:t>
      </w:r>
      <w:r>
        <w:rPr>
          <w:rStyle w:val="FootnoteReference"/>
        </w:rPr>
        <w:footnoteReference w:id="2"/>
      </w:r>
      <w:r>
        <w:t xml:space="preserve"> load following supplies, real-time wholesale electricity spot market full-requirement, load-following supplies, and longer-term fixed price block supplies for residential customers.  </w:t>
      </w:r>
      <w:proofErr w:type="gramStart"/>
      <w:r>
        <w:t>(PPL Electric St. No. 2, p. 8).</w:t>
      </w:r>
      <w:proofErr w:type="gramEnd"/>
      <w:r>
        <w:t xml:space="preserve">  As shown on PPL Electric Ex. JC-1, PPL Electric currently purchases 350 MW of block supplies </w:t>
      </w:r>
      <w:proofErr w:type="gramStart"/>
      <w:r>
        <w:t>under</w:t>
      </w:r>
      <w:proofErr w:type="gramEnd"/>
      <w:r>
        <w:t xml:space="preserve"> 24 x 7 contracts.  These block supplies include four layered 50 MW block products that are scheduled to expire in 50 MW increments on a quarterly basis beginning May 31, 2013.  The Company has two 50 MW five-year term block products that will expire on December 31, 2015.</w:t>
      </w:r>
      <w:r>
        <w:rPr>
          <w:rStyle w:val="FootnoteReference"/>
        </w:rPr>
        <w:footnoteReference w:id="3"/>
      </w:r>
      <w:r>
        <w:t xml:space="preserve">  The ten-year 50 MW block unit entitlement product has a contract term extending to May 31, 2021.  </w:t>
      </w:r>
      <w:proofErr w:type="gramStart"/>
      <w:r>
        <w:t>(PPL Electric St. 1, p. 10).</w:t>
      </w:r>
      <w:proofErr w:type="gramEnd"/>
      <w:r>
        <w:t xml:space="preserve">  PPL Electric purchases full-requirements, load-following products to supply 100% of residential default service requirements that remain after the purchase of the long term block products.  </w:t>
      </w:r>
      <w:proofErr w:type="gramStart"/>
      <w:r>
        <w:t>(PPL Electric Ex. JC-1).</w:t>
      </w:r>
      <w:proofErr w:type="gramEnd"/>
      <w:r>
        <w:t xml:space="preserve">  Of these load-following products, 90% are purchased under fixed-price, full-requirements contracts.  The remaining 10% of these full-requirements, load-following supplies are purchased </w:t>
      </w:r>
      <w:r>
        <w:lastRenderedPageBreak/>
        <w:t xml:space="preserve">under contracts priced at the real time spot market.  The purchase of the fixed-price, full-requirements, load-following supplies are </w:t>
      </w:r>
    </w:p>
    <w:p w:rsidR="00050A6B" w:rsidRDefault="00812C11" w:rsidP="001F1974">
      <w:pPr>
        <w:pStyle w:val="BodyText2"/>
        <w:spacing w:after="0" w:line="240" w:lineRule="auto"/>
        <w:ind w:left="1440" w:right="1440"/>
        <w:contextualSpacing/>
        <w:jc w:val="left"/>
      </w:pPr>
      <w:proofErr w:type="gramStart"/>
      <w:r>
        <w:t>laddered</w:t>
      </w:r>
      <w:proofErr w:type="gramEnd"/>
      <w:r>
        <w:t xml:space="preserve">, with a mixture of 12-month and 24-month products.  </w:t>
      </w:r>
      <w:proofErr w:type="gramStart"/>
      <w:r>
        <w:t>(PPL Electric Ex. JC-1).</w:t>
      </w:r>
      <w:proofErr w:type="gramEnd"/>
      <w:r>
        <w:rPr>
          <w:rStyle w:val="FootnoteReference"/>
        </w:rPr>
        <w:footnoteReference w:id="4"/>
      </w:r>
      <w:r>
        <w:t xml:space="preserve">  Under the DSP I Program, the product mixture is structured around quarterly procurements with one or more block, spot full-requirements, or fixed-price full-requirements products being procured every three months.  </w:t>
      </w:r>
      <w:proofErr w:type="gramStart"/>
      <w:r>
        <w:t>(PPL Electric St. 2, p. 9; PPL Electric Ex. JC-1).</w:t>
      </w:r>
      <w:proofErr w:type="gramEnd"/>
      <w:r w:rsidR="006A285F">
        <w:t xml:space="preserve">  </w:t>
      </w:r>
    </w:p>
    <w:p w:rsidR="00050A6B" w:rsidRDefault="006A285F" w:rsidP="001F1974">
      <w:pPr>
        <w:pStyle w:val="BodyText2"/>
        <w:spacing w:after="0" w:line="360" w:lineRule="auto"/>
        <w:contextualSpacing/>
        <w:jc w:val="left"/>
      </w:pPr>
      <w:r>
        <w:t>PPL Electric MB at 12-13.</w:t>
      </w:r>
      <w:r>
        <w:br/>
      </w:r>
    </w:p>
    <w:p w:rsidR="00050A6B" w:rsidRDefault="00050A6B" w:rsidP="001F1974">
      <w:pPr>
        <w:pStyle w:val="BodyText2"/>
        <w:spacing w:after="0" w:line="360" w:lineRule="auto"/>
        <w:contextualSpacing/>
        <w:jc w:val="left"/>
      </w:pPr>
      <w:r>
        <w:tab/>
      </w:r>
      <w:r>
        <w:tab/>
      </w:r>
      <w:r w:rsidR="00812C11">
        <w:t>PPL Electric’s DSP II Program proposes several changes to the product mixture and schedule of procurements of default service supplies for residential customers</w:t>
      </w:r>
      <w:r>
        <w:t>:</w:t>
      </w:r>
    </w:p>
    <w:p w:rsidR="00D15FE8" w:rsidRDefault="00D15FE8" w:rsidP="001F1974">
      <w:pPr>
        <w:pStyle w:val="BodyText2"/>
        <w:spacing w:after="0" w:line="360" w:lineRule="auto"/>
        <w:contextualSpacing/>
        <w:jc w:val="left"/>
      </w:pPr>
    </w:p>
    <w:p w:rsidR="00050A6B" w:rsidRDefault="00050A6B" w:rsidP="00C64657">
      <w:pPr>
        <w:pStyle w:val="BodyText2"/>
        <w:spacing w:after="0" w:line="240" w:lineRule="auto"/>
        <w:ind w:left="2160" w:right="1440" w:hanging="720"/>
        <w:jc w:val="left"/>
      </w:pPr>
      <w:r>
        <w:t>1</w:t>
      </w:r>
      <w:r w:rsidR="00C64657">
        <w:t>.</w:t>
      </w:r>
      <w:r w:rsidR="00C64657">
        <w:tab/>
      </w:r>
      <w:r>
        <w:t>E</w:t>
      </w:r>
      <w:r w:rsidR="00812C11">
        <w:t>liminat</w:t>
      </w:r>
      <w:r>
        <w:t>ion of</w:t>
      </w:r>
      <w:r w:rsidR="00812C11">
        <w:t xml:space="preserve"> 24-month contracts.  As these contracts expire, they will be replaced with fixed-price, full-requirements, </w:t>
      </w:r>
      <w:proofErr w:type="gramStart"/>
      <w:r w:rsidR="00812C11">
        <w:t>load</w:t>
      </w:r>
      <w:proofErr w:type="gramEnd"/>
      <w:r w:rsidR="00812C11">
        <w:t xml:space="preserve">-following products with contract terms that are no greater than 12 months.  </w:t>
      </w:r>
    </w:p>
    <w:p w:rsidR="00552A69" w:rsidRDefault="00552A69" w:rsidP="00C64657">
      <w:pPr>
        <w:pStyle w:val="BodyText2"/>
        <w:spacing w:after="0" w:line="240" w:lineRule="auto"/>
        <w:ind w:left="2160" w:right="1440" w:hanging="720"/>
        <w:jc w:val="left"/>
      </w:pPr>
    </w:p>
    <w:p w:rsidR="00050A6B" w:rsidRDefault="00C64657" w:rsidP="00C64657">
      <w:pPr>
        <w:pStyle w:val="BodyText2"/>
        <w:spacing w:after="0" w:line="240" w:lineRule="auto"/>
        <w:ind w:left="2160" w:right="1440" w:hanging="720"/>
        <w:jc w:val="left"/>
      </w:pPr>
      <w:r>
        <w:t>2.</w:t>
      </w:r>
      <w:r>
        <w:tab/>
      </w:r>
      <w:r w:rsidR="00050A6B">
        <w:t>Elimination of</w:t>
      </w:r>
      <w:r w:rsidR="00812C11">
        <w:t xml:space="preserve"> the purchase of spot market full-requirements load-following supplies</w:t>
      </w:r>
      <w:r w:rsidR="00394019">
        <w:t>.</w:t>
      </w:r>
      <w:r w:rsidR="00050A6B">
        <w:t xml:space="preserve"> These will be</w:t>
      </w:r>
      <w:r w:rsidR="00812C11">
        <w:t xml:space="preserve"> replace</w:t>
      </w:r>
      <w:r w:rsidR="00050A6B">
        <w:t xml:space="preserve">d </w:t>
      </w:r>
      <w:r w:rsidR="00812C11">
        <w:t xml:space="preserve">with fixed-price, full-requirements, </w:t>
      </w:r>
      <w:proofErr w:type="gramStart"/>
      <w:r w:rsidR="00812C11">
        <w:t>load</w:t>
      </w:r>
      <w:proofErr w:type="gramEnd"/>
      <w:r w:rsidR="00812C11">
        <w:t xml:space="preserve">-following products with terms no greater than 12 months.  </w:t>
      </w:r>
    </w:p>
    <w:p w:rsidR="00552A69" w:rsidRDefault="00552A69" w:rsidP="00C64657">
      <w:pPr>
        <w:pStyle w:val="BodyText2"/>
        <w:spacing w:after="0" w:line="240" w:lineRule="auto"/>
        <w:ind w:left="2160" w:right="1440" w:hanging="720"/>
        <w:jc w:val="left"/>
      </w:pPr>
    </w:p>
    <w:p w:rsidR="006F78E7" w:rsidRDefault="00C64657" w:rsidP="00C64657">
      <w:pPr>
        <w:pStyle w:val="BodyText2"/>
        <w:spacing w:after="0" w:line="240" w:lineRule="auto"/>
        <w:ind w:left="2160" w:right="1440" w:hanging="720"/>
        <w:jc w:val="left"/>
      </w:pPr>
      <w:r>
        <w:t>3.</w:t>
      </w:r>
      <w:r>
        <w:tab/>
      </w:r>
      <w:r w:rsidR="00050A6B">
        <w:t>E</w:t>
      </w:r>
      <w:r w:rsidR="00812C11">
        <w:t>liminat</w:t>
      </w:r>
      <w:r w:rsidR="00050A6B">
        <w:t>ion of</w:t>
      </w:r>
      <w:r w:rsidR="00812C11">
        <w:t xml:space="preserve"> the procurement of additional block supply</w:t>
      </w:r>
      <w:r w:rsidR="00050A6B">
        <w:t>.  The Plan</w:t>
      </w:r>
      <w:r w:rsidR="00812C11">
        <w:t xml:space="preserve"> allow</w:t>
      </w:r>
      <w:r w:rsidR="00050A6B">
        <w:t>s</w:t>
      </w:r>
      <w:r w:rsidR="00812C11">
        <w:t xml:space="preserve"> a gradual phase down in the amount of block supply procured for the Residential Class as block supply contracts executed during the DSP I Program expire during the DSP II Program.  </w:t>
      </w:r>
      <w:proofErr w:type="gramStart"/>
      <w:r w:rsidR="00812C11">
        <w:t>(PPL Electric St. 2, p. 5; PPL Electric St. 1-R, p. 6).</w:t>
      </w:r>
      <w:proofErr w:type="gramEnd"/>
      <w:r w:rsidR="00812C11">
        <w:t xml:space="preserve">  At the conclusion of the DSP II Program term, the Company would have 150 MW of block supplies remaining under contract.  (PPL Electric St. 2, p. 10)</w:t>
      </w:r>
    </w:p>
    <w:p w:rsidR="006A285F" w:rsidRDefault="006A285F" w:rsidP="001F1974">
      <w:pPr>
        <w:pStyle w:val="BodyText2"/>
        <w:spacing w:after="0" w:line="240" w:lineRule="auto"/>
        <w:ind w:left="720"/>
        <w:jc w:val="left"/>
      </w:pPr>
      <w:r>
        <w:t>PPL Electric MB at 13-14.</w:t>
      </w:r>
    </w:p>
    <w:p w:rsidR="00552A69" w:rsidRDefault="00552A69" w:rsidP="001F1974">
      <w:pPr>
        <w:pStyle w:val="BodyText2"/>
        <w:spacing w:after="0" w:line="240" w:lineRule="auto"/>
        <w:ind w:left="720"/>
        <w:jc w:val="left"/>
      </w:pPr>
    </w:p>
    <w:p w:rsidR="00F6595B" w:rsidRDefault="00F6595B" w:rsidP="001F1974">
      <w:pPr>
        <w:pStyle w:val="BodyText2"/>
        <w:spacing w:after="0" w:line="240" w:lineRule="auto"/>
        <w:ind w:left="1440" w:right="1440"/>
        <w:contextualSpacing/>
        <w:jc w:val="left"/>
      </w:pPr>
      <w:r>
        <w:tab/>
        <w:t xml:space="preserve">In addition, PPL Electric proposes to reduce the frequency of procurements from a quarterly basis to a semi-annual basis.  </w:t>
      </w:r>
      <w:proofErr w:type="gramStart"/>
      <w:r>
        <w:t>(PPL Electric St. 2, p. 16).</w:t>
      </w:r>
      <w:proofErr w:type="gramEnd"/>
      <w:r>
        <w:t xml:space="preserve">  The goal is to move to a product mixture in which half of the Company’s procurements turn over every six months.  </w:t>
      </w:r>
      <w:proofErr w:type="gramStart"/>
      <w:r>
        <w:t>(PPL Electric St. 1-R, p. 6).</w:t>
      </w:r>
      <w:proofErr w:type="gramEnd"/>
      <w:r>
        <w:t xml:space="preserve">  To achieve this </w:t>
      </w:r>
      <w:r>
        <w:lastRenderedPageBreak/>
        <w:t xml:space="preserve">goal, the Company proposes to purchase 12- and 9-month products semi-annually.  Through these semi-annual procurements, the 12-month product will be solicited approximately one month prior to delivery while the 9-month product will be procured approximately four months prior to delivery.  </w:t>
      </w:r>
      <w:proofErr w:type="gramStart"/>
      <w:r>
        <w:t>(PPL Electric St. 2, p. 16; PPL Electric Exhibit JC</w:t>
      </w:r>
      <w:r>
        <w:noBreakHyphen/>
        <w:t>4A).</w:t>
      </w:r>
      <w:proofErr w:type="gramEnd"/>
      <w:r>
        <w:t xml:space="preserve">  The one exception to this procurement schedule is that the October 2014 procurement will obtain supplies under 6- and 3-month fixed-price, full-requirements, load-following contracts, so that no fixed-price load-following contracts would extend beyond May 31, 2015.  </w:t>
      </w:r>
      <w:proofErr w:type="gramStart"/>
      <w:r>
        <w:t>(PPL Electric St. 1-R, pp. 6-7).</w:t>
      </w:r>
      <w:proofErr w:type="gramEnd"/>
      <w:r>
        <w:t xml:space="preserve">  This is designed to comply with the Commission’s recommendation in its </w:t>
      </w:r>
      <w:r>
        <w:rPr>
          <w:i/>
        </w:rPr>
        <w:t>December 16 RMI Order</w:t>
      </w:r>
      <w:r>
        <w:t xml:space="preserve"> that default service suppliers minimize the amount of supply under contract after May 31, 2015.  </w:t>
      </w:r>
      <w:proofErr w:type="gramStart"/>
      <w:r>
        <w:t>(</w:t>
      </w:r>
      <w:r>
        <w:rPr>
          <w:i/>
        </w:rPr>
        <w:t>December 16 RMI Order</w:t>
      </w:r>
      <w:r>
        <w:t xml:space="preserve"> at p. 19).</w:t>
      </w:r>
      <w:proofErr w:type="gramEnd"/>
      <w:r>
        <w:t xml:space="preserve">  PPL Electric has included a provision that would allow it to extend the term of these final DSP II procurements by an additional six months depending upon what the Commission decides with respect to the end state of default service.  </w:t>
      </w:r>
      <w:proofErr w:type="gramStart"/>
      <w:r>
        <w:t>(PPL Electric St. 2, p. 16).</w:t>
      </w:r>
      <w:proofErr w:type="gramEnd"/>
    </w:p>
    <w:p w:rsidR="00F6595B" w:rsidRDefault="00F6595B" w:rsidP="001F1974">
      <w:pPr>
        <w:contextualSpacing/>
        <w:jc w:val="left"/>
      </w:pPr>
      <w:r>
        <w:t>PPL Electric MB at 13-14.</w:t>
      </w:r>
    </w:p>
    <w:p w:rsidR="00F6595B" w:rsidRDefault="00F6595B" w:rsidP="001F1974">
      <w:pPr>
        <w:contextualSpacing/>
        <w:jc w:val="left"/>
      </w:pPr>
    </w:p>
    <w:p w:rsidR="00F6595B" w:rsidRDefault="00F6595B" w:rsidP="001F1974">
      <w:pPr>
        <w:pStyle w:val="BodyText2"/>
        <w:spacing w:after="0" w:line="360" w:lineRule="auto"/>
        <w:contextualSpacing/>
        <w:jc w:val="left"/>
      </w:pPr>
      <w:r>
        <w:tab/>
      </w:r>
      <w:r>
        <w:tab/>
        <w:t>PPL Electric cites the fact that it has the highest current percentage of customer shopping of all major EDCs in Pennsylvania, and as of July 1, 2012, over 46% of residential customer load was being served by an alternative supplier, as support for its recommendations.  OSBA Ex. IEc-S1; PPL Electric St</w:t>
      </w:r>
      <w:r w:rsidR="006F78E7">
        <w:t>mt</w:t>
      </w:r>
      <w:r>
        <w:t>. 2</w:t>
      </w:r>
      <w:r w:rsidR="006F78E7">
        <w:t xml:space="preserve"> at </w:t>
      </w:r>
      <w:r>
        <w:t>17-20.  The Company claims that this level of shopping, when combined with further increases in residential shopping, supported a decision to move to a more simplified product mix, with shorter term fixed-price, full-requirements, load-following contracts.  PPL Electric MB at 15-16.</w:t>
      </w:r>
    </w:p>
    <w:p w:rsidR="002435F7" w:rsidRDefault="002435F7" w:rsidP="001F1974">
      <w:pPr>
        <w:pStyle w:val="BodyText2"/>
        <w:spacing w:after="0" w:line="360" w:lineRule="auto"/>
        <w:contextualSpacing/>
        <w:jc w:val="left"/>
      </w:pPr>
    </w:p>
    <w:p w:rsidR="00F6595B" w:rsidRDefault="00F6595B" w:rsidP="001F1974">
      <w:pPr>
        <w:pStyle w:val="BodyText2"/>
        <w:spacing w:after="0" w:line="360" w:lineRule="auto"/>
        <w:contextualSpacing/>
        <w:jc w:val="left"/>
      </w:pPr>
      <w:r>
        <w:tab/>
      </w:r>
      <w:r>
        <w:tab/>
        <w:t xml:space="preserve">The Company also argues that the significant reduction in default service supply obligation increases the volumetric risk to wholesale suppliers associated with longer-term (24 month) products, thus supporting their elimination.  </w:t>
      </w:r>
      <w:proofErr w:type="gramStart"/>
      <w:r>
        <w:t>PPL Electric St</w:t>
      </w:r>
      <w:r w:rsidR="006F78E7">
        <w:t>mt</w:t>
      </w:r>
      <w:r>
        <w:t>. 2</w:t>
      </w:r>
      <w:r w:rsidR="006F78E7">
        <w:t xml:space="preserve"> at</w:t>
      </w:r>
      <w:r>
        <w:t xml:space="preserve"> 17.</w:t>
      </w:r>
      <w:proofErr w:type="gramEnd"/>
      <w:r>
        <w:t xml:space="preserve">  The Company cites less supplier interest in supplying a 24-month product as comp</w:t>
      </w:r>
      <w:r w:rsidR="006F78E7">
        <w:t xml:space="preserve">ared to the 12-month product.  </w:t>
      </w:r>
      <w:proofErr w:type="gramStart"/>
      <w:r>
        <w:t>PPL Electric St</w:t>
      </w:r>
      <w:r w:rsidR="006F78E7">
        <w:t>mt</w:t>
      </w:r>
      <w:r>
        <w:t>. 2-R</w:t>
      </w:r>
      <w:r w:rsidR="006F78E7">
        <w:t xml:space="preserve"> at</w:t>
      </w:r>
      <w:r>
        <w:t xml:space="preserve"> 25; PPL Electric Ex. JC-1-R.</w:t>
      </w:r>
      <w:proofErr w:type="gramEnd"/>
      <w:r>
        <w:t xml:space="preserve">  This observation supports elimination of 24-month contracts from the DSP II Program product mix.</w:t>
      </w:r>
      <w:r w:rsidR="00923C87">
        <w:t xml:space="preserve">  </w:t>
      </w:r>
      <w:proofErr w:type="gramStart"/>
      <w:r w:rsidR="00923C87">
        <w:t>PPL Electric MB at</w:t>
      </w:r>
      <w:r w:rsidR="001F1974">
        <w:t> </w:t>
      </w:r>
      <w:r w:rsidR="00923C87">
        <w:t>16.</w:t>
      </w:r>
      <w:proofErr w:type="gramEnd"/>
    </w:p>
    <w:p w:rsidR="00923C87" w:rsidRDefault="00923C87" w:rsidP="001F1974">
      <w:pPr>
        <w:pStyle w:val="BodyText2"/>
        <w:spacing w:after="0" w:line="360" w:lineRule="auto"/>
        <w:contextualSpacing/>
        <w:jc w:val="left"/>
      </w:pPr>
    </w:p>
    <w:p w:rsidR="00F6595B" w:rsidRDefault="00923C87" w:rsidP="001F1974">
      <w:pPr>
        <w:pStyle w:val="BodyText2"/>
        <w:spacing w:after="0" w:line="360" w:lineRule="auto"/>
        <w:contextualSpacing/>
        <w:jc w:val="left"/>
      </w:pPr>
      <w:r>
        <w:lastRenderedPageBreak/>
        <w:tab/>
      </w:r>
      <w:r>
        <w:tab/>
      </w:r>
      <w:r w:rsidR="00F6595B">
        <w:t>The Company’s proposal to eliminate spot market products also is associated with the increased level of residential shopping in PPL Electric’s service area.  The Company explained that spot market products have been included in PPL Electric’s DSP I procurement to balance the less frequent price changes that occur with 24-month products.  With the elimination of the 24-month products, and shifting to shorter term laddered one-year products, the need for spot supply to balance the longer</w:t>
      </w:r>
      <w:r w:rsidR="006F78E7">
        <w:t xml:space="preserve"> term products is eliminated.  </w:t>
      </w:r>
      <w:proofErr w:type="gramStart"/>
      <w:r w:rsidR="00F6595B">
        <w:t>PPL Electric St</w:t>
      </w:r>
      <w:r w:rsidR="006F78E7">
        <w:t>mt</w:t>
      </w:r>
      <w:r w:rsidR="00F6595B">
        <w:t>. 2</w:t>
      </w:r>
      <w:r w:rsidR="006F78E7">
        <w:t xml:space="preserve"> at 1</w:t>
      </w:r>
      <w:r w:rsidR="00F6595B">
        <w:t>8.</w:t>
      </w:r>
      <w:proofErr w:type="gramEnd"/>
      <w:r w:rsidR="00F6595B">
        <w:t xml:space="preserve">  The use of spot market priced products has contributed to the need for reconciliation adjustments, as spot market projections included in the price to compare vary from actual spot market prices.  </w:t>
      </w:r>
      <w:proofErr w:type="gramStart"/>
      <w:r w:rsidR="00F6595B">
        <w:t>PPL Electric St</w:t>
      </w:r>
      <w:r w:rsidR="006F78E7">
        <w:t>mt</w:t>
      </w:r>
      <w:r w:rsidR="00F6595B">
        <w:t>. 2</w:t>
      </w:r>
      <w:r w:rsidR="006F78E7">
        <w:t xml:space="preserve"> at</w:t>
      </w:r>
      <w:r w:rsidR="00F6595B">
        <w:t xml:space="preserve"> 19.</w:t>
      </w:r>
      <w:proofErr w:type="gramEnd"/>
      <w:r w:rsidR="00F6595B">
        <w:t xml:space="preserve">  The result has been that default service prices, and t</w:t>
      </w:r>
      <w:r w:rsidR="00BC1D62">
        <w:t>he resulting Price to Compare (</w:t>
      </w:r>
      <w:r w:rsidR="00F6595B">
        <w:t xml:space="preserve">PTC), have not accurately tracked market conditions.  By eliminating contracts with spot market pricing, this contributing factor to reconciliation adjustments is removed.  </w:t>
      </w:r>
      <w:proofErr w:type="gramStart"/>
      <w:r w:rsidR="00F6595B">
        <w:t>PPL Electric MB at 16.</w:t>
      </w:r>
      <w:proofErr w:type="gramEnd"/>
    </w:p>
    <w:p w:rsidR="002435F7" w:rsidRDefault="002435F7" w:rsidP="001F1974">
      <w:pPr>
        <w:pStyle w:val="BodyText2"/>
        <w:spacing w:after="0" w:line="360" w:lineRule="auto"/>
        <w:contextualSpacing/>
        <w:jc w:val="left"/>
      </w:pPr>
    </w:p>
    <w:p w:rsidR="00F6595B" w:rsidRDefault="00F6595B" w:rsidP="001F1974">
      <w:pPr>
        <w:pStyle w:val="BodyText2"/>
        <w:spacing w:after="0" w:line="360" w:lineRule="auto"/>
        <w:contextualSpacing/>
        <w:jc w:val="left"/>
      </w:pPr>
      <w:r>
        <w:tab/>
      </w:r>
      <w:r>
        <w:tab/>
        <w:t>The Company seeks to reduce reliance on block products for residential customers because block supply under the DSP I Program is a fixed level of 350 MW of 24 x 7 product, and increased shopping has increased the proportion of default service load that is being provided by block supply</w:t>
      </w:r>
      <w:r w:rsidR="00923C87">
        <w:t xml:space="preserve"> to its current level of </w:t>
      </w:r>
      <w:r>
        <w:t xml:space="preserve">almost 40% of total annual residential default service load.  </w:t>
      </w:r>
      <w:proofErr w:type="gramStart"/>
      <w:r>
        <w:t>PPL Electric St</w:t>
      </w:r>
      <w:r w:rsidR="006F78E7">
        <w:t>mt</w:t>
      </w:r>
      <w:r>
        <w:t>. 2</w:t>
      </w:r>
      <w:r w:rsidR="006F78E7">
        <w:t xml:space="preserve"> at</w:t>
      </w:r>
      <w:r>
        <w:t xml:space="preserve"> 12.</w:t>
      </w:r>
      <w:proofErr w:type="gramEnd"/>
      <w:r>
        <w:t xml:space="preserve">  Under minimum load conditions, the current level of block supplies is providing nearly </w:t>
      </w:r>
      <w:r>
        <w:rPr>
          <w:u w:val="single"/>
        </w:rPr>
        <w:t>all</w:t>
      </w:r>
      <w:r>
        <w:t xml:space="preserve"> resi</w:t>
      </w:r>
      <w:r w:rsidR="006F78E7">
        <w:t xml:space="preserve">dential default service </w:t>
      </w:r>
      <w:proofErr w:type="gramStart"/>
      <w:r w:rsidR="006F78E7">
        <w:t>load</w:t>
      </w:r>
      <w:proofErr w:type="gramEnd"/>
      <w:r w:rsidR="006F78E7">
        <w:t xml:space="preserve">.  </w:t>
      </w:r>
      <w:proofErr w:type="gramStart"/>
      <w:r>
        <w:t>PPL Electric St</w:t>
      </w:r>
      <w:r w:rsidR="006F78E7">
        <w:t>mt</w:t>
      </w:r>
      <w:r>
        <w:t>. 2-R</w:t>
      </w:r>
      <w:r w:rsidR="006F78E7">
        <w:t xml:space="preserve"> at</w:t>
      </w:r>
      <w:r>
        <w:t xml:space="preserve"> 8.</w:t>
      </w:r>
      <w:proofErr w:type="gramEnd"/>
      <w:r>
        <w:t xml:space="preserve">  </w:t>
      </w:r>
      <w:r w:rsidR="00923C87">
        <w:t xml:space="preserve">With the anticipated success of the programs aimed to increase shopping, </w:t>
      </w:r>
      <w:r>
        <w:t xml:space="preserve">PPL Electric </w:t>
      </w:r>
      <w:r w:rsidR="00923C87">
        <w:t>expects to</w:t>
      </w:r>
      <w:r>
        <w:t xml:space="preserve"> be forced to sell a portion of its block supplies, potentially at a loss, if it continues to purchase the cur</w:t>
      </w:r>
      <w:r w:rsidR="005C3AC8">
        <w:t xml:space="preserve">rent level of block supplies.  </w:t>
      </w:r>
      <w:proofErr w:type="gramStart"/>
      <w:r>
        <w:t>PPL Electric St</w:t>
      </w:r>
      <w:r w:rsidR="005C3AC8">
        <w:t>mt</w:t>
      </w:r>
      <w:r>
        <w:t>. 1</w:t>
      </w:r>
      <w:r w:rsidR="005C3AC8">
        <w:t xml:space="preserve"> at</w:t>
      </w:r>
      <w:r>
        <w:t xml:space="preserve"> 10.</w:t>
      </w:r>
      <w:proofErr w:type="gramEnd"/>
      <w:r>
        <w:t xml:space="preserve">  By allowing existing block purchases to expire without replacement, PPL Electric estimates that it will be able to reduce its reliance on block products to approximately 15-20% of its residential default service supply during the term of the DSP II Program.  PPL Electric St</w:t>
      </w:r>
      <w:r w:rsidR="005C3AC8">
        <w:t>mt</w:t>
      </w:r>
      <w:r>
        <w:t>. 2</w:t>
      </w:r>
      <w:r w:rsidR="005C3AC8">
        <w:t xml:space="preserve"> at</w:t>
      </w:r>
      <w:r>
        <w:t xml:space="preserve"> 20</w:t>
      </w:r>
      <w:r w:rsidR="005C3AC8">
        <w:t>;</w:t>
      </w:r>
      <w:r>
        <w:t xml:space="preserve"> PPL Electric MB at</w:t>
      </w:r>
      <w:r w:rsidR="001F1974">
        <w:t> </w:t>
      </w:r>
      <w:r>
        <w:t>16-17.</w:t>
      </w:r>
    </w:p>
    <w:p w:rsidR="00B44FFF" w:rsidRDefault="00B44FFF" w:rsidP="001F1974">
      <w:pPr>
        <w:pStyle w:val="BodyText2"/>
        <w:spacing w:after="0" w:line="360" w:lineRule="auto"/>
        <w:contextualSpacing/>
        <w:jc w:val="left"/>
      </w:pPr>
    </w:p>
    <w:p w:rsidR="00413D74" w:rsidRDefault="00413D74" w:rsidP="001F1974">
      <w:pPr>
        <w:pStyle w:val="BodyText2"/>
        <w:spacing w:after="0" w:line="360" w:lineRule="auto"/>
        <w:contextualSpacing/>
        <w:jc w:val="left"/>
      </w:pPr>
      <w:r>
        <w:br w:type="page"/>
      </w:r>
    </w:p>
    <w:p w:rsidR="00F6595B" w:rsidRDefault="00F6595B" w:rsidP="001F1974">
      <w:pPr>
        <w:pStyle w:val="BodyText2"/>
        <w:spacing w:after="0" w:line="360" w:lineRule="auto"/>
        <w:contextualSpacing/>
        <w:jc w:val="left"/>
      </w:pPr>
      <w:r>
        <w:lastRenderedPageBreak/>
        <w:tab/>
      </w:r>
      <w:r>
        <w:tab/>
        <w:t>The Company cites the use of block products as a contributing factor for the need for reconciliation:</w:t>
      </w:r>
    </w:p>
    <w:p w:rsidR="001F1974" w:rsidRDefault="001F1974" w:rsidP="001F1974">
      <w:pPr>
        <w:pStyle w:val="BodyText2"/>
        <w:spacing w:after="0" w:line="360" w:lineRule="auto"/>
        <w:contextualSpacing/>
        <w:jc w:val="left"/>
      </w:pPr>
    </w:p>
    <w:p w:rsidR="00F6595B" w:rsidRDefault="00F6595B" w:rsidP="001F1974">
      <w:pPr>
        <w:pStyle w:val="BodyText2"/>
        <w:spacing w:after="0" w:line="240" w:lineRule="auto"/>
        <w:ind w:left="1440" w:right="1440"/>
        <w:contextualSpacing/>
        <w:jc w:val="left"/>
      </w:pPr>
      <w:proofErr w:type="gramStart"/>
      <w:r>
        <w:t>Changes in the percentage of customer load that is shopping changes the percentage of customer load that is being served by the block supplies.</w:t>
      </w:r>
      <w:proofErr w:type="gramEnd"/>
      <w:r>
        <w:t xml:space="preserve">  As a result, PTC price projections, which project the amount of residential load and the proportion that is served by block supply, will vary from actual residential load served by default supplies and thereby change the proportion of default service supply actually served from the block supplies.  This increases the likelihood of a divergence between amounts collected from default service customers and actual payments to the Company’s various wholesale suppliers.  </w:t>
      </w:r>
      <w:proofErr w:type="gramStart"/>
      <w:r>
        <w:t>(PPL Electric St. 2, p. 20).</w:t>
      </w:r>
      <w:proofErr w:type="gramEnd"/>
      <w:r>
        <w:t xml:space="preserve">  PPL Electric’s proposal to reduce reliance on block supply will therefore reduce reconciliation adjustments arising from </w:t>
      </w:r>
      <w:proofErr w:type="gramStart"/>
      <w:r>
        <w:t>forecasting,</w:t>
      </w:r>
      <w:proofErr w:type="gramEnd"/>
      <w:r>
        <w:t xml:space="preserve"> thereby more closely align default service prices with actual market prices established by fixed-price, full-requirements, load-following contracts.</w:t>
      </w:r>
    </w:p>
    <w:p w:rsidR="00F6595B" w:rsidRDefault="00F6595B" w:rsidP="00FF18D0">
      <w:pPr>
        <w:pStyle w:val="BodyText2"/>
        <w:spacing w:after="0" w:line="240" w:lineRule="auto"/>
        <w:jc w:val="left"/>
      </w:pPr>
      <w:proofErr w:type="gramStart"/>
      <w:r>
        <w:t>PPL Electric MB at 17.</w:t>
      </w:r>
      <w:proofErr w:type="gramEnd"/>
    </w:p>
    <w:p w:rsidR="00C64657" w:rsidRDefault="00C64657" w:rsidP="00FF18D0">
      <w:pPr>
        <w:pStyle w:val="BodyText2"/>
        <w:spacing w:after="0" w:line="360" w:lineRule="auto"/>
        <w:jc w:val="left"/>
      </w:pPr>
    </w:p>
    <w:p w:rsidR="00A33DF2" w:rsidRDefault="00923C87" w:rsidP="00FF18D0">
      <w:pPr>
        <w:pStyle w:val="BodyText2"/>
        <w:spacing w:after="0" w:line="360" w:lineRule="auto"/>
        <w:jc w:val="left"/>
      </w:pPr>
      <w:r>
        <w:tab/>
      </w:r>
      <w:r>
        <w:tab/>
        <w:t>This plan faces opposition from OCA, RESA and FES.</w:t>
      </w:r>
    </w:p>
    <w:p w:rsidR="001F1974" w:rsidRDefault="001F1974" w:rsidP="00FF18D0">
      <w:pPr>
        <w:pStyle w:val="BodyText2"/>
        <w:spacing w:after="0" w:line="360" w:lineRule="auto"/>
        <w:jc w:val="left"/>
      </w:pPr>
    </w:p>
    <w:p w:rsidR="006A285F" w:rsidRDefault="004E70C3" w:rsidP="00FF18D0">
      <w:pPr>
        <w:pStyle w:val="BodyText2"/>
        <w:spacing w:after="0" w:line="360" w:lineRule="auto"/>
        <w:jc w:val="left"/>
      </w:pPr>
      <w:r>
        <w:tab/>
      </w:r>
      <w:r>
        <w:tab/>
        <w:t>OCA recommends that the spot and block purchases not be phased out but continued under a slightly altered structure:</w:t>
      </w:r>
    </w:p>
    <w:p w:rsidR="001F1974" w:rsidRDefault="001F1974" w:rsidP="00FF18D0">
      <w:pPr>
        <w:pStyle w:val="BodyText2"/>
        <w:spacing w:after="0" w:line="360" w:lineRule="auto"/>
        <w:jc w:val="left"/>
      </w:pPr>
    </w:p>
    <w:p w:rsidR="004E70C3" w:rsidRDefault="004E70C3" w:rsidP="00FF18D0">
      <w:pPr>
        <w:pStyle w:val="BodyText2"/>
        <w:spacing w:after="0" w:line="240" w:lineRule="auto"/>
        <w:ind w:left="1440" w:right="1440"/>
        <w:contextualSpacing/>
        <w:jc w:val="left"/>
      </w:pPr>
      <w:r>
        <w:t>Block and spot purchases should be part of PPL's D</w:t>
      </w:r>
      <w:r w:rsidR="005C3AC8">
        <w:t>S</w:t>
      </w:r>
      <w:r>
        <w:t>P II, and should target a fixed % of default service load.  These instruments are an important part of a least cost portfolio.  They have been demonstrated to work effectively, and no adequate reasons have been offered to discontinue them.  PPL should use block purchases that have differing amounts during summer peak hours, winter peak hours, and other hours.</w:t>
      </w:r>
    </w:p>
    <w:p w:rsidR="004E70C3" w:rsidRDefault="004E70C3" w:rsidP="001F1974">
      <w:pPr>
        <w:pStyle w:val="BodyText2"/>
        <w:spacing w:after="0" w:line="360" w:lineRule="auto"/>
        <w:jc w:val="left"/>
      </w:pPr>
      <w:proofErr w:type="gramStart"/>
      <w:r>
        <w:t>OCA Stmt. 1 at 12; OCA MB at 13.</w:t>
      </w:r>
      <w:proofErr w:type="gramEnd"/>
    </w:p>
    <w:p w:rsidR="004E70C3" w:rsidRDefault="004E70C3" w:rsidP="001F1974">
      <w:pPr>
        <w:pStyle w:val="BodyText2"/>
        <w:spacing w:after="0" w:line="360" w:lineRule="auto"/>
        <w:jc w:val="left"/>
      </w:pPr>
    </w:p>
    <w:p w:rsidR="004E70C3" w:rsidRDefault="004E70C3" w:rsidP="001F1974">
      <w:pPr>
        <w:pStyle w:val="BodyText2"/>
        <w:spacing w:after="0" w:line="360" w:lineRule="auto"/>
        <w:jc w:val="left"/>
      </w:pPr>
      <w:r>
        <w:tab/>
      </w:r>
      <w:r>
        <w:tab/>
        <w:t xml:space="preserve">OCA avers that elimination of these products will not eliminate necessary reconciliations, and forecasting need not be done to use them.  OCA's next recommendation is aimed at avoiding the problem of </w:t>
      </w:r>
      <w:r w:rsidR="00734044">
        <w:t xml:space="preserve">the block becoming a greater percentage of the load when customers switched to EGS supply.  </w:t>
      </w:r>
    </w:p>
    <w:p w:rsidR="00C64657" w:rsidRDefault="00C64657" w:rsidP="001F1974">
      <w:pPr>
        <w:pStyle w:val="BodyText2"/>
        <w:spacing w:after="0" w:line="360" w:lineRule="auto"/>
        <w:jc w:val="left"/>
      </w:pPr>
    </w:p>
    <w:p w:rsidR="00734044" w:rsidRDefault="00734044" w:rsidP="001F1974">
      <w:pPr>
        <w:pStyle w:val="BodyText2"/>
        <w:spacing w:after="0" w:line="240" w:lineRule="auto"/>
        <w:ind w:left="1440" w:right="1440"/>
        <w:jc w:val="left"/>
      </w:pPr>
      <w:r>
        <w:lastRenderedPageBreak/>
        <w:t>. . . shaped blocks with a base amount during all hours (i.e., 320 MW) plus additional blocks during winter peak hours (i.e., 120 MSW) and summer peak hours (i.e., 40 MW) will better follow the actual hourly loads and reduce on-peak purchases.  The OCA submits that the benefits of block purchases procured in the manner recommended by OCA witness Hahn are clear.</w:t>
      </w:r>
    </w:p>
    <w:p w:rsidR="00734044" w:rsidRDefault="00734044" w:rsidP="001F1974">
      <w:pPr>
        <w:pStyle w:val="BodyText2"/>
        <w:spacing w:after="0" w:line="360" w:lineRule="auto"/>
        <w:jc w:val="left"/>
      </w:pPr>
      <w:proofErr w:type="gramStart"/>
      <w:r>
        <w:t>OCA MB at 15.</w:t>
      </w:r>
      <w:proofErr w:type="gramEnd"/>
    </w:p>
    <w:p w:rsidR="00734044" w:rsidRDefault="00734044" w:rsidP="001F1974">
      <w:pPr>
        <w:pStyle w:val="BodyText2"/>
        <w:spacing w:after="0" w:line="360" w:lineRule="auto"/>
        <w:contextualSpacing/>
        <w:jc w:val="left"/>
      </w:pPr>
    </w:p>
    <w:p w:rsidR="00734044" w:rsidRDefault="00734044" w:rsidP="001F1974">
      <w:pPr>
        <w:pStyle w:val="BodyText2"/>
        <w:spacing w:after="0" w:line="360" w:lineRule="auto"/>
        <w:contextualSpacing/>
        <w:jc w:val="left"/>
      </w:pPr>
      <w:r>
        <w:tab/>
      </w:r>
      <w:r>
        <w:tab/>
        <w:t xml:space="preserve">OCA argues that this is not a managed portfolio approach but rather "a regularly scheduled procurement of standard products from competitive markets."  </w:t>
      </w:r>
      <w:proofErr w:type="gramStart"/>
      <w:r>
        <w:t>OCA Stmt. 1-S at 4; OCA MB at 15</w:t>
      </w:r>
      <w:r w:rsidR="005C3AC8">
        <w:t>; OCA RB at 5</w:t>
      </w:r>
      <w:r>
        <w:t>.</w:t>
      </w:r>
      <w:proofErr w:type="gramEnd"/>
      <w:r>
        <w:t xml:space="preserve">  The product mix is 75% full requirements contracts and 25% block and spot, adjusted to reflect the latest actual shopping statistics at the time of each solicitation.  This approach was used by PECO Energy, Metropolitan Edison Company, Pennsylvania Ele</w:t>
      </w:r>
      <w:r w:rsidR="00045D8F">
        <w:t>ctric Company and Pennsylvania P</w:t>
      </w:r>
      <w:r>
        <w:t xml:space="preserve">ower Company.  </w:t>
      </w:r>
      <w:proofErr w:type="gramStart"/>
      <w:r>
        <w:t>OCA MB at 16</w:t>
      </w:r>
      <w:r w:rsidR="004B382C">
        <w:t>; OCA RB at 5</w:t>
      </w:r>
      <w:r>
        <w:t>.</w:t>
      </w:r>
      <w:proofErr w:type="gramEnd"/>
    </w:p>
    <w:p w:rsidR="00734044" w:rsidRDefault="00734044" w:rsidP="001F1974">
      <w:pPr>
        <w:pStyle w:val="BodyText2"/>
        <w:spacing w:after="0" w:line="360" w:lineRule="auto"/>
        <w:contextualSpacing/>
        <w:jc w:val="left"/>
      </w:pPr>
    </w:p>
    <w:p w:rsidR="00045D8F" w:rsidRDefault="00045D8F" w:rsidP="001F1974">
      <w:pPr>
        <w:pStyle w:val="BodyText2"/>
        <w:spacing w:after="0" w:line="360" w:lineRule="auto"/>
        <w:contextualSpacing/>
        <w:jc w:val="left"/>
      </w:pPr>
      <w:r>
        <w:tab/>
      </w:r>
      <w:r>
        <w:tab/>
        <w:t xml:space="preserve">The Company responds that it does not have the capability to perform a full range of portfolio management functions, and that the method promoted by OCA requires it if the Company is to achieve the least cost over time, and that the PPL Electric method is designed to do just that.  PPL Electric MB at 24; PPL Electric RB at 13-14.  The Company believes that its reliance on fixed-rate, full-requirements, </w:t>
      </w:r>
      <w:proofErr w:type="gramStart"/>
      <w:r>
        <w:t>load</w:t>
      </w:r>
      <w:proofErr w:type="gramEnd"/>
      <w:r>
        <w:t>-following contracts will avo</w:t>
      </w:r>
      <w:r w:rsidR="00C956B0">
        <w:t>id</w:t>
      </w:r>
      <w:r>
        <w:t xml:space="preserve"> over and under collections caused by inaccurate spot market projections.  PPL Electric RB at 14-15.  </w:t>
      </w:r>
    </w:p>
    <w:p w:rsidR="00C956B0" w:rsidRDefault="00C956B0" w:rsidP="001F1974">
      <w:pPr>
        <w:pStyle w:val="BodyText2"/>
        <w:spacing w:after="0" w:line="360" w:lineRule="auto"/>
        <w:contextualSpacing/>
        <w:jc w:val="left"/>
      </w:pPr>
    </w:p>
    <w:p w:rsidR="004B382C" w:rsidRDefault="004B382C" w:rsidP="001F1974">
      <w:pPr>
        <w:pStyle w:val="BodyText2"/>
        <w:spacing w:after="0" w:line="360" w:lineRule="auto"/>
        <w:contextualSpacing/>
        <w:jc w:val="left"/>
      </w:pPr>
      <w:r>
        <w:tab/>
      </w:r>
      <w:r>
        <w:tab/>
        <w:t xml:space="preserve">OCA responds that its proposal was not intended to require the Company to engage in any additional procedures beyond what is commonly used, and that reconciliations will continue to occur even if block and spot purchase are eliminated.  </w:t>
      </w:r>
      <w:proofErr w:type="gramStart"/>
      <w:r>
        <w:t>OCA RB at 5.</w:t>
      </w:r>
      <w:proofErr w:type="gramEnd"/>
      <w:r>
        <w:t xml:space="preserve">  </w:t>
      </w:r>
    </w:p>
    <w:p w:rsidR="004B382C" w:rsidRDefault="004B382C" w:rsidP="001F1974">
      <w:pPr>
        <w:pStyle w:val="BodyText2"/>
        <w:spacing w:after="0" w:line="360" w:lineRule="auto"/>
        <w:contextualSpacing/>
        <w:jc w:val="left"/>
      </w:pPr>
    </w:p>
    <w:p w:rsidR="004B382C" w:rsidRDefault="004B382C" w:rsidP="001F1974">
      <w:pPr>
        <w:pStyle w:val="BodyText2"/>
        <w:spacing w:after="0" w:line="360" w:lineRule="auto"/>
        <w:contextualSpacing/>
        <w:jc w:val="left"/>
      </w:pPr>
      <w:r>
        <w:tab/>
      </w:r>
      <w:r>
        <w:tab/>
        <w:t>The Company explains that it does not have the capabilities to perform a full range of portfolio management functions</w:t>
      </w:r>
      <w:r w:rsidR="004302EB">
        <w:t>, and there is no evidence to support a finding that it would achieve the least cost over time standard required.  PPL Electric RB at 13-14.</w:t>
      </w:r>
    </w:p>
    <w:p w:rsidR="004B382C" w:rsidRDefault="004B382C" w:rsidP="001F1974">
      <w:pPr>
        <w:pStyle w:val="BodyText2"/>
        <w:spacing w:after="0" w:line="360" w:lineRule="auto"/>
        <w:contextualSpacing/>
        <w:jc w:val="left"/>
      </w:pPr>
    </w:p>
    <w:p w:rsidR="00C956B0" w:rsidRDefault="00C956B0" w:rsidP="001F1974">
      <w:pPr>
        <w:pStyle w:val="BodyText2"/>
        <w:spacing w:after="0" w:line="360" w:lineRule="auto"/>
        <w:contextualSpacing/>
        <w:jc w:val="left"/>
      </w:pPr>
      <w:r>
        <w:tab/>
      </w:r>
      <w:r>
        <w:tab/>
        <w:t>The OCA recommendations are denied for the reasons given by the Company.</w:t>
      </w:r>
    </w:p>
    <w:p w:rsidR="00734044" w:rsidRDefault="00734044" w:rsidP="001F1974">
      <w:pPr>
        <w:pStyle w:val="BodyText2"/>
        <w:spacing w:after="0" w:line="360" w:lineRule="auto"/>
        <w:contextualSpacing/>
        <w:jc w:val="left"/>
      </w:pPr>
    </w:p>
    <w:p w:rsidR="00EB1E86" w:rsidRDefault="00E93DF4" w:rsidP="001F1974">
      <w:pPr>
        <w:pStyle w:val="BodyText2"/>
        <w:spacing w:after="0" w:line="360" w:lineRule="auto"/>
        <w:contextualSpacing/>
        <w:jc w:val="left"/>
      </w:pPr>
      <w:r>
        <w:lastRenderedPageBreak/>
        <w:tab/>
      </w:r>
      <w:r>
        <w:tab/>
        <w:t xml:space="preserve">FES concentrates on the timing of the contracts, criticizing the Company's proposed elimination of the 24 month product as inconsistent with Act 129's least cost standard and price stability objectives and recommending its own portfolio.  FES MB at 13-14.  FES claims that its </w:t>
      </w:r>
      <w:r w:rsidR="00EB1E86">
        <w:t>mix of 12, 15, 18 and 24 month contracts w</w:t>
      </w:r>
      <w:r>
        <w:t>ill keep the PTC relatively stable during a time period when:</w:t>
      </w:r>
    </w:p>
    <w:p w:rsidR="001F1974" w:rsidRDefault="001F1974" w:rsidP="001F1974">
      <w:pPr>
        <w:pStyle w:val="BodyText2"/>
        <w:spacing w:after="0" w:line="240" w:lineRule="auto"/>
        <w:ind w:left="1440" w:right="1440"/>
        <w:jc w:val="left"/>
      </w:pPr>
    </w:p>
    <w:p w:rsidR="004E70C3" w:rsidRDefault="00E93DF4" w:rsidP="001F1974">
      <w:pPr>
        <w:pStyle w:val="BodyText2"/>
        <w:spacing w:after="0" w:line="240" w:lineRule="auto"/>
        <w:ind w:left="1440" w:right="1440"/>
        <w:jc w:val="left"/>
      </w:pPr>
      <w:r>
        <w:t xml:space="preserve">Default service customers will be receiving voluminous information to educate them about shopping and how to evaluate competitive offers, including offers resulting from the proposed Opt-In Program and Referral program.  Significant changes to the default service PTC would add unnecessary complexity for customers during the transitional period. </w:t>
      </w:r>
    </w:p>
    <w:p w:rsidR="00E93DF4" w:rsidRDefault="00E93DF4" w:rsidP="001F1974">
      <w:pPr>
        <w:pStyle w:val="BodyText2"/>
        <w:spacing w:after="0" w:line="360" w:lineRule="auto"/>
        <w:contextualSpacing/>
        <w:jc w:val="left"/>
      </w:pPr>
      <w:proofErr w:type="gramStart"/>
      <w:r>
        <w:t>FES MB at 14.</w:t>
      </w:r>
      <w:proofErr w:type="gramEnd"/>
    </w:p>
    <w:p w:rsidR="00EB1E86" w:rsidRDefault="00EB1E86" w:rsidP="001F1974">
      <w:pPr>
        <w:pStyle w:val="BodyText2"/>
        <w:spacing w:after="0" w:line="360" w:lineRule="auto"/>
        <w:contextualSpacing/>
        <w:jc w:val="left"/>
      </w:pPr>
    </w:p>
    <w:p w:rsidR="00EB1E86" w:rsidRDefault="00EB1E86" w:rsidP="001F1974">
      <w:pPr>
        <w:pStyle w:val="BodyText2"/>
        <w:spacing w:after="0" w:line="360" w:lineRule="auto"/>
        <w:contextualSpacing/>
        <w:jc w:val="left"/>
      </w:pPr>
      <w:r>
        <w:tab/>
      </w:r>
      <w:r>
        <w:tab/>
        <w:t xml:space="preserve">FES argues that contracts of this variety of duration can promote competition, as shown by the success of shopping within the PPL Electric service territory during the DSP I, which utilizes contracts of this length.  Without them, FES states that the Company fails to reach the required "long-term" contract required under Act 129.  FES MB at 14-15.  </w:t>
      </w:r>
    </w:p>
    <w:p w:rsidR="00923C87" w:rsidRDefault="00923C87" w:rsidP="001F1974">
      <w:pPr>
        <w:pStyle w:val="BodyText2"/>
        <w:spacing w:after="0" w:line="360" w:lineRule="auto"/>
        <w:contextualSpacing/>
        <w:jc w:val="left"/>
      </w:pPr>
    </w:p>
    <w:p w:rsidR="00C820DF" w:rsidRDefault="00C820DF" w:rsidP="001F1974">
      <w:pPr>
        <w:pStyle w:val="BodyText2"/>
        <w:spacing w:after="0" w:line="360" w:lineRule="auto"/>
        <w:jc w:val="left"/>
      </w:pPr>
      <w:r>
        <w:tab/>
      </w:r>
      <w:r>
        <w:tab/>
        <w:t xml:space="preserve">The Company agrees that FES’s proposal would result in a product portfolio that is largely similar to that used in the DSP I Program.  As such, PPL Electric believes that FES’s proposal cannot be expected to encourage further develop of retail markets beyond the levels of shopping achieved under the DSP I Program because it will continue to include less market-responsive 24-month contracts.  </w:t>
      </w:r>
      <w:proofErr w:type="gramStart"/>
      <w:r>
        <w:t>(PPL Electric St. 2-R, p. 24).</w:t>
      </w:r>
      <w:proofErr w:type="gramEnd"/>
      <w:r>
        <w:t xml:space="preserve">  </w:t>
      </w:r>
    </w:p>
    <w:p w:rsidR="001F1974" w:rsidRDefault="001F1974" w:rsidP="001F1974">
      <w:pPr>
        <w:pStyle w:val="BodyText2"/>
        <w:spacing w:after="0" w:line="360" w:lineRule="auto"/>
        <w:jc w:val="left"/>
      </w:pPr>
    </w:p>
    <w:p w:rsidR="00C820DF" w:rsidRDefault="00C820DF" w:rsidP="001F1974">
      <w:pPr>
        <w:pStyle w:val="BodyText2"/>
        <w:spacing w:after="0" w:line="240" w:lineRule="auto"/>
        <w:ind w:left="1440" w:right="1440"/>
        <w:jc w:val="left"/>
      </w:pPr>
      <w:r>
        <w:t xml:space="preserve">The result would be a PTC that responds to market conditions more slowly.  To the extent that future market conditions experience an uptick in prices, the slower responsiveness of a portfolio with two-year contracts will tend to result in a PTC that is lower than market prices for some time period, which may not be conducive to encouraging increased shopping.  </w:t>
      </w:r>
      <w:proofErr w:type="gramStart"/>
      <w:r>
        <w:t>(PPL Electric St. 2-R, p. 24).</w:t>
      </w:r>
      <w:proofErr w:type="gramEnd"/>
      <w:r>
        <w:t xml:space="preserve">  It is PPL Electric’s position that FES’s proposal is not sufficiently market-responsive, is not consistent with high level of supply in PPL Electric’s service territory, and therefore should not be adopted.</w:t>
      </w:r>
    </w:p>
    <w:p w:rsidR="00923C87" w:rsidRDefault="00C820DF" w:rsidP="001F1974">
      <w:pPr>
        <w:pStyle w:val="BodyText2"/>
        <w:spacing w:after="0" w:line="360" w:lineRule="auto"/>
        <w:contextualSpacing/>
        <w:jc w:val="left"/>
      </w:pPr>
      <w:r>
        <w:t>PPL Electric MB at 20-21.</w:t>
      </w:r>
    </w:p>
    <w:p w:rsidR="00EB1E86" w:rsidRDefault="00EB1E86" w:rsidP="001F1974">
      <w:pPr>
        <w:pStyle w:val="BodyText2"/>
        <w:spacing w:after="0" w:line="360" w:lineRule="auto"/>
        <w:contextualSpacing/>
        <w:jc w:val="left"/>
      </w:pPr>
    </w:p>
    <w:p w:rsidR="00936767" w:rsidRDefault="00936767" w:rsidP="001F1974">
      <w:pPr>
        <w:pStyle w:val="BodyText2"/>
        <w:spacing w:after="0" w:line="360" w:lineRule="auto"/>
        <w:contextualSpacing/>
        <w:jc w:val="left"/>
      </w:pPr>
      <w:r>
        <w:lastRenderedPageBreak/>
        <w:tab/>
      </w:r>
      <w:r>
        <w:tab/>
        <w:t>The Company's argument that a product portfolio so similar to the DSP I would be unlikely to spur additional shopping is persuasive, and the FES recommendation to maintain the 24-month product should be denied.</w:t>
      </w:r>
    </w:p>
    <w:p w:rsidR="00936767" w:rsidRDefault="00936767" w:rsidP="001F1974">
      <w:pPr>
        <w:pStyle w:val="BodyText2"/>
        <w:spacing w:after="0" w:line="360" w:lineRule="auto"/>
        <w:contextualSpacing/>
        <w:jc w:val="left"/>
      </w:pPr>
    </w:p>
    <w:p w:rsidR="004E70C3" w:rsidRDefault="00F85755" w:rsidP="001F1974">
      <w:pPr>
        <w:pStyle w:val="BodyText2"/>
        <w:spacing w:after="0" w:line="360" w:lineRule="auto"/>
        <w:contextualSpacing/>
        <w:jc w:val="left"/>
      </w:pPr>
      <w:r>
        <w:tab/>
      </w:r>
      <w:r>
        <w:tab/>
        <w:t xml:space="preserve">RESA recommends modifying the Company's plan to include 12-month and quarterly fixed price, full requirements contracts where the percentage of quarterly priced contracts increases over the course of the DSP II, and modifying the Company's proposed semi-annual PTC price changes to maintain the current quarterly changing PTC.  </w:t>
      </w:r>
      <w:proofErr w:type="gramStart"/>
      <w:r>
        <w:t>RESA MB at 14.</w:t>
      </w:r>
      <w:proofErr w:type="gramEnd"/>
      <w:r w:rsidR="00EB1E86">
        <w:t xml:space="preserve"> </w:t>
      </w:r>
    </w:p>
    <w:p w:rsidR="00F85755" w:rsidRDefault="00F85755" w:rsidP="001F1974">
      <w:pPr>
        <w:pStyle w:val="BodyText2"/>
        <w:spacing w:after="0" w:line="360" w:lineRule="auto"/>
        <w:contextualSpacing/>
        <w:jc w:val="left"/>
      </w:pPr>
      <w:r>
        <w:t>RESA states:</w:t>
      </w:r>
    </w:p>
    <w:p w:rsidR="00C64657" w:rsidRDefault="00C64657" w:rsidP="001F1974">
      <w:pPr>
        <w:pStyle w:val="BodyText2"/>
        <w:spacing w:after="0" w:line="360" w:lineRule="auto"/>
        <w:contextualSpacing/>
        <w:jc w:val="left"/>
      </w:pPr>
    </w:p>
    <w:p w:rsidR="00F85755" w:rsidRDefault="00F85755" w:rsidP="001F1974">
      <w:pPr>
        <w:pStyle w:val="BodyText2"/>
        <w:spacing w:after="0" w:line="240" w:lineRule="auto"/>
        <w:ind w:left="1440" w:right="1440"/>
        <w:jc w:val="left"/>
      </w:pPr>
      <w:r>
        <w:t>For the 58.7% of customers who remain on default service, implementing a more market-reflective default service rate (supplemented with the RM</w:t>
      </w:r>
      <w:r w:rsidR="00936767">
        <w:t>I</w:t>
      </w:r>
      <w:r>
        <w:t xml:space="preserve"> initiatives as discussed below) will maximize the transition to a more robust and sustainable competitive retail electricity market.  To that end, the Commission must require PPL to do more to make default service rates more reflective of market prices of energy over time in order to fulfill the statutory requirements of the Competition Act.  Moreover, and as noted, now that the Commission has announced its long term market reforms in its RMI, it should adopt a plan that facilitates a reasonable transition to the quarterly procured three-month contracts that it has announced it intends to utilize starting in 2015.</w:t>
      </w:r>
    </w:p>
    <w:p w:rsidR="00F85755" w:rsidRDefault="00F85755" w:rsidP="00BC1D62">
      <w:pPr>
        <w:pStyle w:val="BodyText2"/>
        <w:spacing w:after="0" w:line="360" w:lineRule="auto"/>
        <w:contextualSpacing/>
        <w:jc w:val="left"/>
      </w:pPr>
      <w:proofErr w:type="gramStart"/>
      <w:r>
        <w:t>RESA MB at 18.</w:t>
      </w:r>
      <w:proofErr w:type="gramEnd"/>
    </w:p>
    <w:p w:rsidR="00C64657" w:rsidRDefault="00C64657" w:rsidP="00BC1D62">
      <w:pPr>
        <w:pStyle w:val="BodyText2"/>
        <w:spacing w:after="0" w:line="360" w:lineRule="auto"/>
        <w:contextualSpacing/>
        <w:jc w:val="left"/>
      </w:pPr>
    </w:p>
    <w:p w:rsidR="00314EFC" w:rsidRDefault="00314EFC" w:rsidP="00BC1D62">
      <w:pPr>
        <w:pStyle w:val="BodyText2"/>
        <w:spacing w:after="0" w:line="360" w:lineRule="auto"/>
        <w:contextualSpacing/>
        <w:jc w:val="left"/>
      </w:pPr>
      <w:r>
        <w:tab/>
      </w:r>
      <w:r>
        <w:tab/>
        <w:t>U</w:t>
      </w:r>
      <w:r w:rsidR="00C820DF">
        <w:t>nder RESA’s proposal, the Company would be purchasing all of the power required for supplying default service customers once every three months</w:t>
      </w:r>
      <w:r>
        <w:t xml:space="preserve"> which, </w:t>
      </w:r>
      <w:r w:rsidR="00C820DF">
        <w:t>PPL Electric</w:t>
      </w:r>
      <w:r>
        <w:t xml:space="preserve"> argues, </w:t>
      </w:r>
      <w:r w:rsidR="00C820DF">
        <w:t xml:space="preserve">would immediately expose residential customers to substantial rate swings and rate instability.  </w:t>
      </w:r>
    </w:p>
    <w:p w:rsidR="00C64657" w:rsidRDefault="00C64657" w:rsidP="001F1974">
      <w:pPr>
        <w:pStyle w:val="BodyText2"/>
        <w:spacing w:after="0" w:line="360" w:lineRule="auto"/>
        <w:jc w:val="left"/>
      </w:pPr>
    </w:p>
    <w:p w:rsidR="00314EFC" w:rsidRDefault="00C820DF" w:rsidP="001F1974">
      <w:pPr>
        <w:pStyle w:val="BodyText2"/>
        <w:spacing w:after="0" w:line="240" w:lineRule="auto"/>
        <w:ind w:left="1440" w:right="1440"/>
        <w:jc w:val="left"/>
      </w:pPr>
      <w:r>
        <w:t xml:space="preserve">PPL Electric considers this to be contrary to the Commission’s recently revised default service regulations in which the Commission considered relative price stability to be an important consideration in implementing default service standards.  </w:t>
      </w:r>
      <w:proofErr w:type="gramStart"/>
      <w:r>
        <w:t>(PPL Electric St. 1-R, p. 8).</w:t>
      </w:r>
      <w:proofErr w:type="gramEnd"/>
      <w:r>
        <w:t xml:space="preserve">  Part of the risk is that, as a greater and greater portion of default service load is served by an unladdered product procured at a single point in time, there is an increased possibility that a solicitation will occur at a time of unusual market conditions.  </w:t>
      </w:r>
      <w:proofErr w:type="gramStart"/>
      <w:r>
        <w:t>(PPL Electric St. 2-R, p. 20).</w:t>
      </w:r>
      <w:proofErr w:type="gramEnd"/>
      <w:r>
        <w:t xml:space="preserve">  </w:t>
      </w:r>
      <w:r>
        <w:rPr>
          <w:i/>
        </w:rPr>
        <w:t xml:space="preserve">See Petition of Direct </w:t>
      </w:r>
      <w:r>
        <w:rPr>
          <w:i/>
        </w:rPr>
        <w:lastRenderedPageBreak/>
        <w:t>Energy Services, LLC for Emergency Order Approving a Retail Aggregation Bidding Program for Customers of Pike County Light &amp; Power Company</w:t>
      </w:r>
      <w:r>
        <w:t xml:space="preserve">, Docket No. P-00062205, 2006 Pa. PUC LEXIS 3; 249 P.U.R.4th 327 (Apr. 20, 2006).  </w:t>
      </w:r>
    </w:p>
    <w:p w:rsidR="00314EFC" w:rsidRDefault="00314EFC" w:rsidP="00C64657">
      <w:pPr>
        <w:pStyle w:val="BodyText2"/>
        <w:spacing w:after="0" w:line="240" w:lineRule="auto"/>
        <w:jc w:val="left"/>
      </w:pPr>
      <w:r>
        <w:t xml:space="preserve">PPL Electric MB at 21-22.  </w:t>
      </w:r>
    </w:p>
    <w:p w:rsidR="00C64657" w:rsidRDefault="00C64657" w:rsidP="00C64657">
      <w:pPr>
        <w:pStyle w:val="BodyText2"/>
        <w:spacing w:after="0" w:line="360" w:lineRule="auto"/>
        <w:jc w:val="left"/>
      </w:pPr>
    </w:p>
    <w:p w:rsidR="00C820DF" w:rsidRDefault="00314EFC" w:rsidP="001F1974">
      <w:pPr>
        <w:pStyle w:val="BodyText2"/>
        <w:spacing w:after="0" w:line="360" w:lineRule="auto"/>
        <w:contextualSpacing/>
        <w:jc w:val="left"/>
      </w:pPr>
      <w:r>
        <w:tab/>
      </w:r>
      <w:r>
        <w:tab/>
      </w:r>
      <w:r w:rsidR="00C820DF">
        <w:t xml:space="preserve">RESA </w:t>
      </w:r>
      <w:r w:rsidR="00936767">
        <w:t xml:space="preserve">has </w:t>
      </w:r>
      <w:r>
        <w:t xml:space="preserve">failed to sustain its burden of proving entitlement to its recommendation.  For the reasons presented by the Company, </w:t>
      </w:r>
      <w:r w:rsidR="00C820DF">
        <w:t xml:space="preserve">RESA’s proposal to move to 3-month full-requirements products for residential customers </w:t>
      </w:r>
      <w:r>
        <w:t>i</w:t>
      </w:r>
      <w:r w:rsidR="00C820DF">
        <w:t>s</w:t>
      </w:r>
      <w:r>
        <w:t xml:space="preserve"> </w:t>
      </w:r>
      <w:r w:rsidR="00C956B0">
        <w:t>denied</w:t>
      </w:r>
      <w:r w:rsidR="00C820DF">
        <w:t xml:space="preserve">.  </w:t>
      </w:r>
    </w:p>
    <w:p w:rsidR="005C3AC8" w:rsidRDefault="005C3AC8" w:rsidP="001F1974">
      <w:pPr>
        <w:pStyle w:val="BodyText2"/>
        <w:spacing w:after="0" w:line="360" w:lineRule="auto"/>
        <w:contextualSpacing/>
        <w:jc w:val="left"/>
      </w:pPr>
    </w:p>
    <w:p w:rsidR="00C956B0" w:rsidRDefault="00314EFC" w:rsidP="001F1974">
      <w:pPr>
        <w:pStyle w:val="BodyText2"/>
        <w:spacing w:after="0" w:line="360" w:lineRule="auto"/>
        <w:contextualSpacing/>
        <w:jc w:val="left"/>
      </w:pPr>
      <w:r>
        <w:tab/>
      </w:r>
      <w:r>
        <w:tab/>
      </w:r>
      <w:r w:rsidR="00C820DF">
        <w:t xml:space="preserve">As an alternative to its proposal to move to 3-month full-requirements products, RESA argues that the Company should continue to purchase spot market products in its default service portfolio.  </w:t>
      </w:r>
      <w:proofErr w:type="gramStart"/>
      <w:r w:rsidR="00C820DF">
        <w:t xml:space="preserve">RESA </w:t>
      </w:r>
      <w:r>
        <w:t>MB at 21</w:t>
      </w:r>
      <w:r w:rsidR="00C820DF">
        <w:t>.</w:t>
      </w:r>
      <w:proofErr w:type="gramEnd"/>
      <w:r w:rsidR="00C820DF">
        <w:t xml:space="preserve">  </w:t>
      </w:r>
    </w:p>
    <w:p w:rsidR="00C956B0" w:rsidRDefault="00C956B0" w:rsidP="001F1974">
      <w:pPr>
        <w:pStyle w:val="BodyText2"/>
        <w:spacing w:after="0" w:line="360" w:lineRule="auto"/>
        <w:contextualSpacing/>
        <w:jc w:val="left"/>
      </w:pPr>
    </w:p>
    <w:p w:rsidR="00F85755" w:rsidRDefault="00314EFC" w:rsidP="00C64657">
      <w:pPr>
        <w:pStyle w:val="BodyText2"/>
        <w:spacing w:after="0" w:line="360" w:lineRule="auto"/>
        <w:contextualSpacing/>
        <w:jc w:val="left"/>
      </w:pPr>
      <w:r>
        <w:tab/>
      </w:r>
      <w:r>
        <w:tab/>
      </w:r>
      <w:r w:rsidR="00C820DF">
        <w:t xml:space="preserve">PPL Electric </w:t>
      </w:r>
      <w:r>
        <w:t>argues that i</w:t>
      </w:r>
      <w:r w:rsidR="00C820DF">
        <w:t>ncluding spot market products in the default service product portfolio requires that the Company make projections of spot prices and load</w:t>
      </w:r>
      <w:r>
        <w:t xml:space="preserve"> for the upcoming PTC period.  </w:t>
      </w:r>
      <w:r w:rsidR="00C820DF">
        <w:t>PPL Electric St</w:t>
      </w:r>
      <w:r w:rsidR="005C3AC8">
        <w:t>mt</w:t>
      </w:r>
      <w:r w:rsidR="00C820DF">
        <w:t>. 2-R</w:t>
      </w:r>
      <w:r w:rsidR="005C3AC8">
        <w:t xml:space="preserve"> at</w:t>
      </w:r>
      <w:r w:rsidR="00C820DF">
        <w:t xml:space="preserve"> 15-16.  </w:t>
      </w:r>
      <w:r>
        <w:t>A</w:t>
      </w:r>
      <w:r w:rsidR="00C820DF">
        <w:t>s future spot market prices cannot be known when determining the PTC</w:t>
      </w:r>
      <w:r>
        <w:t xml:space="preserve">, see </w:t>
      </w:r>
      <w:r w:rsidR="00C820DF">
        <w:t>Tr. 208-209</w:t>
      </w:r>
      <w:r>
        <w:t>, then</w:t>
      </w:r>
      <w:r w:rsidR="00C820DF">
        <w:t xml:space="preserve"> actual spot market prices </w:t>
      </w:r>
      <w:r>
        <w:t>will</w:t>
      </w:r>
      <w:r w:rsidR="00C820DF">
        <w:t xml:space="preserve"> be different than the price forecast for spot market products, the result will be to create additional E</w:t>
      </w:r>
      <w:r w:rsidR="00C820DF">
        <w:noBreakHyphen/>
        <w:t xml:space="preserve">factor adjustments in subsequent PTCs, which can </w:t>
      </w:r>
      <w:r>
        <w:t>distance</w:t>
      </w:r>
      <w:r w:rsidR="00C820DF">
        <w:t xml:space="preserve"> the PTC from relevant market prices as the PTC varies, either up or down, from underlying def</w:t>
      </w:r>
      <w:r>
        <w:t xml:space="preserve">ault service contract prices.  </w:t>
      </w:r>
      <w:r w:rsidR="00C820DF">
        <w:t>PPL Electric St</w:t>
      </w:r>
      <w:r w:rsidR="005C3AC8">
        <w:t>mt</w:t>
      </w:r>
      <w:r w:rsidR="00C820DF">
        <w:t>. 2-R,</w:t>
      </w:r>
      <w:r w:rsidR="005C3AC8">
        <w:t xml:space="preserve"> at </w:t>
      </w:r>
      <w:r w:rsidR="00C820DF">
        <w:t>15-16; OSBA St</w:t>
      </w:r>
      <w:r w:rsidR="005C3AC8">
        <w:t>mt</w:t>
      </w:r>
      <w:r w:rsidR="00C820DF">
        <w:t>. 1</w:t>
      </w:r>
      <w:r w:rsidR="005C3AC8">
        <w:t xml:space="preserve"> at</w:t>
      </w:r>
      <w:r w:rsidR="00C820DF">
        <w:t xml:space="preserve"> 5</w:t>
      </w:r>
      <w:r w:rsidR="005C3AC8">
        <w:t>;</w:t>
      </w:r>
      <w:r w:rsidR="00C956B0">
        <w:t xml:space="preserve"> </w:t>
      </w:r>
      <w:r w:rsidR="00C820DF">
        <w:t>PPL Electric MB at 21-22.</w:t>
      </w:r>
    </w:p>
    <w:p w:rsidR="00C956B0" w:rsidRDefault="00C956B0" w:rsidP="00C64657">
      <w:pPr>
        <w:pStyle w:val="BodyText2"/>
        <w:spacing w:after="0" w:line="360" w:lineRule="auto"/>
        <w:contextualSpacing/>
        <w:jc w:val="left"/>
      </w:pPr>
    </w:p>
    <w:p w:rsidR="00C956B0" w:rsidRDefault="00C956B0" w:rsidP="00C64657">
      <w:pPr>
        <w:pStyle w:val="BodyText2"/>
        <w:spacing w:after="0" w:line="360" w:lineRule="auto"/>
        <w:contextualSpacing/>
        <w:jc w:val="left"/>
      </w:pPr>
      <w:r>
        <w:tab/>
      </w:r>
      <w:r>
        <w:tab/>
        <w:t>For the reasons expressed by the Company, the RESA recommendations</w:t>
      </w:r>
      <w:r w:rsidR="00936767">
        <w:t xml:space="preserve"> should be</w:t>
      </w:r>
      <w:r>
        <w:t xml:space="preserve"> denied.</w:t>
      </w:r>
    </w:p>
    <w:p w:rsidR="00F85755" w:rsidRDefault="00F85755" w:rsidP="00C64657">
      <w:pPr>
        <w:pStyle w:val="BodyText2"/>
        <w:spacing w:after="0" w:line="360" w:lineRule="auto"/>
        <w:jc w:val="left"/>
      </w:pPr>
    </w:p>
    <w:p w:rsidR="00ED39CD" w:rsidRDefault="00C956B0" w:rsidP="00C64657">
      <w:pPr>
        <w:pStyle w:val="BodyText2"/>
        <w:spacing w:after="0" w:line="360" w:lineRule="auto"/>
        <w:jc w:val="left"/>
      </w:pPr>
      <w:r>
        <w:tab/>
      </w:r>
      <w:r>
        <w:tab/>
      </w:r>
      <w:r w:rsidR="00CA4094">
        <w:t>PPL Electric</w:t>
      </w:r>
      <w:r>
        <w:t xml:space="preserve"> avers that it</w:t>
      </w:r>
      <w:r w:rsidR="00CA4094">
        <w:t>s procurement</w:t>
      </w:r>
      <w:r>
        <w:t xml:space="preserve"> plan</w:t>
      </w:r>
      <w:r w:rsidR="00CA4094">
        <w:t xml:space="preserve"> satisfies Act 129’s requirements to obtain a prudent mix of supplies that insures </w:t>
      </w:r>
      <w:r w:rsidR="005C3AC8">
        <w:t>the</w:t>
      </w:r>
      <w:r w:rsidR="00CA4094">
        <w:t xml:space="preserve"> least cost over time</w:t>
      </w:r>
      <w:r w:rsidR="00ED39CD">
        <w:t>:</w:t>
      </w:r>
    </w:p>
    <w:p w:rsidR="00C64657" w:rsidRDefault="00C64657" w:rsidP="00C64657">
      <w:pPr>
        <w:pStyle w:val="BodyText2"/>
        <w:spacing w:after="0" w:line="360" w:lineRule="auto"/>
        <w:jc w:val="left"/>
      </w:pPr>
    </w:p>
    <w:p w:rsidR="00CA4094" w:rsidRDefault="005C6053" w:rsidP="001F1974">
      <w:pPr>
        <w:pStyle w:val="BodyText2"/>
        <w:spacing w:after="0" w:line="240" w:lineRule="auto"/>
        <w:ind w:left="1440" w:right="1440"/>
        <w:jc w:val="left"/>
      </w:pPr>
      <w:r>
        <w:tab/>
      </w:r>
      <w:r w:rsidR="00ED39CD">
        <w:t>PPL Electric's</w:t>
      </w:r>
      <w:r w:rsidR="00CA4094">
        <w:t xml:space="preserve"> reliance on shorter term, fixed-price, full-requirements, load-following products, with block supplies providing about 15-20% of customer requirements, will provide the benefit of reasonable price stability while tracking ongoing changes in wholesale electricity market prices.  </w:t>
      </w:r>
      <w:proofErr w:type="gramStart"/>
      <w:r w:rsidR="00CA4094">
        <w:t>(PPL Electric St. 1-</w:t>
      </w:r>
      <w:r w:rsidR="00CA4094">
        <w:lastRenderedPageBreak/>
        <w:t>R, pp. 7-10).</w:t>
      </w:r>
      <w:proofErr w:type="gramEnd"/>
      <w:r w:rsidR="00CA4094">
        <w:t xml:space="preserve">  The proposed product mix will continue to promote development of retail competition while protecting against extreme price volatility.  The products being purchased are well known throughout the industry, and past experience demonstrates that one-year fixed-price, full-requirements, load-following products can be competitively procured by PPL Electric.  </w:t>
      </w:r>
      <w:proofErr w:type="gramStart"/>
      <w:r w:rsidR="00CA4094">
        <w:t>(PPL Electric St. 2, p. 29).</w:t>
      </w:r>
      <w:proofErr w:type="gramEnd"/>
      <w:r w:rsidR="00CA4094">
        <w:t xml:space="preserve">  </w:t>
      </w:r>
    </w:p>
    <w:p w:rsidR="00C64657" w:rsidRDefault="00C64657" w:rsidP="001F1974">
      <w:pPr>
        <w:pStyle w:val="BodyText2"/>
        <w:spacing w:after="0" w:line="240" w:lineRule="auto"/>
        <w:ind w:left="1440" w:right="1440"/>
        <w:jc w:val="left"/>
      </w:pPr>
    </w:p>
    <w:p w:rsidR="00CA4094" w:rsidRDefault="005C6053" w:rsidP="001F1974">
      <w:pPr>
        <w:pStyle w:val="BodyText2"/>
        <w:spacing w:after="0" w:line="240" w:lineRule="auto"/>
        <w:ind w:left="1440" w:right="1440"/>
        <w:jc w:val="left"/>
      </w:pPr>
      <w:r>
        <w:tab/>
      </w:r>
      <w:r w:rsidR="00CA4094">
        <w:t xml:space="preserve">The use of fixed-price, full-requirements, </w:t>
      </w:r>
      <w:proofErr w:type="gramStart"/>
      <w:r w:rsidR="00CA4094">
        <w:t>load</w:t>
      </w:r>
      <w:proofErr w:type="gramEnd"/>
      <w:r w:rsidR="00CA4094">
        <w:t>-following products also has resulted in reasonable prices for customers while encouraging retail competition.  PPL Electric witness Cavicchi presented calculations to demonstrate that the prices obtained for the various fixed-price, full-requirements, load-following products serving the residential class were consistent with, and likely less expensive than, a cost buildup that totaled the estimated costs of each of the major components of the full requirement product obtained separately.</w:t>
      </w:r>
      <w:r w:rsidR="00CA4094">
        <w:rPr>
          <w:rStyle w:val="FootnoteReference"/>
        </w:rPr>
        <w:footnoteReference w:id="5"/>
      </w:r>
      <w:r w:rsidR="00CA4094">
        <w:t xml:space="preserve">  On average, across the auction solicitations, the fixed-price, full-requirements, load-following product prices, which include all costs plus margin, were only slightly higher than the cost buildup, by roughly $1.10 per megawatt hour for the residential customer group.  This demonstrates that default service pricing based on the auction procurement of fixed-price, full-requirements, </w:t>
      </w:r>
      <w:proofErr w:type="gramStart"/>
      <w:r w:rsidR="00CA4094">
        <w:t>load</w:t>
      </w:r>
      <w:proofErr w:type="gramEnd"/>
      <w:r w:rsidR="00CA4094">
        <w:t xml:space="preserve">-following products has been competitive and consistent with market conditions.  </w:t>
      </w:r>
      <w:proofErr w:type="gramStart"/>
      <w:r w:rsidR="00CA4094">
        <w:t>(PPL Electric St. 2, p. 31).</w:t>
      </w:r>
      <w:proofErr w:type="gramEnd"/>
      <w:r w:rsidR="00CA4094">
        <w:t xml:space="preserve">  Moreover, if overhead, risk management and profit margins were included in the cost buildup, Mr. Cavicchi estimates that this would increase the cost buildup in the range $3 to $10 per megawatt hour, providing further demonstration that the fixed-price, full-requirements, load-following contracts are a prudent product supply.  </w:t>
      </w:r>
      <w:proofErr w:type="gramStart"/>
      <w:r w:rsidR="00CA4094">
        <w:t>(PPL Electric St. 2, p. 32).</w:t>
      </w:r>
      <w:proofErr w:type="gramEnd"/>
    </w:p>
    <w:p w:rsidR="00ED39CD" w:rsidRDefault="00ED39CD" w:rsidP="00C64657">
      <w:pPr>
        <w:pStyle w:val="BodyText2"/>
        <w:spacing w:after="0" w:line="240" w:lineRule="auto"/>
        <w:jc w:val="left"/>
      </w:pPr>
      <w:proofErr w:type="gramStart"/>
      <w:r>
        <w:t>PPL Electric MB at 18.</w:t>
      </w:r>
      <w:proofErr w:type="gramEnd"/>
    </w:p>
    <w:p w:rsidR="00C64657" w:rsidRDefault="00C64657" w:rsidP="00C64657">
      <w:pPr>
        <w:pStyle w:val="BodyText2"/>
        <w:spacing w:after="0" w:line="360" w:lineRule="auto"/>
        <w:jc w:val="left"/>
      </w:pPr>
    </w:p>
    <w:p w:rsidR="00CA4094" w:rsidRDefault="00ED39CD" w:rsidP="001F1974">
      <w:pPr>
        <w:pStyle w:val="BodyText2"/>
        <w:spacing w:after="0" w:line="360" w:lineRule="auto"/>
        <w:contextualSpacing/>
        <w:jc w:val="left"/>
      </w:pPr>
      <w:r>
        <w:tab/>
      </w:r>
      <w:r>
        <w:tab/>
        <w:t xml:space="preserve">To </w:t>
      </w:r>
      <w:r w:rsidR="00CA4094">
        <w:t>support the conclusion that PPL Electric’s proposed DSP II procurement plan meets the least cost over time standard</w:t>
      </w:r>
      <w:r>
        <w:t xml:space="preserve">, the Company argues that a policy objective under Act 129 </w:t>
      </w:r>
      <w:r w:rsidR="00CA4094">
        <w:t>is to</w:t>
      </w:r>
      <w:r>
        <w:t>:  (1)</w:t>
      </w:r>
      <w:r w:rsidR="00CA4094">
        <w:t xml:space="preserve"> protect default service customers, over time, from the potentially costly risk that could arise from the absence of laddered supplies and from </w:t>
      </w:r>
      <w:r>
        <w:t xml:space="preserve">contracts with too short a term, </w:t>
      </w:r>
      <w:r w:rsidR="00CA4094">
        <w:t>PPL Electric St</w:t>
      </w:r>
      <w:r>
        <w:t>mt</w:t>
      </w:r>
      <w:r w:rsidR="00CA4094">
        <w:t>. 2</w:t>
      </w:r>
      <w:r>
        <w:t xml:space="preserve"> at</w:t>
      </w:r>
      <w:r w:rsidR="00CA4094">
        <w:t xml:space="preserve"> 37; PPL Electric St</w:t>
      </w:r>
      <w:r w:rsidR="004302EB">
        <w:t>mt</w:t>
      </w:r>
      <w:r w:rsidR="00CA4094">
        <w:t>. 2-R</w:t>
      </w:r>
      <w:r w:rsidR="004302EB">
        <w:t xml:space="preserve"> at</w:t>
      </w:r>
      <w:r w:rsidR="00CA4094">
        <w:t xml:space="preserve"> 22</w:t>
      </w:r>
      <w:r>
        <w:t>; and (2)</w:t>
      </w:r>
      <w:r w:rsidR="00CA4094">
        <w:t xml:space="preserve"> support retail competition through default service rates that reasonably track changes in wholesale electric prices</w:t>
      </w:r>
      <w:r>
        <w:t xml:space="preserve">. </w:t>
      </w:r>
      <w:proofErr w:type="gramStart"/>
      <w:r w:rsidR="00CA4094">
        <w:t>PPL Electric St</w:t>
      </w:r>
      <w:r>
        <w:t>mt</w:t>
      </w:r>
      <w:r w:rsidR="00CA4094">
        <w:t>. 2</w:t>
      </w:r>
      <w:r>
        <w:t xml:space="preserve"> at</w:t>
      </w:r>
      <w:r w:rsidR="00CA4094">
        <w:t xml:space="preserve"> 37.</w:t>
      </w:r>
      <w:proofErr w:type="gramEnd"/>
      <w:r w:rsidR="00CA4094">
        <w:t xml:space="preserve">  The</w:t>
      </w:r>
      <w:r>
        <w:t xml:space="preserve"> expectation is that </w:t>
      </w:r>
      <w:r w:rsidR="00CA4094">
        <w:t xml:space="preserve">procurement of 9-month and 12-month laddered contracts </w:t>
      </w:r>
      <w:r w:rsidR="00CA4094">
        <w:lastRenderedPageBreak/>
        <w:t>will encourage non-shopping customers to consider offers from EGSs, as default service pri</w:t>
      </w:r>
      <w:r>
        <w:t xml:space="preserve">ces move with market changes.  </w:t>
      </w:r>
      <w:proofErr w:type="gramStart"/>
      <w:r w:rsidR="00CA4094">
        <w:t>PPL Electric St</w:t>
      </w:r>
      <w:r>
        <w:t>mt</w:t>
      </w:r>
      <w:r w:rsidR="00CA4094">
        <w:t>. 2</w:t>
      </w:r>
      <w:r>
        <w:t xml:space="preserve"> at</w:t>
      </w:r>
      <w:r w:rsidR="00CA4094">
        <w:t xml:space="preserve"> 34.</w:t>
      </w:r>
      <w:proofErr w:type="gramEnd"/>
      <w:r w:rsidR="00CA4094">
        <w:t xml:space="preserve">  </w:t>
      </w:r>
      <w:r>
        <w:t>Further, b</w:t>
      </w:r>
      <w:r w:rsidR="00CA4094">
        <w:t>y obtaining default service supplies through competitive solicitations, undertaken in the form of an auction, PPL Electric is always able to obtain default supplies at the lowest possible cost for the product</w:t>
      </w:r>
      <w:r>
        <w:t xml:space="preserve"> being procured at that time.  </w:t>
      </w:r>
      <w:r w:rsidR="00CA4094">
        <w:t>PPL Electric St</w:t>
      </w:r>
      <w:r>
        <w:t>mt</w:t>
      </w:r>
      <w:r w:rsidR="00CA4094">
        <w:t>.</w:t>
      </w:r>
      <w:r>
        <w:t xml:space="preserve"> at</w:t>
      </w:r>
      <w:r w:rsidR="00CA4094">
        <w:t xml:space="preserve"> p. 38.</w:t>
      </w:r>
      <w:r>
        <w:t xml:space="preserve">  </w:t>
      </w:r>
      <w:proofErr w:type="gramStart"/>
      <w:r>
        <w:t>PPL Electric MB at 16.</w:t>
      </w:r>
      <w:proofErr w:type="gramEnd"/>
    </w:p>
    <w:p w:rsidR="00936767" w:rsidRDefault="00936767" w:rsidP="001F1974">
      <w:pPr>
        <w:pStyle w:val="BodyText2"/>
        <w:spacing w:after="0" w:line="360" w:lineRule="auto"/>
        <w:contextualSpacing/>
        <w:jc w:val="left"/>
      </w:pPr>
    </w:p>
    <w:p w:rsidR="00EC0A53" w:rsidRDefault="00EC0A53" w:rsidP="00FF18D0">
      <w:pPr>
        <w:pStyle w:val="BodyText2"/>
        <w:spacing w:after="0" w:line="360" w:lineRule="auto"/>
        <w:contextualSpacing/>
        <w:jc w:val="left"/>
      </w:pPr>
      <w:r>
        <w:tab/>
      </w:r>
      <w:r>
        <w:tab/>
      </w:r>
      <w:r w:rsidR="00CA4094">
        <w:t xml:space="preserve">OCA also has offered </w:t>
      </w:r>
      <w:r>
        <w:t xml:space="preserve">an </w:t>
      </w:r>
      <w:r w:rsidR="00CA4094">
        <w:t>alternative default service procuremen</w:t>
      </w:r>
      <w:r>
        <w:t>t proposal</w:t>
      </w:r>
      <w:r w:rsidR="00CA4094">
        <w:t xml:space="preserve"> that </w:t>
      </w:r>
      <w:r>
        <w:t>stems from</w:t>
      </w:r>
      <w:r w:rsidR="00CA4094">
        <w:t xml:space="preserve"> its concerns that wholesale suppliers participating in default service solicitations will recognize additional uncertainty associated with default service customers electing to take supply from EGSs under the Retail Opt</w:t>
      </w:r>
      <w:r w:rsidR="00CA4094">
        <w:noBreakHyphen/>
        <w:t xml:space="preserve">In Program.  </w:t>
      </w:r>
      <w:proofErr w:type="gramStart"/>
      <w:r w:rsidR="00CA4094">
        <w:t>OCA St</w:t>
      </w:r>
      <w:r>
        <w:t>mt</w:t>
      </w:r>
      <w:r w:rsidR="00CA4094">
        <w:t>. 1</w:t>
      </w:r>
      <w:r>
        <w:t xml:space="preserve"> at </w:t>
      </w:r>
      <w:r w:rsidR="00CA4094">
        <w:t>20-22</w:t>
      </w:r>
      <w:r>
        <w:t>; OCA RB at 7</w:t>
      </w:r>
      <w:r w:rsidR="00CA4094">
        <w:t>.</w:t>
      </w:r>
      <w:proofErr w:type="gramEnd"/>
      <w:r w:rsidR="00CA4094">
        <w:t xml:space="preserve">  </w:t>
      </w:r>
      <w:r>
        <w:t xml:space="preserve">In the alternative proposal, the DSP II should include (1) quarterly procurements of 12-month assignable contracts that extend beyond May 31, 2015; (2) an aggregate supplier load cap of 50%; and (3) semi-annual PTC changes and rolling average reconciliations.  The objective is to transition to quarterly procurements for 12 month contracts for approximately 25% of default service obligations.  </w:t>
      </w:r>
      <w:proofErr w:type="gramStart"/>
      <w:r>
        <w:t>OCA RB at 7.</w:t>
      </w:r>
      <w:proofErr w:type="gramEnd"/>
    </w:p>
    <w:p w:rsidR="00EC0A53" w:rsidRDefault="00EC0A53" w:rsidP="00FF18D0">
      <w:pPr>
        <w:pStyle w:val="BodyText2"/>
        <w:spacing w:after="0" w:line="360" w:lineRule="auto"/>
        <w:contextualSpacing/>
        <w:jc w:val="left"/>
      </w:pPr>
    </w:p>
    <w:p w:rsidR="00EC0A53" w:rsidRDefault="00EC0A53" w:rsidP="00FF18D0">
      <w:pPr>
        <w:pStyle w:val="BodyText2"/>
        <w:spacing w:after="0" w:line="360" w:lineRule="auto"/>
        <w:contextualSpacing/>
        <w:jc w:val="left"/>
      </w:pPr>
      <w:r>
        <w:tab/>
      </w:r>
      <w:r>
        <w:tab/>
        <w:t>The Company does not agree:</w:t>
      </w:r>
    </w:p>
    <w:p w:rsidR="00C64657" w:rsidRDefault="00C64657" w:rsidP="00FF18D0">
      <w:pPr>
        <w:pStyle w:val="BodyText2"/>
        <w:spacing w:after="0" w:line="360" w:lineRule="auto"/>
        <w:contextualSpacing/>
        <w:jc w:val="left"/>
      </w:pPr>
    </w:p>
    <w:p w:rsidR="00C62F39" w:rsidRDefault="00EC0A53" w:rsidP="001F1974">
      <w:pPr>
        <w:pStyle w:val="BodyText2"/>
        <w:spacing w:after="0" w:line="240" w:lineRule="auto"/>
        <w:ind w:left="1440" w:right="1440"/>
        <w:jc w:val="left"/>
      </w:pPr>
      <w:r>
        <w:tab/>
      </w:r>
      <w:r w:rsidR="00CA4094">
        <w:t xml:space="preserve">OCA’s alternatives would “set aside” the procurement of a portion of the full-requirements, load-following products until after the results of the Retail Opt-In Program are known.  Depending upon the results of the Opt-In Program, some portion of the “set aside” load would be procured with spot supplies.  There are several flaws with these proposals.  First, they may increase the amount of supplies procured at spot prices, thereby adding to reconciliation adjustments that cause the PTC to vary from market price.  </w:t>
      </w:r>
      <w:proofErr w:type="gramStart"/>
      <w:r w:rsidR="00CA4094">
        <w:t>(PPL Electric St. 2-R, p. 29).</w:t>
      </w:r>
      <w:proofErr w:type="gramEnd"/>
      <w:r w:rsidR="00CA4094">
        <w:t xml:space="preserve">  Second, OCA’s proposal fails to take into account the nature of the full-requirements, load-following contracts that PPL Electric has with wholesale suppliers.  Full-requirements, load-following contract suppliers are committed to serve a set percentage of </w:t>
      </w:r>
      <w:proofErr w:type="gramStart"/>
      <w:r w:rsidR="00CA4094">
        <w:t>load</w:t>
      </w:r>
      <w:proofErr w:type="gramEnd"/>
      <w:r w:rsidR="00CA4094">
        <w:t xml:space="preserve"> (not otherwise met by block supplies).  OCA’s proposals would change that construct, with the result that the contracted percentage of load provided by a supplier would need to change to meet a target amount of load, rather than a percentage of load.  </w:t>
      </w:r>
      <w:proofErr w:type="gramStart"/>
      <w:r w:rsidR="00CA4094">
        <w:t>(OCA Ex. RSH-7).</w:t>
      </w:r>
      <w:proofErr w:type="gramEnd"/>
      <w:r w:rsidR="00CA4094">
        <w:t xml:space="preserve">  OCA has offered no </w:t>
      </w:r>
    </w:p>
    <w:p w:rsidR="007325FF" w:rsidRDefault="007325FF" w:rsidP="001F1974">
      <w:pPr>
        <w:pStyle w:val="BodyText2"/>
        <w:spacing w:after="0" w:line="240" w:lineRule="auto"/>
        <w:ind w:left="1440" w:right="1440"/>
        <w:jc w:val="left"/>
      </w:pPr>
      <w:r>
        <w:br w:type="page"/>
      </w:r>
    </w:p>
    <w:p w:rsidR="00CA4094" w:rsidRDefault="00CA4094" w:rsidP="001F1974">
      <w:pPr>
        <w:pStyle w:val="BodyText2"/>
        <w:spacing w:after="0" w:line="240" w:lineRule="auto"/>
        <w:ind w:left="1440" w:right="1440"/>
        <w:jc w:val="left"/>
      </w:pPr>
      <w:proofErr w:type="gramStart"/>
      <w:r>
        <w:lastRenderedPageBreak/>
        <w:t>explanation</w:t>
      </w:r>
      <w:proofErr w:type="gramEnd"/>
      <w:r>
        <w:t xml:space="preserve"> of how a supplier’s contract should be modified to accomplish this post-solicitation modification of transaction confirmations.  </w:t>
      </w:r>
      <w:proofErr w:type="gramStart"/>
      <w:r>
        <w:t>(PPL Electric St. 2-R, p. 30).</w:t>
      </w:r>
      <w:proofErr w:type="gramEnd"/>
      <w:r>
        <w:t xml:space="preserve">  OCA’s alternative proposals also should be rejected.</w:t>
      </w:r>
      <w:r>
        <w:rPr>
          <w:rStyle w:val="FootnoteReference"/>
        </w:rPr>
        <w:footnoteReference w:id="6"/>
      </w:r>
    </w:p>
    <w:p w:rsidR="00EC0A53" w:rsidRDefault="00EC0A53" w:rsidP="00C62F39">
      <w:pPr>
        <w:pStyle w:val="BodyText2"/>
        <w:spacing w:after="0" w:line="240" w:lineRule="auto"/>
        <w:jc w:val="left"/>
      </w:pPr>
      <w:r>
        <w:t>PPL Electric MB at 23-24; PPL Electric RB at 12-15.</w:t>
      </w:r>
    </w:p>
    <w:p w:rsidR="00C62F39" w:rsidRDefault="00C62F39" w:rsidP="00C62F39">
      <w:pPr>
        <w:pStyle w:val="BodyText2"/>
        <w:spacing w:after="0" w:line="360" w:lineRule="auto"/>
        <w:jc w:val="left"/>
      </w:pPr>
    </w:p>
    <w:p w:rsidR="00CA4094" w:rsidRDefault="00EC0A53" w:rsidP="00C62F39">
      <w:pPr>
        <w:pStyle w:val="BodyText2"/>
        <w:spacing w:after="0" w:line="360" w:lineRule="auto"/>
        <w:contextualSpacing/>
        <w:jc w:val="left"/>
      </w:pPr>
      <w:r>
        <w:tab/>
      </w:r>
      <w:r>
        <w:tab/>
        <w:t xml:space="preserve">The Company proposes </w:t>
      </w:r>
      <w:r w:rsidR="00CA4094">
        <w:t>a simplified product mix that supports an appropriate balance between market reflective prices and price stability.  PPL Electric’s proposed product mix will “allow the influence of changing market prices to be reflected in the rates while still providing fairly stable rates over the default service period.”  Dominion St</w:t>
      </w:r>
      <w:r>
        <w:t>mt</w:t>
      </w:r>
      <w:r w:rsidR="00CA4094">
        <w:t>. 1</w:t>
      </w:r>
      <w:r>
        <w:t xml:space="preserve"> at</w:t>
      </w:r>
      <w:r w:rsidR="00CA4094">
        <w:t xml:space="preserve"> 3-4.  </w:t>
      </w:r>
      <w:r>
        <w:t>The Company points out support in the</w:t>
      </w:r>
      <w:r w:rsidR="00CA4094">
        <w:t xml:space="preserve"> Commission</w:t>
      </w:r>
      <w:r>
        <w:t xml:space="preserve">'s own words </w:t>
      </w:r>
      <w:r w:rsidR="00CA4094">
        <w:t>in adopting revised default service regulations:</w:t>
      </w:r>
    </w:p>
    <w:p w:rsidR="00C64657" w:rsidRDefault="00C64657" w:rsidP="001F1974">
      <w:pPr>
        <w:pStyle w:val="BodyText2"/>
        <w:spacing w:after="0" w:line="360" w:lineRule="auto"/>
        <w:contextualSpacing/>
        <w:jc w:val="left"/>
      </w:pPr>
    </w:p>
    <w:p w:rsidR="00CA4094" w:rsidRDefault="00CA4094" w:rsidP="001F1974">
      <w:pPr>
        <w:pStyle w:val="BlockText"/>
        <w:spacing w:after="0" w:line="240" w:lineRule="auto"/>
        <w:jc w:val="left"/>
      </w:pPr>
      <w:r>
        <w:t>In implementing default service standards, the Commission must be concerned about rate stability as well as other considerations such as insuring a “prudent mix” of supply and insuring safe and reliable service.  In our view a default service plan that meets the “least cost over time” standard should not have, as its singular focus, the achievement of the absolute lowest cost over the default service plan timeframe, but rather a cost for power that is both relatively stable and also economical relative to other options.  In this regard we agree with those points raised by both PECO and PPL.  To reiterate our prior point, the “least cost over time” standard should not be viewed as synonymous with maximizing market time and benefits at the expense of price stability and economy.</w:t>
      </w:r>
      <w:r>
        <w:rPr>
          <w:rStyle w:val="FootnoteReference"/>
        </w:rPr>
        <w:footnoteReference w:id="7"/>
      </w:r>
    </w:p>
    <w:p w:rsidR="00C64657" w:rsidRDefault="00C64657" w:rsidP="00C62F39">
      <w:pPr>
        <w:pStyle w:val="BlockText"/>
        <w:spacing w:after="0"/>
        <w:jc w:val="left"/>
      </w:pPr>
    </w:p>
    <w:p w:rsidR="00CA4094" w:rsidRDefault="005C6053" w:rsidP="001F1974">
      <w:pPr>
        <w:pStyle w:val="BodyText2"/>
        <w:spacing w:after="0" w:line="360" w:lineRule="auto"/>
        <w:contextualSpacing/>
        <w:jc w:val="left"/>
      </w:pPr>
      <w:r>
        <w:tab/>
      </w:r>
      <w:r>
        <w:tab/>
      </w:r>
      <w:r w:rsidR="00CA4094">
        <w:t>PPL Electric’s proposed product procurement for the residential class is superior to the other proposals set forth in this proceeding as it strikes an appropriate balance between being market reflective and providing a level of price stability for default service customers.  PPL Electric’s proposed residential product mix should be adopted.</w:t>
      </w:r>
      <w:r w:rsidR="00CD5BDB">
        <w:t xml:space="preserve">  PPL Electric MB at 25-26.</w:t>
      </w:r>
    </w:p>
    <w:p w:rsidR="00CA4094" w:rsidRDefault="00CA4094" w:rsidP="00C64657">
      <w:pPr>
        <w:jc w:val="left"/>
      </w:pPr>
    </w:p>
    <w:p w:rsidR="00CA4094" w:rsidRDefault="00C62F39" w:rsidP="00C62F39">
      <w:pPr>
        <w:pStyle w:val="Heading5"/>
        <w:keepNext/>
        <w:numPr>
          <w:ilvl w:val="0"/>
          <w:numId w:val="0"/>
        </w:numPr>
        <w:spacing w:after="0"/>
        <w:ind w:left="2160"/>
        <w:jc w:val="left"/>
      </w:pPr>
      <w:bookmarkStart w:id="12" w:name="_Toc337196639"/>
      <w:proofErr w:type="gramStart"/>
      <w:r>
        <w:lastRenderedPageBreak/>
        <w:t>ii.</w:t>
      </w:r>
      <w:r>
        <w:tab/>
      </w:r>
      <w:r w:rsidR="00CA4094">
        <w:t>Procurement</w:t>
      </w:r>
      <w:proofErr w:type="gramEnd"/>
      <w:r w:rsidR="00CA4094">
        <w:t xml:space="preserve"> Schedule</w:t>
      </w:r>
      <w:bookmarkEnd w:id="12"/>
      <w:r w:rsidR="00FF18D0">
        <w:fldChar w:fldCharType="begin"/>
      </w:r>
      <w:r w:rsidR="00FF18D0">
        <w:instrText xml:space="preserve"> TC "</w:instrText>
      </w:r>
      <w:bookmarkStart w:id="13" w:name="_Toc340669989"/>
      <w:r w:rsidR="00FF18D0" w:rsidRPr="009B7B20">
        <w:instrText>ii.</w:instrText>
      </w:r>
      <w:r w:rsidR="00FF18D0" w:rsidRPr="009B7B20">
        <w:tab/>
        <w:instrText>Procurement Schedule</w:instrText>
      </w:r>
      <w:bookmarkEnd w:id="13"/>
      <w:r w:rsidR="00FF18D0">
        <w:instrText xml:space="preserve">" \f C \l "5" </w:instrText>
      </w:r>
      <w:r w:rsidR="00FF18D0">
        <w:fldChar w:fldCharType="end"/>
      </w:r>
    </w:p>
    <w:p w:rsidR="00C64657" w:rsidRPr="00C64657" w:rsidRDefault="00C64657" w:rsidP="00C62F39">
      <w:pPr>
        <w:pStyle w:val="BodyText2"/>
        <w:spacing w:after="0" w:line="360" w:lineRule="auto"/>
      </w:pPr>
    </w:p>
    <w:p w:rsidR="00CA4094" w:rsidRDefault="00381F33" w:rsidP="00C62F39">
      <w:pPr>
        <w:pStyle w:val="BodyText2"/>
        <w:spacing w:after="0" w:line="360" w:lineRule="auto"/>
        <w:contextualSpacing/>
        <w:jc w:val="left"/>
      </w:pPr>
      <w:r>
        <w:tab/>
      </w:r>
      <w:r>
        <w:tab/>
      </w:r>
      <w:r w:rsidR="00CA4094">
        <w:t xml:space="preserve">PPL Electric’s </w:t>
      </w:r>
      <w:r w:rsidR="004302EB">
        <w:t xml:space="preserve">proposes to </w:t>
      </w:r>
      <w:r w:rsidR="00CA4094">
        <w:t>change from a quarterly procurement process to a semi-annual procurement process</w:t>
      </w:r>
      <w:r w:rsidR="004302EB">
        <w:t>, as part of its plan to</w:t>
      </w:r>
      <w:r>
        <w:t xml:space="preserve"> simplify its process through the</w:t>
      </w:r>
      <w:r w:rsidR="00CA4094">
        <w:t xml:space="preserve"> purchase</w:t>
      </w:r>
      <w:r>
        <w:t xml:space="preserve"> of</w:t>
      </w:r>
      <w:r w:rsidR="00CA4094">
        <w:t xml:space="preserve"> a series of laddered 9-month and 12-month fixed-price, full-requirements, load-following contracts while eliminating 24-month contracts.  </w:t>
      </w:r>
      <w:r>
        <w:t>S</w:t>
      </w:r>
      <w:r w:rsidR="00CA4094">
        <w:t xml:space="preserve">emi-annual procurements will procure a relatively larger percentage of supply for shorter durations than under the DSP I Program.  </w:t>
      </w:r>
      <w:proofErr w:type="gramStart"/>
      <w:r>
        <w:t>PPL Electric Stmt.</w:t>
      </w:r>
      <w:r w:rsidR="00CA4094">
        <w:t xml:space="preserve"> 1</w:t>
      </w:r>
      <w:r>
        <w:t xml:space="preserve"> at</w:t>
      </w:r>
      <w:r w:rsidR="00CA4094">
        <w:t xml:space="preserve"> 8.</w:t>
      </w:r>
      <w:proofErr w:type="gramEnd"/>
      <w:r w:rsidR="00CA4094">
        <w:t xml:space="preserve">  </w:t>
      </w:r>
      <w:r>
        <w:t xml:space="preserve">Eventually, the </w:t>
      </w:r>
      <w:r w:rsidR="00CA4094">
        <w:t xml:space="preserve">goal is to move to a procurement schedule where half of default service supplies turn over every six months.  </w:t>
      </w:r>
      <w:proofErr w:type="gramStart"/>
      <w:r w:rsidR="00CA4094">
        <w:t>PPL Electric St</w:t>
      </w:r>
      <w:r>
        <w:t>mt</w:t>
      </w:r>
      <w:r w:rsidR="00CA4094">
        <w:t>. 2</w:t>
      </w:r>
      <w:r>
        <w:t xml:space="preserve"> at 17</w:t>
      </w:r>
      <w:r w:rsidR="00CA4094">
        <w:t>.</w:t>
      </w:r>
      <w:proofErr w:type="gramEnd"/>
      <w:r w:rsidR="00CA4094">
        <w:t xml:space="preserve">  The change </w:t>
      </w:r>
      <w:r>
        <w:t>will facilitate the Company's</w:t>
      </w:r>
      <w:r w:rsidR="00CA4094">
        <w:t xml:space="preserve"> proposal to move to</w:t>
      </w:r>
      <w:r>
        <w:t xml:space="preserve"> semi-annual price changes.  </w:t>
      </w:r>
      <w:proofErr w:type="gramStart"/>
      <w:r>
        <w:t>PPL Electric Stmt.</w:t>
      </w:r>
      <w:r w:rsidR="00CA4094">
        <w:t xml:space="preserve"> 1-R</w:t>
      </w:r>
      <w:r>
        <w:t xml:space="preserve"> at</w:t>
      </w:r>
      <w:r w:rsidR="00CA4094">
        <w:t xml:space="preserve"> 5.</w:t>
      </w:r>
      <w:proofErr w:type="gramEnd"/>
      <w:r w:rsidR="00CA4094">
        <w:t xml:space="preserve">  PPL Electric explained that this proposal would produce savings in procurement costs.  </w:t>
      </w:r>
      <w:proofErr w:type="gramStart"/>
      <w:r>
        <w:t>PPL Electric Stmt. 1-R at 10; PPL Electric MB at 26; PPL Electric RB at 16.</w:t>
      </w:r>
      <w:proofErr w:type="gramEnd"/>
    </w:p>
    <w:p w:rsidR="00381F33" w:rsidRDefault="00381F33" w:rsidP="001F1974">
      <w:pPr>
        <w:pStyle w:val="BodyText2"/>
        <w:spacing w:after="0" w:line="360" w:lineRule="auto"/>
        <w:contextualSpacing/>
        <w:jc w:val="left"/>
      </w:pPr>
    </w:p>
    <w:p w:rsidR="00CD5BDB" w:rsidRDefault="00381F33" w:rsidP="001F1974">
      <w:pPr>
        <w:pStyle w:val="BodyText2"/>
        <w:spacing w:after="0" w:line="360" w:lineRule="auto"/>
        <w:contextualSpacing/>
        <w:jc w:val="left"/>
      </w:pPr>
      <w:r>
        <w:tab/>
      </w:r>
      <w:r>
        <w:tab/>
      </w:r>
      <w:r w:rsidR="00CA4094">
        <w:t>RESA and OCA oppose the Company’s proposal to move to semi-annual procurements.  OCA contends that quarterly solicitation</w:t>
      </w:r>
      <w:r w:rsidR="00C014A1">
        <w:t>s</w:t>
      </w:r>
      <w:r w:rsidR="00CA4094">
        <w:t xml:space="preserve"> will provide more appropriate laddering of procurements</w:t>
      </w:r>
      <w:r w:rsidR="00CD5BDB">
        <w:t>, a quarterly solicitations result in staggered procurements of approximately 25% of load at any one time, thus allowing the price to better track current market trends while maintaining a reasonable level of price stability</w:t>
      </w:r>
      <w:r w:rsidR="00CA4094">
        <w:t xml:space="preserve">.  </w:t>
      </w:r>
      <w:proofErr w:type="gramStart"/>
      <w:r w:rsidR="00CA4094">
        <w:t>OCA St</w:t>
      </w:r>
      <w:r w:rsidR="00CD5BDB">
        <w:t>mt</w:t>
      </w:r>
      <w:r w:rsidR="00CA4094">
        <w:t>. 1</w:t>
      </w:r>
      <w:r w:rsidR="00CD5BDB">
        <w:t xml:space="preserve"> at</w:t>
      </w:r>
      <w:r w:rsidR="00CA4094">
        <w:t xml:space="preserve"> 12</w:t>
      </w:r>
      <w:r w:rsidR="00CD5BDB">
        <w:t>; OCA RB at 10</w:t>
      </w:r>
      <w:r w:rsidR="00CA4094">
        <w:t>.</w:t>
      </w:r>
      <w:proofErr w:type="gramEnd"/>
      <w:r w:rsidR="00CA4094">
        <w:t xml:space="preserve">  </w:t>
      </w:r>
    </w:p>
    <w:p w:rsidR="00CD5BDB" w:rsidRDefault="00CD5BDB" w:rsidP="001F1974">
      <w:pPr>
        <w:pStyle w:val="BodyText2"/>
        <w:spacing w:after="0" w:line="360" w:lineRule="auto"/>
        <w:contextualSpacing/>
        <w:jc w:val="left"/>
      </w:pPr>
    </w:p>
    <w:p w:rsidR="00CA4094" w:rsidRDefault="00CD5BDB" w:rsidP="001F1974">
      <w:pPr>
        <w:pStyle w:val="BodyText2"/>
        <w:spacing w:after="0" w:line="240" w:lineRule="auto"/>
        <w:ind w:left="1440" w:right="1440"/>
        <w:jc w:val="left"/>
      </w:pPr>
      <w:r>
        <w:tab/>
      </w:r>
      <w:r w:rsidR="00CA4094">
        <w:t xml:space="preserve">Although the Company does support laddered procurements, too much laddering can create problems.  Multiple procurements create instances where actual default supplier load obligations can be very small, due to shopping and block supplies.  Less frequent laddered procurements can allow for increased product size.  </w:t>
      </w:r>
      <w:proofErr w:type="gramStart"/>
      <w:r w:rsidR="00CA4094">
        <w:t>(PPL Electric St. 2, p. 13).</w:t>
      </w:r>
      <w:proofErr w:type="gramEnd"/>
      <w:r w:rsidR="00CA4094">
        <w:t xml:space="preserve">  In addition, quarterly laddered solicitations obtain a smaller share of supplies needed for default service than semi-annual solicitations, with the result that default service prices will tend to change more slowly.  </w:t>
      </w:r>
      <w:proofErr w:type="gramStart"/>
      <w:r w:rsidR="00CA4094">
        <w:t>(PPL Electric St. 2, pp. 13-14).</w:t>
      </w:r>
      <w:proofErr w:type="gramEnd"/>
    </w:p>
    <w:p w:rsidR="00CD5BDB" w:rsidRDefault="00CD5BDB" w:rsidP="001F1974">
      <w:pPr>
        <w:pStyle w:val="BodyText2"/>
        <w:spacing w:after="0" w:line="360" w:lineRule="auto"/>
        <w:contextualSpacing/>
        <w:jc w:val="left"/>
      </w:pPr>
      <w:proofErr w:type="gramStart"/>
      <w:r>
        <w:t>PPL Electric MB at 26.</w:t>
      </w:r>
      <w:proofErr w:type="gramEnd"/>
    </w:p>
    <w:p w:rsidR="00CD5BDB" w:rsidRDefault="00CD5BDB" w:rsidP="001F1974">
      <w:pPr>
        <w:pStyle w:val="BodyText2"/>
        <w:spacing w:after="0" w:line="360" w:lineRule="auto"/>
        <w:contextualSpacing/>
        <w:jc w:val="left"/>
      </w:pPr>
    </w:p>
    <w:p w:rsidR="006E345A" w:rsidRDefault="006E345A" w:rsidP="001F1974">
      <w:pPr>
        <w:pStyle w:val="BodyText2"/>
        <w:spacing w:after="0" w:line="360" w:lineRule="auto"/>
        <w:contextualSpacing/>
        <w:jc w:val="left"/>
      </w:pPr>
      <w:r>
        <w:tab/>
      </w:r>
      <w:r>
        <w:tab/>
      </w:r>
      <w:r w:rsidR="00CA4094">
        <w:t xml:space="preserve">RESA </w:t>
      </w:r>
      <w:r>
        <w:t>promotes quarterly procurements for defaul</w:t>
      </w:r>
      <w:r w:rsidR="00936767">
        <w:t>t service rates that more accur</w:t>
      </w:r>
      <w:r>
        <w:t xml:space="preserve">ately reflect the underlying wholesale cost of electricity, RESA MB at 24, expressing </w:t>
      </w:r>
      <w:r>
        <w:lastRenderedPageBreak/>
        <w:t>con</w:t>
      </w:r>
      <w:r w:rsidR="00936767">
        <w:t>c</w:t>
      </w:r>
      <w:r>
        <w:t>ern that</w:t>
      </w:r>
      <w:r w:rsidR="00CA4094">
        <w:t xml:space="preserve"> a switch to semi-annual procurements could result in procurements that are too far in advance of the delivery </w:t>
      </w:r>
      <w:proofErr w:type="gramStart"/>
      <w:r w:rsidR="00CA4094">
        <w:t>date,</w:t>
      </w:r>
      <w:proofErr w:type="gramEnd"/>
      <w:r w:rsidR="00CA4094">
        <w:t xml:space="preserve"> with the result that pricing would not reflect market prices at the time of delivery.  </w:t>
      </w:r>
      <w:proofErr w:type="gramStart"/>
      <w:r w:rsidR="00CA4094">
        <w:t>RESA St</w:t>
      </w:r>
      <w:r>
        <w:t>mt</w:t>
      </w:r>
      <w:r w:rsidR="00CA4094">
        <w:t>. 1</w:t>
      </w:r>
      <w:r>
        <w:t xml:space="preserve"> at</w:t>
      </w:r>
      <w:r w:rsidR="00CA4094">
        <w:t xml:space="preserve"> 14.</w:t>
      </w:r>
      <w:proofErr w:type="gramEnd"/>
      <w:r w:rsidR="00CA4094">
        <w:t xml:space="preserve">  </w:t>
      </w:r>
    </w:p>
    <w:p w:rsidR="006E345A" w:rsidRDefault="006E345A" w:rsidP="00C64657">
      <w:pPr>
        <w:pStyle w:val="BodyText2"/>
        <w:spacing w:after="0" w:line="360" w:lineRule="auto"/>
        <w:contextualSpacing/>
        <w:jc w:val="left"/>
      </w:pPr>
    </w:p>
    <w:p w:rsidR="006E345A" w:rsidRDefault="006E345A" w:rsidP="00C64657">
      <w:pPr>
        <w:pStyle w:val="BodyText2"/>
        <w:spacing w:after="0" w:line="360" w:lineRule="auto"/>
        <w:contextualSpacing/>
        <w:jc w:val="left"/>
      </w:pPr>
      <w:r>
        <w:tab/>
      </w:r>
      <w:r>
        <w:tab/>
        <w:t>The Company responds that</w:t>
      </w:r>
      <w:r w:rsidR="00CA4094">
        <w:t xml:space="preserve"> RESA’s concerns are unfounded.  </w:t>
      </w:r>
    </w:p>
    <w:p w:rsidR="00C64657" w:rsidRDefault="00C64657" w:rsidP="00C64657">
      <w:pPr>
        <w:pStyle w:val="BodyText2"/>
        <w:spacing w:after="0" w:line="360" w:lineRule="auto"/>
        <w:contextualSpacing/>
        <w:jc w:val="left"/>
      </w:pPr>
    </w:p>
    <w:p w:rsidR="00CA4094" w:rsidRDefault="00CA4094" w:rsidP="001F1974">
      <w:pPr>
        <w:pStyle w:val="BodyText2"/>
        <w:spacing w:after="0" w:line="240" w:lineRule="auto"/>
        <w:ind w:left="1440" w:right="1440"/>
        <w:jc w:val="left"/>
      </w:pPr>
      <w:r>
        <w:t xml:space="preserve">By eliminating two-year contracts in the DSP II Program, PPL Electric is actually shortening the time between procurement and the final month of delivery under its contracts.  </w:t>
      </w:r>
      <w:proofErr w:type="gramStart"/>
      <w:r>
        <w:t>(PPL Electric St. 1-R, pp. 10-11).</w:t>
      </w:r>
      <w:proofErr w:type="gramEnd"/>
      <w:r>
        <w:t xml:space="preserve">  In addition, under PPL Electric’s proposed procurement schedule, contracts will be entered into approximately one month from the start date of delivery for the 12-month full requirements product and approximately four months from the start date of delivery for the 9-month full requirements product.</w:t>
      </w:r>
      <w:r>
        <w:rPr>
          <w:rStyle w:val="FootnoteReference"/>
        </w:rPr>
        <w:footnoteReference w:id="8"/>
      </w:r>
      <w:r>
        <w:t xml:space="preserve">  In PPL Electric’s opinion, these time periods should not be viewed as “too far in advance” of the delivery date.</w:t>
      </w:r>
      <w:r>
        <w:rPr>
          <w:rStyle w:val="FootnoteReference"/>
        </w:rPr>
        <w:footnoteReference w:id="9"/>
      </w:r>
    </w:p>
    <w:p w:rsidR="006E345A" w:rsidRDefault="006E345A" w:rsidP="001F1974">
      <w:pPr>
        <w:pStyle w:val="BodyText2"/>
        <w:spacing w:after="0"/>
        <w:jc w:val="left"/>
      </w:pPr>
      <w:proofErr w:type="gramStart"/>
      <w:r>
        <w:t>PPL Electric MB at 27.</w:t>
      </w:r>
      <w:proofErr w:type="gramEnd"/>
    </w:p>
    <w:p w:rsidR="00C64657" w:rsidRDefault="00C64657" w:rsidP="00C64657">
      <w:pPr>
        <w:pStyle w:val="BodyText2"/>
        <w:spacing w:after="0" w:line="360" w:lineRule="auto"/>
        <w:jc w:val="left"/>
      </w:pPr>
    </w:p>
    <w:p w:rsidR="00CC7490" w:rsidRDefault="006E345A" w:rsidP="00C64657">
      <w:pPr>
        <w:pStyle w:val="BodyText2"/>
        <w:spacing w:after="0" w:line="360" w:lineRule="auto"/>
        <w:jc w:val="left"/>
      </w:pPr>
      <w:r>
        <w:tab/>
      </w:r>
      <w:r>
        <w:tab/>
        <w:t>RESA argues that a review of Maryland's experience shows that customer shopping had improved</w:t>
      </w:r>
      <w:r w:rsidR="00CC7490">
        <w:t xml:space="preserve"> after moving from annual to semi-annual pricing, and remained at the high level after the institution of quarterly pricing.  The chart relied on can be used to support semi-annual pricing as well.  </w:t>
      </w:r>
      <w:proofErr w:type="gramStart"/>
      <w:r w:rsidR="00CC7490">
        <w:t>RESA RB at 25.</w:t>
      </w:r>
      <w:proofErr w:type="gramEnd"/>
    </w:p>
    <w:p w:rsidR="00CC7490" w:rsidRDefault="00CC7490" w:rsidP="00C64657">
      <w:pPr>
        <w:pStyle w:val="BodyText2"/>
        <w:spacing w:after="0" w:line="360" w:lineRule="auto"/>
        <w:jc w:val="left"/>
      </w:pPr>
    </w:p>
    <w:p w:rsidR="00CC7490" w:rsidRDefault="00CC7490" w:rsidP="00C64657">
      <w:pPr>
        <w:pStyle w:val="BodyText2"/>
        <w:spacing w:after="0" w:line="360" w:lineRule="auto"/>
        <w:jc w:val="left"/>
      </w:pPr>
      <w:r>
        <w:tab/>
      </w:r>
      <w:r>
        <w:tab/>
        <w:t>However, the price of each solicitation by necessity causes quarterly solicitations to be more costly than semi-annual solicitations, thus raising the price unnecessarily.</w:t>
      </w:r>
    </w:p>
    <w:p w:rsidR="00CC7490" w:rsidRDefault="00CA4094" w:rsidP="00C64657">
      <w:pPr>
        <w:pStyle w:val="BodyText2"/>
        <w:spacing w:after="0" w:line="360" w:lineRule="auto"/>
        <w:jc w:val="left"/>
      </w:pPr>
      <w:r>
        <w:t>PPL Electric demonstrated that</w:t>
      </w:r>
      <w:r w:rsidR="00936767">
        <w:t>:</w:t>
      </w:r>
      <w:r>
        <w:t xml:space="preserve"> </w:t>
      </w:r>
    </w:p>
    <w:p w:rsidR="00C64657" w:rsidRDefault="00C64657" w:rsidP="00C64657">
      <w:pPr>
        <w:pStyle w:val="BodyText2"/>
        <w:spacing w:after="0" w:line="360" w:lineRule="auto"/>
        <w:jc w:val="left"/>
      </w:pPr>
    </w:p>
    <w:p w:rsidR="00CA4094" w:rsidRDefault="00CC7490" w:rsidP="001F1974">
      <w:pPr>
        <w:pStyle w:val="BodyText2"/>
        <w:spacing w:after="0" w:line="240" w:lineRule="auto"/>
        <w:ind w:left="1440" w:right="1440"/>
        <w:jc w:val="left"/>
      </w:pPr>
      <w:r>
        <w:t xml:space="preserve">. . . </w:t>
      </w:r>
      <w:proofErr w:type="gramStart"/>
      <w:r w:rsidR="00CA4094">
        <w:t>the</w:t>
      </w:r>
      <w:proofErr w:type="gramEnd"/>
      <w:r w:rsidR="00CA4094">
        <w:t xml:space="preserve"> cost to undertake quarterly default service solicitations is approximately $225,000-$275,000.  This cost is almost entirely due to the use of an independent third-party manager, NERA Economic Consulting (“NERA”), to oversee all aspects of the </w:t>
      </w:r>
      <w:r w:rsidR="00CA4094">
        <w:lastRenderedPageBreak/>
        <w:t>solicitation process.</w:t>
      </w:r>
      <w:r w:rsidR="00CA4094">
        <w:rPr>
          <w:rStyle w:val="FootnoteReference"/>
        </w:rPr>
        <w:footnoteReference w:id="10"/>
      </w:r>
      <w:r w:rsidR="00CA4094">
        <w:t xml:space="preserve">  The Commission’s Default Service Policy Statement provides that procurements should be monitored by an independent manager.  52 Pa. Code § 69.1807(8)</w:t>
      </w:r>
      <w:r w:rsidR="00CA4094">
        <w:rPr>
          <w:rStyle w:val="FootnoteReference"/>
        </w:rPr>
        <w:t>.</w:t>
      </w:r>
      <w:r w:rsidR="00CA4094">
        <w:rPr>
          <w:rStyle w:val="FootnoteReference"/>
        </w:rPr>
        <w:footnoteReference w:id="11"/>
      </w:r>
      <w:r w:rsidR="00CA4094">
        <w:t xml:space="preserve">  </w:t>
      </w:r>
      <w:proofErr w:type="gramStart"/>
      <w:r w:rsidR="00CA4094">
        <w:t>By</w:t>
      </w:r>
      <w:proofErr w:type="gramEnd"/>
      <w:r w:rsidR="00CA4094">
        <w:t xml:space="preserve"> changing from quarterly to semi-annual procurements, the Company can reduce procurement costs by roughly $500,000 per year.  This is a worthwhile savings that should be adopted.</w:t>
      </w:r>
    </w:p>
    <w:p w:rsidR="00CC7490" w:rsidRDefault="00CC7490" w:rsidP="001F1974">
      <w:pPr>
        <w:pStyle w:val="BodyText2"/>
        <w:spacing w:after="0" w:line="360" w:lineRule="auto"/>
        <w:jc w:val="left"/>
      </w:pPr>
      <w:r>
        <w:t>PPL Electric MB at 27-28.</w:t>
      </w:r>
    </w:p>
    <w:p w:rsidR="00C64657" w:rsidRDefault="00C64657" w:rsidP="00855F83">
      <w:pPr>
        <w:pStyle w:val="BodyText2"/>
        <w:spacing w:after="0" w:line="360" w:lineRule="auto"/>
        <w:jc w:val="left"/>
      </w:pPr>
    </w:p>
    <w:p w:rsidR="00CA4094" w:rsidRDefault="00CC7490" w:rsidP="00855F83">
      <w:pPr>
        <w:pStyle w:val="BodyText2"/>
        <w:spacing w:after="0" w:line="360" w:lineRule="auto"/>
        <w:jc w:val="left"/>
      </w:pPr>
      <w:r>
        <w:tab/>
      </w:r>
      <w:r>
        <w:tab/>
      </w:r>
      <w:r w:rsidR="00CA4094">
        <w:t>Semi-annual procurements will simplify and lessen the cost of default service procurements.  The proposal is reasonable and should be adopted.</w:t>
      </w:r>
    </w:p>
    <w:p w:rsidR="00855F83" w:rsidRDefault="00855F83" w:rsidP="007325FF">
      <w:pPr>
        <w:pStyle w:val="BodyText2"/>
        <w:spacing w:after="0" w:line="360" w:lineRule="auto"/>
        <w:jc w:val="left"/>
      </w:pPr>
    </w:p>
    <w:p w:rsidR="00CA4094" w:rsidRDefault="00855F83" w:rsidP="007325FF">
      <w:pPr>
        <w:pStyle w:val="Heading5"/>
        <w:keepNext/>
        <w:numPr>
          <w:ilvl w:val="0"/>
          <w:numId w:val="0"/>
        </w:numPr>
        <w:spacing w:after="0"/>
        <w:ind w:left="2160"/>
        <w:jc w:val="left"/>
      </w:pPr>
      <w:bookmarkStart w:id="14" w:name="_Toc337196640"/>
      <w:proofErr w:type="gramStart"/>
      <w:r>
        <w:t>iii.</w:t>
      </w:r>
      <w:r>
        <w:tab/>
      </w:r>
      <w:r w:rsidR="00CA4094">
        <w:t>Wholesale</w:t>
      </w:r>
      <w:proofErr w:type="gramEnd"/>
      <w:r w:rsidR="00CA4094">
        <w:t xml:space="preserve"> Supplier Load Cap</w:t>
      </w:r>
      <w:bookmarkEnd w:id="14"/>
      <w:r w:rsidR="00FF18D0">
        <w:fldChar w:fldCharType="begin"/>
      </w:r>
      <w:r w:rsidR="00FF18D0">
        <w:instrText xml:space="preserve"> TC "</w:instrText>
      </w:r>
      <w:bookmarkStart w:id="15" w:name="_Toc340669990"/>
      <w:r w:rsidR="00FF18D0" w:rsidRPr="009B7B20">
        <w:instrText>iii.</w:instrText>
      </w:r>
      <w:r w:rsidR="00FF18D0" w:rsidRPr="009B7B20">
        <w:tab/>
        <w:instrText>Wholesale Supplier Load Cap</w:instrText>
      </w:r>
      <w:bookmarkEnd w:id="15"/>
      <w:r w:rsidR="00FF18D0">
        <w:instrText xml:space="preserve">" \f C \l "5" </w:instrText>
      </w:r>
      <w:r w:rsidR="00FF18D0">
        <w:fldChar w:fldCharType="end"/>
      </w:r>
    </w:p>
    <w:p w:rsidR="00C64657" w:rsidRPr="00C64657" w:rsidRDefault="00C64657" w:rsidP="007325FF">
      <w:pPr>
        <w:pStyle w:val="BodyText2"/>
        <w:spacing w:after="0" w:line="360" w:lineRule="auto"/>
      </w:pPr>
    </w:p>
    <w:p w:rsidR="00CA4094" w:rsidRDefault="00CA4094" w:rsidP="001F1974">
      <w:pPr>
        <w:pStyle w:val="BodyText2"/>
        <w:spacing w:after="0" w:line="240" w:lineRule="auto"/>
        <w:ind w:left="1440" w:right="1440"/>
        <w:jc w:val="left"/>
      </w:pPr>
      <w:r>
        <w:t xml:space="preserve">PPL Electric’s current DSP I Program currently has two load caps that limit the amount of supply that may be won by any wholesale supplier.  First, there is in place a Solicitation Load Cap of 85% that is applicable to each of the three customer solicitation groups (Residential, Small C&amp;I and Large C&amp;I).  </w:t>
      </w:r>
      <w:proofErr w:type="gramStart"/>
      <w:r>
        <w:t>(PPL Electric St. 1, p. 22).</w:t>
      </w:r>
      <w:proofErr w:type="gramEnd"/>
      <w:r>
        <w:t xml:space="preserve">  Thus, an individual bidder cannot win more than 85% of a customer class’s default service load offered in each solicitation.  In addition, under the settlement of the DSP I Program, an aggregate load cap of 70% was applied to wholesale suppliers providing supply to the Residential customer class.  </w:t>
      </w:r>
      <w:proofErr w:type="gramStart"/>
      <w:r>
        <w:t>(PPL Electric St. 1-R, p. 19).</w:t>
      </w:r>
      <w:proofErr w:type="gramEnd"/>
      <w:r>
        <w:t xml:space="preserve">  Under this separate load cap, PPL Electric (through its independent procurement manager NERA) must monitor and disallow bids if a single supplier provides more than 70% of the aggregate load of the class.  </w:t>
      </w:r>
      <w:proofErr w:type="gramStart"/>
      <w:r>
        <w:t>(OCA St. 1, p. 16).</w:t>
      </w:r>
      <w:proofErr w:type="gramEnd"/>
    </w:p>
    <w:p w:rsidR="00CC7490" w:rsidRDefault="00CC7490" w:rsidP="001F1974">
      <w:pPr>
        <w:pStyle w:val="BodyText2"/>
        <w:spacing w:after="0" w:line="360" w:lineRule="auto"/>
        <w:jc w:val="left"/>
      </w:pPr>
      <w:proofErr w:type="gramStart"/>
      <w:r>
        <w:t>PPL Electric MB at 28.</w:t>
      </w:r>
      <w:proofErr w:type="gramEnd"/>
    </w:p>
    <w:p w:rsidR="00CC7490" w:rsidRDefault="00CC7490" w:rsidP="001F1974">
      <w:pPr>
        <w:pStyle w:val="BodyText2"/>
        <w:spacing w:after="0" w:line="360" w:lineRule="auto"/>
        <w:jc w:val="left"/>
      </w:pPr>
    </w:p>
    <w:p w:rsidR="00CA4094" w:rsidRDefault="00CC7490" w:rsidP="001F1974">
      <w:pPr>
        <w:pStyle w:val="BodyText2"/>
        <w:spacing w:after="0" w:line="360" w:lineRule="auto"/>
        <w:contextualSpacing/>
        <w:jc w:val="left"/>
      </w:pPr>
      <w:r>
        <w:tab/>
      </w:r>
      <w:r>
        <w:tab/>
        <w:t>In its experience with the DSP I, the Company has learned that s</w:t>
      </w:r>
      <w:r w:rsidR="00CA4094">
        <w:t xml:space="preserve">upplier diversity has not been a problem.  There are currently 22 different suppliers providing products to meet </w:t>
      </w:r>
      <w:r w:rsidR="00CA4094">
        <w:lastRenderedPageBreak/>
        <w:t xml:space="preserve">PPL Electric’s </w:t>
      </w:r>
      <w:r w:rsidR="000239DA">
        <w:t xml:space="preserve">default service requirements.  </w:t>
      </w:r>
      <w:proofErr w:type="gramStart"/>
      <w:r w:rsidR="00CA4094">
        <w:t>PPL Electric St</w:t>
      </w:r>
      <w:r w:rsidR="000239DA">
        <w:t>mt</w:t>
      </w:r>
      <w:r w:rsidR="00CA4094">
        <w:t>. 1-R</w:t>
      </w:r>
      <w:r w:rsidR="000239DA">
        <w:t xml:space="preserve"> at 20</w:t>
      </w:r>
      <w:r w:rsidR="00CA4094">
        <w:t>.</w:t>
      </w:r>
      <w:proofErr w:type="gramEnd"/>
      <w:r w:rsidR="00CA4094">
        <w:t xml:space="preserve">  As a result, PPL Electric proposes to remove this separate aggregate load cap.  </w:t>
      </w:r>
      <w:proofErr w:type="gramStart"/>
      <w:r w:rsidR="00B207CC">
        <w:t>PPL Electric MB at 28.</w:t>
      </w:r>
      <w:proofErr w:type="gramEnd"/>
    </w:p>
    <w:p w:rsidR="000239DA" w:rsidRDefault="000239DA" w:rsidP="001F1974">
      <w:pPr>
        <w:pStyle w:val="BodyText2"/>
        <w:spacing w:after="0" w:line="360" w:lineRule="auto"/>
        <w:contextualSpacing/>
        <w:jc w:val="left"/>
      </w:pPr>
    </w:p>
    <w:p w:rsidR="00B207CC" w:rsidRDefault="00B207CC" w:rsidP="001F1974">
      <w:pPr>
        <w:pStyle w:val="BodyText2"/>
        <w:spacing w:after="0" w:line="360" w:lineRule="auto"/>
        <w:contextualSpacing/>
        <w:jc w:val="left"/>
      </w:pPr>
      <w:r>
        <w:tab/>
      </w:r>
      <w:r>
        <w:tab/>
        <w:t>RESA and OCA</w:t>
      </w:r>
      <w:r w:rsidR="00CA4094">
        <w:t xml:space="preserve"> recommend that the aggregate supplier load cap for residential customers be </w:t>
      </w:r>
      <w:r>
        <w:t xml:space="preserve">retained but be </w:t>
      </w:r>
      <w:r w:rsidR="00CA4094">
        <w:t>reduced to 50</w:t>
      </w:r>
      <w:r w:rsidR="000239DA">
        <w:t xml:space="preserve">% from the current 70% level.  </w:t>
      </w:r>
      <w:proofErr w:type="gramStart"/>
      <w:r w:rsidR="00CA4094">
        <w:t>RESA St</w:t>
      </w:r>
      <w:r w:rsidR="000239DA">
        <w:t>mt</w:t>
      </w:r>
      <w:r w:rsidR="00CA4094">
        <w:t>. 1</w:t>
      </w:r>
      <w:r w:rsidR="000239DA">
        <w:t xml:space="preserve"> at</w:t>
      </w:r>
      <w:r w:rsidR="00CA4094">
        <w:t xml:space="preserve"> 21; OCA St</w:t>
      </w:r>
      <w:r w:rsidR="000239DA">
        <w:t>mt</w:t>
      </w:r>
      <w:r w:rsidR="00CA4094">
        <w:t>. 1</w:t>
      </w:r>
      <w:r w:rsidR="000239DA">
        <w:t xml:space="preserve"> at </w:t>
      </w:r>
      <w:r w:rsidR="00CA4094">
        <w:t>16.</w:t>
      </w:r>
      <w:proofErr w:type="gramEnd"/>
      <w:r w:rsidR="00CA4094">
        <w:rPr>
          <w:rStyle w:val="FootnoteReference"/>
        </w:rPr>
        <w:footnoteReference w:id="12"/>
      </w:r>
      <w:r w:rsidR="00CA4094">
        <w:t xml:space="preserve">  </w:t>
      </w:r>
      <w:r>
        <w:t>Both contend that</w:t>
      </w:r>
      <w:r w:rsidR="00CA4094">
        <w:t xml:space="preserve"> a reduced load cap of 50% is necessary to provide protection in the event of supplier default.  </w:t>
      </w:r>
      <w:proofErr w:type="gramStart"/>
      <w:r>
        <w:t>OCA MB at 20; RESA MB at 29.</w:t>
      </w:r>
      <w:proofErr w:type="gramEnd"/>
    </w:p>
    <w:p w:rsidR="002435F7" w:rsidRDefault="002435F7" w:rsidP="001F1974">
      <w:pPr>
        <w:pStyle w:val="BodyText2"/>
        <w:spacing w:after="0" w:line="360" w:lineRule="auto"/>
        <w:contextualSpacing/>
        <w:jc w:val="left"/>
      </w:pPr>
    </w:p>
    <w:p w:rsidR="002435F7" w:rsidRDefault="002435F7" w:rsidP="001F1974">
      <w:pPr>
        <w:pStyle w:val="BodyText2"/>
        <w:spacing w:after="0" w:line="360" w:lineRule="auto"/>
        <w:contextualSpacing/>
        <w:jc w:val="left"/>
      </w:pPr>
      <w:r>
        <w:tab/>
      </w:r>
      <w:r>
        <w:tab/>
      </w:r>
      <w:r w:rsidR="00CA4094">
        <w:t xml:space="preserve">PPL Electric </w:t>
      </w:r>
      <w:r>
        <w:t xml:space="preserve">counters that it </w:t>
      </w:r>
      <w:r w:rsidR="00CA4094">
        <w:t xml:space="preserve">requires suppliers to provide security under the terms of the SMA.  </w:t>
      </w:r>
    </w:p>
    <w:p w:rsidR="00C64657" w:rsidRDefault="00C64657" w:rsidP="001F1974">
      <w:pPr>
        <w:pStyle w:val="BodyText2"/>
        <w:spacing w:after="0" w:line="360" w:lineRule="auto"/>
        <w:contextualSpacing/>
        <w:jc w:val="left"/>
      </w:pPr>
    </w:p>
    <w:p w:rsidR="00CA4094" w:rsidRDefault="00CA4094" w:rsidP="001F1974">
      <w:pPr>
        <w:pStyle w:val="BodyText2"/>
        <w:spacing w:after="0" w:line="240" w:lineRule="auto"/>
        <w:ind w:left="1440" w:right="1440"/>
        <w:jc w:val="left"/>
      </w:pPr>
      <w:r>
        <w:t xml:space="preserve">PPL Electric has in place strong performance assurance requirements, and as explained later in Section III.B.4.a. of this Brief, seeks to further strengthen those provisions under DSP II by reducing the unsecured credit for even the most creditworthy of wholesale suppliers down to $50 million.  The SMA contains a detailed formula for calculating mark to market exposure for each transaction.  </w:t>
      </w:r>
      <w:proofErr w:type="gramStart"/>
      <w:r>
        <w:t>(PPL Electric Ex. 1, Appendix A (SMA), Article 14.6 and Ex. F, pp. 40 and 59).</w:t>
      </w:r>
      <w:proofErr w:type="gramEnd"/>
      <w:r>
        <w:t xml:space="preserve">  If at any time PPL Electric’s credit exposure to a wholesale supplier, as calculated pursuant to the mark to market formula, exceeds that supplier’s unsecured credit on any business day, then PPL Electric can require that the supplier post additional performance insurance to cover the additional risk of projected future prices exceeding the contract price.  </w:t>
      </w:r>
      <w:proofErr w:type="gramStart"/>
      <w:r>
        <w:t>(PPL Electric Ex. 1, Appendix A, Article 14.1, p. 37).</w:t>
      </w:r>
      <w:proofErr w:type="gramEnd"/>
      <w:r>
        <w:t xml:space="preserve">  </w:t>
      </w:r>
    </w:p>
    <w:p w:rsidR="002435F7" w:rsidRDefault="000239DA" w:rsidP="00413D74">
      <w:pPr>
        <w:pStyle w:val="BodyText2"/>
        <w:spacing w:after="0" w:line="240" w:lineRule="auto"/>
        <w:jc w:val="left"/>
      </w:pPr>
      <w:proofErr w:type="gramStart"/>
      <w:r>
        <w:t xml:space="preserve">PPL Electric Stmt. 2-R at 20; </w:t>
      </w:r>
      <w:r w:rsidR="002435F7">
        <w:t>PPL Electric MB at 29.</w:t>
      </w:r>
      <w:proofErr w:type="gramEnd"/>
    </w:p>
    <w:p w:rsidR="00C64657" w:rsidRDefault="00C64657" w:rsidP="00C64657">
      <w:pPr>
        <w:pStyle w:val="BodyText2"/>
        <w:spacing w:after="0" w:line="360" w:lineRule="auto"/>
        <w:jc w:val="left"/>
      </w:pPr>
    </w:p>
    <w:p w:rsidR="002435F7" w:rsidRDefault="00EA3F73" w:rsidP="00C64657">
      <w:pPr>
        <w:pStyle w:val="BodyText2"/>
        <w:spacing w:after="0" w:line="360" w:lineRule="auto"/>
        <w:contextualSpacing/>
        <w:jc w:val="left"/>
      </w:pPr>
      <w:r>
        <w:tab/>
      </w:r>
      <w:r>
        <w:tab/>
        <w:t xml:space="preserve">FES supports the Company position, pointing out that a load cap is not an appropriate means of avoiding the adverse consequences of a supplier default, and that the Company's plan already includes numerous protections against supplier default.  Further, FES points out that neither OCA nor RESA can point to an instance in which a default service supplier that met the requirements like those imposed by PPL Electric actually defaulted on a </w:t>
      </w:r>
      <w:r>
        <w:lastRenderedPageBreak/>
        <w:t>supply obligation.  See FES Cross Ex. 5.  They simply do not provide any support for their concerns.  FES MB at 29-30.</w:t>
      </w:r>
    </w:p>
    <w:p w:rsidR="00EA3F73" w:rsidRDefault="00EA3F73" w:rsidP="00C64657">
      <w:pPr>
        <w:pStyle w:val="BodyText2"/>
        <w:spacing w:after="0" w:line="360" w:lineRule="auto"/>
        <w:contextualSpacing/>
        <w:jc w:val="left"/>
      </w:pPr>
    </w:p>
    <w:p w:rsidR="00CA4094" w:rsidRDefault="002435F7" w:rsidP="00C64657">
      <w:pPr>
        <w:pStyle w:val="BodyText2"/>
        <w:spacing w:after="0" w:line="360" w:lineRule="auto"/>
        <w:contextualSpacing/>
        <w:jc w:val="left"/>
      </w:pPr>
      <w:r>
        <w:tab/>
      </w:r>
      <w:r>
        <w:tab/>
        <w:t>The Company states that implementing the RESA/OCA recommendation here would</w:t>
      </w:r>
      <w:r w:rsidR="00CA4094">
        <w:t xml:space="preserve"> be to increase default service rates if an otherwise successful low bid would be disallowed because a supplier otherwise would ex</w:t>
      </w:r>
      <w:r>
        <w:t xml:space="preserve">ceed the applicable load cap.  </w:t>
      </w:r>
      <w:proofErr w:type="gramStart"/>
      <w:r w:rsidR="00CA4094">
        <w:t>Tr. 247</w:t>
      </w:r>
      <w:r>
        <w:t>; PPL Electric MB at 29</w:t>
      </w:r>
      <w:r w:rsidR="00CA4094">
        <w:t>.</w:t>
      </w:r>
      <w:proofErr w:type="gramEnd"/>
      <w:r w:rsidR="00CA4094">
        <w:t xml:space="preserve">  </w:t>
      </w:r>
      <w:r>
        <w:t>In light of the</w:t>
      </w:r>
      <w:r w:rsidR="00CA4094">
        <w:t xml:space="preserve"> strong security provisions in effect, OCA’s and RESA’s proposal to reduce the load cap should be rejected.</w:t>
      </w:r>
    </w:p>
    <w:p w:rsidR="00CA4094" w:rsidRDefault="00CA4094" w:rsidP="00C64657">
      <w:pPr>
        <w:contextualSpacing/>
        <w:jc w:val="left"/>
      </w:pPr>
    </w:p>
    <w:p w:rsidR="00580B8E" w:rsidRDefault="00580B8E" w:rsidP="00855F83">
      <w:pPr>
        <w:pStyle w:val="Heading4"/>
        <w:keepNext/>
        <w:tabs>
          <w:tab w:val="clear" w:pos="3060"/>
        </w:tabs>
        <w:spacing w:after="0"/>
        <w:ind w:left="2160"/>
        <w:jc w:val="left"/>
      </w:pPr>
      <w:bookmarkStart w:id="16" w:name="_Toc337196641"/>
      <w:r>
        <w:t>Small C&amp;I - Fixed Rate</w:t>
      </w:r>
      <w:bookmarkEnd w:id="16"/>
      <w:r w:rsidR="00FF18D0">
        <w:fldChar w:fldCharType="begin"/>
      </w:r>
      <w:r w:rsidR="00FF18D0">
        <w:instrText xml:space="preserve"> TC "</w:instrText>
      </w:r>
      <w:bookmarkStart w:id="17" w:name="_Toc340669991"/>
      <w:r w:rsidR="00FF18D0" w:rsidRPr="009B7B20">
        <w:instrText>Small C&amp;I - Fixed Rate</w:instrText>
      </w:r>
      <w:bookmarkEnd w:id="17"/>
      <w:r w:rsidR="00FF18D0">
        <w:instrText xml:space="preserve">" \f C \l "4" </w:instrText>
      </w:r>
      <w:r w:rsidR="00FF18D0">
        <w:fldChar w:fldCharType="end"/>
      </w:r>
    </w:p>
    <w:p w:rsidR="00C64657" w:rsidRPr="00C64657" w:rsidRDefault="00C64657" w:rsidP="00C64657">
      <w:pPr>
        <w:pStyle w:val="BodyText2"/>
        <w:spacing w:after="0" w:line="360" w:lineRule="auto"/>
      </w:pPr>
    </w:p>
    <w:p w:rsidR="00580B8E" w:rsidRDefault="00580B8E" w:rsidP="00855F83">
      <w:pPr>
        <w:pStyle w:val="Heading5"/>
        <w:keepNext/>
        <w:tabs>
          <w:tab w:val="clear" w:pos="3600"/>
        </w:tabs>
        <w:spacing w:after="0"/>
        <w:ind w:left="2880"/>
        <w:jc w:val="left"/>
      </w:pPr>
      <w:bookmarkStart w:id="18" w:name="_Toc337196642"/>
      <w:r>
        <w:t>Product Mixture</w:t>
      </w:r>
      <w:bookmarkEnd w:id="18"/>
      <w:r w:rsidR="00C2794C">
        <w:t xml:space="preserve"> and Procurement</w:t>
      </w:r>
      <w:r w:rsidR="00FF18D0">
        <w:fldChar w:fldCharType="begin"/>
      </w:r>
      <w:r w:rsidR="00FF18D0">
        <w:instrText xml:space="preserve"> TC "</w:instrText>
      </w:r>
      <w:bookmarkStart w:id="19" w:name="_Toc340669992"/>
      <w:r w:rsidR="00FF18D0" w:rsidRPr="009B7B20">
        <w:instrText>Product Mixture and Procurement</w:instrText>
      </w:r>
      <w:bookmarkEnd w:id="19"/>
      <w:r w:rsidR="00FF18D0">
        <w:instrText xml:space="preserve">" \f C \l "5" </w:instrText>
      </w:r>
      <w:r w:rsidR="00FF18D0">
        <w:fldChar w:fldCharType="end"/>
      </w:r>
    </w:p>
    <w:p w:rsidR="00C64657" w:rsidRPr="00C64657" w:rsidRDefault="00C64657" w:rsidP="00C64657">
      <w:pPr>
        <w:pStyle w:val="BodyText2"/>
        <w:spacing w:after="0" w:line="360" w:lineRule="auto"/>
      </w:pPr>
    </w:p>
    <w:p w:rsidR="00580B8E" w:rsidRDefault="00BB08FC" w:rsidP="00C64657">
      <w:pPr>
        <w:pStyle w:val="BodyText2"/>
        <w:spacing w:after="0" w:line="360" w:lineRule="auto"/>
        <w:jc w:val="left"/>
      </w:pPr>
      <w:r>
        <w:tab/>
      </w:r>
      <w:r>
        <w:tab/>
      </w:r>
      <w:r w:rsidR="00580B8E">
        <w:t xml:space="preserve">PPL Electric’s current procurement for the Small C&amp;I class is a mixture of 90% fixed-price, full-requirements, load-following supply procured under one-year and two-year contracts, and 10% spot market priced, full-requirements, load-following supply.  </w:t>
      </w:r>
      <w:r>
        <w:t xml:space="preserve">The Company seeks to </w:t>
      </w:r>
      <w:r w:rsidR="00580B8E">
        <w:t>eliminate the spot market and two-year term full requirements contr</w:t>
      </w:r>
      <w:r>
        <w:t xml:space="preserve">acts for the Small C&amp;I class.  </w:t>
      </w:r>
      <w:proofErr w:type="gramStart"/>
      <w:r w:rsidR="00580B8E">
        <w:t>PPL Electric St</w:t>
      </w:r>
      <w:r>
        <w:t>mt</w:t>
      </w:r>
      <w:r w:rsidR="00580B8E">
        <w:t>. 2</w:t>
      </w:r>
      <w:r>
        <w:t xml:space="preserve"> at </w:t>
      </w:r>
      <w:r w:rsidR="00580B8E">
        <w:t>21</w:t>
      </w:r>
      <w:r>
        <w:t>; PPL Electric MB at 30.</w:t>
      </w:r>
      <w:proofErr w:type="gramEnd"/>
    </w:p>
    <w:p w:rsidR="00C64657" w:rsidRDefault="00C64657" w:rsidP="00C64657">
      <w:pPr>
        <w:pStyle w:val="BodyText2"/>
        <w:spacing w:after="0" w:line="360" w:lineRule="auto"/>
        <w:jc w:val="left"/>
      </w:pPr>
    </w:p>
    <w:p w:rsidR="00580B8E" w:rsidRDefault="00580B8E" w:rsidP="001F1974">
      <w:pPr>
        <w:pStyle w:val="BodyText2"/>
        <w:spacing w:after="0" w:line="240" w:lineRule="auto"/>
        <w:ind w:left="1440" w:right="1440"/>
        <w:contextualSpacing/>
        <w:jc w:val="left"/>
      </w:pPr>
      <w:r>
        <w:t xml:space="preserve">For the reasons explained previously with respect to the residential procurement product mix, PPL Electric considers the proposed procurement for Small </w:t>
      </w:r>
      <w:proofErr w:type="gramStart"/>
      <w:r>
        <w:t>C&amp;I</w:t>
      </w:r>
      <w:proofErr w:type="gramEnd"/>
      <w:r>
        <w:t xml:space="preserve"> customers to be a prudent mix of supplies for this class to be acquired consistent with the least cost over time requirements of Act 129.  In the case of the Small C&amp;I class, the Company considers the procurement of a laddered full-requirements product with a one-year term to be an appropriate approach for this class, as a transition from the current mix of spot, one year and two year contracts.</w:t>
      </w:r>
      <w:r>
        <w:rPr>
          <w:rStyle w:val="FootnoteReference"/>
        </w:rPr>
        <w:footnoteReference w:id="13"/>
      </w:r>
      <w:r>
        <w:t xml:space="preserve">  One of the reasons for this reliance on one-year fixed-price, full-requirements, load-following contracts is that the remaining Small C&amp;I customers taking default service tend to be smaller customers.  This is demonstrated by the fact that as of August 8, 2012, nearly 50% of Small C&amp;I customers representing over 88% of load were shopping.  </w:t>
      </w:r>
      <w:proofErr w:type="gramStart"/>
      <w:r>
        <w:t>(PPL Electric St. 1-R, p. 4).</w:t>
      </w:r>
      <w:proofErr w:type="gramEnd"/>
      <w:r>
        <w:t xml:space="preserve">  Therefore, the reasons supporting the elimination of spot </w:t>
      </w:r>
      <w:r>
        <w:lastRenderedPageBreak/>
        <w:t xml:space="preserve">and 2-year term contracts to provide default service supplies for residential customers are applicable to the Small C&amp;I class.  </w:t>
      </w:r>
      <w:proofErr w:type="gramStart"/>
      <w:r>
        <w:t>(PPL Electric St. 2, p. 22).</w:t>
      </w:r>
      <w:proofErr w:type="gramEnd"/>
      <w:r>
        <w:t xml:space="preserve">  Thus, the Company concluded that laddered one-year, fixed-price, full-requirements, load-following contracts would best serve the remaining default service Small C&amp;I customers and provide further support for increased shopping.  </w:t>
      </w:r>
    </w:p>
    <w:p w:rsidR="00BB08FC" w:rsidRDefault="00BB08FC" w:rsidP="00413D74">
      <w:pPr>
        <w:pStyle w:val="BodyText2"/>
        <w:spacing w:after="0" w:line="240" w:lineRule="auto"/>
        <w:contextualSpacing/>
        <w:jc w:val="left"/>
      </w:pPr>
      <w:r>
        <w:t>PPL Electric MB at 30-31.</w:t>
      </w:r>
    </w:p>
    <w:p w:rsidR="00C64657" w:rsidRDefault="00C64657" w:rsidP="00393C77">
      <w:pPr>
        <w:pStyle w:val="BodyText2"/>
        <w:spacing w:after="0" w:line="360" w:lineRule="auto"/>
        <w:contextualSpacing/>
        <w:jc w:val="left"/>
      </w:pPr>
    </w:p>
    <w:p w:rsidR="00BB08FC" w:rsidRDefault="00BB08FC" w:rsidP="00393C77">
      <w:pPr>
        <w:pStyle w:val="BodyText2"/>
        <w:spacing w:after="0" w:line="360" w:lineRule="auto"/>
        <w:contextualSpacing/>
        <w:jc w:val="left"/>
      </w:pPr>
      <w:r>
        <w:tab/>
      </w:r>
      <w:r>
        <w:tab/>
        <w:t>Two parties disagree with this proposal, as well as with each other.</w:t>
      </w:r>
    </w:p>
    <w:p w:rsidR="00C64657" w:rsidRDefault="00C64657" w:rsidP="00C64657">
      <w:pPr>
        <w:pStyle w:val="BodyText2"/>
        <w:spacing w:after="0" w:line="360" w:lineRule="auto"/>
        <w:jc w:val="left"/>
      </w:pPr>
    </w:p>
    <w:p w:rsidR="00BB08FC" w:rsidRDefault="008C091B" w:rsidP="00C64657">
      <w:pPr>
        <w:pStyle w:val="BodyText2"/>
        <w:spacing w:after="0" w:line="360" w:lineRule="auto"/>
        <w:jc w:val="left"/>
      </w:pPr>
      <w:r>
        <w:tab/>
      </w:r>
      <w:r>
        <w:tab/>
      </w:r>
      <w:r w:rsidR="00580B8E">
        <w:t xml:space="preserve">FES proposes that the Company continue to procure one and two year fixed-price, full requirements, </w:t>
      </w:r>
      <w:proofErr w:type="gramStart"/>
      <w:r w:rsidR="00580B8E">
        <w:t>load</w:t>
      </w:r>
      <w:proofErr w:type="gramEnd"/>
      <w:r w:rsidR="00580B8E">
        <w:t>-following contracts</w:t>
      </w:r>
      <w:r w:rsidR="00F64117">
        <w:t>.  FES contends that a portfolio of 12, 15, 18, 21 and 24 month contracts will result in greater price stability than the Company's proposed mix.  In addition, wholesale bidders are familiar with contracts of this length.</w:t>
      </w:r>
      <w:r w:rsidR="00FF18D0">
        <w:t xml:space="preserve">  </w:t>
      </w:r>
      <w:proofErr w:type="gramStart"/>
      <w:r w:rsidR="00F64117">
        <w:t>FES MB at 31.</w:t>
      </w:r>
      <w:proofErr w:type="gramEnd"/>
      <w:r w:rsidR="00F64117">
        <w:t xml:space="preserve">  </w:t>
      </w:r>
    </w:p>
    <w:p w:rsidR="00C64657" w:rsidRDefault="00C64657" w:rsidP="00C64657">
      <w:pPr>
        <w:pStyle w:val="BodyText2"/>
        <w:spacing w:after="0" w:line="360" w:lineRule="auto"/>
        <w:jc w:val="left"/>
      </w:pPr>
    </w:p>
    <w:p w:rsidR="008C091B" w:rsidRDefault="008C091B" w:rsidP="00C64657">
      <w:pPr>
        <w:pStyle w:val="BodyText2"/>
        <w:spacing w:after="0" w:line="360" w:lineRule="auto"/>
        <w:jc w:val="left"/>
      </w:pPr>
      <w:r>
        <w:tab/>
      </w:r>
      <w:r>
        <w:tab/>
        <w:t xml:space="preserve">The Company disagrees with the FES proposal because it reflects essentially no change from the current procurement mix under PPL Electric’s DSP I Program.  FES has offered no evidence to support a conclusion that continuation of the same procurement plan will provide any further support or encouragement for additional shopping.  </w:t>
      </w:r>
      <w:proofErr w:type="gramStart"/>
      <w:r>
        <w:t>PPL Electric MB at 31.</w:t>
      </w:r>
      <w:proofErr w:type="gramEnd"/>
    </w:p>
    <w:p w:rsidR="00C64657" w:rsidRDefault="00C64657" w:rsidP="00C64657">
      <w:pPr>
        <w:pStyle w:val="BodyText2"/>
        <w:spacing w:after="0" w:line="360" w:lineRule="auto"/>
        <w:jc w:val="left"/>
      </w:pPr>
    </w:p>
    <w:p w:rsidR="00BB08FC" w:rsidRDefault="008C091B" w:rsidP="001F1974">
      <w:pPr>
        <w:pStyle w:val="BodyText2"/>
        <w:spacing w:after="0" w:line="360" w:lineRule="auto"/>
        <w:jc w:val="left"/>
      </w:pPr>
      <w:r>
        <w:tab/>
      </w:r>
      <w:r>
        <w:tab/>
      </w:r>
      <w:r w:rsidR="00580B8E">
        <w:t>RESA</w:t>
      </w:r>
      <w:r>
        <w:t xml:space="preserve"> proposes a gradual progression toward quarterly procurements of</w:t>
      </w:r>
      <w:r w:rsidR="00580B8E">
        <w:t xml:space="preserve"> full-requirements, load-following prod</w:t>
      </w:r>
      <w:r>
        <w:t xml:space="preserve">ucts with a three-month term.  </w:t>
      </w:r>
      <w:r w:rsidR="00580B8E">
        <w:t xml:space="preserve">RESA </w:t>
      </w:r>
      <w:r>
        <w:t>MB at 31-32</w:t>
      </w:r>
      <w:r w:rsidR="00580B8E">
        <w:t xml:space="preserve">.  RESA’s proposal with respect to Small C&amp;I customers differs from its Residential customer proposal only to the extent that it would transition the Small C&amp;I class even more quickly to three-month price products.  </w:t>
      </w:r>
    </w:p>
    <w:p w:rsidR="00C64657" w:rsidRDefault="00C64657" w:rsidP="001F1974">
      <w:pPr>
        <w:pStyle w:val="BodyText2"/>
        <w:spacing w:after="0" w:line="360" w:lineRule="auto"/>
        <w:jc w:val="left"/>
      </w:pPr>
    </w:p>
    <w:p w:rsidR="00580B8E" w:rsidRDefault="00580B8E" w:rsidP="001F1974">
      <w:pPr>
        <w:pStyle w:val="BodyText2"/>
        <w:spacing w:after="0" w:line="240" w:lineRule="auto"/>
        <w:ind w:left="1440" w:right="1440"/>
        <w:contextualSpacing/>
        <w:jc w:val="left"/>
      </w:pPr>
      <w:r>
        <w:t xml:space="preserve">RESA’s arguments in favor of its proposal to move all procurements for Small C&amp;I default service customers to three-month full-requirements contracts are likewise similar to its arguments with respect to its proposed residential class procurement, with one additional argument.  RESA contends that its proposal to move this class’s product mix quickly to three-month contracts will serve as a good transition to moving customers with load over 100 kW to real time (hourly) pricing.  </w:t>
      </w:r>
      <w:proofErr w:type="gramStart"/>
      <w:r>
        <w:t>(RESA St. 1-SR, p. 9).</w:t>
      </w:r>
      <w:proofErr w:type="gramEnd"/>
      <w:r>
        <w:t xml:space="preserve">  However, the record demonstrates that a potential conversion of these larger Small C&amp;I customers to hourly price service is not a basis for moving the entire Small C&amp;I class </w:t>
      </w:r>
      <w:r>
        <w:lastRenderedPageBreak/>
        <w:t xml:space="preserve">to three-month term contracts.  Only 4,007 Small C&amp;I customers are currently larger than 100 kW, and of these customers, 3,709 or 93% are already shopping.  </w:t>
      </w:r>
      <w:proofErr w:type="gramStart"/>
      <w:r>
        <w:t>(PPL Electric St. 1-R, p. 32).</w:t>
      </w:r>
      <w:proofErr w:type="gramEnd"/>
      <w:r>
        <w:t xml:space="preserve">  Thus, only about 300 default service Small C&amp;I customers may transition, in the future, to real time hourly price service.  In contrast, there are 85,000 Small C&amp;I customers under 25 kW receiving default service.  </w:t>
      </w:r>
      <w:proofErr w:type="gramStart"/>
      <w:r>
        <w:t>(RESA Ex. CHK-3).</w:t>
      </w:r>
      <w:proofErr w:type="gramEnd"/>
      <w:r>
        <w:t xml:space="preserve">  This is not a basis for moving all default service Small C&amp;I customers to a product mix that would cause their rates to change, potentially quite substantially, every three months.  RESA’s proposal does not reflect a reasoned balance between market reflective pricing and rate stability anticipated by the Commission’s recent amendments to its default service regulations.</w:t>
      </w:r>
    </w:p>
    <w:p w:rsidR="00C64657" w:rsidRDefault="00C64657" w:rsidP="001F1974">
      <w:pPr>
        <w:pStyle w:val="BodyText2"/>
        <w:spacing w:after="0" w:line="240" w:lineRule="auto"/>
        <w:ind w:left="1440" w:right="1440"/>
        <w:contextualSpacing/>
        <w:jc w:val="left"/>
      </w:pPr>
    </w:p>
    <w:p w:rsidR="00580B8E" w:rsidRDefault="000239DA" w:rsidP="001F1974">
      <w:pPr>
        <w:pStyle w:val="BodyText2"/>
        <w:spacing w:after="0" w:line="240" w:lineRule="auto"/>
        <w:ind w:left="1440" w:right="1440"/>
        <w:contextualSpacing/>
        <w:jc w:val="left"/>
      </w:pPr>
      <w:r>
        <w:tab/>
      </w:r>
      <w:r w:rsidR="00580B8E">
        <w:t xml:space="preserve">In addition, RESA has offered no reason for eliminating contract laddering at this time, which is a natural byproduct of its procurement proposal.  As more and more, and eventually all, Small C&amp;I default service supplies move to quarterly procurements under RESA’s proposal, laddering is eliminated.  The Commission is well aware that there are risks inherent in any procurement plan that does not ladder procurement.  </w:t>
      </w:r>
      <w:r w:rsidR="00580B8E">
        <w:rPr>
          <w:i/>
        </w:rPr>
        <w:t>See Petition of Direct Energy Services, LLC for Emergency Order Approving a Retail Aggregation Bidding Program for Customers of Pike County Light &amp; Power Company</w:t>
      </w:r>
      <w:r w:rsidR="00580B8E">
        <w:t xml:space="preserve">, Docket No. P-00062205, 2006 Pa. PUC LEXIS 3; 249 P.U.R.4th 327 (Apr. 20, 2006).  These risks include the possibility of an unusual event causing extreme price spikes, and the potential of substantial uncovered load in the event of a procurement failure.  </w:t>
      </w:r>
      <w:proofErr w:type="gramStart"/>
      <w:r w:rsidR="00580B8E">
        <w:t>(PPL Electric St. 2-R, pp. 20-22).</w:t>
      </w:r>
      <w:proofErr w:type="gramEnd"/>
      <w:r w:rsidR="00580B8E">
        <w:t xml:space="preserve">  For these reasons, and those explained previously with respect to RESA’s Residential procurement proposal, RESA’s proposed transition of the Small C&amp;I class to complete three month term full requirements contract should be rejected.</w:t>
      </w:r>
    </w:p>
    <w:p w:rsidR="008C091B" w:rsidRDefault="008C091B" w:rsidP="00C64657">
      <w:pPr>
        <w:pStyle w:val="BodyText2"/>
        <w:spacing w:after="0" w:line="240" w:lineRule="auto"/>
        <w:jc w:val="left"/>
      </w:pPr>
      <w:r>
        <w:t>PPL Electric MB at 32-33</w:t>
      </w:r>
      <w:r w:rsidR="000239DA">
        <w:t xml:space="preserve"> (footnote omitted)</w:t>
      </w:r>
      <w:r>
        <w:t>.</w:t>
      </w:r>
    </w:p>
    <w:p w:rsidR="00C64657" w:rsidRDefault="00C64657" w:rsidP="00C64657">
      <w:pPr>
        <w:pStyle w:val="BodyText2"/>
        <w:spacing w:after="0" w:line="360" w:lineRule="auto"/>
        <w:jc w:val="left"/>
      </w:pPr>
    </w:p>
    <w:p w:rsidR="008C091B" w:rsidRDefault="00D96551" w:rsidP="00C64657">
      <w:pPr>
        <w:pStyle w:val="BodyText2"/>
        <w:spacing w:after="0" w:line="360" w:lineRule="auto"/>
        <w:contextualSpacing/>
        <w:jc w:val="left"/>
      </w:pPr>
      <w:r>
        <w:tab/>
      </w:r>
      <w:r>
        <w:tab/>
        <w:t xml:space="preserve">OSBA agrees with the Company's proposed product mixture for the Small </w:t>
      </w:r>
      <w:proofErr w:type="gramStart"/>
      <w:r>
        <w:t>C&amp;I</w:t>
      </w:r>
      <w:proofErr w:type="gramEnd"/>
      <w:r>
        <w:t xml:space="preserve"> customers, including elimination of spot market purchases from the mix.  OSBA cites the Commission's policy statement, which states, "Fixed term contracts may be laddered to minimize rise, with a minimum of two competitive bid solicitations a year to further reduce the risk of acquisition at a time of peak prices."  52 Pa. Code § 69.1805(2); OSBA MB at 6-7.</w:t>
      </w:r>
      <w:r w:rsidR="00D84F4B">
        <w:t xml:space="preserve">  However, OSBA recommends eliminating the final two, three and six month proposed procurements by extending them to nine and twelve month procurements, citing the particularly high shopping levels in the Small C&amp;I class.  OSBA MB at 7, 10-16.</w:t>
      </w:r>
    </w:p>
    <w:p w:rsidR="000239DA" w:rsidRDefault="000239DA" w:rsidP="00C64657">
      <w:pPr>
        <w:pStyle w:val="BodyText2"/>
        <w:spacing w:after="0" w:line="360" w:lineRule="auto"/>
        <w:contextualSpacing/>
        <w:jc w:val="left"/>
      </w:pPr>
    </w:p>
    <w:p w:rsidR="00D84F4B" w:rsidRDefault="00D84F4B" w:rsidP="00C64657">
      <w:pPr>
        <w:pStyle w:val="BodyText2"/>
        <w:spacing w:after="0" w:line="360" w:lineRule="auto"/>
        <w:jc w:val="left"/>
      </w:pPr>
      <w:r>
        <w:tab/>
      </w:r>
      <w:r>
        <w:tab/>
        <w:t>The Company responds to this argument:</w:t>
      </w:r>
    </w:p>
    <w:p w:rsidR="00C64657" w:rsidRDefault="00C64657" w:rsidP="00C64657">
      <w:pPr>
        <w:pStyle w:val="BodyText2"/>
        <w:spacing w:after="0" w:line="360" w:lineRule="auto"/>
        <w:jc w:val="left"/>
      </w:pPr>
    </w:p>
    <w:p w:rsidR="00580B8E" w:rsidRDefault="00580B8E" w:rsidP="001F1974">
      <w:pPr>
        <w:pStyle w:val="BodyText2"/>
        <w:spacing w:after="0" w:line="240" w:lineRule="auto"/>
        <w:ind w:left="1440" w:right="1440"/>
        <w:contextualSpacing/>
        <w:jc w:val="left"/>
      </w:pPr>
      <w:r>
        <w:t xml:space="preserve">In rebuttal testimony, OSBA witness Knecht opposes RESA’s procurement proposal, but expresses the view that the rate volatility that would be experienced might not be much worse than that experienced by Small C&amp;I customers under PPL Electric’s DSP I Program.  </w:t>
      </w:r>
      <w:proofErr w:type="gramStart"/>
      <w:r>
        <w:t>(OSBA St. 2, p. 3).</w:t>
      </w:r>
      <w:proofErr w:type="gramEnd"/>
      <w:r>
        <w:t xml:space="preserve">  However, upon review of that testimony, it is apparent that Mr. Knecht is most concerned with PTC changes under the DSP I Program that have resulted from swings in the reconciliation E-factor.  PPL Electric has made a proposal to moderate these E-factor swings, </w:t>
      </w:r>
      <w:r>
        <w:rPr>
          <w:i/>
        </w:rPr>
        <w:t>i.e.</w:t>
      </w:r>
      <w:r>
        <w:t xml:space="preserve">, rolling 12-month reconciliation, which is supported by both OCA and OSBA.  </w:t>
      </w:r>
      <w:proofErr w:type="gramStart"/>
      <w:r>
        <w:t>(See Section III.B.2.b. of this Brief).</w:t>
      </w:r>
      <w:proofErr w:type="gramEnd"/>
      <w:r>
        <w:t xml:space="preserve">  Moreover, Mr. Knecht does not offer any evidence to suggest that RESA’s proposal for three-month term contracts would resolve his concerns with reconciliation.  PPL Electric respectfully submits that correcting the reconciliation issue is achievable, and should not serve as the basis for adopting what may be even more volatile price swings (and </w:t>
      </w:r>
      <w:r w:rsidR="00184BBF">
        <w:t>non-solution</w:t>
      </w:r>
      <w:r>
        <w:t xml:space="preserve"> to E-Factor swings) through quarterly term contracts.</w:t>
      </w:r>
    </w:p>
    <w:p w:rsidR="00D84F4B" w:rsidRDefault="00D84F4B" w:rsidP="001F1974">
      <w:pPr>
        <w:pStyle w:val="BodyText2"/>
        <w:spacing w:after="0" w:line="360" w:lineRule="auto"/>
        <w:jc w:val="left"/>
      </w:pPr>
      <w:r>
        <w:t>PPL Electric MB at 32-33.</w:t>
      </w:r>
    </w:p>
    <w:p w:rsidR="00C64657" w:rsidRDefault="00C64657" w:rsidP="00C64657">
      <w:pPr>
        <w:pStyle w:val="BodyText2"/>
        <w:spacing w:after="0" w:line="360" w:lineRule="auto"/>
        <w:jc w:val="left"/>
      </w:pPr>
    </w:p>
    <w:p w:rsidR="00D84F4B" w:rsidRDefault="00D84F4B" w:rsidP="00C50B37">
      <w:pPr>
        <w:pStyle w:val="BodyText2"/>
        <w:spacing w:after="0" w:line="360" w:lineRule="auto"/>
        <w:jc w:val="left"/>
      </w:pPr>
      <w:r>
        <w:tab/>
      </w:r>
      <w:r>
        <w:tab/>
        <w:t>The Company's proposal is reasonable and should be approved for the reasons given.</w:t>
      </w:r>
    </w:p>
    <w:p w:rsidR="00C64657" w:rsidRDefault="00C64657" w:rsidP="00C50B37">
      <w:pPr>
        <w:pStyle w:val="BodyText2"/>
        <w:spacing w:after="0" w:line="360" w:lineRule="auto"/>
        <w:jc w:val="left"/>
      </w:pPr>
    </w:p>
    <w:p w:rsidR="00580B8E" w:rsidRDefault="00580B8E" w:rsidP="00C50B37">
      <w:pPr>
        <w:pStyle w:val="Heading5"/>
        <w:keepNext/>
        <w:tabs>
          <w:tab w:val="clear" w:pos="3600"/>
        </w:tabs>
        <w:spacing w:after="0"/>
        <w:ind w:left="2880"/>
        <w:jc w:val="left"/>
      </w:pPr>
      <w:bookmarkStart w:id="20" w:name="_Toc337196644"/>
      <w:r>
        <w:t>Wholesale Supplier Load Cap</w:t>
      </w:r>
      <w:bookmarkEnd w:id="20"/>
      <w:r w:rsidR="00FF18D0">
        <w:fldChar w:fldCharType="begin"/>
      </w:r>
      <w:r w:rsidR="00FF18D0">
        <w:instrText xml:space="preserve"> TC "</w:instrText>
      </w:r>
      <w:bookmarkStart w:id="21" w:name="_Toc340669993"/>
      <w:r w:rsidR="00FF18D0" w:rsidRPr="009B7B20">
        <w:instrText>Wholesale Supplier Load Cap</w:instrText>
      </w:r>
      <w:bookmarkEnd w:id="21"/>
      <w:r w:rsidR="00FF18D0">
        <w:instrText xml:space="preserve">" \f C \l "5" </w:instrText>
      </w:r>
      <w:r w:rsidR="00FF18D0">
        <w:fldChar w:fldCharType="end"/>
      </w:r>
    </w:p>
    <w:p w:rsidR="00C64657" w:rsidRPr="00C64657" w:rsidRDefault="00C64657" w:rsidP="00C50B37">
      <w:pPr>
        <w:pStyle w:val="BodyText2"/>
        <w:spacing w:after="0" w:line="360" w:lineRule="auto"/>
      </w:pPr>
    </w:p>
    <w:p w:rsidR="000239DA" w:rsidRDefault="000239DA" w:rsidP="00C64657">
      <w:pPr>
        <w:pStyle w:val="BodyText2"/>
        <w:spacing w:after="0" w:line="360" w:lineRule="auto"/>
        <w:contextualSpacing/>
        <w:jc w:val="left"/>
      </w:pPr>
      <w:r>
        <w:tab/>
      </w:r>
      <w:r>
        <w:tab/>
      </w:r>
      <w:r w:rsidR="00580B8E">
        <w:t xml:space="preserve">As is the case with respect to the Residential class procurement, the Company under the DSP I Program currently has a procurement load cap of 85% for Small C&amp;I procurements.  In addition, the Company has an aggregate supplier load cap of 65% for Small C&amp;I customers.  PPL Electric proposes to eliminate the aggregate supplier load cap for Small C&amp;I customers, but retain the procurement load cap of 85%.  </w:t>
      </w:r>
      <w:proofErr w:type="gramStart"/>
      <w:r w:rsidR="00C2794C">
        <w:t>PPL Electric MB at 34.</w:t>
      </w:r>
      <w:proofErr w:type="gramEnd"/>
      <w:r w:rsidR="00C2794C">
        <w:t xml:space="preserve">  </w:t>
      </w:r>
      <w:r w:rsidR="00580B8E">
        <w:t>No party appears to object to the elimination of the aggregate supplier load cap for this class</w:t>
      </w:r>
      <w:r w:rsidR="00C2794C">
        <w:t xml:space="preserve">, although RESA cautions that the Commission may wish to consider imposing a cap to ensure supplier </w:t>
      </w:r>
      <w:r w:rsidR="00C2794C">
        <w:lastRenderedPageBreak/>
        <w:t xml:space="preserve">diversity if the current migration statistics reverse at some future point in time. </w:t>
      </w:r>
      <w:proofErr w:type="gramStart"/>
      <w:r w:rsidR="00580B8E">
        <w:t xml:space="preserve">RESA </w:t>
      </w:r>
      <w:r w:rsidR="00C2794C">
        <w:t>MB at</w:t>
      </w:r>
      <w:r w:rsidR="00C64657">
        <w:t> </w:t>
      </w:r>
      <w:r w:rsidR="00C2794C">
        <w:t>34</w:t>
      </w:r>
      <w:r w:rsidR="00580B8E">
        <w:t>.</w:t>
      </w:r>
      <w:proofErr w:type="gramEnd"/>
      <w:r w:rsidR="00C2794C">
        <w:rPr>
          <w:rStyle w:val="FootnoteReference"/>
        </w:rPr>
        <w:footnoteReference w:id="14"/>
      </w:r>
      <w:r w:rsidR="00580B8E">
        <w:t xml:space="preserve">  </w:t>
      </w:r>
    </w:p>
    <w:p w:rsidR="000239DA" w:rsidRDefault="000239DA" w:rsidP="00C64657">
      <w:pPr>
        <w:pStyle w:val="BodyText2"/>
        <w:spacing w:after="0" w:line="360" w:lineRule="auto"/>
        <w:contextualSpacing/>
        <w:jc w:val="left"/>
      </w:pPr>
    </w:p>
    <w:p w:rsidR="00580B8E" w:rsidRDefault="000239DA" w:rsidP="00C64657">
      <w:pPr>
        <w:pStyle w:val="BodyText2"/>
        <w:spacing w:after="0" w:line="360" w:lineRule="auto"/>
        <w:contextualSpacing/>
        <w:jc w:val="left"/>
      </w:pPr>
      <w:r>
        <w:tab/>
      </w:r>
      <w:r>
        <w:tab/>
      </w:r>
      <w:r w:rsidR="00580B8E">
        <w:t>The Company’s proposal to eliminate the aggregate load cap for the Small C&amp;I class should be adopted.</w:t>
      </w:r>
    </w:p>
    <w:p w:rsidR="00C64657" w:rsidRDefault="00C64657" w:rsidP="00C64657">
      <w:pPr>
        <w:pStyle w:val="BodyText2"/>
        <w:spacing w:after="0" w:line="360" w:lineRule="auto"/>
        <w:contextualSpacing/>
        <w:jc w:val="left"/>
      </w:pPr>
    </w:p>
    <w:p w:rsidR="00580B8E" w:rsidRDefault="00580B8E" w:rsidP="00855F83">
      <w:pPr>
        <w:pStyle w:val="Heading4"/>
        <w:tabs>
          <w:tab w:val="clear" w:pos="3060"/>
        </w:tabs>
        <w:spacing w:after="0"/>
        <w:ind w:left="2160"/>
        <w:jc w:val="left"/>
      </w:pPr>
      <w:bookmarkStart w:id="22" w:name="_Toc337196645"/>
      <w:r>
        <w:t>Large C&amp;I - Real-Time Hourly Rate</w:t>
      </w:r>
      <w:bookmarkEnd w:id="22"/>
      <w:r w:rsidR="00FF18D0">
        <w:fldChar w:fldCharType="begin"/>
      </w:r>
      <w:r w:rsidR="00FF18D0">
        <w:instrText xml:space="preserve"> TC "</w:instrText>
      </w:r>
      <w:bookmarkStart w:id="23" w:name="_Toc340669994"/>
      <w:r w:rsidR="00FF18D0" w:rsidRPr="009B7B20">
        <w:instrText>Large C&amp;I - Real-Time Hourly Rate</w:instrText>
      </w:r>
      <w:bookmarkEnd w:id="23"/>
      <w:r w:rsidR="00FF18D0">
        <w:instrText xml:space="preserve">" \f C \l "4" </w:instrText>
      </w:r>
      <w:r w:rsidR="00FF18D0">
        <w:fldChar w:fldCharType="end"/>
      </w:r>
    </w:p>
    <w:p w:rsidR="00C64657" w:rsidRPr="00C64657" w:rsidRDefault="00C64657" w:rsidP="00C50B37">
      <w:pPr>
        <w:pStyle w:val="BodyText2"/>
        <w:spacing w:line="360" w:lineRule="auto"/>
        <w:jc w:val="left"/>
      </w:pPr>
    </w:p>
    <w:p w:rsidR="00580B8E" w:rsidRDefault="00580B8E" w:rsidP="00855F83">
      <w:pPr>
        <w:pStyle w:val="Heading5"/>
        <w:tabs>
          <w:tab w:val="clear" w:pos="3600"/>
        </w:tabs>
        <w:spacing w:after="0"/>
        <w:ind w:left="2880"/>
        <w:jc w:val="left"/>
      </w:pPr>
      <w:bookmarkStart w:id="24" w:name="_Toc337196646"/>
      <w:r>
        <w:t>Product Mixture</w:t>
      </w:r>
      <w:bookmarkEnd w:id="24"/>
      <w:r w:rsidR="00FF18D0">
        <w:fldChar w:fldCharType="begin"/>
      </w:r>
      <w:r w:rsidR="00FF18D0">
        <w:instrText xml:space="preserve"> TC "</w:instrText>
      </w:r>
      <w:bookmarkStart w:id="25" w:name="_Toc340669995"/>
      <w:r w:rsidR="00FF18D0" w:rsidRPr="009B7B20">
        <w:instrText>Product Mixture</w:instrText>
      </w:r>
      <w:bookmarkEnd w:id="25"/>
      <w:r w:rsidR="00FF18D0">
        <w:instrText xml:space="preserve">" \f C \l "5" </w:instrText>
      </w:r>
      <w:r w:rsidR="00FF18D0">
        <w:fldChar w:fldCharType="end"/>
      </w:r>
      <w:r>
        <w:t xml:space="preserve"> </w:t>
      </w:r>
    </w:p>
    <w:p w:rsidR="00C64657" w:rsidRPr="00C64657" w:rsidRDefault="00C64657" w:rsidP="00C50B37">
      <w:pPr>
        <w:pStyle w:val="BodyText2"/>
        <w:spacing w:line="360" w:lineRule="auto"/>
        <w:jc w:val="left"/>
      </w:pPr>
    </w:p>
    <w:p w:rsidR="00630D7C" w:rsidRDefault="00630D7C" w:rsidP="00C50B37">
      <w:pPr>
        <w:pStyle w:val="BodyText2"/>
        <w:spacing w:after="0" w:line="360" w:lineRule="auto"/>
        <w:ind w:firstLine="1440"/>
        <w:jc w:val="left"/>
      </w:pPr>
      <w:r>
        <w:t>For the DSP II:</w:t>
      </w:r>
    </w:p>
    <w:p w:rsidR="00C50B37" w:rsidRDefault="00C50B37" w:rsidP="00C64657">
      <w:pPr>
        <w:pStyle w:val="BodyText2"/>
        <w:spacing w:after="0" w:line="360" w:lineRule="auto"/>
        <w:jc w:val="left"/>
      </w:pPr>
    </w:p>
    <w:p w:rsidR="00580B8E" w:rsidRDefault="00630D7C" w:rsidP="001F1974">
      <w:pPr>
        <w:pStyle w:val="BodyText2"/>
        <w:spacing w:after="0" w:line="240" w:lineRule="auto"/>
        <w:ind w:left="1440" w:right="1440"/>
        <w:contextualSpacing/>
        <w:jc w:val="left"/>
      </w:pPr>
      <w:r>
        <w:t xml:space="preserve">. . . </w:t>
      </w:r>
      <w:r w:rsidR="00580B8E">
        <w:t xml:space="preserve"> PPL Electric proposes to continue the strategy used in the DSP I Program to satisfy its Large C&amp;I Customer Class Default Service obligation, </w:t>
      </w:r>
      <w:r w:rsidR="00580B8E">
        <w:rPr>
          <w:i/>
        </w:rPr>
        <w:t>i.e.,</w:t>
      </w:r>
      <w:r w:rsidR="00580B8E">
        <w:t xml:space="preserve"> it will acquire supply via the spot market.  </w:t>
      </w:r>
      <w:proofErr w:type="gramStart"/>
      <w:r w:rsidR="00580B8E">
        <w:t>(PPL Electric St. 2, p. 15, 22-23).</w:t>
      </w:r>
      <w:proofErr w:type="gramEnd"/>
      <w:r w:rsidR="00580B8E">
        <w:t xml:space="preserve">  Specifically, the Company will provide Default Service through one-year term products procured from wholesale suppliers through competitive procurements.  (PPL Electric St. 1, p. 7, PPL Electric St. 2, p. 9).  Each winning supplier is paid the hourly real-time spot market energy price for the PPL Zone, PJM’s capacity charge for the PPL Zone, and the price it bid to cover all other components of the full-requirements, load-following service.  </w:t>
      </w:r>
      <w:proofErr w:type="gramStart"/>
      <w:r w:rsidR="00580B8E">
        <w:t>(PPL Electric Ex. 1, Appendix B, p. 8).</w:t>
      </w:r>
      <w:proofErr w:type="gramEnd"/>
      <w:r w:rsidR="00580B8E">
        <w:t xml:space="preserve">  PPL Electric’s witness Cavicchi explained that the vast majority of PPL Electric’s large commercial and industrial customers are purchasing power supplies from competitive retail suppliers and can be expected to continue to seek supplies from competitive retail suppliers. </w:t>
      </w:r>
      <w:proofErr w:type="gramStart"/>
      <w:r w:rsidR="00580B8E">
        <w:t>(PPL Electric St. 2, p. 24).</w:t>
      </w:r>
      <w:proofErr w:type="gramEnd"/>
      <w:r w:rsidR="00580B8E">
        <w:rPr>
          <w:rStyle w:val="FootnoteReference"/>
        </w:rPr>
        <w:footnoteReference w:id="15"/>
      </w:r>
      <w:r w:rsidR="00580B8E">
        <w:t xml:space="preserve">  Continuing the default service spot market offering for these larger customers provides a flexible default service that is reasonably priced and available whenever a customer must rely on default service supply.  </w:t>
      </w:r>
      <w:r w:rsidR="00580B8E">
        <w:rPr>
          <w:i/>
        </w:rPr>
        <w:t>Id.</w:t>
      </w:r>
      <w:r w:rsidR="00580B8E">
        <w:t xml:space="preserve">  Moreover, the spot market product has been an appropriate default service product for supporting the development of a retail competitive market in Pennsylvania for these large customers.  </w:t>
      </w:r>
      <w:r w:rsidR="00580B8E">
        <w:rPr>
          <w:i/>
        </w:rPr>
        <w:t>Id.</w:t>
      </w:r>
      <w:r w:rsidR="00580B8E">
        <w:t xml:space="preserve">  </w:t>
      </w:r>
      <w:r w:rsidR="00580B8E">
        <w:lastRenderedPageBreak/>
        <w:t>No party has objected to the continuation of this product mix for the Large C&amp;I customer class, and it should be approved.</w:t>
      </w:r>
    </w:p>
    <w:p w:rsidR="00630D7C" w:rsidRDefault="00630D7C" w:rsidP="001F1974">
      <w:pPr>
        <w:pStyle w:val="BodyText2"/>
        <w:spacing w:after="0" w:line="240" w:lineRule="auto"/>
        <w:ind w:left="1440" w:right="1440"/>
        <w:contextualSpacing/>
        <w:jc w:val="left"/>
      </w:pPr>
    </w:p>
    <w:p w:rsidR="00630D7C" w:rsidRDefault="00630D7C" w:rsidP="00C64657">
      <w:pPr>
        <w:pStyle w:val="BodyText2"/>
        <w:spacing w:after="0" w:line="240" w:lineRule="auto"/>
        <w:contextualSpacing/>
        <w:jc w:val="left"/>
      </w:pPr>
      <w:proofErr w:type="gramStart"/>
      <w:r>
        <w:t>PPL Electric MB at 35.</w:t>
      </w:r>
      <w:proofErr w:type="gramEnd"/>
    </w:p>
    <w:p w:rsidR="00630D7C" w:rsidRDefault="00630D7C" w:rsidP="00C64657">
      <w:pPr>
        <w:pStyle w:val="BodyText2"/>
        <w:spacing w:after="0" w:line="360" w:lineRule="auto"/>
        <w:contextualSpacing/>
        <w:jc w:val="left"/>
      </w:pPr>
    </w:p>
    <w:p w:rsidR="00630D7C" w:rsidRDefault="00630D7C" w:rsidP="00C64657">
      <w:pPr>
        <w:pStyle w:val="BodyText2"/>
        <w:spacing w:after="0" w:line="360" w:lineRule="auto"/>
        <w:contextualSpacing/>
        <w:jc w:val="left"/>
      </w:pPr>
      <w:r>
        <w:tab/>
      </w:r>
      <w:r>
        <w:tab/>
        <w:t>The Company's proposal is unopposed and approval is recommended here.</w:t>
      </w:r>
    </w:p>
    <w:p w:rsidR="00630D7C" w:rsidRDefault="00630D7C" w:rsidP="00C64657">
      <w:pPr>
        <w:pStyle w:val="BodyText2"/>
        <w:spacing w:after="0" w:line="360" w:lineRule="auto"/>
        <w:contextualSpacing/>
        <w:jc w:val="left"/>
      </w:pPr>
    </w:p>
    <w:p w:rsidR="00580B8E" w:rsidRDefault="00580B8E" w:rsidP="00855F83">
      <w:pPr>
        <w:pStyle w:val="Heading5"/>
        <w:keepNext/>
        <w:tabs>
          <w:tab w:val="clear" w:pos="3600"/>
        </w:tabs>
        <w:spacing w:after="0"/>
        <w:ind w:left="2880"/>
        <w:jc w:val="left"/>
      </w:pPr>
      <w:bookmarkStart w:id="26" w:name="_Toc337196647"/>
      <w:r>
        <w:t>Procurement Schedule</w:t>
      </w:r>
      <w:bookmarkEnd w:id="26"/>
      <w:r w:rsidR="00FF18D0">
        <w:fldChar w:fldCharType="begin"/>
      </w:r>
      <w:r w:rsidR="00FF18D0">
        <w:instrText xml:space="preserve"> TC "</w:instrText>
      </w:r>
      <w:bookmarkStart w:id="27" w:name="_Toc340669996"/>
      <w:r w:rsidR="00FF18D0" w:rsidRPr="009B7B20">
        <w:instrText>Procurement Schedule</w:instrText>
      </w:r>
      <w:bookmarkEnd w:id="27"/>
      <w:r w:rsidR="00FF18D0">
        <w:instrText xml:space="preserve">" \f C \l "5" </w:instrText>
      </w:r>
      <w:r w:rsidR="00FF18D0">
        <w:fldChar w:fldCharType="end"/>
      </w:r>
    </w:p>
    <w:p w:rsidR="00C64657" w:rsidRPr="00C64657" w:rsidRDefault="00C64657" w:rsidP="00C64657">
      <w:pPr>
        <w:pStyle w:val="BodyText2"/>
        <w:spacing w:after="0" w:line="360" w:lineRule="auto"/>
      </w:pPr>
    </w:p>
    <w:p w:rsidR="00630D7C" w:rsidRDefault="00630D7C" w:rsidP="00C50B37">
      <w:pPr>
        <w:pStyle w:val="ListNumber"/>
        <w:numPr>
          <w:ilvl w:val="0"/>
          <w:numId w:val="0"/>
        </w:numPr>
        <w:spacing w:line="360" w:lineRule="auto"/>
        <w:ind w:firstLine="720"/>
        <w:contextualSpacing/>
        <w:jc w:val="left"/>
      </w:pPr>
      <w:r>
        <w:tab/>
        <w:t xml:space="preserve">For the Large C&amp;I class, </w:t>
      </w:r>
      <w:r w:rsidR="00580B8E">
        <w:t>PPL Electric proposes to issue a single annual solicitation, wherein the Company will request competitive offers from suppliers to provide Defaul</w:t>
      </w:r>
      <w:r>
        <w:t xml:space="preserve">t Service spot market supply.  </w:t>
      </w:r>
      <w:r w:rsidR="00580B8E">
        <w:t>PPL Electric St</w:t>
      </w:r>
      <w:r>
        <w:t>mt</w:t>
      </w:r>
      <w:r w:rsidR="00580B8E">
        <w:t>. 1</w:t>
      </w:r>
      <w:r>
        <w:t xml:space="preserve"> at</w:t>
      </w:r>
      <w:r w:rsidR="00580B8E">
        <w:t xml:space="preserve"> 7, PPL Electric St</w:t>
      </w:r>
      <w:r>
        <w:t>mt</w:t>
      </w:r>
      <w:r w:rsidR="00580B8E">
        <w:t>. 2</w:t>
      </w:r>
      <w:r>
        <w:t xml:space="preserve"> at</w:t>
      </w:r>
      <w:r w:rsidR="00580B8E">
        <w:t xml:space="preserve"> 22</w:t>
      </w:r>
      <w:r>
        <w:t>; PPL Electric MB at 35</w:t>
      </w:r>
      <w:r w:rsidR="00580B8E">
        <w:t xml:space="preserve">.  The first solicitation </w:t>
      </w:r>
      <w:r>
        <w:t xml:space="preserve">is proposed to </w:t>
      </w:r>
      <w:r w:rsidR="00580B8E">
        <w:t xml:space="preserve">take place in April 2013 and the second in April 2014 for the subsequent PJM planning period beginning June 1, 2013 and June 1, 2014, respectively.  </w:t>
      </w:r>
      <w:r>
        <w:t>PPL Electric MB at 35.</w:t>
      </w:r>
    </w:p>
    <w:p w:rsidR="00630D7C" w:rsidRDefault="00630D7C" w:rsidP="00C50B37">
      <w:pPr>
        <w:pStyle w:val="ListNumber"/>
        <w:numPr>
          <w:ilvl w:val="0"/>
          <w:numId w:val="0"/>
        </w:numPr>
        <w:spacing w:line="360" w:lineRule="auto"/>
        <w:ind w:firstLine="720"/>
        <w:contextualSpacing/>
        <w:jc w:val="left"/>
      </w:pPr>
    </w:p>
    <w:p w:rsidR="00580B8E" w:rsidRDefault="00630D7C" w:rsidP="00C50B37">
      <w:pPr>
        <w:pStyle w:val="ListNumber"/>
        <w:numPr>
          <w:ilvl w:val="0"/>
          <w:numId w:val="0"/>
        </w:numPr>
        <w:spacing w:line="360" w:lineRule="auto"/>
        <w:ind w:firstLine="720"/>
        <w:contextualSpacing/>
        <w:jc w:val="left"/>
      </w:pPr>
      <w:r>
        <w:tab/>
        <w:t>As n</w:t>
      </w:r>
      <w:r w:rsidR="00580B8E">
        <w:t>o party has objected to this procurement schedule</w:t>
      </w:r>
      <w:r>
        <w:t>, it is recommended for approval</w:t>
      </w:r>
      <w:r w:rsidR="00580B8E">
        <w:t xml:space="preserve">. </w:t>
      </w:r>
    </w:p>
    <w:p w:rsidR="00C64657" w:rsidRDefault="00C64657" w:rsidP="00C50B37">
      <w:pPr>
        <w:pStyle w:val="ListNumber"/>
        <w:numPr>
          <w:ilvl w:val="0"/>
          <w:numId w:val="0"/>
        </w:numPr>
        <w:spacing w:line="360" w:lineRule="auto"/>
        <w:ind w:firstLine="720"/>
        <w:contextualSpacing/>
        <w:jc w:val="left"/>
      </w:pPr>
    </w:p>
    <w:p w:rsidR="00580B8E" w:rsidRDefault="00580B8E" w:rsidP="00C50B37">
      <w:pPr>
        <w:pStyle w:val="Heading5"/>
        <w:tabs>
          <w:tab w:val="clear" w:pos="3600"/>
        </w:tabs>
        <w:spacing w:after="0"/>
        <w:ind w:left="2880"/>
        <w:jc w:val="left"/>
      </w:pPr>
      <w:bookmarkStart w:id="28" w:name="_Toc337196648"/>
      <w:r>
        <w:t>Wholesale Supplier Load Cap</w:t>
      </w:r>
      <w:bookmarkEnd w:id="28"/>
      <w:r w:rsidR="00FF18D0">
        <w:fldChar w:fldCharType="begin"/>
      </w:r>
      <w:r w:rsidR="00FF18D0">
        <w:instrText xml:space="preserve"> TC "</w:instrText>
      </w:r>
      <w:bookmarkStart w:id="29" w:name="_Toc340669997"/>
      <w:r w:rsidR="00FF18D0" w:rsidRPr="009B7B20">
        <w:instrText>Wholesale Supplier Load Cap</w:instrText>
      </w:r>
      <w:bookmarkEnd w:id="29"/>
      <w:r w:rsidR="00FF18D0">
        <w:instrText xml:space="preserve">" \f C \l "5" </w:instrText>
      </w:r>
      <w:r w:rsidR="00FF18D0">
        <w:fldChar w:fldCharType="end"/>
      </w:r>
    </w:p>
    <w:p w:rsidR="00C64657" w:rsidRPr="00C64657" w:rsidRDefault="00C64657" w:rsidP="00C50B37">
      <w:pPr>
        <w:pStyle w:val="BodyText2"/>
        <w:spacing w:after="0" w:line="360" w:lineRule="auto"/>
      </w:pPr>
    </w:p>
    <w:p w:rsidR="00C014A1" w:rsidRDefault="002C27F0" w:rsidP="00C64657">
      <w:pPr>
        <w:pStyle w:val="ListNumber"/>
        <w:numPr>
          <w:ilvl w:val="0"/>
          <w:numId w:val="0"/>
        </w:numPr>
        <w:spacing w:line="360" w:lineRule="auto"/>
        <w:ind w:firstLine="720"/>
        <w:contextualSpacing/>
        <w:jc w:val="left"/>
      </w:pPr>
      <w:r>
        <w:tab/>
      </w:r>
      <w:r w:rsidR="00630D7C">
        <w:t>T</w:t>
      </w:r>
      <w:r w:rsidR="00580B8E">
        <w:t xml:space="preserve">he DSP II Program maintains the Solicitation Load Cap of 85% for Large C&amp;I customers.  There is no separate aggregate load cap for this Class, as all procurements for the year are undertaken at the same time.  </w:t>
      </w:r>
      <w:r w:rsidR="00630D7C">
        <w:t>FES actively supports this proposal, FES MB at 35, and n</w:t>
      </w:r>
      <w:r w:rsidR="00580B8E">
        <w:t>o party has opposed the continuation of th</w:t>
      </w:r>
      <w:r w:rsidR="00630D7C">
        <w:t xml:space="preserve">e current Solicitation Load Cap.  </w:t>
      </w:r>
    </w:p>
    <w:p w:rsidR="00C014A1" w:rsidRDefault="00C014A1" w:rsidP="00C64657">
      <w:pPr>
        <w:pStyle w:val="ListNumber"/>
        <w:numPr>
          <w:ilvl w:val="0"/>
          <w:numId w:val="0"/>
        </w:numPr>
        <w:spacing w:line="360" w:lineRule="auto"/>
        <w:ind w:firstLine="720"/>
        <w:contextualSpacing/>
        <w:jc w:val="left"/>
      </w:pPr>
    </w:p>
    <w:p w:rsidR="00630D7C" w:rsidRDefault="00C014A1" w:rsidP="00C64657">
      <w:pPr>
        <w:pStyle w:val="ListNumber"/>
        <w:numPr>
          <w:ilvl w:val="0"/>
          <w:numId w:val="0"/>
        </w:numPr>
        <w:spacing w:line="360" w:lineRule="auto"/>
        <w:ind w:firstLine="720"/>
        <w:contextualSpacing/>
        <w:jc w:val="left"/>
      </w:pPr>
      <w:r>
        <w:tab/>
      </w:r>
      <w:r w:rsidR="00630D7C">
        <w:t>T</w:t>
      </w:r>
      <w:r w:rsidR="00580B8E">
        <w:t xml:space="preserve">he Company’s proposal </w:t>
      </w:r>
      <w:r w:rsidR="00630D7C">
        <w:t>is recommended for approval.</w:t>
      </w:r>
      <w:bookmarkStart w:id="30" w:name="_Toc337196649"/>
    </w:p>
    <w:p w:rsidR="00630D7C" w:rsidRDefault="00630D7C" w:rsidP="00C64657">
      <w:pPr>
        <w:pStyle w:val="ListNumber"/>
        <w:numPr>
          <w:ilvl w:val="0"/>
          <w:numId w:val="0"/>
        </w:numPr>
        <w:spacing w:line="360" w:lineRule="auto"/>
        <w:ind w:firstLine="720"/>
        <w:jc w:val="left"/>
      </w:pPr>
    </w:p>
    <w:p w:rsidR="00580B8E" w:rsidRDefault="00855F83" w:rsidP="00855F83">
      <w:pPr>
        <w:pStyle w:val="ListNumber"/>
        <w:numPr>
          <w:ilvl w:val="0"/>
          <w:numId w:val="0"/>
        </w:numPr>
        <w:tabs>
          <w:tab w:val="clear" w:pos="1170"/>
        </w:tabs>
        <w:spacing w:line="360" w:lineRule="auto"/>
        <w:ind w:left="1440"/>
        <w:jc w:val="left"/>
        <w:rPr>
          <w:b/>
        </w:rPr>
      </w:pPr>
      <w:r>
        <w:rPr>
          <w:b/>
        </w:rPr>
        <w:t>e.</w:t>
      </w:r>
      <w:r>
        <w:rPr>
          <w:b/>
        </w:rPr>
        <w:tab/>
        <w:t>C</w:t>
      </w:r>
      <w:r w:rsidR="00580B8E" w:rsidRPr="002C27F0">
        <w:rPr>
          <w:b/>
        </w:rPr>
        <w:t>ontract Terms Beyond May 31, 2015</w:t>
      </w:r>
      <w:bookmarkEnd w:id="30"/>
      <w:r w:rsidR="00FF18D0">
        <w:rPr>
          <w:b/>
        </w:rPr>
        <w:fldChar w:fldCharType="begin"/>
      </w:r>
      <w:r w:rsidR="00FF18D0">
        <w:instrText xml:space="preserve"> TC "</w:instrText>
      </w:r>
      <w:bookmarkStart w:id="31" w:name="_Toc340669998"/>
      <w:r w:rsidR="00FF18D0" w:rsidRPr="009B7B20">
        <w:rPr>
          <w:b/>
        </w:rPr>
        <w:instrText>e.</w:instrText>
      </w:r>
      <w:r w:rsidR="00FF18D0" w:rsidRPr="009B7B20">
        <w:rPr>
          <w:b/>
        </w:rPr>
        <w:tab/>
        <w:instrText>Contract Terms Beyond May 31, 2015</w:instrText>
      </w:r>
      <w:bookmarkEnd w:id="31"/>
      <w:r w:rsidR="00FF18D0">
        <w:instrText xml:space="preserve">" \f C \l "4" </w:instrText>
      </w:r>
      <w:r w:rsidR="00FF18D0">
        <w:rPr>
          <w:b/>
        </w:rPr>
        <w:fldChar w:fldCharType="end"/>
      </w:r>
    </w:p>
    <w:p w:rsidR="00C64657" w:rsidRPr="002C27F0" w:rsidRDefault="00C64657" w:rsidP="00C64657">
      <w:pPr>
        <w:pStyle w:val="ListNumber"/>
        <w:numPr>
          <w:ilvl w:val="0"/>
          <w:numId w:val="0"/>
        </w:numPr>
        <w:spacing w:line="360" w:lineRule="auto"/>
        <w:ind w:firstLine="720"/>
        <w:rPr>
          <w:b/>
        </w:rPr>
      </w:pPr>
    </w:p>
    <w:p w:rsidR="002137DA" w:rsidRDefault="002137DA" w:rsidP="00C64657">
      <w:pPr>
        <w:pStyle w:val="BodyText2"/>
        <w:spacing w:after="0" w:line="360" w:lineRule="auto"/>
        <w:contextualSpacing/>
        <w:jc w:val="left"/>
      </w:pPr>
      <w:r>
        <w:tab/>
      </w:r>
      <w:r>
        <w:tab/>
        <w:t>Proposed s</w:t>
      </w:r>
      <w:r w:rsidR="00580B8E">
        <w:t>hort-term contracts</w:t>
      </w:r>
      <w:r>
        <w:t xml:space="preserve"> with terms of six and three months in length for the final procurements under the DSP II Program for the Residential and Small C&amp;I rate classes</w:t>
      </w:r>
      <w:r w:rsidR="00580B8E">
        <w:t xml:space="preserve">, </w:t>
      </w:r>
      <w:r w:rsidR="00580B8E">
        <w:lastRenderedPageBreak/>
        <w:t>which replace the last of the expiring DSP I Program contracts and expiring one-year term contracts under the DSP II Program, will permit all contracts for supply, other than the 150 MW of long term five and ten year block supplies for residential customers, to expire as of May 31, 2015.</w:t>
      </w:r>
      <w:r w:rsidR="00580B8E">
        <w:rPr>
          <w:rStyle w:val="FootnoteReference"/>
        </w:rPr>
        <w:footnoteReference w:id="16"/>
      </w:r>
      <w:r w:rsidR="00580B8E">
        <w:t xml:space="preserve">  </w:t>
      </w:r>
      <w:r>
        <w:t xml:space="preserve">The Commission’s </w:t>
      </w:r>
      <w:r>
        <w:rPr>
          <w:i/>
        </w:rPr>
        <w:t>December 16 RMI Order</w:t>
      </w:r>
      <w:r>
        <w:t xml:space="preserve"> encouraged companies to minimize supplies procured under contracts with terms that extend beyond May 31, 2015, and PPL Electric sought to comply with this recommendation.  </w:t>
      </w:r>
    </w:p>
    <w:p w:rsidR="002137DA" w:rsidRDefault="002137DA" w:rsidP="00C64657">
      <w:pPr>
        <w:pStyle w:val="BodyText2"/>
        <w:spacing w:after="0" w:line="360" w:lineRule="auto"/>
        <w:contextualSpacing/>
        <w:jc w:val="left"/>
      </w:pPr>
    </w:p>
    <w:p w:rsidR="002137DA" w:rsidRDefault="002137DA" w:rsidP="00C64657">
      <w:pPr>
        <w:pStyle w:val="BodyText2"/>
        <w:spacing w:after="0" w:line="360" w:lineRule="auto"/>
        <w:contextualSpacing/>
        <w:jc w:val="left"/>
      </w:pPr>
      <w:r>
        <w:tab/>
      </w:r>
      <w:r>
        <w:tab/>
      </w:r>
      <w:r w:rsidR="00580B8E">
        <w:t xml:space="preserve">OCA, OSBA and to a lesser extent FES argue that these final procurements should extend an additional six months beyond May 31, 2015 to avoid a “cliff period” that would be created if all supplies had to be procured within a short period of time to provide default service after June 1, 2015.  OCA, OSBA and FES contend that the Commission’s end-state determination can manage contracts extending beyond May 31, 2015, through assignment of the contracts if another entity is named the default service supplier after that date.  </w:t>
      </w:r>
    </w:p>
    <w:p w:rsidR="00413D74" w:rsidRDefault="00413D74" w:rsidP="00C64657">
      <w:pPr>
        <w:pStyle w:val="BodyText2"/>
        <w:spacing w:after="0" w:line="360" w:lineRule="auto"/>
        <w:contextualSpacing/>
        <w:jc w:val="left"/>
      </w:pPr>
    </w:p>
    <w:p w:rsidR="00580B8E" w:rsidRDefault="00580B8E" w:rsidP="001F1974">
      <w:pPr>
        <w:pStyle w:val="BodyText2"/>
        <w:spacing w:after="0" w:line="240" w:lineRule="auto"/>
        <w:ind w:left="1440" w:right="1440"/>
        <w:contextualSpacing/>
        <w:jc w:val="left"/>
      </w:pPr>
      <w:r>
        <w:t xml:space="preserve">PPL Electric believes that the Commission’s end-state decision is not just an issue about whether PPL Electric or another entity would be the default service provider.  The Commission also may be considering a different concept of how default service requirements will be met.  </w:t>
      </w:r>
      <w:proofErr w:type="gramStart"/>
      <w:r>
        <w:t>(PPL Electric St. 1-R, p. 16).</w:t>
      </w:r>
      <w:proofErr w:type="gramEnd"/>
      <w:r>
        <w:t xml:space="preserve">  If substantial amounts of default service load are tied up in contracts that extend beyond May 31, 2015, this will delay the Commission’s implementation of its end-state structure.  For these reasons, PPL Electric has not proposed that these final contracts be extended beyond May 31, 2015.</w:t>
      </w:r>
    </w:p>
    <w:p w:rsidR="00C64657" w:rsidRDefault="00C64657" w:rsidP="001F1974">
      <w:pPr>
        <w:pStyle w:val="BodyText2"/>
        <w:spacing w:after="0" w:line="240" w:lineRule="auto"/>
        <w:ind w:left="1440" w:right="1440"/>
        <w:contextualSpacing/>
        <w:jc w:val="left"/>
      </w:pPr>
    </w:p>
    <w:p w:rsidR="00580B8E" w:rsidRDefault="002C27F0" w:rsidP="001F1974">
      <w:pPr>
        <w:pStyle w:val="BodyText2"/>
        <w:spacing w:after="0" w:line="240" w:lineRule="auto"/>
        <w:ind w:left="1440" w:right="1440"/>
        <w:contextualSpacing/>
        <w:jc w:val="left"/>
      </w:pPr>
      <w:r>
        <w:tab/>
      </w:r>
      <w:r w:rsidR="00580B8E">
        <w:t xml:space="preserve">PPL Electric, however, is concerned about the possibility of a “cliff period.”  </w:t>
      </w:r>
      <w:proofErr w:type="gramStart"/>
      <w:r w:rsidR="00580B8E">
        <w:t>(PPL Electric St. 1-R, p. 15).</w:t>
      </w:r>
      <w:proofErr w:type="gramEnd"/>
      <w:r w:rsidR="00580B8E">
        <w:t xml:space="preserve">  PPL Electric therefore has proposed an option that would allow it to extend the term of these contracts if it continues as the default service provider and if the Commission’s end-state structure supports contracts layered for a term beyond May 31, 2015.  PPL Electric notes that it would anticipate the Commission’s end-state decision will be made well in advance of the renewal date of these </w:t>
      </w:r>
      <w:r w:rsidR="00580B8E">
        <w:lastRenderedPageBreak/>
        <w:t>contracts.</w:t>
      </w:r>
      <w:r w:rsidR="00580B8E">
        <w:rPr>
          <w:rStyle w:val="FootnoteReference"/>
        </w:rPr>
        <w:footnoteReference w:id="17"/>
      </w:r>
      <w:r w:rsidR="00580B8E">
        <w:t xml:space="preserve">  Moreover, if such a decision has not been made, it will be necessary for PPL Electric to submit a new default service plan well in advance of May 31, 2015.  Thus, there will be sufficient time to extend these contracts if appropriate.</w:t>
      </w:r>
    </w:p>
    <w:p w:rsidR="00C64657" w:rsidRDefault="00C64657" w:rsidP="001F1974">
      <w:pPr>
        <w:pStyle w:val="BodyText2"/>
        <w:spacing w:after="0" w:line="240" w:lineRule="auto"/>
        <w:ind w:left="1440" w:right="1440"/>
        <w:contextualSpacing/>
        <w:jc w:val="left"/>
      </w:pPr>
    </w:p>
    <w:p w:rsidR="00580B8E" w:rsidRDefault="002C27F0" w:rsidP="001F1974">
      <w:pPr>
        <w:pStyle w:val="BodyText2"/>
        <w:spacing w:after="0" w:line="240" w:lineRule="auto"/>
        <w:ind w:left="1440" w:right="1440"/>
        <w:contextualSpacing/>
        <w:jc w:val="left"/>
      </w:pPr>
      <w:r>
        <w:tab/>
      </w:r>
      <w:r w:rsidR="00580B8E">
        <w:t xml:space="preserve">As noted previously, PPL Electric has two block contracts of 50 MW each with five-year terms ending December 31, 2015, and one 50 MW unit specific product with a ten-year term ending May 31, 2021.  If PPL Electric does not continue in the role of default service provider after May 31, 2015, appropriate provision must be made for PPL Electric to recover costs associated with these contracts extending beyond May 31, 2015, along with the costs of any associated Alternative Energy Credit (“AEC”) contracts.  PPL Electric requests that the Commission, in its final order in this proceeding, confirm that if these contracts do not continue to be used to provide default service supplies for residential </w:t>
      </w:r>
      <w:proofErr w:type="gramStart"/>
      <w:r w:rsidR="00580B8E">
        <w:t>customers, that</w:t>
      </w:r>
      <w:proofErr w:type="gramEnd"/>
      <w:r w:rsidR="00580B8E">
        <w:t xml:space="preserve"> PPL Electric will be made whole for the cost of supplies that it must purchase under these contracts.  </w:t>
      </w:r>
      <w:proofErr w:type="gramStart"/>
      <w:r w:rsidR="00580B8E">
        <w:t>(PPL Electric St. 1, p. 12).</w:t>
      </w:r>
      <w:proofErr w:type="gramEnd"/>
    </w:p>
    <w:p w:rsidR="002137DA" w:rsidRDefault="002137DA" w:rsidP="00C64657">
      <w:pPr>
        <w:pStyle w:val="Heading4"/>
        <w:numPr>
          <w:ilvl w:val="0"/>
          <w:numId w:val="0"/>
        </w:numPr>
        <w:spacing w:after="0" w:line="240" w:lineRule="auto"/>
        <w:contextualSpacing/>
        <w:jc w:val="left"/>
      </w:pPr>
      <w:bookmarkStart w:id="32" w:name="_Toc337196650"/>
      <w:r w:rsidRPr="002137DA">
        <w:rPr>
          <w:b w:val="0"/>
        </w:rPr>
        <w:t>PPL Electric MB at 37-38</w:t>
      </w:r>
      <w:r>
        <w:t>.</w:t>
      </w:r>
    </w:p>
    <w:p w:rsidR="002137DA" w:rsidRDefault="002137DA" w:rsidP="00C64657">
      <w:pPr>
        <w:pStyle w:val="BodyText2"/>
        <w:spacing w:after="0" w:line="360" w:lineRule="auto"/>
        <w:jc w:val="left"/>
      </w:pPr>
    </w:p>
    <w:p w:rsidR="002137DA" w:rsidRDefault="002137DA" w:rsidP="00C64657">
      <w:pPr>
        <w:pStyle w:val="BodyText2"/>
        <w:spacing w:after="0" w:line="360" w:lineRule="auto"/>
        <w:contextualSpacing/>
        <w:jc w:val="left"/>
      </w:pPr>
      <w:r>
        <w:tab/>
      </w:r>
      <w:r>
        <w:tab/>
        <w:t xml:space="preserve">OCA sees a more benign Commission attitude in its statement that "The Commission reiterates that it will not mandate a prescriptive portfolio of contract lengths and will allow EDCs to retain flexibility in developing plans that meet Act 129 requirements."  </w:t>
      </w:r>
      <w:proofErr w:type="gramStart"/>
      <w:r>
        <w:t>December 16 Final Order at 19.</w:t>
      </w:r>
      <w:proofErr w:type="gramEnd"/>
      <w:r>
        <w:t xml:space="preserve">  Accordingly, OCA recommends allowing some contracts to go past the May 31, 2015</w:t>
      </w:r>
      <w:r w:rsidR="00393C77">
        <w:t>,</w:t>
      </w:r>
      <w:r>
        <w:t xml:space="preserve"> date in order to </w:t>
      </w:r>
      <w:r w:rsidR="00324ADB">
        <w:t xml:space="preserve">protect residential customers from possible price spikes.  </w:t>
      </w:r>
      <w:proofErr w:type="gramStart"/>
      <w:r w:rsidR="00324ADB">
        <w:t>OCA MB at 23.</w:t>
      </w:r>
      <w:proofErr w:type="gramEnd"/>
    </w:p>
    <w:p w:rsidR="00324ADB" w:rsidRDefault="00324ADB" w:rsidP="00C64657">
      <w:pPr>
        <w:pStyle w:val="BodyText2"/>
        <w:spacing w:after="0" w:line="360" w:lineRule="auto"/>
        <w:contextualSpacing/>
        <w:jc w:val="left"/>
      </w:pPr>
    </w:p>
    <w:p w:rsidR="00324ADB" w:rsidRDefault="00324ADB" w:rsidP="00C64657">
      <w:pPr>
        <w:pStyle w:val="BodyText2"/>
        <w:spacing w:after="0" w:line="360" w:lineRule="auto"/>
        <w:contextualSpacing/>
        <w:jc w:val="left"/>
      </w:pPr>
      <w:r>
        <w:tab/>
      </w:r>
      <w:r>
        <w:tab/>
        <w:t xml:space="preserve">OSBA also seeks an exception for Small C&amp;I customers to avoid "substantial rate discontinuity."  OSBA Stmt. 1 at 9-10.  After all, the high shopping rate makes it unlikely that additional retail market enhancements will be needed three years from now.  </w:t>
      </w:r>
      <w:proofErr w:type="gramStart"/>
      <w:r>
        <w:t>OSBA MB at 10.</w:t>
      </w:r>
      <w:proofErr w:type="gramEnd"/>
    </w:p>
    <w:p w:rsidR="00324ADB" w:rsidRDefault="00324ADB" w:rsidP="001F1974">
      <w:pPr>
        <w:pStyle w:val="BodyText2"/>
        <w:spacing w:after="0" w:line="360" w:lineRule="auto"/>
        <w:contextualSpacing/>
        <w:jc w:val="left"/>
      </w:pPr>
    </w:p>
    <w:p w:rsidR="00324ADB" w:rsidRDefault="00324ADB" w:rsidP="001F1974">
      <w:pPr>
        <w:pStyle w:val="BodyText2"/>
        <w:spacing w:after="0" w:line="360" w:lineRule="auto"/>
        <w:contextualSpacing/>
        <w:jc w:val="left"/>
      </w:pPr>
      <w:r>
        <w:tab/>
      </w:r>
      <w:r>
        <w:tab/>
        <w:t xml:space="preserve">RESA does not support the use of any default service contracts that extend beyond the expiration date of the default service plan term.  </w:t>
      </w:r>
      <w:proofErr w:type="gramStart"/>
      <w:r>
        <w:t>RESA MB at 36.</w:t>
      </w:r>
      <w:proofErr w:type="gramEnd"/>
      <w:r>
        <w:t xml:space="preserve">  RESA notes that the Commission rejected a similar recommendation in the FirstEnergy DSP case.  At 27-28.  </w:t>
      </w:r>
    </w:p>
    <w:p w:rsidR="00FF35DB" w:rsidRDefault="00FF35DB" w:rsidP="001F1974">
      <w:pPr>
        <w:pStyle w:val="BodyText2"/>
        <w:spacing w:after="0" w:line="360" w:lineRule="auto"/>
        <w:contextualSpacing/>
        <w:jc w:val="left"/>
      </w:pPr>
    </w:p>
    <w:p w:rsidR="00FF35DB" w:rsidRDefault="00FF35DB" w:rsidP="00466DFE">
      <w:pPr>
        <w:pStyle w:val="BodyText2"/>
        <w:spacing w:after="0" w:line="360" w:lineRule="auto"/>
        <w:contextualSpacing/>
        <w:jc w:val="left"/>
      </w:pPr>
      <w:r>
        <w:tab/>
      </w:r>
      <w:r>
        <w:tab/>
        <w:t>The Company's proposal provides a modicum of protection for default service customers against possible price spikes.  As proposed, this will not pose any threat to the existence or development of a competitive market, and should be approved as proposed.</w:t>
      </w:r>
    </w:p>
    <w:p w:rsidR="00FF35DB" w:rsidRDefault="00FF35DB" w:rsidP="00466DFE">
      <w:pPr>
        <w:pStyle w:val="BodyText2"/>
        <w:spacing w:after="0" w:line="360" w:lineRule="auto"/>
        <w:contextualSpacing/>
        <w:jc w:val="left"/>
      </w:pPr>
    </w:p>
    <w:p w:rsidR="00580B8E" w:rsidRDefault="00855F83" w:rsidP="00855F83">
      <w:pPr>
        <w:pStyle w:val="BodyText2"/>
        <w:spacing w:after="0" w:line="360" w:lineRule="auto"/>
        <w:ind w:left="1440"/>
        <w:jc w:val="left"/>
        <w:rPr>
          <w:b/>
        </w:rPr>
      </w:pPr>
      <w:r>
        <w:rPr>
          <w:b/>
        </w:rPr>
        <w:t>f.</w:t>
      </w:r>
      <w:r>
        <w:rPr>
          <w:b/>
        </w:rPr>
        <w:tab/>
      </w:r>
      <w:r w:rsidR="00580B8E" w:rsidRPr="00FF35DB">
        <w:rPr>
          <w:b/>
        </w:rPr>
        <w:t>AEPS Procurement</w:t>
      </w:r>
      <w:bookmarkEnd w:id="32"/>
      <w:r w:rsidR="00FF18D0">
        <w:rPr>
          <w:b/>
        </w:rPr>
        <w:fldChar w:fldCharType="begin"/>
      </w:r>
      <w:r w:rsidR="00FF18D0">
        <w:instrText xml:space="preserve"> TC "</w:instrText>
      </w:r>
      <w:bookmarkStart w:id="33" w:name="_Toc340669999"/>
      <w:r w:rsidR="00FF18D0" w:rsidRPr="009B7B20">
        <w:rPr>
          <w:b/>
        </w:rPr>
        <w:instrText>f.</w:instrText>
      </w:r>
      <w:r w:rsidR="00FF18D0" w:rsidRPr="009B7B20">
        <w:rPr>
          <w:b/>
        </w:rPr>
        <w:tab/>
        <w:instrText>AEPS Procurement</w:instrText>
      </w:r>
      <w:bookmarkEnd w:id="33"/>
      <w:r w:rsidR="00FF18D0">
        <w:instrText xml:space="preserve">" \f C \l "4" </w:instrText>
      </w:r>
      <w:r w:rsidR="00FF18D0">
        <w:rPr>
          <w:b/>
        </w:rPr>
        <w:fldChar w:fldCharType="end"/>
      </w:r>
    </w:p>
    <w:p w:rsidR="00C64657" w:rsidRPr="00FF35DB" w:rsidRDefault="00C64657" w:rsidP="00466DFE">
      <w:pPr>
        <w:pStyle w:val="BodyText2"/>
        <w:spacing w:after="0" w:line="360" w:lineRule="auto"/>
        <w:jc w:val="left"/>
        <w:rPr>
          <w:b/>
        </w:rPr>
      </w:pPr>
    </w:p>
    <w:p w:rsidR="00F72B8A" w:rsidRDefault="00FF35DB" w:rsidP="00466DFE">
      <w:pPr>
        <w:pStyle w:val="ListNumber"/>
        <w:numPr>
          <w:ilvl w:val="0"/>
          <w:numId w:val="0"/>
        </w:numPr>
        <w:spacing w:line="360" w:lineRule="auto"/>
        <w:contextualSpacing/>
        <w:jc w:val="left"/>
      </w:pPr>
      <w:r>
        <w:tab/>
      </w:r>
      <w:r>
        <w:tab/>
      </w:r>
      <w:r w:rsidR="00580B8E">
        <w:t xml:space="preserve">The Alternative Energy Portfolio Standards Act (“AEPS Act”) requires that EDCs and EGSs obtain AECs in an amount equal to certain percentages of electric energy sold to retail customers in this Commonwealth.  See 52 Pa. § Code 54.182.  </w:t>
      </w:r>
      <w:r w:rsidR="00F72B8A">
        <w:t>The key points of the</w:t>
      </w:r>
      <w:r w:rsidR="00393C77">
        <w:t xml:space="preserve"> Company's</w:t>
      </w:r>
      <w:r w:rsidR="00F72B8A">
        <w:t xml:space="preserve"> proposal are as follows:</w:t>
      </w:r>
    </w:p>
    <w:p w:rsidR="00466DFE" w:rsidRDefault="00466DFE" w:rsidP="00466DFE">
      <w:pPr>
        <w:pStyle w:val="ListNumber"/>
        <w:numPr>
          <w:ilvl w:val="0"/>
          <w:numId w:val="0"/>
        </w:numPr>
        <w:spacing w:line="360" w:lineRule="auto"/>
        <w:contextualSpacing/>
        <w:jc w:val="left"/>
      </w:pPr>
    </w:p>
    <w:p w:rsidR="00F72B8A" w:rsidRDefault="00F72B8A" w:rsidP="00C50B37">
      <w:pPr>
        <w:pStyle w:val="ListNumber"/>
        <w:numPr>
          <w:ilvl w:val="0"/>
          <w:numId w:val="0"/>
        </w:numPr>
        <w:tabs>
          <w:tab w:val="clear" w:pos="1170"/>
        </w:tabs>
        <w:spacing w:line="240" w:lineRule="auto"/>
        <w:ind w:left="2160" w:right="1440" w:hanging="720"/>
        <w:jc w:val="left"/>
      </w:pPr>
      <w:r>
        <w:t>1.</w:t>
      </w:r>
      <w:r>
        <w:tab/>
      </w:r>
      <w:r w:rsidR="00580B8E">
        <w:t xml:space="preserve">The Company proposes to procure certain AEC credits to meet its obligation under the AEPS Act as a component of its fixed-price and spot-market Default Service supply contracts.  (PPL Electric St. 1, p. 15).  </w:t>
      </w:r>
    </w:p>
    <w:p w:rsidR="00466DFE" w:rsidRDefault="00466DFE" w:rsidP="00C50B37">
      <w:pPr>
        <w:pStyle w:val="ListNumber"/>
        <w:numPr>
          <w:ilvl w:val="0"/>
          <w:numId w:val="0"/>
        </w:numPr>
        <w:tabs>
          <w:tab w:val="clear" w:pos="1170"/>
        </w:tabs>
        <w:spacing w:line="240" w:lineRule="auto"/>
        <w:ind w:left="2160" w:right="1440" w:hanging="720"/>
        <w:jc w:val="left"/>
      </w:pPr>
    </w:p>
    <w:p w:rsidR="00F72B8A" w:rsidRDefault="00F72B8A" w:rsidP="00C50B37">
      <w:pPr>
        <w:pStyle w:val="ListNumber"/>
        <w:numPr>
          <w:ilvl w:val="0"/>
          <w:numId w:val="0"/>
        </w:numPr>
        <w:tabs>
          <w:tab w:val="clear" w:pos="1170"/>
        </w:tabs>
        <w:spacing w:line="240" w:lineRule="auto"/>
        <w:ind w:left="2160" w:right="1440" w:hanging="720"/>
        <w:jc w:val="left"/>
      </w:pPr>
      <w:r>
        <w:t>2.</w:t>
      </w:r>
      <w:r>
        <w:tab/>
      </w:r>
      <w:r w:rsidR="00580B8E">
        <w:t xml:space="preserve">This process is unchanged from that used in the DSP I Program.  (PPL Electric St. 1, p. 16). </w:t>
      </w:r>
    </w:p>
    <w:p w:rsidR="00466DFE" w:rsidRDefault="00466DFE" w:rsidP="00C50B37">
      <w:pPr>
        <w:pStyle w:val="ListNumber"/>
        <w:numPr>
          <w:ilvl w:val="0"/>
          <w:numId w:val="0"/>
        </w:numPr>
        <w:tabs>
          <w:tab w:val="clear" w:pos="1170"/>
        </w:tabs>
        <w:spacing w:line="240" w:lineRule="auto"/>
        <w:ind w:left="2160" w:right="1440" w:hanging="720"/>
        <w:jc w:val="left"/>
      </w:pPr>
    </w:p>
    <w:p w:rsidR="00F72B8A" w:rsidRDefault="00F72B8A" w:rsidP="00C50B37">
      <w:pPr>
        <w:pStyle w:val="ListNumber"/>
        <w:numPr>
          <w:ilvl w:val="0"/>
          <w:numId w:val="0"/>
        </w:numPr>
        <w:tabs>
          <w:tab w:val="clear" w:pos="1170"/>
        </w:tabs>
        <w:spacing w:line="240" w:lineRule="auto"/>
        <w:ind w:left="2160" w:right="1440" w:hanging="720"/>
        <w:jc w:val="left"/>
      </w:pPr>
      <w:r>
        <w:t>3.</w:t>
      </w:r>
      <w:r>
        <w:tab/>
      </w:r>
      <w:r w:rsidR="00580B8E">
        <w:t xml:space="preserve">Each wholesale supplier must provide its proportional share of actual AEC credits to fulfill PPL Electric’s AEPS obligation, in accordance with the terms of the SMA.  (PPL Electric St. 1, p. 15).  </w:t>
      </w:r>
    </w:p>
    <w:p w:rsidR="00466DFE" w:rsidRDefault="00466DFE" w:rsidP="00FF18D0">
      <w:pPr>
        <w:pStyle w:val="ListNumber"/>
        <w:numPr>
          <w:ilvl w:val="0"/>
          <w:numId w:val="0"/>
        </w:numPr>
        <w:spacing w:line="240" w:lineRule="auto"/>
        <w:ind w:left="2160" w:hanging="720"/>
        <w:jc w:val="left"/>
      </w:pPr>
    </w:p>
    <w:p w:rsidR="00580B8E" w:rsidRDefault="00F72B8A" w:rsidP="00FF18D0">
      <w:pPr>
        <w:pStyle w:val="ListNumber"/>
        <w:numPr>
          <w:ilvl w:val="0"/>
          <w:numId w:val="0"/>
        </w:numPr>
        <w:tabs>
          <w:tab w:val="clear" w:pos="1170"/>
        </w:tabs>
        <w:spacing w:line="240" w:lineRule="auto"/>
        <w:ind w:left="2160" w:hanging="720"/>
        <w:jc w:val="left"/>
      </w:pPr>
      <w:r>
        <w:t>4.</w:t>
      </w:r>
      <w:r>
        <w:tab/>
      </w:r>
      <w:r w:rsidR="00580B8E">
        <w:t>Additionally, the SMA requires the seller to complete its transfer of AEPS credits into PPL Electric’s Generation Attribute Tracking System (“GATS”) account(s) in the amount necessary to fulfill the seller’s AEPS obligation, with the delivery of AECs monthly pursuant to the schedule set forth in the SMA.  (PPL Electric Ex. 1, Appendix A, Article 4.4(c)).</w:t>
      </w:r>
    </w:p>
    <w:p w:rsidR="00F72B8A" w:rsidRDefault="00F72B8A" w:rsidP="00FF18D0">
      <w:pPr>
        <w:pStyle w:val="ListNumber"/>
        <w:numPr>
          <w:ilvl w:val="0"/>
          <w:numId w:val="0"/>
        </w:numPr>
        <w:tabs>
          <w:tab w:val="clear" w:pos="1170"/>
        </w:tabs>
        <w:spacing w:line="240" w:lineRule="auto"/>
        <w:ind w:left="720" w:hanging="720"/>
        <w:jc w:val="left"/>
      </w:pPr>
      <w:r>
        <w:t>PPL Electric MB at 36-37.</w:t>
      </w:r>
    </w:p>
    <w:p w:rsidR="00F72B8A" w:rsidRDefault="00F72B8A" w:rsidP="00466DFE">
      <w:pPr>
        <w:pStyle w:val="ListNumber"/>
        <w:numPr>
          <w:ilvl w:val="0"/>
          <w:numId w:val="0"/>
        </w:numPr>
        <w:spacing w:line="360" w:lineRule="auto"/>
        <w:ind w:firstLine="720"/>
        <w:jc w:val="left"/>
      </w:pPr>
    </w:p>
    <w:p w:rsidR="00B52D65" w:rsidRDefault="00FF35DB" w:rsidP="00466DFE">
      <w:pPr>
        <w:pStyle w:val="ListNumber"/>
        <w:numPr>
          <w:ilvl w:val="0"/>
          <w:numId w:val="0"/>
        </w:numPr>
        <w:spacing w:line="360" w:lineRule="auto"/>
        <w:ind w:firstLine="720"/>
        <w:contextualSpacing/>
        <w:jc w:val="left"/>
      </w:pPr>
      <w:r>
        <w:tab/>
      </w:r>
      <w:r w:rsidR="00F72B8A">
        <w:t>Because t</w:t>
      </w:r>
      <w:r w:rsidR="00580B8E">
        <w:t>he Company has entered into contracts to procure AECs for certain of its residential block contracts</w:t>
      </w:r>
      <w:r w:rsidR="00F72B8A">
        <w:t xml:space="preserve">, it needs to acquire AECs to over a 50 MW obligation for </w:t>
      </w:r>
      <w:r w:rsidR="00580B8E">
        <w:t>Tier I non-solar and Tier II AECs to cover the period from June 1, 2013 through May 31, 2015 for the 10-</w:t>
      </w:r>
      <w:r w:rsidR="00580B8E">
        <w:lastRenderedPageBreak/>
        <w:t>year long-term product obligation during the DSP II Program Period.  PPL Electric St</w:t>
      </w:r>
      <w:r>
        <w:t>mt</w:t>
      </w:r>
      <w:r w:rsidR="00580B8E">
        <w:t>. 1</w:t>
      </w:r>
      <w:r>
        <w:t xml:space="preserve"> at</w:t>
      </w:r>
      <w:r w:rsidR="00466DFE">
        <w:t> </w:t>
      </w:r>
      <w:r w:rsidR="00580B8E">
        <w:t>15.</w:t>
      </w:r>
      <w:r w:rsidR="00580B8E">
        <w:rPr>
          <w:rStyle w:val="FootnoteReference"/>
        </w:rPr>
        <w:footnoteReference w:id="18"/>
      </w:r>
      <w:r w:rsidR="00580B8E">
        <w:t xml:space="preserve">  </w:t>
      </w:r>
    </w:p>
    <w:p w:rsidR="00466DFE" w:rsidRDefault="00466DFE" w:rsidP="00466DFE">
      <w:pPr>
        <w:pStyle w:val="ListNumber"/>
        <w:numPr>
          <w:ilvl w:val="0"/>
          <w:numId w:val="0"/>
        </w:numPr>
        <w:spacing w:line="360" w:lineRule="auto"/>
        <w:ind w:firstLine="720"/>
        <w:contextualSpacing/>
        <w:jc w:val="left"/>
      </w:pPr>
    </w:p>
    <w:p w:rsidR="00580B8E" w:rsidRDefault="00580B8E" w:rsidP="001F1974">
      <w:pPr>
        <w:pStyle w:val="ListNumber"/>
        <w:numPr>
          <w:ilvl w:val="0"/>
          <w:numId w:val="0"/>
        </w:numPr>
        <w:spacing w:line="240" w:lineRule="auto"/>
        <w:ind w:left="1440" w:right="1440" w:firstLine="720"/>
        <w:contextualSpacing/>
        <w:jc w:val="left"/>
      </w:pPr>
      <w:r>
        <w:t xml:space="preserve">PPL Electric proposes to solicit at least 3 pricing offers from AEC brokers in both June of 2013 and June of 2014 for Tier I non-solar and Tier II credits required to cover this long-term contract obligation.  (PPL Electric St. 1, p. 15).  The Company will accept the least cost offer and will document the entire process, including the brokers contacted and price offerings by AEC vintage.  (PPL Electric St. 1, p. 15).  PPL Electric proposes to recover the costs of these AECs using the same mechanism currently used for AEC costs, </w:t>
      </w:r>
      <w:r>
        <w:rPr>
          <w:i/>
        </w:rPr>
        <w:t>i.e.</w:t>
      </w:r>
      <w:r>
        <w:t>, through the GSC-1.  (</w:t>
      </w:r>
      <w:r>
        <w:rPr>
          <w:i/>
        </w:rPr>
        <w:t>See</w:t>
      </w:r>
      <w:r>
        <w:t xml:space="preserve"> Ex. No. JMK-1).  Based on current market conditions, the Company estimates the total costs for Tier I Non-Solar and Tier II AECs to be procured through the separate solicitation to be approximately $79,000. (PPL Electric St. 1, p. 16).  </w:t>
      </w:r>
    </w:p>
    <w:p w:rsidR="00FF18D0" w:rsidRDefault="00FF18D0" w:rsidP="001F1974">
      <w:pPr>
        <w:pStyle w:val="ListNumber"/>
        <w:numPr>
          <w:ilvl w:val="0"/>
          <w:numId w:val="0"/>
        </w:numPr>
        <w:spacing w:line="240" w:lineRule="auto"/>
        <w:ind w:left="1440" w:right="1440" w:firstLine="720"/>
        <w:contextualSpacing/>
        <w:jc w:val="left"/>
      </w:pPr>
    </w:p>
    <w:p w:rsidR="00580B8E" w:rsidRDefault="00580B8E" w:rsidP="001F1974">
      <w:pPr>
        <w:pStyle w:val="BodyText2"/>
        <w:spacing w:after="0" w:line="240" w:lineRule="auto"/>
        <w:ind w:left="1440" w:right="1440"/>
        <w:contextualSpacing/>
        <w:jc w:val="left"/>
      </w:pPr>
      <w:r>
        <w:t xml:space="preserve">The Company is proposing to use the broker market for AECs mentioned above because the quantity of additional credits required is very small (covering only 50 MW of load, and including only Tier I Non-Solar and Tier II AECs). </w:t>
      </w:r>
      <w:proofErr w:type="gramStart"/>
      <w:r>
        <w:t>(PPL Electric St. 1, p. 16).</w:t>
      </w:r>
      <w:proofErr w:type="gramEnd"/>
      <w:r>
        <w:t xml:space="preserve">  The Company believes that a competitive RFP solicitation would be unnecessarily expensive given the small number of credits required and could result in poor participation.  Furthermore, by obtaining multiple pricing offers from AEC brokers, a competitive offer is still obtained and AEPS obligations are met in a less complicated and more cost-effective manner.  </w:t>
      </w:r>
      <w:proofErr w:type="gramStart"/>
      <w:r>
        <w:t>(PPL Electric St. 1, p. 16).</w:t>
      </w:r>
      <w:proofErr w:type="gramEnd"/>
    </w:p>
    <w:p w:rsidR="00466DFE" w:rsidRDefault="00466DFE" w:rsidP="001F1974">
      <w:pPr>
        <w:pStyle w:val="BodyText2"/>
        <w:spacing w:after="0" w:line="240" w:lineRule="auto"/>
        <w:ind w:left="1440" w:right="1440"/>
        <w:contextualSpacing/>
        <w:jc w:val="left"/>
      </w:pPr>
    </w:p>
    <w:p w:rsidR="00580B8E" w:rsidRDefault="00580B8E" w:rsidP="001F1974">
      <w:pPr>
        <w:pStyle w:val="BodyText2"/>
        <w:spacing w:after="0" w:line="240" w:lineRule="auto"/>
        <w:ind w:left="1440" w:right="1440"/>
        <w:contextualSpacing/>
        <w:jc w:val="left"/>
      </w:pPr>
      <w:r>
        <w:t>No party has opposed this process for procuring these additional AECs, and it should be approved.</w:t>
      </w:r>
    </w:p>
    <w:p w:rsidR="00B52D65" w:rsidRDefault="00B52D65" w:rsidP="001F1974">
      <w:pPr>
        <w:pStyle w:val="BodyText2"/>
        <w:spacing w:after="0" w:line="240" w:lineRule="auto"/>
        <w:ind w:left="1440" w:right="1440"/>
        <w:contextualSpacing/>
        <w:jc w:val="left"/>
      </w:pPr>
    </w:p>
    <w:p w:rsidR="00B52D65" w:rsidRDefault="00B52D65" w:rsidP="001F1974">
      <w:pPr>
        <w:pStyle w:val="BodyText2"/>
        <w:spacing w:after="0" w:line="360" w:lineRule="auto"/>
        <w:contextualSpacing/>
        <w:jc w:val="left"/>
      </w:pPr>
      <w:r>
        <w:t>PPL Electric MB at 38-39.</w:t>
      </w:r>
    </w:p>
    <w:p w:rsidR="00FF35DB" w:rsidRDefault="00FF35DB" w:rsidP="00FF18D0">
      <w:pPr>
        <w:pStyle w:val="BodyText2"/>
        <w:spacing w:after="0" w:line="360" w:lineRule="auto"/>
        <w:contextualSpacing/>
        <w:jc w:val="left"/>
      </w:pPr>
    </w:p>
    <w:p w:rsidR="00FF35DB" w:rsidRDefault="00FF35DB" w:rsidP="00FF18D0">
      <w:pPr>
        <w:pStyle w:val="BodyText2"/>
        <w:spacing w:after="0" w:line="360" w:lineRule="auto"/>
        <w:contextualSpacing/>
        <w:jc w:val="left"/>
      </w:pPr>
      <w:r>
        <w:tab/>
      </w:r>
      <w:r>
        <w:tab/>
        <w:t>Accordingly, this is recommended for approval.</w:t>
      </w:r>
    </w:p>
    <w:p w:rsidR="00466DFE" w:rsidRDefault="00466DFE" w:rsidP="00FF18D0">
      <w:pPr>
        <w:pStyle w:val="BodyText2"/>
        <w:spacing w:after="0" w:line="360" w:lineRule="auto"/>
        <w:contextualSpacing/>
        <w:jc w:val="left"/>
      </w:pPr>
    </w:p>
    <w:p w:rsidR="00C50B37" w:rsidRDefault="00C50B37" w:rsidP="00855F83">
      <w:pPr>
        <w:pStyle w:val="Heading5"/>
        <w:keepNext/>
        <w:numPr>
          <w:ilvl w:val="0"/>
          <w:numId w:val="0"/>
        </w:numPr>
        <w:spacing w:after="0"/>
        <w:ind w:left="2160"/>
        <w:jc w:val="left"/>
      </w:pPr>
      <w:bookmarkStart w:id="34" w:name="_Toc337196651"/>
      <w:r>
        <w:br w:type="page"/>
      </w:r>
    </w:p>
    <w:p w:rsidR="00580B8E" w:rsidRDefault="00855F83" w:rsidP="00855F83">
      <w:pPr>
        <w:pStyle w:val="Heading5"/>
        <w:keepNext/>
        <w:numPr>
          <w:ilvl w:val="0"/>
          <w:numId w:val="0"/>
        </w:numPr>
        <w:spacing w:after="0"/>
        <w:ind w:left="2160"/>
        <w:jc w:val="left"/>
      </w:pPr>
      <w:r>
        <w:lastRenderedPageBreak/>
        <w:t>i.</w:t>
      </w:r>
      <w:r>
        <w:tab/>
      </w:r>
      <w:r w:rsidR="00580B8E">
        <w:t>Transfer of AECs</w:t>
      </w:r>
      <w:bookmarkEnd w:id="34"/>
      <w:r w:rsidR="00FF18D0">
        <w:fldChar w:fldCharType="begin"/>
      </w:r>
      <w:r w:rsidR="00FF18D0">
        <w:instrText xml:space="preserve"> TC "</w:instrText>
      </w:r>
      <w:bookmarkStart w:id="35" w:name="_Toc340670000"/>
      <w:r w:rsidR="00FF18D0" w:rsidRPr="009B7B20">
        <w:instrText>i.</w:instrText>
      </w:r>
      <w:r w:rsidR="00FF18D0" w:rsidRPr="009B7B20">
        <w:tab/>
        <w:instrText>Transfer of AECs</w:instrText>
      </w:r>
      <w:bookmarkEnd w:id="35"/>
      <w:r w:rsidR="00FF18D0">
        <w:instrText xml:space="preserve">" \f C \l "5" </w:instrText>
      </w:r>
      <w:r w:rsidR="00FF18D0">
        <w:fldChar w:fldCharType="end"/>
      </w:r>
    </w:p>
    <w:p w:rsidR="00466DFE" w:rsidRPr="00466DFE" w:rsidRDefault="00466DFE" w:rsidP="00466DFE">
      <w:pPr>
        <w:pStyle w:val="BodyText2"/>
        <w:spacing w:after="0" w:line="360" w:lineRule="auto"/>
      </w:pPr>
    </w:p>
    <w:p w:rsidR="00B52D65" w:rsidRDefault="00B52D65" w:rsidP="00466DFE">
      <w:pPr>
        <w:pStyle w:val="ListNumber"/>
        <w:numPr>
          <w:ilvl w:val="0"/>
          <w:numId w:val="0"/>
        </w:numPr>
        <w:spacing w:line="360" w:lineRule="auto"/>
        <w:ind w:firstLine="720"/>
        <w:jc w:val="left"/>
      </w:pPr>
      <w:r>
        <w:tab/>
        <w:t>The Company's present plan and proposal for the DSP II calls for transfers of AECs on a monthly basis:</w:t>
      </w:r>
    </w:p>
    <w:p w:rsidR="00466DFE" w:rsidRDefault="00466DFE" w:rsidP="001F1974">
      <w:pPr>
        <w:pStyle w:val="ListNumber"/>
        <w:numPr>
          <w:ilvl w:val="0"/>
          <w:numId w:val="0"/>
        </w:numPr>
        <w:spacing w:line="360" w:lineRule="auto"/>
        <w:ind w:firstLine="720"/>
        <w:jc w:val="left"/>
      </w:pPr>
    </w:p>
    <w:p w:rsidR="00580B8E" w:rsidRDefault="00580B8E" w:rsidP="001F1974">
      <w:pPr>
        <w:pStyle w:val="BodyText2"/>
        <w:spacing w:after="0" w:line="240" w:lineRule="auto"/>
        <w:ind w:left="1440" w:right="1440"/>
        <w:contextualSpacing/>
        <w:jc w:val="left"/>
      </w:pPr>
      <w:r>
        <w:t xml:space="preserve">There are various reasons for requiring transfers of AECs on a monthly basis.  </w:t>
      </w:r>
      <w:proofErr w:type="gramStart"/>
      <w:r>
        <w:t>(PPL Electric St. 1-R, p. 26).</w:t>
      </w:r>
      <w:proofErr w:type="gramEnd"/>
      <w:r>
        <w:t xml:space="preserve">  First, by implementing monthly transfers, PPL Electric reduces the risk of its non-compliance with the AEPS Act if a supplier defaults on its obligation to transfer AECs.  If during a reporting year a supplier defaults on its transfer obligation, PPL Electric can take actions to acquire necessary AECs prior to the end of the year when the Company must transfer its credit obligations to the state.  This ensures the Company is able to comply with state AEPS requirements and can respond to a contract default in a timely fashion.  </w:t>
      </w:r>
      <w:proofErr w:type="gramStart"/>
      <w:r>
        <w:t>(PPL Electric St. 1-R, p. 26).</w:t>
      </w:r>
      <w:proofErr w:type="gramEnd"/>
      <w:r>
        <w:t xml:space="preserve">  Second, due to the significant number of suppliers with obligations to supply AECs across all of PPL Electric’s contracts, by implementing a monthly transfer requirement, all suppliers understand their obligations in conjunction with when monthly invoices are issued, reducing confusion and enabling suppliers to procure credits closer to the time of delivery than would otherwise be possible with an annual transfer obligation.  </w:t>
      </w:r>
      <w:proofErr w:type="gramStart"/>
      <w:r>
        <w:t>(PPL Electric St. 1-R, p. 27).</w:t>
      </w:r>
      <w:proofErr w:type="gramEnd"/>
      <w:r>
        <w:t xml:space="preserve">  Finally, by implementing monthly transfers, the Company is more appropriately matching its payment of the cost associated with </w:t>
      </w:r>
      <w:proofErr w:type="gramStart"/>
      <w:r>
        <w:t>AECs ,</w:t>
      </w:r>
      <w:proofErr w:type="gramEnd"/>
      <w:r>
        <w:t xml:space="preserve"> which are part of the overall price paid to wholesale suppliers each month under the full-requirements contracts, with its actual receipt of credits.</w:t>
      </w:r>
    </w:p>
    <w:p w:rsidR="00B52D65" w:rsidRDefault="00B52D65" w:rsidP="00466DFE">
      <w:pPr>
        <w:pStyle w:val="ListNumber"/>
        <w:numPr>
          <w:ilvl w:val="0"/>
          <w:numId w:val="0"/>
        </w:numPr>
        <w:spacing w:line="240" w:lineRule="auto"/>
        <w:ind w:firstLine="720"/>
        <w:jc w:val="left"/>
      </w:pPr>
      <w:r>
        <w:t>PPL Electric MB at 40.</w:t>
      </w:r>
    </w:p>
    <w:p w:rsidR="00B52D65" w:rsidRDefault="00B52D65" w:rsidP="00466DFE">
      <w:pPr>
        <w:pStyle w:val="ListNumber"/>
        <w:numPr>
          <w:ilvl w:val="0"/>
          <w:numId w:val="0"/>
        </w:numPr>
        <w:spacing w:line="360" w:lineRule="auto"/>
        <w:ind w:firstLine="720"/>
        <w:jc w:val="left"/>
      </w:pPr>
    </w:p>
    <w:p w:rsidR="002B02E9" w:rsidRDefault="00FF35DB" w:rsidP="00466DFE">
      <w:pPr>
        <w:pStyle w:val="ListNumber"/>
        <w:numPr>
          <w:ilvl w:val="0"/>
          <w:numId w:val="0"/>
        </w:numPr>
        <w:spacing w:line="360" w:lineRule="auto"/>
        <w:ind w:firstLine="720"/>
        <w:contextualSpacing/>
        <w:jc w:val="left"/>
      </w:pPr>
      <w:r>
        <w:tab/>
      </w:r>
      <w:r w:rsidR="00B52D65">
        <w:t xml:space="preserve">Constellation proposes that wholesale suppliers be permitted to transfer AECs to PPL Electric on a yearly rather than monthly basis to better reflect the nature of the AEC trading market.  Constellation Stmt. 1 at 35; Jt. Suppliers MB at 9.  </w:t>
      </w:r>
    </w:p>
    <w:p w:rsidR="002B02E9" w:rsidRDefault="002B02E9" w:rsidP="00466DFE">
      <w:pPr>
        <w:pStyle w:val="ListNumber"/>
        <w:numPr>
          <w:ilvl w:val="0"/>
          <w:numId w:val="0"/>
        </w:numPr>
        <w:spacing w:line="360" w:lineRule="auto"/>
        <w:ind w:firstLine="720"/>
        <w:contextualSpacing/>
        <w:jc w:val="left"/>
      </w:pPr>
    </w:p>
    <w:p w:rsidR="00B52D65" w:rsidRDefault="00FF35DB" w:rsidP="00466DFE">
      <w:pPr>
        <w:pStyle w:val="ListNumber"/>
        <w:numPr>
          <w:ilvl w:val="0"/>
          <w:numId w:val="0"/>
        </w:numPr>
        <w:spacing w:line="360" w:lineRule="auto"/>
        <w:ind w:firstLine="720"/>
        <w:contextualSpacing/>
        <w:jc w:val="left"/>
      </w:pPr>
      <w:r>
        <w:tab/>
      </w:r>
      <w:r w:rsidR="002B02E9">
        <w:t xml:space="preserve">As the Company is in the best position to judge its needs in this area and its reasons are adequate to support its own proposal, the Joint Suppliers' </w:t>
      </w:r>
      <w:r w:rsidR="00B52D65">
        <w:t xml:space="preserve">proposal should be </w:t>
      </w:r>
      <w:r w:rsidR="002B02E9">
        <w:t>denied</w:t>
      </w:r>
      <w:r w:rsidR="00B52D65">
        <w:t xml:space="preserve">. </w:t>
      </w:r>
    </w:p>
    <w:p w:rsidR="00FF35DB" w:rsidRDefault="00FF35DB" w:rsidP="00466DFE">
      <w:pPr>
        <w:pStyle w:val="ListNumber"/>
        <w:numPr>
          <w:ilvl w:val="0"/>
          <w:numId w:val="0"/>
        </w:numPr>
        <w:spacing w:line="360" w:lineRule="auto"/>
        <w:ind w:firstLine="720"/>
        <w:contextualSpacing/>
        <w:jc w:val="left"/>
      </w:pPr>
    </w:p>
    <w:p w:rsidR="00C50B37" w:rsidRDefault="00C50B37" w:rsidP="00855F83">
      <w:pPr>
        <w:pStyle w:val="Heading5"/>
        <w:numPr>
          <w:ilvl w:val="0"/>
          <w:numId w:val="0"/>
        </w:numPr>
        <w:spacing w:after="0"/>
        <w:ind w:left="2160"/>
        <w:contextualSpacing/>
        <w:jc w:val="left"/>
      </w:pPr>
      <w:bookmarkStart w:id="36" w:name="_Toc337196652"/>
      <w:r>
        <w:br w:type="page"/>
      </w:r>
    </w:p>
    <w:p w:rsidR="00580B8E" w:rsidRDefault="00855F83" w:rsidP="00855F83">
      <w:pPr>
        <w:pStyle w:val="Heading5"/>
        <w:numPr>
          <w:ilvl w:val="0"/>
          <w:numId w:val="0"/>
        </w:numPr>
        <w:spacing w:after="0"/>
        <w:ind w:left="2160"/>
        <w:contextualSpacing/>
        <w:jc w:val="left"/>
      </w:pPr>
      <w:proofErr w:type="gramStart"/>
      <w:r>
        <w:lastRenderedPageBreak/>
        <w:t>ii.</w:t>
      </w:r>
      <w:r>
        <w:tab/>
      </w:r>
      <w:r w:rsidR="00580B8E">
        <w:t>Alternative</w:t>
      </w:r>
      <w:proofErr w:type="gramEnd"/>
      <w:r w:rsidR="00580B8E">
        <w:t xml:space="preserve"> Compliance Payment</w:t>
      </w:r>
      <w:bookmarkEnd w:id="36"/>
      <w:r w:rsidR="00FF18D0">
        <w:fldChar w:fldCharType="begin"/>
      </w:r>
      <w:r w:rsidR="00FF18D0">
        <w:instrText xml:space="preserve"> TC "</w:instrText>
      </w:r>
      <w:bookmarkStart w:id="37" w:name="_Toc340670001"/>
      <w:r w:rsidR="00FF18D0" w:rsidRPr="009B7B20">
        <w:instrText>ii.</w:instrText>
      </w:r>
      <w:r w:rsidR="00FF18D0" w:rsidRPr="009B7B20">
        <w:tab/>
        <w:instrText>Alternative Compliance Payment</w:instrText>
      </w:r>
      <w:bookmarkEnd w:id="37"/>
      <w:r w:rsidR="00FF18D0">
        <w:instrText xml:space="preserve">" \f C \l "5" </w:instrText>
      </w:r>
      <w:r w:rsidR="00FF18D0">
        <w:fldChar w:fldCharType="end"/>
      </w:r>
    </w:p>
    <w:p w:rsidR="00FF35DB" w:rsidRPr="00FF35DB" w:rsidRDefault="00FF35DB" w:rsidP="00466DFE">
      <w:pPr>
        <w:pStyle w:val="BodyText2"/>
        <w:spacing w:after="0" w:line="360" w:lineRule="auto"/>
      </w:pPr>
    </w:p>
    <w:p w:rsidR="00580B8E" w:rsidRDefault="002B02E9" w:rsidP="00466DFE">
      <w:pPr>
        <w:pStyle w:val="ListNumber"/>
        <w:numPr>
          <w:ilvl w:val="0"/>
          <w:numId w:val="0"/>
        </w:numPr>
        <w:spacing w:line="360" w:lineRule="auto"/>
        <w:ind w:firstLine="720"/>
        <w:contextualSpacing/>
        <w:jc w:val="left"/>
      </w:pPr>
      <w:r>
        <w:t xml:space="preserve">The Joint Suppliers originally </w:t>
      </w:r>
      <w:r w:rsidR="00580B8E">
        <w:t>propose</w:t>
      </w:r>
      <w:r>
        <w:t>d</w:t>
      </w:r>
      <w:r w:rsidR="00580B8E">
        <w:t xml:space="preserve"> that PPL Electric revise the SMA to permit a supplier to remedy any failure to provide the full amount of its required AEC obligation by paying to the Company the Alternative Compliance Payment (“ACP”) set forth in the AEPS Act for the full amount of su</w:t>
      </w:r>
      <w:r w:rsidR="00393C77">
        <w:t xml:space="preserve">ch shortfall.  </w:t>
      </w:r>
      <w:r w:rsidR="00580B8E">
        <w:t>Constellation St</w:t>
      </w:r>
      <w:r w:rsidR="00393C77">
        <w:t>mt</w:t>
      </w:r>
      <w:r w:rsidR="00580B8E">
        <w:t>. 1</w:t>
      </w:r>
      <w:r w:rsidR="00393C77">
        <w:t xml:space="preserve"> at</w:t>
      </w:r>
      <w:r w:rsidR="00580B8E">
        <w:t xml:space="preserve"> 36.  </w:t>
      </w:r>
      <w:r>
        <w:t>"</w:t>
      </w:r>
      <w:r w:rsidR="00580B8E">
        <w:t>In short, Constellation seeks to permit a supplier to avoid its AEPS obligation by making an ACP.</w:t>
      </w:r>
      <w:r>
        <w:t>"  PPL Electric MB at 41.</w:t>
      </w:r>
    </w:p>
    <w:p w:rsidR="00466DFE" w:rsidRDefault="00466DFE" w:rsidP="00466DFE">
      <w:pPr>
        <w:pStyle w:val="ListNumber"/>
        <w:numPr>
          <w:ilvl w:val="0"/>
          <w:numId w:val="0"/>
        </w:numPr>
        <w:spacing w:line="360" w:lineRule="auto"/>
        <w:ind w:firstLine="720"/>
        <w:contextualSpacing/>
        <w:jc w:val="left"/>
      </w:pPr>
    </w:p>
    <w:p w:rsidR="00580B8E" w:rsidRDefault="00580B8E" w:rsidP="001F1974">
      <w:pPr>
        <w:pStyle w:val="ListNumber"/>
        <w:numPr>
          <w:ilvl w:val="0"/>
          <w:numId w:val="0"/>
        </w:numPr>
        <w:spacing w:line="240" w:lineRule="auto"/>
        <w:ind w:left="1440" w:right="1440" w:firstLine="720"/>
        <w:contextualSpacing/>
        <w:jc w:val="left"/>
      </w:pPr>
      <w:r>
        <w:t xml:space="preserve">Constellation’s proposal should be rejected.  Wholesale suppliers should not avoid their obligation to provide AECs by “buying out” of their responsibility through payment of an ACP whenever it is convenient (or less costly).  In the Commission’s </w:t>
      </w:r>
      <w:r>
        <w:rPr>
          <w:i/>
        </w:rPr>
        <w:t>Implementation of the Alternative Energy Portfolio Standards Act of 2004</w:t>
      </w:r>
      <w:r>
        <w:t>, at Docket No. M-00051865, 2005 Pa. PUC LEXIS 45 (July 18, 2005) (“</w:t>
      </w:r>
      <w:r>
        <w:rPr>
          <w:i/>
        </w:rPr>
        <w:t>Implementation Order II</w:t>
      </w:r>
      <w:r>
        <w:t>”), the Commission explained that any EDC or EGS who fails “to meet the Tier I and Tier II obligations for a given reporting year shall be assessed an alternative compliance payment.”  (</w:t>
      </w:r>
      <w:r>
        <w:rPr>
          <w:i/>
        </w:rPr>
        <w:t>Implementation Order II</w:t>
      </w:r>
      <w:r>
        <w:t>, p. 12, 73 P.S. §1648.3(f</w:t>
      </w:r>
      <w:proofErr w:type="gramStart"/>
      <w:r>
        <w:t>)(</w:t>
      </w:r>
      <w:proofErr w:type="gramEnd"/>
      <w:r>
        <w:t xml:space="preserve">2)).  The Commission further stated in interpreting the Alternative Energy Portfolio Standards Act of 2004, </w:t>
      </w:r>
      <w:r>
        <w:rPr>
          <w:sz w:val="26"/>
          <w:szCs w:val="26"/>
        </w:rPr>
        <w:t>73 P.S. §1648.3,</w:t>
      </w:r>
      <w:r>
        <w:t xml:space="preserve"> that, “[t]he alternative compliance payment appears to be intended to serve as a penalty provision that will encourage compliance with the Act.” (</w:t>
      </w:r>
      <w:r>
        <w:rPr>
          <w:i/>
        </w:rPr>
        <w:t>Implementation Order II</w:t>
      </w:r>
      <w:r>
        <w:t>, p. 13).  Based upon these statements, the Company views the ACP as a penalty for non-compliance, and thus the ACP should not be viewed as a second option in lieu of transferring AECs.  (PPL Electric St. 1-R, p. 27).  PPL Electric believes it is the clear intent of the statute and of the Commission for EDCs (and by extension, default service wholesale suppliers) to acquire credits.</w:t>
      </w:r>
    </w:p>
    <w:p w:rsidR="00466DFE" w:rsidRDefault="00466DFE" w:rsidP="001F1974">
      <w:pPr>
        <w:pStyle w:val="ListNumber"/>
        <w:numPr>
          <w:ilvl w:val="0"/>
          <w:numId w:val="0"/>
        </w:numPr>
        <w:spacing w:line="240" w:lineRule="auto"/>
        <w:ind w:left="1440" w:right="1440" w:firstLine="720"/>
        <w:contextualSpacing/>
        <w:jc w:val="left"/>
      </w:pPr>
    </w:p>
    <w:p w:rsidR="00580B8E" w:rsidRDefault="00580B8E" w:rsidP="001F1974">
      <w:pPr>
        <w:pStyle w:val="ListNumber"/>
        <w:numPr>
          <w:ilvl w:val="0"/>
          <w:numId w:val="0"/>
        </w:numPr>
        <w:spacing w:line="240" w:lineRule="auto"/>
        <w:ind w:left="1440" w:right="1440" w:firstLine="720"/>
        <w:contextualSpacing/>
        <w:jc w:val="left"/>
      </w:pPr>
      <w:r>
        <w:t xml:space="preserve">There is a further issue with respect to paying an ACP in lieu of delivering AECs.  The Commission goes on to state, in the </w:t>
      </w:r>
      <w:r>
        <w:rPr>
          <w:i/>
        </w:rPr>
        <w:t>Implementation Order II</w:t>
      </w:r>
      <w:r>
        <w:t>, that “the force majeure mechanism will serve to provide adequate financial protection to EDCs and that alternative compliance payments are therefore not recoverable from ratepayers.”  (</w:t>
      </w:r>
      <w:r>
        <w:rPr>
          <w:i/>
        </w:rPr>
        <w:t>Implementation Order II</w:t>
      </w:r>
      <w:r>
        <w:t xml:space="preserve">, p. 14).  As such, PPL </w:t>
      </w:r>
      <w:proofErr w:type="gramStart"/>
      <w:r>
        <w:t>Electric  is</w:t>
      </w:r>
      <w:proofErr w:type="gramEnd"/>
      <w:r>
        <w:t xml:space="preserve"> concerned that issues could be raised concerning recovery of payments to wholesale suppliers who elect to pay an ACP.  In an event where a supplier is actually unable to acquire AECs in the market to meet its obligations (as opposed to choosing not to acquire AECs), the supplier should contend for force majeure, and not simply pay the ACP.  PPL Electric would then </w:t>
      </w:r>
      <w:r>
        <w:lastRenderedPageBreak/>
        <w:t xml:space="preserve">ask the Commission to review the circumstance and determine if an instance of force majeure exists.  If force majeure does not exist, supplier payment of an ACP should not be sufficient to meet the SMA requirements and therefore a default should occur.  (PPL Electric St. 1-R, p. 28).  </w:t>
      </w:r>
    </w:p>
    <w:p w:rsidR="002B02E9" w:rsidRDefault="002B02E9" w:rsidP="001F1974">
      <w:pPr>
        <w:pStyle w:val="ListNumber"/>
        <w:numPr>
          <w:ilvl w:val="0"/>
          <w:numId w:val="0"/>
        </w:numPr>
        <w:spacing w:line="240" w:lineRule="auto"/>
        <w:jc w:val="left"/>
      </w:pPr>
      <w:r>
        <w:t>PPL Electric MB at 42.</w:t>
      </w:r>
    </w:p>
    <w:p w:rsidR="002B02E9" w:rsidRDefault="002B02E9" w:rsidP="00C50B37">
      <w:pPr>
        <w:pStyle w:val="ListNumber"/>
        <w:numPr>
          <w:ilvl w:val="0"/>
          <w:numId w:val="0"/>
        </w:numPr>
        <w:spacing w:line="360" w:lineRule="auto"/>
        <w:ind w:firstLine="720"/>
        <w:jc w:val="both"/>
      </w:pPr>
    </w:p>
    <w:p w:rsidR="002B02E9" w:rsidRDefault="009A54C0" w:rsidP="00C50B37">
      <w:pPr>
        <w:pStyle w:val="ListNumber"/>
        <w:numPr>
          <w:ilvl w:val="0"/>
          <w:numId w:val="0"/>
        </w:numPr>
        <w:spacing w:line="360" w:lineRule="auto"/>
        <w:ind w:firstLine="720"/>
        <w:jc w:val="left"/>
      </w:pPr>
      <w:r>
        <w:tab/>
      </w:r>
      <w:r w:rsidR="002B02E9">
        <w:t>In their Main Brief, the Joint Suppliers dropped this request based on the Commission's language referenced above, and this is no longer an issue.</w:t>
      </w:r>
    </w:p>
    <w:p w:rsidR="002B02E9" w:rsidRDefault="002B02E9" w:rsidP="00C50B37">
      <w:pPr>
        <w:pStyle w:val="ListNumber"/>
        <w:numPr>
          <w:ilvl w:val="0"/>
          <w:numId w:val="0"/>
        </w:numPr>
        <w:spacing w:line="360" w:lineRule="auto"/>
        <w:ind w:firstLine="720"/>
        <w:jc w:val="both"/>
      </w:pPr>
    </w:p>
    <w:p w:rsidR="00580B8E" w:rsidRDefault="00855F83" w:rsidP="00C50B37">
      <w:pPr>
        <w:pStyle w:val="ListNumber"/>
        <w:numPr>
          <w:ilvl w:val="0"/>
          <w:numId w:val="0"/>
        </w:numPr>
        <w:tabs>
          <w:tab w:val="clear" w:pos="1170"/>
        </w:tabs>
        <w:spacing w:line="360" w:lineRule="auto"/>
        <w:ind w:left="1440"/>
        <w:jc w:val="left"/>
        <w:rPr>
          <w:b/>
        </w:rPr>
      </w:pPr>
      <w:bookmarkStart w:id="38" w:name="_Toc337196653"/>
      <w:r>
        <w:rPr>
          <w:b/>
        </w:rPr>
        <w:t>g.</w:t>
      </w:r>
      <w:r>
        <w:rPr>
          <w:b/>
        </w:rPr>
        <w:tab/>
      </w:r>
      <w:r w:rsidR="00580B8E" w:rsidRPr="009A54C0">
        <w:rPr>
          <w:b/>
        </w:rPr>
        <w:t>Administrative Costs and Cash Working Capital</w:t>
      </w:r>
      <w:bookmarkEnd w:id="38"/>
      <w:r w:rsidR="00FF18D0">
        <w:rPr>
          <w:b/>
        </w:rPr>
        <w:fldChar w:fldCharType="begin"/>
      </w:r>
      <w:r w:rsidR="00FF18D0">
        <w:instrText xml:space="preserve"> TC "</w:instrText>
      </w:r>
      <w:bookmarkStart w:id="39" w:name="_Toc340670002"/>
      <w:r w:rsidR="00FF18D0" w:rsidRPr="009B7B20">
        <w:rPr>
          <w:b/>
        </w:rPr>
        <w:instrText>g.</w:instrText>
      </w:r>
      <w:r w:rsidR="00FF18D0" w:rsidRPr="009B7B20">
        <w:rPr>
          <w:b/>
        </w:rPr>
        <w:tab/>
        <w:instrText>Administrative Costs and Cash Working Capital</w:instrText>
      </w:r>
      <w:bookmarkEnd w:id="39"/>
      <w:r w:rsidR="00FF18D0">
        <w:instrText xml:space="preserve">" \f C \l "4" </w:instrText>
      </w:r>
      <w:r w:rsidR="00FF18D0">
        <w:rPr>
          <w:b/>
        </w:rPr>
        <w:fldChar w:fldCharType="end"/>
      </w:r>
    </w:p>
    <w:p w:rsidR="00466DFE" w:rsidRPr="009A54C0" w:rsidRDefault="00466DFE" w:rsidP="00C50B37">
      <w:pPr>
        <w:pStyle w:val="ListNumber"/>
        <w:numPr>
          <w:ilvl w:val="0"/>
          <w:numId w:val="0"/>
        </w:numPr>
        <w:spacing w:line="360" w:lineRule="auto"/>
        <w:ind w:firstLine="720"/>
        <w:rPr>
          <w:b/>
        </w:rPr>
      </w:pPr>
    </w:p>
    <w:p w:rsidR="00580B8E" w:rsidRDefault="009A54C0" w:rsidP="001F1974">
      <w:pPr>
        <w:pStyle w:val="BodyText2"/>
        <w:spacing w:after="0" w:line="360" w:lineRule="auto"/>
        <w:contextualSpacing/>
        <w:jc w:val="left"/>
      </w:pPr>
      <w:r>
        <w:tab/>
      </w:r>
      <w:r>
        <w:tab/>
      </w:r>
      <w:r w:rsidR="00580B8E">
        <w:t>PPL Electric has proposed that the administrative costs related to this proceeding and other costs incurred prior to June 1, 2013 related to procurement of supply be included in the rates for default service as applicable with the costs amortized ratably over the 24 month term of the DSP II Program.  No part</w:t>
      </w:r>
      <w:r w:rsidR="009E2646">
        <w:t>y has objected to this proposal, and it is recommended for approval.</w:t>
      </w:r>
      <w:r w:rsidR="00580B8E">
        <w:t xml:space="preserve">  </w:t>
      </w:r>
    </w:p>
    <w:p w:rsidR="009A54C0" w:rsidRDefault="009A54C0" w:rsidP="001F1974">
      <w:pPr>
        <w:pStyle w:val="BodyText2"/>
        <w:spacing w:after="0" w:line="360" w:lineRule="auto"/>
        <w:contextualSpacing/>
        <w:jc w:val="left"/>
      </w:pPr>
    </w:p>
    <w:p w:rsidR="00C731C3" w:rsidRDefault="00BC7221" w:rsidP="00466DFE">
      <w:pPr>
        <w:pStyle w:val="BodyText2"/>
        <w:spacing w:after="0" w:line="360" w:lineRule="auto"/>
        <w:contextualSpacing/>
        <w:jc w:val="left"/>
      </w:pPr>
      <w:r>
        <w:tab/>
      </w:r>
      <w:r>
        <w:tab/>
        <w:t>The Company explains that its provisional claim for cash working capital is based primarily upon the outcome of a Commission investigation into reconciliation methods and their effect on rate volatility and improper price signals.  The result could require revision of the current method and could deprive the Company of any CWC compensation presently received.</w:t>
      </w:r>
    </w:p>
    <w:p w:rsidR="00EE047B" w:rsidRDefault="00C731C3" w:rsidP="00466DFE">
      <w:pPr>
        <w:pStyle w:val="BodyText2"/>
        <w:spacing w:after="0" w:line="360" w:lineRule="auto"/>
        <w:jc w:val="left"/>
      </w:pPr>
      <w:r w:rsidRPr="00A63B45">
        <w:rPr>
          <w:i/>
        </w:rPr>
        <w:t>Default Service Reconciliation Interim Guidelines</w:t>
      </w:r>
      <w:r w:rsidRPr="00A63B45">
        <w:t>, Docket No. M-2012-2314313 (Order entered August 14, 2012)</w:t>
      </w:r>
      <w:r>
        <w:t>.</w:t>
      </w:r>
      <w:r w:rsidR="00BC7221">
        <w:t xml:space="preserve">  </w:t>
      </w:r>
    </w:p>
    <w:p w:rsidR="00E75D87" w:rsidRDefault="00E75D87" w:rsidP="00466DFE">
      <w:pPr>
        <w:pStyle w:val="BodyText2"/>
        <w:spacing w:after="0" w:line="360" w:lineRule="auto"/>
        <w:jc w:val="left"/>
      </w:pPr>
    </w:p>
    <w:p w:rsidR="00BC7221" w:rsidRPr="00BC7221" w:rsidRDefault="00EE047B" w:rsidP="00466DFE">
      <w:pPr>
        <w:pStyle w:val="BodyText2"/>
        <w:spacing w:after="0" w:line="360" w:lineRule="auto"/>
        <w:jc w:val="left"/>
      </w:pPr>
      <w:r>
        <w:tab/>
      </w:r>
      <w:r>
        <w:tab/>
      </w:r>
      <w:r w:rsidR="00BC7221">
        <w:t xml:space="preserve">In other words, the Company is seeking an </w:t>
      </w:r>
      <w:r>
        <w:t xml:space="preserve">insurance policy against regulatory uncertainty in the form of </w:t>
      </w:r>
      <w:r w:rsidR="00BC7221">
        <w:t>a</w:t>
      </w:r>
      <w:r>
        <w:t xml:space="preserve"> binding decision</w:t>
      </w:r>
      <w:r w:rsidR="00BC7221">
        <w:t xml:space="preserve"> </w:t>
      </w:r>
      <w:r w:rsidR="00E75D87">
        <w:t xml:space="preserve">from the regulator </w:t>
      </w:r>
      <w:r w:rsidR="00BC7221">
        <w:t xml:space="preserve">on an event that </w:t>
      </w:r>
      <w:r w:rsidR="00E75D87" w:rsidRPr="00E75D87">
        <w:rPr>
          <w:i/>
        </w:rPr>
        <w:t>might</w:t>
      </w:r>
      <w:r w:rsidR="00E75D87">
        <w:t xml:space="preserve"> end in a result that </w:t>
      </w:r>
      <w:r w:rsidR="00E75D87" w:rsidRPr="00E75D87">
        <w:rPr>
          <w:i/>
        </w:rPr>
        <w:t>may or may not</w:t>
      </w:r>
      <w:r w:rsidR="00E75D87">
        <w:t xml:space="preserve"> require the utility to change its behavior in some undetermined way</w:t>
      </w:r>
      <w:r w:rsidR="00BC7221">
        <w:t xml:space="preserve">.  This request should be </w:t>
      </w:r>
      <w:r w:rsidR="00E75D87">
        <w:t xml:space="preserve">unequivocally </w:t>
      </w:r>
      <w:r w:rsidR="00BC7221">
        <w:t>denied</w:t>
      </w:r>
      <w:r w:rsidR="00E75D87">
        <w:t xml:space="preserve">.  </w:t>
      </w:r>
    </w:p>
    <w:p w:rsidR="00BC7221" w:rsidRDefault="00BC7221" w:rsidP="00855F83">
      <w:pPr>
        <w:pStyle w:val="BodyText2"/>
        <w:spacing w:after="0" w:line="360" w:lineRule="auto"/>
        <w:jc w:val="left"/>
      </w:pPr>
    </w:p>
    <w:p w:rsidR="00C50B37" w:rsidRDefault="00C50B37" w:rsidP="00855F83">
      <w:pPr>
        <w:pStyle w:val="Heading3"/>
        <w:keepNext/>
        <w:tabs>
          <w:tab w:val="clear" w:pos="2160"/>
        </w:tabs>
        <w:spacing w:after="0"/>
        <w:ind w:left="1440"/>
      </w:pPr>
      <w:bookmarkStart w:id="40" w:name="_Toc337196654"/>
      <w:r>
        <w:br w:type="page"/>
      </w:r>
    </w:p>
    <w:p w:rsidR="00580B8E" w:rsidRDefault="00FF18D0" w:rsidP="00FF18D0">
      <w:pPr>
        <w:pStyle w:val="Heading3"/>
        <w:keepNext/>
        <w:numPr>
          <w:ilvl w:val="0"/>
          <w:numId w:val="0"/>
        </w:numPr>
        <w:spacing w:after="0"/>
        <w:ind w:left="1440" w:hanging="720"/>
      </w:pPr>
      <w:r>
        <w:lastRenderedPageBreak/>
        <w:t>2.</w:t>
      </w:r>
      <w:r>
        <w:tab/>
      </w:r>
      <w:r w:rsidR="00580B8E">
        <w:t>Rate Design</w:t>
      </w:r>
      <w:bookmarkEnd w:id="40"/>
      <w:r>
        <w:fldChar w:fldCharType="begin"/>
      </w:r>
      <w:r>
        <w:instrText xml:space="preserve"> TC "</w:instrText>
      </w:r>
      <w:bookmarkStart w:id="41" w:name="_Toc340670003"/>
      <w:r w:rsidRPr="009B7B20">
        <w:instrText>2.</w:instrText>
      </w:r>
      <w:r w:rsidRPr="009B7B20">
        <w:tab/>
        <w:instrText>Rate Design</w:instrText>
      </w:r>
      <w:bookmarkEnd w:id="41"/>
      <w:r>
        <w:instrText xml:space="preserve">" \f C \l "3" </w:instrText>
      </w:r>
      <w:r>
        <w:fldChar w:fldCharType="end"/>
      </w:r>
    </w:p>
    <w:p w:rsidR="00466DFE" w:rsidRPr="00466DFE" w:rsidRDefault="00466DFE" w:rsidP="00855F83">
      <w:pPr>
        <w:pStyle w:val="BodyText2"/>
        <w:spacing w:after="0" w:line="360" w:lineRule="auto"/>
      </w:pPr>
    </w:p>
    <w:p w:rsidR="00580B8E" w:rsidRDefault="00580B8E" w:rsidP="00855F83">
      <w:pPr>
        <w:pStyle w:val="Heading4"/>
        <w:keepNext/>
        <w:tabs>
          <w:tab w:val="clear" w:pos="3060"/>
        </w:tabs>
        <w:spacing w:after="0"/>
        <w:ind w:left="2160"/>
      </w:pPr>
      <w:bookmarkStart w:id="42" w:name="_Toc337196655"/>
      <w:r>
        <w:t>Residential and Small C&amp;I Customer Classes - Fixed Rate Option</w:t>
      </w:r>
      <w:bookmarkEnd w:id="42"/>
      <w:r w:rsidR="00FF18D0">
        <w:fldChar w:fldCharType="begin"/>
      </w:r>
      <w:r w:rsidR="00FF18D0">
        <w:instrText xml:space="preserve"> TC "</w:instrText>
      </w:r>
      <w:bookmarkStart w:id="43" w:name="_Toc340670004"/>
      <w:r w:rsidR="00FF18D0" w:rsidRPr="009B7B20">
        <w:instrText>Residential and Small C&amp;I Customer Classes - Fixed Rate Option</w:instrText>
      </w:r>
      <w:bookmarkEnd w:id="43"/>
      <w:r w:rsidR="00FF18D0">
        <w:instrText xml:space="preserve">" \f C \l "4" </w:instrText>
      </w:r>
      <w:r w:rsidR="00FF18D0">
        <w:fldChar w:fldCharType="end"/>
      </w:r>
    </w:p>
    <w:p w:rsidR="00466DFE" w:rsidRPr="00466DFE" w:rsidRDefault="00466DFE" w:rsidP="00855F83">
      <w:pPr>
        <w:pStyle w:val="BodyText2"/>
        <w:spacing w:after="0" w:line="360" w:lineRule="auto"/>
      </w:pPr>
    </w:p>
    <w:p w:rsidR="00B67FB0" w:rsidRDefault="00BC7221" w:rsidP="00855F83">
      <w:pPr>
        <w:pStyle w:val="BodyText2"/>
        <w:spacing w:after="0" w:line="360" w:lineRule="auto"/>
        <w:jc w:val="left"/>
      </w:pPr>
      <w:r>
        <w:tab/>
      </w:r>
      <w:r>
        <w:tab/>
        <w:t xml:space="preserve">The DSP II </w:t>
      </w:r>
      <w:r w:rsidR="00580B8E">
        <w:t>propos</w:t>
      </w:r>
      <w:r>
        <w:t>al is</w:t>
      </w:r>
      <w:r w:rsidR="00580B8E">
        <w:t xml:space="preserve"> to continue to charge flat default service rates, </w:t>
      </w:r>
      <w:r w:rsidR="00580B8E">
        <w:rPr>
          <w:i/>
        </w:rPr>
        <w:t>i.e.</w:t>
      </w:r>
      <w:r w:rsidR="00580B8E">
        <w:t>, a single charge per kWh, to the Residential and Small C&amp;I customer classes under the GSC-1 fixed rate option</w:t>
      </w:r>
      <w:r w:rsidR="00B67FB0">
        <w:t>:</w:t>
      </w:r>
    </w:p>
    <w:p w:rsidR="00466DFE" w:rsidRDefault="00466DFE" w:rsidP="00466DFE">
      <w:pPr>
        <w:pStyle w:val="BodyText2"/>
        <w:spacing w:after="0" w:line="360" w:lineRule="auto"/>
        <w:jc w:val="left"/>
      </w:pPr>
    </w:p>
    <w:p w:rsidR="00580B8E" w:rsidRDefault="00580B8E" w:rsidP="001F1974">
      <w:pPr>
        <w:pStyle w:val="BodyText2"/>
        <w:spacing w:after="0" w:line="240" w:lineRule="auto"/>
        <w:ind w:left="1440" w:right="1440"/>
        <w:contextualSpacing/>
        <w:jc w:val="left"/>
      </w:pPr>
      <w:r>
        <w:t xml:space="preserve">As a flat rate, there is no demand charge or declining energy block rate design.  </w:t>
      </w:r>
      <w:proofErr w:type="gramStart"/>
      <w:r>
        <w:t>(PPL Electric Ex. 1, p. 25).</w:t>
      </w:r>
      <w:proofErr w:type="gramEnd"/>
      <w:r>
        <w:t xml:space="preserve">  All costs incurred under various wholesale supplier contracts for default service, costs incurred to procure and administer the DSP II Program contracts for the Residential and Small C&amp;I customer classes and costs incurred for separately acquired AECs will be recovered through the GSC-1.  As there are separate procurements for the Residential and Small C&amp;I customer classes, so also will there be separately calculated GSC-1 rates for the two customer classes.  PPL Electric proposes that the GSC-1 be recalculated every six months, beginning June 1, 2013.  PPL Electric further proposes that the GSC-1 be adjusted every six months thereafter to reflect the prices under the default service supply contracts for the upcoming six-month period.  </w:t>
      </w:r>
      <w:proofErr w:type="gramStart"/>
      <w:r>
        <w:t>(PPL Electric Ex. 1, p. 25).</w:t>
      </w:r>
      <w:proofErr w:type="gramEnd"/>
      <w:r>
        <w:rPr>
          <w:rStyle w:val="FootnoteReference"/>
        </w:rPr>
        <w:footnoteReference w:id="19"/>
      </w:r>
      <w:r>
        <w:t xml:space="preserve">  </w:t>
      </w:r>
    </w:p>
    <w:p w:rsidR="00B67FB0" w:rsidRDefault="00B67FB0" w:rsidP="001F1974">
      <w:pPr>
        <w:pStyle w:val="BodyText2"/>
        <w:spacing w:after="0" w:line="240" w:lineRule="auto"/>
        <w:contextualSpacing/>
        <w:jc w:val="left"/>
      </w:pPr>
      <w:proofErr w:type="gramStart"/>
      <w:r>
        <w:t>PPL Electric MB at 49.</w:t>
      </w:r>
      <w:proofErr w:type="gramEnd"/>
    </w:p>
    <w:p w:rsidR="00B67FB0" w:rsidRDefault="00B67FB0" w:rsidP="00466DFE">
      <w:pPr>
        <w:pStyle w:val="BodyText2"/>
        <w:spacing w:after="0" w:line="360" w:lineRule="auto"/>
        <w:ind w:left="1440" w:right="1440"/>
        <w:contextualSpacing/>
        <w:jc w:val="left"/>
      </w:pPr>
    </w:p>
    <w:p w:rsidR="00580B8E" w:rsidRDefault="00580B8E" w:rsidP="00855F83">
      <w:pPr>
        <w:pStyle w:val="Heading5"/>
        <w:tabs>
          <w:tab w:val="clear" w:pos="3600"/>
        </w:tabs>
        <w:spacing w:after="0"/>
        <w:ind w:left="2880"/>
        <w:jc w:val="left"/>
      </w:pPr>
      <w:bookmarkStart w:id="44" w:name="_Toc337196656"/>
      <w:r>
        <w:t>Frequency of Rate Changes</w:t>
      </w:r>
      <w:bookmarkEnd w:id="44"/>
      <w:r w:rsidR="00FF18D0">
        <w:fldChar w:fldCharType="begin"/>
      </w:r>
      <w:r w:rsidR="00FF18D0">
        <w:instrText xml:space="preserve"> TC "</w:instrText>
      </w:r>
      <w:bookmarkStart w:id="45" w:name="_Toc340670005"/>
      <w:r w:rsidR="00FF18D0" w:rsidRPr="009B7B20">
        <w:instrText>Frequency of Rate Changes</w:instrText>
      </w:r>
      <w:bookmarkEnd w:id="45"/>
      <w:r w:rsidR="00FF18D0">
        <w:instrText xml:space="preserve">" \f C \l "5" </w:instrText>
      </w:r>
      <w:r w:rsidR="00FF18D0">
        <w:fldChar w:fldCharType="end"/>
      </w:r>
    </w:p>
    <w:p w:rsidR="00466DFE" w:rsidRPr="00466DFE" w:rsidRDefault="00466DFE" w:rsidP="00466DFE">
      <w:pPr>
        <w:pStyle w:val="BodyText2"/>
        <w:spacing w:after="0" w:line="360" w:lineRule="auto"/>
      </w:pPr>
    </w:p>
    <w:p w:rsidR="00580B8E" w:rsidRDefault="00C75ACB" w:rsidP="00466DFE">
      <w:pPr>
        <w:pStyle w:val="BodyText2"/>
        <w:spacing w:after="0" w:line="360" w:lineRule="auto"/>
        <w:contextualSpacing/>
        <w:jc w:val="left"/>
      </w:pPr>
      <w:r>
        <w:tab/>
      </w:r>
      <w:r>
        <w:tab/>
      </w:r>
      <w:r w:rsidR="00B67FB0">
        <w:t>The proposed</w:t>
      </w:r>
      <w:r w:rsidR="00580B8E">
        <w:t xml:space="preserve"> semi-annual PTC price change</w:t>
      </w:r>
      <w:r w:rsidR="00B67FB0">
        <w:t xml:space="preserve"> r</w:t>
      </w:r>
      <w:r w:rsidR="00580B8E">
        <w:t xml:space="preserve">epresents a change from the DSP I Program in which the PTC </w:t>
      </w:r>
      <w:r w:rsidR="009E2646">
        <w:t xml:space="preserve">changes on a quarterly basis.  </w:t>
      </w:r>
      <w:proofErr w:type="gramStart"/>
      <w:r w:rsidR="00580B8E">
        <w:t>PPL Electric St</w:t>
      </w:r>
      <w:r w:rsidR="009E2646">
        <w:t>mt</w:t>
      </w:r>
      <w:r w:rsidR="00580B8E">
        <w:t>. 1-R</w:t>
      </w:r>
      <w:r w:rsidR="009E2646">
        <w:t xml:space="preserve"> at</w:t>
      </w:r>
      <w:r w:rsidR="00580B8E">
        <w:t xml:space="preserve"> 5.</w:t>
      </w:r>
      <w:proofErr w:type="gramEnd"/>
      <w:r w:rsidR="00580B8E">
        <w:t xml:space="preserve">  RESA and DES/IGS object to the change to semi-annual PTC changes.  Both parties have expressed concerns that twice yearly PTC changes would potentially reduce the “market responsiveness” of the PTC.  </w:t>
      </w:r>
      <w:proofErr w:type="gramStart"/>
      <w:r w:rsidR="00580B8E">
        <w:t>RESA St</w:t>
      </w:r>
      <w:r w:rsidR="00393C77">
        <w:t>mt</w:t>
      </w:r>
      <w:r w:rsidR="00580B8E">
        <w:t>. 1</w:t>
      </w:r>
      <w:r w:rsidR="00393C77">
        <w:t xml:space="preserve"> at 18; DR</w:t>
      </w:r>
      <w:r w:rsidR="00580B8E">
        <w:t>/IGS St. 1, p. 5).</w:t>
      </w:r>
      <w:proofErr w:type="gramEnd"/>
      <w:r w:rsidR="00580B8E">
        <w:rPr>
          <w:rStyle w:val="FootnoteReference"/>
        </w:rPr>
        <w:footnoteReference w:id="20"/>
      </w:r>
      <w:r w:rsidR="00580B8E">
        <w:t xml:space="preserve">  </w:t>
      </w:r>
    </w:p>
    <w:p w:rsidR="00C731C3" w:rsidRDefault="00C731C3" w:rsidP="001F1974">
      <w:pPr>
        <w:pStyle w:val="BodyText2"/>
        <w:spacing w:after="0" w:line="360" w:lineRule="auto"/>
        <w:contextualSpacing/>
        <w:jc w:val="left"/>
      </w:pPr>
    </w:p>
    <w:p w:rsidR="00B67FB0" w:rsidRDefault="00B67FB0" w:rsidP="001F1974">
      <w:pPr>
        <w:pStyle w:val="BodyText2"/>
        <w:spacing w:after="0" w:line="360" w:lineRule="auto"/>
        <w:contextualSpacing/>
        <w:jc w:val="left"/>
      </w:pPr>
      <w:r>
        <w:lastRenderedPageBreak/>
        <w:tab/>
      </w:r>
      <w:r>
        <w:tab/>
        <w:t xml:space="preserve">RESA's argument goes hand-in-hand with its recommendation that procurements occur quarterly instead of semi-annually, as the Company proposes.  If procurements are quarterly, as RESA advocates, then quarterly rate changes, including the update of the PTC, should occur.  </w:t>
      </w:r>
      <w:proofErr w:type="gramStart"/>
      <w:r>
        <w:t>RESA MB at 39.</w:t>
      </w:r>
      <w:proofErr w:type="gramEnd"/>
      <w:r>
        <w:t xml:space="preserve">  </w:t>
      </w:r>
    </w:p>
    <w:p w:rsidR="00B67FB0" w:rsidRDefault="00B67FB0" w:rsidP="001F1974">
      <w:pPr>
        <w:pStyle w:val="BodyText2"/>
        <w:spacing w:after="0" w:line="360" w:lineRule="auto"/>
        <w:contextualSpacing/>
        <w:jc w:val="left"/>
      </w:pPr>
    </w:p>
    <w:p w:rsidR="009E2646" w:rsidRDefault="00B67FB0" w:rsidP="001F1974">
      <w:pPr>
        <w:pStyle w:val="BodyText2"/>
        <w:spacing w:after="0" w:line="360" w:lineRule="auto"/>
        <w:contextualSpacing/>
        <w:jc w:val="left"/>
      </w:pPr>
      <w:r>
        <w:tab/>
      </w:r>
      <w:r>
        <w:tab/>
        <w:t>However, if the Company's proposal is adopted, as is recommended in this decision, then the rate changes should also be semi-annual.  T</w:t>
      </w:r>
      <w:r w:rsidR="00580B8E">
        <w:t>he Company propos</w:t>
      </w:r>
      <w:r>
        <w:t>al</w:t>
      </w:r>
      <w:r w:rsidR="00580B8E">
        <w:t xml:space="preserve"> to move to semi-annual procurements in order to reflect a balance between market reflective pricing, through laddered 9-month and 12-month fixed-price, full-requirements, load-following contracts, and default service price stability, consistent with the Commission’s default service regulations</w:t>
      </w:r>
      <w:r w:rsidR="00C731C3">
        <w:t>, is reasonable</w:t>
      </w:r>
      <w:r w:rsidR="00580B8E">
        <w:t xml:space="preserve">.  </w:t>
      </w:r>
      <w:proofErr w:type="gramStart"/>
      <w:r w:rsidR="00580B8E">
        <w:t>PPL Electric St</w:t>
      </w:r>
      <w:r w:rsidR="009E2646">
        <w:t>mt</w:t>
      </w:r>
      <w:r w:rsidR="00580B8E">
        <w:t>. 1</w:t>
      </w:r>
      <w:r w:rsidR="009E2646">
        <w:t xml:space="preserve"> at</w:t>
      </w:r>
      <w:r w:rsidR="00580B8E">
        <w:t xml:space="preserve"> 13.</w:t>
      </w:r>
      <w:proofErr w:type="gramEnd"/>
      <w:r w:rsidR="00580B8E">
        <w:t xml:space="preserve">  </w:t>
      </w:r>
    </w:p>
    <w:p w:rsidR="009E2646" w:rsidRDefault="009E2646" w:rsidP="001F1974">
      <w:pPr>
        <w:pStyle w:val="BodyText2"/>
        <w:spacing w:after="0" w:line="360" w:lineRule="auto"/>
        <w:contextualSpacing/>
        <w:jc w:val="left"/>
      </w:pPr>
    </w:p>
    <w:p w:rsidR="00580B8E" w:rsidRDefault="009E2646" w:rsidP="001F1974">
      <w:pPr>
        <w:pStyle w:val="BodyText2"/>
        <w:spacing w:after="0" w:line="360" w:lineRule="auto"/>
        <w:contextualSpacing/>
        <w:jc w:val="left"/>
      </w:pPr>
      <w:r>
        <w:tab/>
      </w:r>
      <w:r>
        <w:tab/>
      </w:r>
      <w:r w:rsidR="00580B8E">
        <w:t xml:space="preserve">In addition, as </w:t>
      </w:r>
      <w:r w:rsidR="00C731C3">
        <w:t>more and more</w:t>
      </w:r>
      <w:r w:rsidR="00580B8E">
        <w:t xml:space="preserve"> Residential and Small C&amp;I customers move </w:t>
      </w:r>
      <w:r w:rsidR="00C731C3">
        <w:t>t</w:t>
      </w:r>
      <w:r w:rsidR="00580B8E">
        <w:t xml:space="preserve">o EGSs, a semi-annual procurement and price change mechanism will simplify the default service process, giving further encouragement to shopping.  </w:t>
      </w:r>
      <w:r w:rsidR="00C731C3">
        <w:t>As will be seen in the discussion to follow,</w:t>
      </w:r>
      <w:r w:rsidR="00580B8E">
        <w:t xml:space="preserve"> semi-annual changes in default service prices align with the Company’s proposals for six month contract terms for the Opt-In and St</w:t>
      </w:r>
      <w:r w:rsidR="00C731C3">
        <w:t xml:space="preserve">andard Offer Referral Programs.  </w:t>
      </w:r>
      <w:r w:rsidR="00580B8E">
        <w:t>Limiting the frequency of PTC changes to twice per year will give Residential default service customers greater assurance that the offers that they consider under these Opt-In and Standard Offer Referral Programs will result in real savings off of the PTC rates.  This should encourage more of the remaining default service customers to try shopping and provide them with a positive experience to continue shopping after their initial contract terms end.</w:t>
      </w:r>
      <w:r w:rsidR="00C731C3">
        <w:t xml:space="preserve">  In other words, the proposal is suited to the needs of all parties – the Company's, the customers</w:t>
      </w:r>
      <w:r w:rsidR="00934109">
        <w:t>'</w:t>
      </w:r>
      <w:r w:rsidR="00C731C3">
        <w:t>, and the EGSs</w:t>
      </w:r>
      <w:r w:rsidR="00934109">
        <w:t>'</w:t>
      </w:r>
      <w:r w:rsidR="00C731C3">
        <w:t xml:space="preserve">.  </w:t>
      </w:r>
      <w:r w:rsidR="00580B8E">
        <w:t>RESA’s and D</w:t>
      </w:r>
      <w:r w:rsidR="00393C77">
        <w:t>R</w:t>
      </w:r>
      <w:r w:rsidR="00580B8E">
        <w:t>/IGS’s proposals to continue with quarterly PTC price changes</w:t>
      </w:r>
      <w:r>
        <w:t xml:space="preserve"> under these circumstances sh</w:t>
      </w:r>
      <w:r w:rsidR="00C731C3">
        <w:t>ould be denied</w:t>
      </w:r>
      <w:r w:rsidR="00580B8E">
        <w:t>.</w:t>
      </w:r>
    </w:p>
    <w:p w:rsidR="00466DFE" w:rsidRDefault="00466DFE" w:rsidP="00466DFE">
      <w:pPr>
        <w:pStyle w:val="BodyText2"/>
        <w:spacing w:after="0" w:line="360" w:lineRule="auto"/>
        <w:contextualSpacing/>
        <w:jc w:val="left"/>
      </w:pPr>
    </w:p>
    <w:p w:rsidR="00C50B37" w:rsidRDefault="00C50B37" w:rsidP="00855F83">
      <w:pPr>
        <w:pStyle w:val="Heading5"/>
        <w:keepNext/>
        <w:tabs>
          <w:tab w:val="clear" w:pos="3600"/>
        </w:tabs>
        <w:spacing w:after="0" w:line="240" w:lineRule="auto"/>
        <w:ind w:left="2880"/>
        <w:jc w:val="left"/>
      </w:pPr>
      <w:bookmarkStart w:id="46" w:name="_Toc337196657"/>
      <w:r>
        <w:br w:type="page"/>
      </w:r>
    </w:p>
    <w:p w:rsidR="00580B8E" w:rsidRDefault="00580B8E" w:rsidP="00855F83">
      <w:pPr>
        <w:pStyle w:val="Heading5"/>
        <w:keepNext/>
        <w:tabs>
          <w:tab w:val="clear" w:pos="3600"/>
        </w:tabs>
        <w:spacing w:after="0" w:line="240" w:lineRule="auto"/>
        <w:ind w:left="2880"/>
        <w:jc w:val="left"/>
      </w:pPr>
      <w:r>
        <w:lastRenderedPageBreak/>
        <w:t>Hourly Priced Default Service for Small C&amp;I Customers with Load Over 100 kW</w:t>
      </w:r>
      <w:bookmarkEnd w:id="46"/>
      <w:r w:rsidR="00FF18D0">
        <w:fldChar w:fldCharType="begin"/>
      </w:r>
      <w:r w:rsidR="00FF18D0">
        <w:instrText xml:space="preserve"> TC "</w:instrText>
      </w:r>
      <w:bookmarkStart w:id="47" w:name="_Toc340670006"/>
      <w:r w:rsidR="00FF18D0" w:rsidRPr="009B7B20">
        <w:instrText>Hourly Priced Default Service for Small C&amp;I Customers with Load Over 100 kW</w:instrText>
      </w:r>
      <w:bookmarkEnd w:id="47"/>
      <w:r w:rsidR="00FF18D0">
        <w:instrText xml:space="preserve">" \f C \l "5" </w:instrText>
      </w:r>
      <w:r w:rsidR="00FF18D0">
        <w:fldChar w:fldCharType="end"/>
      </w:r>
    </w:p>
    <w:p w:rsidR="00466DFE" w:rsidRPr="00466DFE" w:rsidRDefault="00466DFE" w:rsidP="00466DFE">
      <w:pPr>
        <w:pStyle w:val="BodyText2"/>
        <w:spacing w:after="0" w:line="360" w:lineRule="auto"/>
      </w:pPr>
    </w:p>
    <w:p w:rsidR="00580B8E" w:rsidRDefault="009E2646" w:rsidP="001F1974">
      <w:pPr>
        <w:pStyle w:val="BodyText2"/>
        <w:spacing w:after="0" w:line="240" w:lineRule="auto"/>
        <w:ind w:left="1440" w:right="1440"/>
        <w:contextualSpacing/>
        <w:jc w:val="left"/>
      </w:pPr>
      <w:r>
        <w:tab/>
      </w:r>
      <w:r w:rsidR="00580B8E">
        <w:t xml:space="preserve">The Company currently provides real time hourly default service pricing to its large </w:t>
      </w:r>
      <w:proofErr w:type="gramStart"/>
      <w:r w:rsidR="00580B8E">
        <w:t>C&amp;I</w:t>
      </w:r>
      <w:proofErr w:type="gramEnd"/>
      <w:r w:rsidR="00580B8E">
        <w:t xml:space="preserve"> customer class.</w:t>
      </w:r>
      <w:r w:rsidR="00580B8E">
        <w:rPr>
          <w:rStyle w:val="FootnoteReference"/>
        </w:rPr>
        <w:footnoteReference w:id="21"/>
      </w:r>
      <w:r w:rsidR="00580B8E">
        <w:t xml:space="preserve">  This class includes customers with demands greater than 500 kW.  </w:t>
      </w:r>
    </w:p>
    <w:p w:rsidR="00580B8E" w:rsidRDefault="00580B8E" w:rsidP="001F1974">
      <w:pPr>
        <w:pStyle w:val="BodyText2"/>
        <w:spacing w:after="0" w:line="240" w:lineRule="auto"/>
        <w:ind w:left="1440" w:right="1440"/>
        <w:contextualSpacing/>
        <w:jc w:val="left"/>
      </w:pPr>
      <w:r>
        <w:t xml:space="preserve">In the </w:t>
      </w:r>
      <w:r>
        <w:rPr>
          <w:i/>
        </w:rPr>
        <w:t>December 16 RMI Order</w:t>
      </w:r>
      <w:r>
        <w:t xml:space="preserve">, the Commission noted that PPL Electric has interval metering capability and directed the Company to file testimony in this default service case setting forth the cost to convert its billing system to allow hourly price service to all default service customers larger than 100 kW.  In compliance with this directive, PPL Electric estimated that it would cost over $360,000 to implement real-time default service pricing for all default service customers larger than 100 kW.  </w:t>
      </w:r>
      <w:proofErr w:type="gramStart"/>
      <w:r>
        <w:t>(PPL Electric St. 1-R, p. 31).</w:t>
      </w:r>
      <w:proofErr w:type="gramEnd"/>
    </w:p>
    <w:p w:rsidR="00466DFE" w:rsidRDefault="00466DFE" w:rsidP="001F1974">
      <w:pPr>
        <w:pStyle w:val="BodyText2"/>
        <w:spacing w:after="0" w:line="240" w:lineRule="auto"/>
        <w:ind w:left="1440" w:right="1440"/>
        <w:contextualSpacing/>
        <w:jc w:val="left"/>
      </w:pPr>
    </w:p>
    <w:p w:rsidR="00855F83" w:rsidRDefault="009E2646" w:rsidP="001F1974">
      <w:pPr>
        <w:pStyle w:val="BodyText2"/>
        <w:spacing w:after="0" w:line="240" w:lineRule="auto"/>
        <w:ind w:left="1440" w:right="1440"/>
        <w:contextualSpacing/>
        <w:jc w:val="left"/>
      </w:pPr>
      <w:r>
        <w:tab/>
      </w:r>
      <w:r w:rsidR="00580B8E">
        <w:t xml:space="preserve">The Company also provided additional information relevant to implementing real time pricing for default service customers larger than 100 kW.  As of August 2012, there were 4,007 Small C&amp;I customers larger than 100 kW who are eligible for fixed-price default service.  Of this number, 3,709, or 93%, of the customers are currently shopping.  </w:t>
      </w:r>
      <w:proofErr w:type="gramStart"/>
      <w:r w:rsidR="00580B8E">
        <w:t>(PPL Electric St. 1-R, p. 32).</w:t>
      </w:r>
      <w:proofErr w:type="gramEnd"/>
      <w:r w:rsidR="00580B8E">
        <w:t xml:space="preserve">  The Company further explained that the procurement contracts currently in effect and scheduled under the DSP I Program for Small C&amp;I customers specifically established that supplies for the Small C&amp;I class were being acquired for customers smaller than 500 kW.  The last of these DSP I contracts will not expire until March 2015.  </w:t>
      </w:r>
      <w:proofErr w:type="gramStart"/>
      <w:r w:rsidR="00580B8E">
        <w:t>(PPL Electric St. 4, p. 33).</w:t>
      </w:r>
      <w:proofErr w:type="gramEnd"/>
      <w:r w:rsidR="00580B8E">
        <w:t xml:space="preserve">  </w:t>
      </w:r>
    </w:p>
    <w:p w:rsidR="00855F83" w:rsidRDefault="00855F83" w:rsidP="001F1974">
      <w:pPr>
        <w:pStyle w:val="BodyText2"/>
        <w:spacing w:after="0" w:line="240" w:lineRule="auto"/>
        <w:ind w:left="1440" w:right="1440"/>
        <w:contextualSpacing/>
        <w:jc w:val="left"/>
      </w:pPr>
    </w:p>
    <w:p w:rsidR="00580B8E" w:rsidRDefault="009E2646" w:rsidP="001F1974">
      <w:pPr>
        <w:pStyle w:val="BodyText2"/>
        <w:spacing w:after="0" w:line="240" w:lineRule="auto"/>
        <w:ind w:left="1440" w:right="1440"/>
        <w:contextualSpacing/>
        <w:jc w:val="left"/>
      </w:pPr>
      <w:r>
        <w:tab/>
      </w:r>
      <w:r w:rsidR="00580B8E">
        <w:t xml:space="preserve">Based upon the terms of existing contracts with wholesale suppliers under DSP I for service to Small C&amp;I customers, the small number of customers over 100 kW actually taking default service and the cost of making necessary billing system modifications, the Company proposed in a </w:t>
      </w:r>
      <w:r w:rsidR="00580B8E">
        <w:rPr>
          <w:i/>
        </w:rPr>
        <w:t>Petition for Approval to Modify Its Smart Meter Technology Procurement and Installation Plan and to Extend Its Grace Period</w:t>
      </w:r>
      <w:r w:rsidR="00580B8E">
        <w:t>, at Docket No. P-2012-2303075, 2012 Pa. PUC LEXIS 1232 (August 2, 2012) (“</w:t>
      </w:r>
      <w:r w:rsidR="00580B8E">
        <w:rPr>
          <w:i/>
        </w:rPr>
        <w:t>Smart Meter Order</w:t>
      </w:r>
      <w:r w:rsidR="00580B8E">
        <w:t xml:space="preserve">”), to undertake the modifications necessary to provide hourly priced service for all default service customers larger than 100 kW on a schedule intended to permit the </w:t>
      </w:r>
      <w:r w:rsidR="00580B8E">
        <w:lastRenderedPageBreak/>
        <w:t>introduction of this capability by June of 2015, which would be the start of the next procurement plan period for PPL Electric default service customers.</w:t>
      </w:r>
      <w:r w:rsidR="00580B8E">
        <w:rPr>
          <w:rStyle w:val="FootnoteReference"/>
        </w:rPr>
        <w:footnoteReference w:id="22"/>
      </w:r>
      <w:r w:rsidR="00580B8E">
        <w:t xml:space="preserve">  The Commission denied PPL Electric’s request to implement real-time default service pricing for Small C&amp;I customers over 100 kW as part of its Smart Meter Technology Procurement and Installation Plan.  The Commission’s Order encouraged PPL Electric to propose a mechanism for implementing such real-time pricing in a future default service filing.  </w:t>
      </w:r>
      <w:proofErr w:type="gramStart"/>
      <w:r w:rsidR="00580B8E">
        <w:t>(</w:t>
      </w:r>
      <w:r w:rsidR="00580B8E">
        <w:rPr>
          <w:i/>
        </w:rPr>
        <w:t>Smart Meter Order</w:t>
      </w:r>
      <w:r w:rsidR="00580B8E">
        <w:t xml:space="preserve"> at pp. 9-10).</w:t>
      </w:r>
      <w:proofErr w:type="gramEnd"/>
      <w:r w:rsidR="00580B8E">
        <w:t xml:space="preserve">  Consistent with this directive, PPL Electric will address the implementation of a 100 kW split for Small C&amp;I customers in a future default service filing.  PPL Electric is aware of no opposition to this proposal.</w:t>
      </w:r>
    </w:p>
    <w:p w:rsidR="00C75ACB" w:rsidRDefault="00C75ACB" w:rsidP="001F1974">
      <w:pPr>
        <w:pStyle w:val="Heading4"/>
        <w:keepNext/>
        <w:numPr>
          <w:ilvl w:val="0"/>
          <w:numId w:val="0"/>
        </w:numPr>
        <w:spacing w:after="0"/>
        <w:contextualSpacing/>
        <w:jc w:val="left"/>
        <w:rPr>
          <w:b w:val="0"/>
        </w:rPr>
      </w:pPr>
      <w:bookmarkStart w:id="48" w:name="_Toc337196658"/>
      <w:r>
        <w:rPr>
          <w:b w:val="0"/>
        </w:rPr>
        <w:t>PPL Electric MB at 51-52.</w:t>
      </w:r>
    </w:p>
    <w:p w:rsidR="009E2646" w:rsidRPr="009E2646" w:rsidRDefault="009E2646" w:rsidP="00C50B37">
      <w:pPr>
        <w:pStyle w:val="BodyText2"/>
        <w:spacing w:after="0" w:line="360" w:lineRule="auto"/>
        <w:contextualSpacing/>
      </w:pPr>
    </w:p>
    <w:p w:rsidR="00C75ACB" w:rsidRDefault="00C75ACB" w:rsidP="00C50B37">
      <w:pPr>
        <w:pStyle w:val="BodyText2"/>
        <w:spacing w:after="0" w:line="360" w:lineRule="auto"/>
        <w:contextualSpacing/>
        <w:jc w:val="left"/>
      </w:pPr>
      <w:r>
        <w:tab/>
      </w:r>
      <w:r>
        <w:tab/>
        <w:t>Accordingly, the Company's proposal to address this further in a future DSP case is recommended for approval.</w:t>
      </w:r>
    </w:p>
    <w:p w:rsidR="00466DFE" w:rsidRPr="00C75ACB" w:rsidRDefault="00466DFE" w:rsidP="00C50B37">
      <w:pPr>
        <w:pStyle w:val="BodyText2"/>
        <w:spacing w:after="0" w:line="360" w:lineRule="auto"/>
        <w:contextualSpacing/>
        <w:jc w:val="left"/>
      </w:pPr>
    </w:p>
    <w:p w:rsidR="00580B8E" w:rsidRDefault="00580B8E" w:rsidP="00C50B37">
      <w:pPr>
        <w:pStyle w:val="Heading4"/>
        <w:keepNext/>
        <w:tabs>
          <w:tab w:val="clear" w:pos="3060"/>
        </w:tabs>
        <w:spacing w:after="0"/>
        <w:ind w:left="2160"/>
        <w:jc w:val="left"/>
      </w:pPr>
      <w:r>
        <w:t>Residential and Small C&amp;I – Reconciliation</w:t>
      </w:r>
      <w:bookmarkEnd w:id="48"/>
      <w:r w:rsidR="00FF18D0">
        <w:fldChar w:fldCharType="begin"/>
      </w:r>
      <w:r w:rsidR="00FF18D0">
        <w:instrText xml:space="preserve"> TC "</w:instrText>
      </w:r>
      <w:bookmarkStart w:id="49" w:name="_Toc340670007"/>
      <w:r w:rsidR="00FF18D0" w:rsidRPr="009B7B20">
        <w:instrText>Residential and Small C&amp;I – Reconciliation</w:instrText>
      </w:r>
      <w:bookmarkEnd w:id="49"/>
      <w:r w:rsidR="00FF18D0">
        <w:instrText xml:space="preserve">" \f C \l "4" </w:instrText>
      </w:r>
      <w:r w:rsidR="00FF18D0">
        <w:fldChar w:fldCharType="end"/>
      </w:r>
      <w:r w:rsidR="00FF18D0">
        <w:fldChar w:fldCharType="begin"/>
      </w:r>
      <w:r w:rsidR="00FF18D0">
        <w:instrText xml:space="preserve"> TC "</w:instrText>
      </w:r>
      <w:bookmarkStart w:id="50" w:name="_Toc340670008"/>
      <w:r w:rsidR="00FF18D0" w:rsidRPr="009B7B20">
        <w:instrText>Residential and Small C&amp;I – Reconciliation</w:instrText>
      </w:r>
      <w:bookmarkEnd w:id="50"/>
      <w:r w:rsidR="00FF18D0">
        <w:instrText xml:space="preserve">" \f C \l "4" </w:instrText>
      </w:r>
      <w:r w:rsidR="00FF18D0">
        <w:fldChar w:fldCharType="end"/>
      </w:r>
    </w:p>
    <w:p w:rsidR="00466DFE" w:rsidRPr="00466DFE" w:rsidRDefault="00466DFE" w:rsidP="00C50B37">
      <w:pPr>
        <w:pStyle w:val="BodyText2"/>
        <w:spacing w:after="0" w:line="360" w:lineRule="auto"/>
      </w:pPr>
    </w:p>
    <w:p w:rsidR="007A0956" w:rsidRDefault="00BF7C41" w:rsidP="00C50B37">
      <w:pPr>
        <w:pStyle w:val="BodyText2"/>
        <w:spacing w:after="0" w:line="360" w:lineRule="auto"/>
        <w:jc w:val="left"/>
      </w:pPr>
      <w:r>
        <w:tab/>
      </w:r>
      <w:r>
        <w:tab/>
        <w:t>The Company explains its proposal:</w:t>
      </w:r>
    </w:p>
    <w:p w:rsidR="00466DFE" w:rsidRDefault="00466DFE" w:rsidP="00C50B37">
      <w:pPr>
        <w:pStyle w:val="BodyText2"/>
        <w:spacing w:after="0" w:line="360" w:lineRule="auto"/>
        <w:jc w:val="left"/>
      </w:pPr>
    </w:p>
    <w:p w:rsidR="007A0956" w:rsidRDefault="00580B8E" w:rsidP="001F1974">
      <w:pPr>
        <w:pStyle w:val="BodyText2"/>
        <w:spacing w:after="0" w:line="240" w:lineRule="auto"/>
        <w:ind w:left="1440" w:right="1440"/>
        <w:contextualSpacing/>
        <w:jc w:val="left"/>
      </w:pPr>
      <w:r>
        <w:t xml:space="preserve">PPL Electric currently reconciles its GSC-1 revenues and expenses on a quarterly basis.  </w:t>
      </w:r>
      <w:proofErr w:type="gramStart"/>
      <w:r>
        <w:t>As the Commission is well aware, and as demonstrated on PPL Electric Ex. No.</w:t>
      </w:r>
      <w:proofErr w:type="gramEnd"/>
      <w:r>
        <w:t xml:space="preserve"> JMK-5, quarterly reconciliation has produced substantial variances and swings in the E-Factor rate of the GSC-1.  For the Residential class, the Company has experienced swings from a .68 cent/kWh recoupment to a .36 cent/kWh refund in the E-factor by quarter.  </w:t>
      </w:r>
      <w:proofErr w:type="gramStart"/>
      <w:r>
        <w:t>(PPL Electric Ex. JMK-5).</w:t>
      </w:r>
      <w:proofErr w:type="gramEnd"/>
      <w:r>
        <w:t xml:space="preserve">  These variances have been even more pronounced for the Small </w:t>
      </w:r>
      <w:proofErr w:type="gramStart"/>
      <w:r>
        <w:t>C&amp;I</w:t>
      </w:r>
      <w:proofErr w:type="gramEnd"/>
      <w:r>
        <w:t xml:space="preserve"> customer class, where the E-factor has varied from a 4.15 cent/kWh charge to a 1.53 cent/kWh refund.  </w:t>
      </w:r>
      <w:proofErr w:type="gramStart"/>
      <w:r>
        <w:t>(PPL Electric Ex. JMK-5).</w:t>
      </w:r>
      <w:proofErr w:type="gramEnd"/>
      <w:r>
        <w:t xml:space="preserve">  In response to these large swings in the E-Factor, PPL Electric has proposed to revise its method of computing the GSC-1 reconciliation in order to calculate the reconciliation amount every six months based upon a rolling 12-month average of projected GSC-1 sales, rather than a reconciliation of a three-month period of revenues and costs </w:t>
      </w:r>
      <w:r>
        <w:lastRenderedPageBreak/>
        <w:t xml:space="preserve">divided by a projection of the next three months’ sales.  </w:t>
      </w:r>
      <w:proofErr w:type="gramStart"/>
      <w:r>
        <w:t>(PPL Electric St. 5-R, pp. 4-5).</w:t>
      </w:r>
      <w:proofErr w:type="gramEnd"/>
      <w:r>
        <w:t xml:space="preserve">  </w:t>
      </w:r>
    </w:p>
    <w:p w:rsidR="007A0956" w:rsidRDefault="007A0956" w:rsidP="00855F83">
      <w:pPr>
        <w:pStyle w:val="BodyText2"/>
        <w:spacing w:after="0" w:line="240" w:lineRule="auto"/>
        <w:jc w:val="left"/>
      </w:pPr>
      <w:r>
        <w:t>PPL Electric MB at 52-53.</w:t>
      </w:r>
    </w:p>
    <w:p w:rsidR="00855F83" w:rsidRDefault="00855F83" w:rsidP="00855F83">
      <w:pPr>
        <w:pStyle w:val="BodyText2"/>
        <w:spacing w:after="0" w:line="360" w:lineRule="auto"/>
        <w:jc w:val="left"/>
      </w:pPr>
    </w:p>
    <w:p w:rsidR="00976F7A" w:rsidRDefault="007A0956" w:rsidP="00855F83">
      <w:pPr>
        <w:pStyle w:val="BodyText2"/>
        <w:spacing w:after="0" w:line="360" w:lineRule="auto"/>
        <w:contextualSpacing/>
        <w:jc w:val="left"/>
      </w:pPr>
      <w:r>
        <w:tab/>
      </w:r>
      <w:r>
        <w:tab/>
      </w:r>
      <w:r w:rsidR="00393C77">
        <w:t>RESA and DR</w:t>
      </w:r>
      <w:r w:rsidR="00580B8E">
        <w:t xml:space="preserve">/IGS oppose the use of a rolling 12-month average reconciliation and support the continuation of quarterly reconciliation periods.  </w:t>
      </w:r>
      <w:proofErr w:type="gramStart"/>
      <w:r w:rsidR="00580B8E">
        <w:t>RESA St</w:t>
      </w:r>
      <w:r w:rsidR="00813BEA">
        <w:t>mt</w:t>
      </w:r>
      <w:r w:rsidR="00580B8E">
        <w:t>. 1</w:t>
      </w:r>
      <w:r w:rsidR="00813BEA">
        <w:t xml:space="preserve"> at</w:t>
      </w:r>
      <w:r w:rsidR="00580B8E">
        <w:t xml:space="preserve"> 23; D</w:t>
      </w:r>
      <w:r w:rsidR="00393C77">
        <w:t>R</w:t>
      </w:r>
      <w:r w:rsidR="00580B8E">
        <w:t>/IGS St</w:t>
      </w:r>
      <w:r w:rsidR="00813BEA">
        <w:t>mt</w:t>
      </w:r>
      <w:r w:rsidR="00580B8E">
        <w:t>. 1</w:t>
      </w:r>
      <w:r w:rsidR="00813BEA">
        <w:t xml:space="preserve"> at</w:t>
      </w:r>
      <w:r w:rsidR="00580B8E">
        <w:t xml:space="preserve"> 5.</w:t>
      </w:r>
      <w:proofErr w:type="gramEnd"/>
      <w:r w:rsidR="00580B8E">
        <w:t xml:space="preserve">  </w:t>
      </w:r>
    </w:p>
    <w:p w:rsidR="00466DFE" w:rsidRDefault="00466DFE" w:rsidP="00855F83">
      <w:pPr>
        <w:pStyle w:val="BodyText2"/>
        <w:spacing w:after="0" w:line="360" w:lineRule="auto"/>
        <w:contextualSpacing/>
        <w:jc w:val="left"/>
      </w:pPr>
    </w:p>
    <w:p w:rsidR="007A0956" w:rsidRDefault="00BF7C41" w:rsidP="00855F83">
      <w:pPr>
        <w:pStyle w:val="BodyText2"/>
        <w:spacing w:after="0" w:line="360" w:lineRule="auto"/>
        <w:contextualSpacing/>
        <w:jc w:val="left"/>
      </w:pPr>
      <w:r>
        <w:tab/>
      </w:r>
      <w:r>
        <w:tab/>
      </w:r>
      <w:r w:rsidR="00393C77">
        <w:t>DR</w:t>
      </w:r>
      <w:r w:rsidR="007A0956">
        <w:t>/IGS explains:</w:t>
      </w:r>
    </w:p>
    <w:p w:rsidR="00466DFE" w:rsidRDefault="00466DFE" w:rsidP="00855F83">
      <w:pPr>
        <w:pStyle w:val="BodyText2"/>
        <w:spacing w:after="0" w:line="360" w:lineRule="auto"/>
        <w:contextualSpacing/>
        <w:jc w:val="left"/>
      </w:pPr>
    </w:p>
    <w:p w:rsidR="00976F7A" w:rsidRDefault="00976F7A" w:rsidP="001F1974">
      <w:pPr>
        <w:spacing w:line="240" w:lineRule="auto"/>
        <w:ind w:left="1440" w:right="1440" w:firstLine="720"/>
        <w:jc w:val="left"/>
      </w:pPr>
      <w:r>
        <w:t xml:space="preserve">This position is contrary to what appears now to be the standard, endorsed in both the </w:t>
      </w:r>
      <w:r w:rsidRPr="00A63B45">
        <w:rPr>
          <w:i/>
        </w:rPr>
        <w:t>FE Order</w:t>
      </w:r>
      <w:r>
        <w:rPr>
          <w:i/>
        </w:rPr>
        <w:fldChar w:fldCharType="begin"/>
      </w:r>
      <w:r>
        <w:instrText xml:space="preserve"> TA \s "Joint Petition of Metropolitan Edison Company, Pennsylvania Electric Company, Pennsylvania Power Company and West Penn Power Company for Approval of Their Default Service Programs; Docket Nos. P-2011-2273650, et seq., (Opinion and Order entered August 16," </w:instrText>
      </w:r>
      <w:r>
        <w:rPr>
          <w:i/>
        </w:rPr>
        <w:fldChar w:fldCharType="end"/>
      </w:r>
      <w:r>
        <w:t xml:space="preserve"> and in Commissioner Witmer’s Motion in PECO.</w:t>
      </w:r>
      <w:r>
        <w:rPr>
          <w:rStyle w:val="FootnoteReference"/>
        </w:rPr>
        <w:footnoteReference w:id="23"/>
      </w:r>
      <w:r>
        <w:t xml:space="preserve">  Importantly, in PECO, the Commission adopted Dominion and IGS’s position that quarterly reconciliation is appropriate (PECO had proposed annual reconciliation) and that the goal of smoother default service rates should not trump market reflectiveness.  That view is consistent with Mr. Barkas’ testimony in this case where he states: </w:t>
      </w:r>
    </w:p>
    <w:p w:rsidR="00466DFE" w:rsidRDefault="00466DFE" w:rsidP="001F1974">
      <w:pPr>
        <w:spacing w:line="240" w:lineRule="auto"/>
        <w:ind w:left="1440" w:right="1440" w:firstLine="720"/>
        <w:jc w:val="left"/>
      </w:pPr>
    </w:p>
    <w:p w:rsidR="00976F7A" w:rsidRDefault="00976F7A" w:rsidP="001F1974">
      <w:pPr>
        <w:spacing w:line="240" w:lineRule="auto"/>
        <w:ind w:left="2160" w:right="1440"/>
        <w:jc w:val="left"/>
      </w:pPr>
      <w:r>
        <w:t xml:space="preserve">Under the circumstances, I still believe that the quarterly reconciliation process is superior and should continue to be used.  The purpose of the quarterly reconciliation is to pass on market price influences to customers through a changing PTC.  While it is likely that PPL’s new procurement plan may reduce some volatility due to the elimination of block and spot purchases, the wholesale prices for the full requirements products will continue to move up or down in step with the market prices at the time of the solicitations.  By switching to a six (6) month reconciliation using a twelve (12) month rolling average, any of these market price influences will almost totally be eliminated.  That is, the market tracking effect of having nine (9) and twelve (12) month procurements spread over four procurements during the default service period will largely be absorbed by the twelve (12) month rolling average reconciliation coupled with only two (2) price changes per year, thus eliminating the potential market responsiveness of the PTC.  Under PPL’s proposal there could be entire six (6) month periods where actual market prices increase significantly but the PTC changes so slowly, if at all, so that some </w:t>
      </w:r>
      <w:r>
        <w:lastRenderedPageBreak/>
        <w:t>suppliers may be unable to make competitive offers to customers.  We find this possible result to be unacceptable.  We would prefer to continue the quarterly reconciliation.</w:t>
      </w:r>
    </w:p>
    <w:p w:rsidR="00976F7A" w:rsidRDefault="00976F7A" w:rsidP="001F1974">
      <w:pPr>
        <w:spacing w:line="240" w:lineRule="auto"/>
        <w:ind w:left="2160" w:right="1440"/>
        <w:jc w:val="left"/>
      </w:pPr>
      <w:r>
        <w:t xml:space="preserve">  </w:t>
      </w:r>
    </w:p>
    <w:p w:rsidR="00976F7A" w:rsidRPr="00DF7245" w:rsidRDefault="00976F7A" w:rsidP="001F1974">
      <w:pPr>
        <w:spacing w:line="240" w:lineRule="auto"/>
        <w:ind w:left="1440" w:right="1440"/>
        <w:jc w:val="left"/>
      </w:pPr>
      <w:proofErr w:type="gramStart"/>
      <w:r>
        <w:t>(Dominion/IGS St. No. 1, p. 4:17-5:13).</w:t>
      </w:r>
      <w:proofErr w:type="gramEnd"/>
      <w:r>
        <w:t xml:space="preserve">  What is clear is that the longer the time period over which rates are reconciled, the smoother those rates are likely to become.  While this smoothing may seem important in response to PPL’s historic inability to reconcile, from an accounting perspective, in a manner that did not inject artificial volatility into the E-Factor, the Commission has initiated a separate process that appears poised to address those issues.</w:t>
      </w:r>
      <w:r>
        <w:rPr>
          <w:rStyle w:val="FootnoteReference"/>
        </w:rPr>
        <w:footnoteReference w:id="24"/>
      </w:r>
      <w:r>
        <w:t xml:space="preserve">  There is little room to dispute the idea that absent accounting volatility, shorter term reconciliation produces more market reflective rates, better price signals to customers, and a better basis for rate comparisons with competitive offers.  The Commission appears to have recognized these facts.  PPL’s reconciliation proposal should be rejected in favor of its current quarterly methodology. </w:t>
      </w:r>
    </w:p>
    <w:p w:rsidR="00976F7A" w:rsidRDefault="00976F7A" w:rsidP="00855F83">
      <w:pPr>
        <w:pStyle w:val="BodyText2"/>
        <w:spacing w:after="0" w:line="240" w:lineRule="auto"/>
        <w:jc w:val="left"/>
      </w:pPr>
      <w:r>
        <w:t>D</w:t>
      </w:r>
      <w:r w:rsidR="00393C77">
        <w:t>R</w:t>
      </w:r>
      <w:r>
        <w:t>/IGS MB at 13.</w:t>
      </w:r>
    </w:p>
    <w:p w:rsidR="00855F83" w:rsidRDefault="00855F83" w:rsidP="00855F83">
      <w:pPr>
        <w:pStyle w:val="BodyText2"/>
        <w:spacing w:after="0" w:line="360" w:lineRule="auto"/>
        <w:jc w:val="left"/>
      </w:pPr>
    </w:p>
    <w:p w:rsidR="00976F7A" w:rsidRDefault="007A0956" w:rsidP="00855F83">
      <w:pPr>
        <w:ind w:firstLine="720"/>
        <w:contextualSpacing/>
        <w:jc w:val="left"/>
      </w:pPr>
      <w:r>
        <w:tab/>
        <w:t>D</w:t>
      </w:r>
      <w:r w:rsidR="00393C77">
        <w:t>R</w:t>
      </w:r>
      <w:r>
        <w:t>/IGS explains in its Reply Brief that</w:t>
      </w:r>
      <w:r w:rsidR="00976F7A">
        <w:t>, at the end of each quarter</w:t>
      </w:r>
      <w:r>
        <w:t>, PPL Electric</w:t>
      </w:r>
      <w:r w:rsidR="00976F7A">
        <w:t xml:space="preserve"> calculates the over or under collection amount and then calculates the per kWh rate (the </w:t>
      </w:r>
      <w:r w:rsidR="00976F7A" w:rsidRPr="00022FDE">
        <w:t>e</w:t>
      </w:r>
      <w:r w:rsidR="00976F7A">
        <w:t>-factor) that will recover that over or under collection balance over the succeeding quarter</w:t>
      </w:r>
      <w:r>
        <w:t xml:space="preserve">, </w:t>
      </w:r>
      <w:r w:rsidR="00976F7A">
        <w:t xml:space="preserve">with a one quarter lag.  This recovers default service costs within a fairly close time period to when they were incurred.  </w:t>
      </w:r>
      <w:r>
        <w:t>D</w:t>
      </w:r>
      <w:r w:rsidR="00393C77">
        <w:t>R</w:t>
      </w:r>
      <w:r>
        <w:t>/IGS points out that t</w:t>
      </w:r>
      <w:r w:rsidR="00976F7A">
        <w:t>he proposal would push recovery of costs out to well over a year in most cases.  This lag is simply too long to allow prices to be even close to market reflective, even with one (1) year products.  The Commission has</w:t>
      </w:r>
      <w:r>
        <w:t xml:space="preserve"> </w:t>
      </w:r>
      <w:r w:rsidR="00976F7A">
        <w:t>required quarterly reconciliation</w:t>
      </w:r>
      <w:r w:rsidR="00976F7A">
        <w:rPr>
          <w:rStyle w:val="FootnoteReference"/>
        </w:rPr>
        <w:footnoteReference w:id="25"/>
      </w:r>
      <w:r w:rsidR="00976F7A">
        <w:t xml:space="preserve"> </w:t>
      </w:r>
      <w:r w:rsidR="00934109">
        <w:t xml:space="preserve">in </w:t>
      </w:r>
      <w:r>
        <w:t xml:space="preserve">both the </w:t>
      </w:r>
      <w:r w:rsidRPr="00E02490">
        <w:rPr>
          <w:i/>
        </w:rPr>
        <w:t>FE Order</w:t>
      </w:r>
      <w:r>
        <w:rPr>
          <w:i/>
        </w:rPr>
        <w:fldChar w:fldCharType="begin"/>
      </w:r>
      <w:r>
        <w:rPr>
          <w:i/>
        </w:rPr>
        <w:instrText xml:space="preserve"> TA \s "FE Order" </w:instrText>
      </w:r>
      <w:r>
        <w:rPr>
          <w:i/>
        </w:rPr>
        <w:fldChar w:fldCharType="end"/>
      </w:r>
      <w:r>
        <w:t xml:space="preserve"> and </w:t>
      </w:r>
      <w:r w:rsidRPr="00E02490">
        <w:rPr>
          <w:i/>
        </w:rPr>
        <w:t>PECO Order</w:t>
      </w:r>
      <w:r>
        <w:rPr>
          <w:i/>
        </w:rPr>
        <w:fldChar w:fldCharType="begin"/>
      </w:r>
      <w:r>
        <w:rPr>
          <w:i/>
        </w:rPr>
        <w:instrText xml:space="preserve"> TA \s "PECO Order" </w:instrText>
      </w:r>
      <w:r>
        <w:rPr>
          <w:i/>
        </w:rPr>
        <w:fldChar w:fldCharType="end"/>
      </w:r>
      <w:r w:rsidR="00976F7A">
        <w:t xml:space="preserve">.  In the </w:t>
      </w:r>
      <w:r w:rsidR="00976F7A" w:rsidRPr="00022FDE">
        <w:rPr>
          <w:i/>
        </w:rPr>
        <w:t>PECO Order</w:t>
      </w:r>
      <w:r w:rsidR="00976F7A">
        <w:t>, the Commission adopted Dominion/IGS’s position in rejecting attempts to elongate or smooth out reconciliation, stating:</w:t>
      </w:r>
    </w:p>
    <w:p w:rsidR="00466DFE" w:rsidRDefault="00466DFE" w:rsidP="001F1974">
      <w:pPr>
        <w:ind w:firstLine="720"/>
        <w:contextualSpacing/>
        <w:jc w:val="left"/>
      </w:pPr>
    </w:p>
    <w:p w:rsidR="00976F7A" w:rsidRDefault="00976F7A" w:rsidP="00413D74">
      <w:pPr>
        <w:spacing w:line="240" w:lineRule="auto"/>
        <w:ind w:left="1440" w:right="1440"/>
        <w:jc w:val="left"/>
      </w:pPr>
      <w:r w:rsidRPr="003E5C8D">
        <w:t>On this issue we shall adopt the position of Dominion</w:t>
      </w:r>
      <w:r>
        <w:t xml:space="preserve"> and RESA, </w:t>
      </w:r>
      <w:r w:rsidRPr="003E5C8D">
        <w:t>and direct that PECO continue its DSP I quarterly reconciliation methodology for its default service rates during the term of DSP II.  We agree with Dominion that it is not clear how a smoothed out PTC will create clear price signals</w:t>
      </w:r>
      <w:r>
        <w:t>,</w:t>
      </w:r>
      <w:r w:rsidRPr="003E5C8D">
        <w:t xml:space="preserve"> and that customers do not </w:t>
      </w:r>
      <w:r w:rsidRPr="003E5C8D">
        <w:lastRenderedPageBreak/>
        <w:t xml:space="preserve">benefit when they are sheltered </w:t>
      </w:r>
      <w:r>
        <w:t>from</w:t>
      </w:r>
      <w:r w:rsidRPr="003E5C8D">
        <w:t xml:space="preserve"> the market forces </w:t>
      </w:r>
      <w:r>
        <w:t>that</w:t>
      </w:r>
      <w:r w:rsidRPr="003E5C8D">
        <w:t xml:space="preserve"> are the basis of the prices they will eventually pay.</w:t>
      </w:r>
      <w:r>
        <w:t xml:space="preserve">  In addition, we agree with RESA on this issue that an annual reconciliation will separate the PTC from underlying wholesale costs thus masking the current cost of retail energy.</w:t>
      </w:r>
      <w:r>
        <w:rPr>
          <w:rStyle w:val="FootnoteReference"/>
        </w:rPr>
        <w:footnoteReference w:id="26"/>
      </w:r>
      <w:r w:rsidRPr="003E5C8D">
        <w:t xml:space="preserve">  </w:t>
      </w:r>
    </w:p>
    <w:p w:rsidR="00976F7A" w:rsidRDefault="00976F7A" w:rsidP="001F1974">
      <w:pPr>
        <w:pStyle w:val="BodyText2"/>
        <w:spacing w:after="0" w:line="240" w:lineRule="auto"/>
        <w:jc w:val="left"/>
      </w:pPr>
      <w:r>
        <w:t>D</w:t>
      </w:r>
      <w:r w:rsidR="00393C77">
        <w:t>R</w:t>
      </w:r>
      <w:r>
        <w:t>/IGS RB at 5-6.</w:t>
      </w:r>
    </w:p>
    <w:p w:rsidR="00BF7C41" w:rsidRDefault="00BF7C41" w:rsidP="001F1974">
      <w:pPr>
        <w:pStyle w:val="BodyText2"/>
        <w:spacing w:after="0" w:line="240" w:lineRule="auto"/>
        <w:jc w:val="left"/>
      </w:pPr>
    </w:p>
    <w:p w:rsidR="007A0956" w:rsidRDefault="007A0956" w:rsidP="001F1974">
      <w:pPr>
        <w:pStyle w:val="BodyText2"/>
        <w:spacing w:after="0" w:line="360" w:lineRule="auto"/>
        <w:contextualSpacing/>
        <w:jc w:val="left"/>
      </w:pPr>
      <w:r>
        <w:tab/>
      </w:r>
      <w:r w:rsidR="00813BEA">
        <w:tab/>
      </w:r>
      <w:r>
        <w:t>RESA argues that administrative mechanisms like reconciliations that are don</w:t>
      </w:r>
      <w:r w:rsidR="002066DF">
        <w:t>e</w:t>
      </w:r>
      <w:r>
        <w:t xml:space="preserve"> after the fact, </w:t>
      </w:r>
      <w:r>
        <w:rPr>
          <w:i/>
        </w:rPr>
        <w:t>regardless of frequency,</w:t>
      </w:r>
      <w:r>
        <w:t xml:space="preserve"> have the potential to impair development of a retail market that will deliver the best products and services to customers</w:t>
      </w:r>
      <w:r w:rsidR="002066DF">
        <w:t>:</w:t>
      </w:r>
    </w:p>
    <w:p w:rsidR="00466DFE" w:rsidRDefault="00466DFE" w:rsidP="001F1974">
      <w:pPr>
        <w:pStyle w:val="BodyText2"/>
        <w:spacing w:after="0" w:line="360" w:lineRule="auto"/>
        <w:contextualSpacing/>
        <w:jc w:val="left"/>
      </w:pPr>
    </w:p>
    <w:p w:rsidR="002066DF" w:rsidRDefault="002066DF" w:rsidP="001F1974">
      <w:pPr>
        <w:pStyle w:val="BodyText2"/>
        <w:spacing w:after="0" w:line="240" w:lineRule="auto"/>
        <w:ind w:left="1440" w:right="1440"/>
        <w:jc w:val="left"/>
      </w:pPr>
      <w:r>
        <w:t>In addition, by making the reconciliation adjustment period longer than the initial price application period where the over/under recovery occurred, PPL will be further divorcing the actual default service rates form actual underlying wholesale costs.  Default service rates need to reflect costs on a current basis to ensure that a functioning competitive retail market can develop and customers can benefit.  RESA respectfully submits that a semi-annual reconciliation will create a distorted pricing structure that will stymie continued competitive market development because competitive suppliers will be forced to compete against prices that do not accurately reflect market prices and costs.</w:t>
      </w:r>
    </w:p>
    <w:p w:rsidR="002066DF" w:rsidRDefault="002066DF" w:rsidP="00855F83">
      <w:pPr>
        <w:pStyle w:val="BodyText2"/>
        <w:spacing w:after="0" w:line="240" w:lineRule="auto"/>
        <w:jc w:val="left"/>
      </w:pPr>
      <w:r>
        <w:t>RESA MB at 41-42.</w:t>
      </w:r>
    </w:p>
    <w:p w:rsidR="00466DFE" w:rsidRDefault="00466DFE" w:rsidP="00855F83">
      <w:pPr>
        <w:pStyle w:val="BodyText2"/>
        <w:spacing w:after="0" w:line="360" w:lineRule="auto"/>
        <w:jc w:val="left"/>
      </w:pPr>
    </w:p>
    <w:p w:rsidR="002066DF" w:rsidRDefault="002066DF" w:rsidP="00855F83">
      <w:pPr>
        <w:pStyle w:val="BodyText2"/>
        <w:spacing w:after="0" w:line="360" w:lineRule="auto"/>
        <w:contextualSpacing/>
        <w:jc w:val="left"/>
      </w:pPr>
      <w:r>
        <w:tab/>
      </w:r>
      <w:r>
        <w:tab/>
        <w:t>It appears that the shortened reconciliation time has actually created a PTC that is more volatile and higher than it needs to be, and that the EGSs would prefer that this situation remain rather than attempt a method which could result in accurate and fair prices for default customers.  The Company has experienced this volatility and is proposing a new method in an attempt to address the problem:</w:t>
      </w:r>
    </w:p>
    <w:p w:rsidR="00466DFE" w:rsidRDefault="00466DFE" w:rsidP="001F1974">
      <w:pPr>
        <w:pStyle w:val="BodyText2"/>
        <w:spacing w:after="0" w:line="360" w:lineRule="auto"/>
        <w:contextualSpacing/>
        <w:jc w:val="left"/>
      </w:pPr>
    </w:p>
    <w:p w:rsidR="00580B8E" w:rsidRDefault="00BF7C41" w:rsidP="001F1974">
      <w:pPr>
        <w:pStyle w:val="BodyText2"/>
        <w:spacing w:after="0" w:line="240" w:lineRule="auto"/>
        <w:ind w:left="1440" w:right="1440"/>
        <w:jc w:val="left"/>
      </w:pPr>
      <w:r>
        <w:tab/>
      </w:r>
      <w:r w:rsidR="00580B8E">
        <w:t xml:space="preserve">E-Factors in general, and quarterly recomputed E-factors in particular, by definition do not insure that default service rates reflect current market prices.  The Section 1307(e) reconciliation process is a comparison of actual prior period billed revenue under the GSC-1 to actual prior period default service costs incurred to provide service under the GSC-1.  Thus, the resulting recoupment charge or refund credit has nothing to do with, and is therefore not reflective of, prospective market prices.  </w:t>
      </w:r>
      <w:proofErr w:type="gramStart"/>
      <w:r w:rsidR="00580B8E">
        <w:t>(PPL Electric St. 5-R, p.</w:t>
      </w:r>
      <w:r w:rsidR="00855F83">
        <w:t> </w:t>
      </w:r>
      <w:r w:rsidR="00580B8E">
        <w:t>6).</w:t>
      </w:r>
      <w:proofErr w:type="gramEnd"/>
      <w:r w:rsidR="00580B8E">
        <w:t xml:space="preserve">  </w:t>
      </w:r>
    </w:p>
    <w:p w:rsidR="00466DFE" w:rsidRDefault="00466DFE" w:rsidP="001F1974">
      <w:pPr>
        <w:pStyle w:val="BodyText2"/>
        <w:spacing w:after="0" w:line="240" w:lineRule="auto"/>
        <w:ind w:left="1440" w:right="1440"/>
        <w:jc w:val="left"/>
      </w:pPr>
    </w:p>
    <w:p w:rsidR="00580B8E" w:rsidRDefault="00BF7C41" w:rsidP="001F1974">
      <w:pPr>
        <w:pStyle w:val="BodyText2"/>
        <w:spacing w:after="0" w:line="240" w:lineRule="auto"/>
        <w:ind w:left="1440" w:right="1440"/>
        <w:jc w:val="left"/>
      </w:pPr>
      <w:r>
        <w:tab/>
      </w:r>
      <w:r w:rsidR="00580B8E">
        <w:t xml:space="preserve">PPL Electric believes that large swings in over/under collections can distort, and have distorted, the PTC.  As RESA’s own witness, Ms. Williams, acknowledged, to the extent a customer considers default service prices to be a relevant factor in deciding whether to shop, a large refund or a large recoupment factor in the E-factor could influence that customer’s decision to shop.  </w:t>
      </w:r>
      <w:proofErr w:type="gramStart"/>
      <w:r w:rsidR="00580B8E">
        <w:t>(Tr. 211).</w:t>
      </w:r>
      <w:proofErr w:type="gramEnd"/>
      <w:r w:rsidR="00580B8E">
        <w:t xml:space="preserve">  Evidence of this effect can be seen from the table presented on page 4 of OSBA Statement No. 1, where shopping load moves in relation to whether there is a positive E-factor that increase the GSC rate or a negative E-factor that reduces the GSC rate.  As explained by PPL Electric’s witness Kleha, use of a short-term quarterly reconciliation process contributes to these E-factor variances because, due to the limited period of time for refund or recoupment of over or under collections, the quarterly reconciliation process exacerbates any misforecast of revenues and costs.  Such misforecasts occur because of reduced revenues resulting from customer migration, misprojection of the cost of spot market purchases, misprojections of the portion of default service load being provided by block and full requirements contracts due to changes in customer load, and any deviation of customer monthly usage caused by periods of extreme weather conditions.  </w:t>
      </w:r>
      <w:proofErr w:type="gramStart"/>
      <w:r w:rsidR="00580B8E">
        <w:t>(PPL Electric St. 5-R, p. 7).</w:t>
      </w:r>
      <w:proofErr w:type="gramEnd"/>
      <w:r w:rsidR="00580B8E">
        <w:t xml:space="preserve">  </w:t>
      </w:r>
    </w:p>
    <w:p w:rsidR="00466DFE" w:rsidRDefault="00466DFE" w:rsidP="001F1974">
      <w:pPr>
        <w:pStyle w:val="BodyText2"/>
        <w:spacing w:after="0" w:line="240" w:lineRule="auto"/>
        <w:ind w:left="1440" w:right="1440"/>
        <w:jc w:val="left"/>
      </w:pPr>
    </w:p>
    <w:p w:rsidR="00580B8E" w:rsidRDefault="00BF7C41" w:rsidP="001F1974">
      <w:pPr>
        <w:pStyle w:val="BodyText2"/>
        <w:spacing w:after="0" w:line="240" w:lineRule="auto"/>
        <w:ind w:left="1440" w:right="1440"/>
        <w:jc w:val="left"/>
      </w:pPr>
      <w:r>
        <w:tab/>
      </w:r>
      <w:r w:rsidR="00580B8E">
        <w:t xml:space="preserve">A rolling 12-month average reconciliation methodology will smooth E-Factor rate adjustments and allow C-factor rate adjustments, which reflect the changes in market prices resulting from default service procurements, to more accurately reflect default service rates over time.  The smoothing effects of PPL Electric’s proposal are demonstrated on PPL Electric Exs. </w:t>
      </w:r>
      <w:proofErr w:type="gramStart"/>
      <w:r w:rsidR="00580B8E">
        <w:t>JMK-5 and JMK-6.</w:t>
      </w:r>
      <w:proofErr w:type="gramEnd"/>
      <w:r w:rsidR="00580B8E">
        <w:t xml:space="preserve">  On these exhibits, the Company has shown the actual effects of E-Factor swings, and re-cast the E-factor changes from June 2011 through August 2012 using its proposed 12-month rolling average reconciliation process.  The differences are shown in the tables below:</w:t>
      </w:r>
    </w:p>
    <w:p w:rsidR="00466DFE" w:rsidRDefault="00466DFE" w:rsidP="001F1974">
      <w:pPr>
        <w:pStyle w:val="BodyText2"/>
        <w:spacing w:after="0" w:line="240" w:lineRule="auto"/>
        <w:ind w:left="1440" w:right="1440"/>
        <w:jc w:val="left"/>
      </w:pPr>
    </w:p>
    <w:tbl>
      <w:tblPr>
        <w:tblStyle w:val="TableGrid"/>
        <w:tblW w:w="9636" w:type="dxa"/>
        <w:tblLook w:val="01E0" w:firstRow="1" w:lastRow="1" w:firstColumn="1" w:lastColumn="1" w:noHBand="0" w:noVBand="0"/>
      </w:tblPr>
      <w:tblGrid>
        <w:gridCol w:w="1191"/>
        <w:gridCol w:w="1735"/>
        <w:gridCol w:w="1596"/>
        <w:gridCol w:w="1686"/>
        <w:gridCol w:w="1832"/>
        <w:gridCol w:w="1596"/>
      </w:tblGrid>
      <w:tr w:rsidR="00580B8E" w:rsidTr="00CC30DC">
        <w:tc>
          <w:tcPr>
            <w:tcW w:w="9636" w:type="dxa"/>
            <w:gridSpan w:val="6"/>
          </w:tcPr>
          <w:p w:rsidR="00580B8E" w:rsidRDefault="00580B8E" w:rsidP="001F1974">
            <w:pPr>
              <w:pStyle w:val="BodyText2"/>
              <w:spacing w:after="0" w:line="240" w:lineRule="auto"/>
              <w:jc w:val="center"/>
              <w:rPr>
                <w:b/>
              </w:rPr>
            </w:pPr>
            <w:r>
              <w:rPr>
                <w:b/>
              </w:rPr>
              <w:t>Residential Customer Class – Actual Rates</w:t>
            </w:r>
          </w:p>
        </w:tc>
      </w:tr>
      <w:tr w:rsidR="00580B8E" w:rsidTr="00CC30DC">
        <w:tc>
          <w:tcPr>
            <w:tcW w:w="1191" w:type="dxa"/>
          </w:tcPr>
          <w:p w:rsidR="00580B8E" w:rsidRDefault="00580B8E" w:rsidP="001F1974">
            <w:pPr>
              <w:pStyle w:val="BodyText2"/>
              <w:spacing w:after="0" w:line="240" w:lineRule="auto"/>
              <w:jc w:val="center"/>
              <w:rPr>
                <w:sz w:val="22"/>
                <w:szCs w:val="22"/>
              </w:rPr>
            </w:pPr>
            <w:r>
              <w:rPr>
                <w:sz w:val="22"/>
                <w:szCs w:val="22"/>
              </w:rPr>
              <w:t>Quarterly Periods</w:t>
            </w:r>
          </w:p>
        </w:tc>
        <w:tc>
          <w:tcPr>
            <w:tcW w:w="1735" w:type="dxa"/>
          </w:tcPr>
          <w:p w:rsidR="00580B8E" w:rsidRDefault="00580B8E" w:rsidP="001F1974">
            <w:pPr>
              <w:pStyle w:val="BodyText2"/>
              <w:spacing w:after="0" w:line="240" w:lineRule="auto"/>
              <w:jc w:val="center"/>
              <w:rPr>
                <w:sz w:val="22"/>
                <w:szCs w:val="22"/>
              </w:rPr>
            </w:pPr>
            <w:r>
              <w:rPr>
                <w:sz w:val="22"/>
                <w:szCs w:val="22"/>
              </w:rPr>
              <w:t xml:space="preserve">June 1, 2011 – </w:t>
            </w:r>
            <w:r>
              <w:rPr>
                <w:sz w:val="22"/>
                <w:szCs w:val="22"/>
              </w:rPr>
              <w:br/>
              <w:t>August 31, 2011</w:t>
            </w:r>
          </w:p>
        </w:tc>
        <w:tc>
          <w:tcPr>
            <w:tcW w:w="1596" w:type="dxa"/>
          </w:tcPr>
          <w:p w:rsidR="00580B8E" w:rsidRDefault="00580B8E" w:rsidP="001F1974">
            <w:pPr>
              <w:pStyle w:val="BodyText2"/>
              <w:spacing w:after="0" w:line="240" w:lineRule="auto"/>
              <w:jc w:val="center"/>
              <w:rPr>
                <w:sz w:val="22"/>
                <w:szCs w:val="22"/>
              </w:rPr>
            </w:pPr>
            <w:r>
              <w:rPr>
                <w:sz w:val="22"/>
                <w:szCs w:val="22"/>
              </w:rPr>
              <w:t>Sept. 1, 2011 – Nov. 30, 2011</w:t>
            </w:r>
          </w:p>
        </w:tc>
        <w:tc>
          <w:tcPr>
            <w:tcW w:w="1686" w:type="dxa"/>
          </w:tcPr>
          <w:p w:rsidR="00580B8E" w:rsidRDefault="00580B8E" w:rsidP="001F1974">
            <w:pPr>
              <w:pStyle w:val="BodyText2"/>
              <w:spacing w:after="0" w:line="240" w:lineRule="auto"/>
              <w:jc w:val="center"/>
              <w:rPr>
                <w:sz w:val="22"/>
                <w:szCs w:val="22"/>
              </w:rPr>
            </w:pPr>
            <w:r>
              <w:rPr>
                <w:sz w:val="22"/>
                <w:szCs w:val="22"/>
              </w:rPr>
              <w:t>Dec. 1, 2011 –</w:t>
            </w:r>
            <w:r>
              <w:rPr>
                <w:sz w:val="22"/>
                <w:szCs w:val="22"/>
              </w:rPr>
              <w:br/>
              <w:t>Feb. 29, 2012</w:t>
            </w:r>
          </w:p>
        </w:tc>
        <w:tc>
          <w:tcPr>
            <w:tcW w:w="1832" w:type="dxa"/>
          </w:tcPr>
          <w:p w:rsidR="00580B8E" w:rsidRDefault="00580B8E" w:rsidP="001F1974">
            <w:pPr>
              <w:pStyle w:val="BodyText2"/>
              <w:spacing w:after="0" w:line="240" w:lineRule="auto"/>
              <w:jc w:val="center"/>
              <w:rPr>
                <w:sz w:val="22"/>
                <w:szCs w:val="22"/>
              </w:rPr>
            </w:pPr>
            <w:r>
              <w:rPr>
                <w:sz w:val="22"/>
                <w:szCs w:val="22"/>
              </w:rPr>
              <w:t>March 1, 2012 – May 31, 2012</w:t>
            </w:r>
          </w:p>
        </w:tc>
        <w:tc>
          <w:tcPr>
            <w:tcW w:w="1596" w:type="dxa"/>
          </w:tcPr>
          <w:p w:rsidR="00580B8E" w:rsidRDefault="00580B8E" w:rsidP="001F1974">
            <w:pPr>
              <w:pStyle w:val="BodyText2"/>
              <w:spacing w:after="0" w:line="240" w:lineRule="auto"/>
              <w:jc w:val="center"/>
              <w:rPr>
                <w:sz w:val="22"/>
                <w:szCs w:val="22"/>
              </w:rPr>
            </w:pPr>
            <w:r>
              <w:rPr>
                <w:sz w:val="22"/>
                <w:szCs w:val="22"/>
              </w:rPr>
              <w:t>June 1, 2012 –</w:t>
            </w:r>
            <w:r>
              <w:rPr>
                <w:sz w:val="22"/>
                <w:szCs w:val="22"/>
              </w:rPr>
              <w:br/>
              <w:t>Aug. 31, 2012</w:t>
            </w:r>
          </w:p>
        </w:tc>
      </w:tr>
      <w:tr w:rsidR="00580B8E" w:rsidTr="00CC30DC">
        <w:tc>
          <w:tcPr>
            <w:tcW w:w="1191" w:type="dxa"/>
          </w:tcPr>
          <w:p w:rsidR="00580B8E" w:rsidRDefault="00580B8E" w:rsidP="001F1974">
            <w:pPr>
              <w:pStyle w:val="BodyText2"/>
              <w:spacing w:after="0" w:line="240" w:lineRule="auto"/>
              <w:jc w:val="center"/>
            </w:pPr>
            <w:r>
              <w:t>E-Factor Rate</w:t>
            </w:r>
          </w:p>
        </w:tc>
        <w:tc>
          <w:tcPr>
            <w:tcW w:w="1735" w:type="dxa"/>
          </w:tcPr>
          <w:p w:rsidR="00580B8E" w:rsidRDefault="00580B8E" w:rsidP="001F1974">
            <w:pPr>
              <w:pStyle w:val="BodyText2"/>
              <w:spacing w:after="0" w:line="240" w:lineRule="auto"/>
              <w:jc w:val="center"/>
            </w:pPr>
            <w:r>
              <w:t>0.141</w:t>
            </w:r>
          </w:p>
        </w:tc>
        <w:tc>
          <w:tcPr>
            <w:tcW w:w="1596" w:type="dxa"/>
          </w:tcPr>
          <w:p w:rsidR="00580B8E" w:rsidRDefault="00580B8E" w:rsidP="001F1974">
            <w:pPr>
              <w:pStyle w:val="BodyText2"/>
              <w:spacing w:after="0" w:line="240" w:lineRule="auto"/>
              <w:jc w:val="center"/>
            </w:pPr>
            <w:r>
              <w:t>0.683</w:t>
            </w:r>
          </w:p>
        </w:tc>
        <w:tc>
          <w:tcPr>
            <w:tcW w:w="1686" w:type="dxa"/>
          </w:tcPr>
          <w:p w:rsidR="00580B8E" w:rsidRDefault="00580B8E" w:rsidP="001F1974">
            <w:pPr>
              <w:pStyle w:val="BodyText2"/>
              <w:spacing w:after="0" w:line="240" w:lineRule="auto"/>
              <w:jc w:val="center"/>
            </w:pPr>
            <w:r>
              <w:t>(0.363)</w:t>
            </w:r>
          </w:p>
        </w:tc>
        <w:tc>
          <w:tcPr>
            <w:tcW w:w="1832" w:type="dxa"/>
          </w:tcPr>
          <w:p w:rsidR="00580B8E" w:rsidRDefault="00580B8E" w:rsidP="001F1974">
            <w:pPr>
              <w:pStyle w:val="BodyText2"/>
              <w:spacing w:after="0" w:line="240" w:lineRule="auto"/>
              <w:jc w:val="center"/>
            </w:pPr>
            <w:r>
              <w:t>(0.077)</w:t>
            </w:r>
          </w:p>
        </w:tc>
        <w:tc>
          <w:tcPr>
            <w:tcW w:w="1596" w:type="dxa"/>
          </w:tcPr>
          <w:p w:rsidR="00580B8E" w:rsidRDefault="00580B8E" w:rsidP="001F1974">
            <w:pPr>
              <w:pStyle w:val="BodyText2"/>
              <w:spacing w:after="0" w:line="240" w:lineRule="auto"/>
              <w:jc w:val="center"/>
            </w:pPr>
            <w:r>
              <w:t>(0.096)</w:t>
            </w:r>
          </w:p>
        </w:tc>
      </w:tr>
      <w:tr w:rsidR="00580B8E" w:rsidTr="00CC30DC">
        <w:tc>
          <w:tcPr>
            <w:tcW w:w="1191" w:type="dxa"/>
          </w:tcPr>
          <w:p w:rsidR="00580B8E" w:rsidRDefault="00580B8E" w:rsidP="001F1974">
            <w:pPr>
              <w:pStyle w:val="BodyText2"/>
              <w:spacing w:after="0" w:line="240" w:lineRule="auto"/>
              <w:jc w:val="center"/>
            </w:pPr>
            <w:r>
              <w:t>Total Rate</w:t>
            </w:r>
          </w:p>
        </w:tc>
        <w:tc>
          <w:tcPr>
            <w:tcW w:w="1735" w:type="dxa"/>
          </w:tcPr>
          <w:p w:rsidR="00580B8E" w:rsidRDefault="00580B8E" w:rsidP="001F1974">
            <w:pPr>
              <w:pStyle w:val="BodyText2"/>
              <w:spacing w:after="0" w:line="240" w:lineRule="auto"/>
              <w:jc w:val="center"/>
            </w:pPr>
            <w:r>
              <w:t>8.047</w:t>
            </w:r>
          </w:p>
        </w:tc>
        <w:tc>
          <w:tcPr>
            <w:tcW w:w="1596" w:type="dxa"/>
          </w:tcPr>
          <w:p w:rsidR="00580B8E" w:rsidRDefault="00580B8E" w:rsidP="001F1974">
            <w:pPr>
              <w:pStyle w:val="BodyText2"/>
              <w:spacing w:after="0" w:line="240" w:lineRule="auto"/>
              <w:jc w:val="center"/>
            </w:pPr>
            <w:r>
              <w:t>7.683</w:t>
            </w:r>
          </w:p>
        </w:tc>
        <w:tc>
          <w:tcPr>
            <w:tcW w:w="1686" w:type="dxa"/>
          </w:tcPr>
          <w:p w:rsidR="00580B8E" w:rsidRDefault="00580B8E" w:rsidP="001F1974">
            <w:pPr>
              <w:pStyle w:val="BodyText2"/>
              <w:spacing w:after="0" w:line="240" w:lineRule="auto"/>
              <w:jc w:val="center"/>
            </w:pPr>
            <w:r>
              <w:t>7.039</w:t>
            </w:r>
          </w:p>
        </w:tc>
        <w:tc>
          <w:tcPr>
            <w:tcW w:w="1832" w:type="dxa"/>
          </w:tcPr>
          <w:p w:rsidR="00580B8E" w:rsidRDefault="00580B8E" w:rsidP="001F1974">
            <w:pPr>
              <w:pStyle w:val="BodyText2"/>
              <w:spacing w:after="0" w:line="240" w:lineRule="auto"/>
              <w:jc w:val="center"/>
            </w:pPr>
            <w:r>
              <w:t>6.203</w:t>
            </w:r>
          </w:p>
        </w:tc>
        <w:tc>
          <w:tcPr>
            <w:tcW w:w="1596" w:type="dxa"/>
          </w:tcPr>
          <w:p w:rsidR="00580B8E" w:rsidRDefault="00580B8E" w:rsidP="001F1974">
            <w:pPr>
              <w:pStyle w:val="BodyText2"/>
              <w:spacing w:after="0" w:line="240" w:lineRule="auto"/>
              <w:jc w:val="center"/>
            </w:pPr>
            <w:r>
              <w:t>7.329</w:t>
            </w:r>
          </w:p>
        </w:tc>
      </w:tr>
    </w:tbl>
    <w:p w:rsidR="00FF18D0" w:rsidRDefault="00FF18D0" w:rsidP="00466DFE">
      <w:pPr>
        <w:pStyle w:val="BodyText2"/>
        <w:spacing w:after="0"/>
        <w:jc w:val="both"/>
      </w:pPr>
      <w:r>
        <w:br w:type="page"/>
      </w:r>
    </w:p>
    <w:p w:rsidR="00580B8E" w:rsidRDefault="00580B8E" w:rsidP="00466DFE">
      <w:pPr>
        <w:pStyle w:val="BodyText2"/>
        <w:spacing w:after="0"/>
        <w:jc w:val="both"/>
      </w:pPr>
    </w:p>
    <w:tbl>
      <w:tblPr>
        <w:tblStyle w:val="TableGrid"/>
        <w:tblW w:w="9636" w:type="dxa"/>
        <w:tblLook w:val="01E0" w:firstRow="1" w:lastRow="1" w:firstColumn="1" w:lastColumn="1" w:noHBand="0" w:noVBand="0"/>
      </w:tblPr>
      <w:tblGrid>
        <w:gridCol w:w="1191"/>
        <w:gridCol w:w="1735"/>
        <w:gridCol w:w="1596"/>
        <w:gridCol w:w="1686"/>
        <w:gridCol w:w="1832"/>
        <w:gridCol w:w="1596"/>
      </w:tblGrid>
      <w:tr w:rsidR="00580B8E" w:rsidTr="00CC30DC">
        <w:tc>
          <w:tcPr>
            <w:tcW w:w="9636" w:type="dxa"/>
            <w:gridSpan w:val="6"/>
          </w:tcPr>
          <w:p w:rsidR="00580B8E" w:rsidRDefault="00580B8E" w:rsidP="001F1974">
            <w:pPr>
              <w:pStyle w:val="BodyText2"/>
              <w:spacing w:after="0" w:line="240" w:lineRule="auto"/>
              <w:jc w:val="center"/>
              <w:rPr>
                <w:b/>
              </w:rPr>
            </w:pPr>
            <w:r>
              <w:rPr>
                <w:b/>
              </w:rPr>
              <w:t>Residential Customer Class – Recast Rates</w:t>
            </w:r>
          </w:p>
        </w:tc>
      </w:tr>
      <w:tr w:rsidR="00580B8E" w:rsidTr="00CC30DC">
        <w:tc>
          <w:tcPr>
            <w:tcW w:w="1191" w:type="dxa"/>
          </w:tcPr>
          <w:p w:rsidR="00580B8E" w:rsidRDefault="00580B8E" w:rsidP="001F1974">
            <w:pPr>
              <w:pStyle w:val="BodyText2"/>
              <w:spacing w:after="0" w:line="240" w:lineRule="auto"/>
              <w:jc w:val="center"/>
              <w:rPr>
                <w:sz w:val="22"/>
                <w:szCs w:val="22"/>
              </w:rPr>
            </w:pPr>
            <w:r>
              <w:rPr>
                <w:sz w:val="22"/>
                <w:szCs w:val="22"/>
              </w:rPr>
              <w:t>Quarterly Periods</w:t>
            </w:r>
          </w:p>
        </w:tc>
        <w:tc>
          <w:tcPr>
            <w:tcW w:w="1735" w:type="dxa"/>
          </w:tcPr>
          <w:p w:rsidR="00580B8E" w:rsidRDefault="00580B8E" w:rsidP="001F1974">
            <w:pPr>
              <w:pStyle w:val="BodyText2"/>
              <w:spacing w:after="0" w:line="240" w:lineRule="auto"/>
              <w:jc w:val="center"/>
              <w:rPr>
                <w:sz w:val="22"/>
                <w:szCs w:val="22"/>
              </w:rPr>
            </w:pPr>
            <w:r>
              <w:rPr>
                <w:sz w:val="22"/>
                <w:szCs w:val="22"/>
              </w:rPr>
              <w:t xml:space="preserve">June 1, 2011 – </w:t>
            </w:r>
            <w:r>
              <w:rPr>
                <w:sz w:val="22"/>
                <w:szCs w:val="22"/>
              </w:rPr>
              <w:br/>
              <w:t>August 31, 2011</w:t>
            </w:r>
          </w:p>
        </w:tc>
        <w:tc>
          <w:tcPr>
            <w:tcW w:w="1596" w:type="dxa"/>
          </w:tcPr>
          <w:p w:rsidR="00580B8E" w:rsidRDefault="00580B8E" w:rsidP="001F1974">
            <w:pPr>
              <w:pStyle w:val="BodyText2"/>
              <w:spacing w:after="0" w:line="240" w:lineRule="auto"/>
              <w:jc w:val="center"/>
              <w:rPr>
                <w:sz w:val="22"/>
                <w:szCs w:val="22"/>
              </w:rPr>
            </w:pPr>
            <w:r>
              <w:rPr>
                <w:sz w:val="22"/>
                <w:szCs w:val="22"/>
              </w:rPr>
              <w:t>Sept. 1, 2011 – Nov. 30, 2011</w:t>
            </w:r>
          </w:p>
        </w:tc>
        <w:tc>
          <w:tcPr>
            <w:tcW w:w="1686" w:type="dxa"/>
          </w:tcPr>
          <w:p w:rsidR="00580B8E" w:rsidRDefault="00580B8E" w:rsidP="001F1974">
            <w:pPr>
              <w:pStyle w:val="BodyText2"/>
              <w:spacing w:after="0" w:line="240" w:lineRule="auto"/>
              <w:jc w:val="center"/>
              <w:rPr>
                <w:sz w:val="22"/>
                <w:szCs w:val="22"/>
              </w:rPr>
            </w:pPr>
            <w:r>
              <w:rPr>
                <w:sz w:val="22"/>
                <w:szCs w:val="22"/>
              </w:rPr>
              <w:t>Dec. 1, 2011 –</w:t>
            </w:r>
            <w:r>
              <w:rPr>
                <w:sz w:val="22"/>
                <w:szCs w:val="22"/>
              </w:rPr>
              <w:br/>
              <w:t>Feb. 29, 2012</w:t>
            </w:r>
          </w:p>
        </w:tc>
        <w:tc>
          <w:tcPr>
            <w:tcW w:w="1832" w:type="dxa"/>
          </w:tcPr>
          <w:p w:rsidR="00580B8E" w:rsidRDefault="00580B8E" w:rsidP="001F1974">
            <w:pPr>
              <w:pStyle w:val="BodyText2"/>
              <w:spacing w:after="0" w:line="240" w:lineRule="auto"/>
              <w:jc w:val="center"/>
              <w:rPr>
                <w:sz w:val="22"/>
                <w:szCs w:val="22"/>
              </w:rPr>
            </w:pPr>
            <w:r>
              <w:rPr>
                <w:sz w:val="22"/>
                <w:szCs w:val="22"/>
              </w:rPr>
              <w:t>March 1, 2012 – May 31, 2012</w:t>
            </w:r>
          </w:p>
        </w:tc>
        <w:tc>
          <w:tcPr>
            <w:tcW w:w="1596" w:type="dxa"/>
          </w:tcPr>
          <w:p w:rsidR="00580B8E" w:rsidRDefault="00580B8E" w:rsidP="001F1974">
            <w:pPr>
              <w:pStyle w:val="BodyText2"/>
              <w:spacing w:after="0" w:line="240" w:lineRule="auto"/>
              <w:jc w:val="center"/>
              <w:rPr>
                <w:sz w:val="22"/>
                <w:szCs w:val="22"/>
              </w:rPr>
            </w:pPr>
            <w:r>
              <w:rPr>
                <w:sz w:val="22"/>
                <w:szCs w:val="22"/>
              </w:rPr>
              <w:t>June 1, 2012 –</w:t>
            </w:r>
            <w:r>
              <w:rPr>
                <w:sz w:val="22"/>
                <w:szCs w:val="22"/>
              </w:rPr>
              <w:br/>
              <w:t>Aug. 31, 2012</w:t>
            </w:r>
          </w:p>
        </w:tc>
      </w:tr>
      <w:tr w:rsidR="00580B8E" w:rsidTr="00CC30DC">
        <w:tc>
          <w:tcPr>
            <w:tcW w:w="1191" w:type="dxa"/>
          </w:tcPr>
          <w:p w:rsidR="00580B8E" w:rsidRDefault="00580B8E" w:rsidP="001F1974">
            <w:pPr>
              <w:pStyle w:val="BodyText2"/>
              <w:spacing w:after="0" w:line="240" w:lineRule="auto"/>
              <w:jc w:val="center"/>
            </w:pPr>
            <w:r>
              <w:t>E-Factor Rate</w:t>
            </w:r>
          </w:p>
        </w:tc>
        <w:tc>
          <w:tcPr>
            <w:tcW w:w="1735" w:type="dxa"/>
          </w:tcPr>
          <w:p w:rsidR="00580B8E" w:rsidRDefault="00580B8E" w:rsidP="001F1974">
            <w:pPr>
              <w:pStyle w:val="BodyText2"/>
              <w:spacing w:after="0" w:line="240" w:lineRule="auto"/>
              <w:jc w:val="center"/>
            </w:pPr>
            <w:r>
              <w:t>0.035</w:t>
            </w:r>
          </w:p>
        </w:tc>
        <w:tc>
          <w:tcPr>
            <w:tcW w:w="1596" w:type="dxa"/>
          </w:tcPr>
          <w:p w:rsidR="00580B8E" w:rsidRDefault="00580B8E" w:rsidP="001F1974">
            <w:pPr>
              <w:pStyle w:val="BodyText2"/>
              <w:spacing w:after="0" w:line="240" w:lineRule="auto"/>
              <w:jc w:val="center"/>
            </w:pPr>
            <w:r>
              <w:t>0.196</w:t>
            </w:r>
          </w:p>
        </w:tc>
        <w:tc>
          <w:tcPr>
            <w:tcW w:w="1686" w:type="dxa"/>
          </w:tcPr>
          <w:p w:rsidR="00580B8E" w:rsidRDefault="00580B8E" w:rsidP="001F1974">
            <w:pPr>
              <w:pStyle w:val="BodyText2"/>
              <w:spacing w:after="0" w:line="240" w:lineRule="auto"/>
              <w:jc w:val="center"/>
            </w:pPr>
            <w:r>
              <w:t>0.072</w:t>
            </w:r>
          </w:p>
        </w:tc>
        <w:tc>
          <w:tcPr>
            <w:tcW w:w="1832" w:type="dxa"/>
          </w:tcPr>
          <w:p w:rsidR="00580B8E" w:rsidRDefault="00580B8E" w:rsidP="001F1974">
            <w:pPr>
              <w:pStyle w:val="BodyText2"/>
              <w:spacing w:after="0" w:line="240" w:lineRule="auto"/>
              <w:jc w:val="center"/>
            </w:pPr>
            <w:r>
              <w:t>0.139</w:t>
            </w:r>
          </w:p>
        </w:tc>
        <w:tc>
          <w:tcPr>
            <w:tcW w:w="1596" w:type="dxa"/>
          </w:tcPr>
          <w:p w:rsidR="00580B8E" w:rsidRDefault="00580B8E" w:rsidP="001F1974">
            <w:pPr>
              <w:pStyle w:val="BodyText2"/>
              <w:spacing w:after="0" w:line="240" w:lineRule="auto"/>
              <w:jc w:val="center"/>
            </w:pPr>
            <w:r>
              <w:t>0.061</w:t>
            </w:r>
          </w:p>
        </w:tc>
      </w:tr>
      <w:tr w:rsidR="00580B8E" w:rsidTr="00CC30DC">
        <w:tc>
          <w:tcPr>
            <w:tcW w:w="1191" w:type="dxa"/>
          </w:tcPr>
          <w:p w:rsidR="00580B8E" w:rsidRDefault="00580B8E" w:rsidP="001F1974">
            <w:pPr>
              <w:pStyle w:val="BodyText2"/>
              <w:spacing w:after="0" w:line="240" w:lineRule="auto"/>
              <w:jc w:val="center"/>
            </w:pPr>
            <w:r>
              <w:t>Total Rate</w:t>
            </w:r>
          </w:p>
        </w:tc>
        <w:tc>
          <w:tcPr>
            <w:tcW w:w="1735" w:type="dxa"/>
          </w:tcPr>
          <w:p w:rsidR="00580B8E" w:rsidRDefault="00580B8E" w:rsidP="001F1974">
            <w:pPr>
              <w:pStyle w:val="BodyText2"/>
              <w:spacing w:after="0" w:line="240" w:lineRule="auto"/>
              <w:jc w:val="center"/>
            </w:pPr>
            <w:r>
              <w:t>7.949</w:t>
            </w:r>
          </w:p>
        </w:tc>
        <w:tc>
          <w:tcPr>
            <w:tcW w:w="1596" w:type="dxa"/>
          </w:tcPr>
          <w:p w:rsidR="00580B8E" w:rsidRDefault="00580B8E" w:rsidP="001F1974">
            <w:pPr>
              <w:pStyle w:val="BodyText2"/>
              <w:spacing w:after="0" w:line="240" w:lineRule="auto"/>
              <w:jc w:val="center"/>
            </w:pPr>
            <w:r>
              <w:t>7.237</w:t>
            </w:r>
          </w:p>
        </w:tc>
        <w:tc>
          <w:tcPr>
            <w:tcW w:w="1686" w:type="dxa"/>
          </w:tcPr>
          <w:p w:rsidR="00580B8E" w:rsidRDefault="00580B8E" w:rsidP="001F1974">
            <w:pPr>
              <w:pStyle w:val="BodyText2"/>
              <w:spacing w:after="0" w:line="240" w:lineRule="auto"/>
              <w:jc w:val="center"/>
            </w:pPr>
            <w:r>
              <w:t>7.452</w:t>
            </w:r>
          </w:p>
        </w:tc>
        <w:tc>
          <w:tcPr>
            <w:tcW w:w="1832" w:type="dxa"/>
          </w:tcPr>
          <w:p w:rsidR="00580B8E" w:rsidRDefault="00580B8E" w:rsidP="001F1974">
            <w:pPr>
              <w:pStyle w:val="BodyText2"/>
              <w:spacing w:after="0" w:line="240" w:lineRule="auto"/>
              <w:jc w:val="center"/>
            </w:pPr>
            <w:r>
              <w:t>6.414</w:t>
            </w:r>
          </w:p>
        </w:tc>
        <w:tc>
          <w:tcPr>
            <w:tcW w:w="1596" w:type="dxa"/>
          </w:tcPr>
          <w:p w:rsidR="00580B8E" w:rsidRDefault="00580B8E" w:rsidP="001F1974">
            <w:pPr>
              <w:pStyle w:val="BodyText2"/>
              <w:spacing w:after="0" w:line="240" w:lineRule="auto"/>
              <w:jc w:val="center"/>
            </w:pPr>
            <w:r>
              <w:t>7.481</w:t>
            </w:r>
          </w:p>
        </w:tc>
      </w:tr>
    </w:tbl>
    <w:p w:rsidR="00580B8E" w:rsidRDefault="00580B8E" w:rsidP="001F1974">
      <w:pPr>
        <w:pStyle w:val="BodyText2"/>
        <w:spacing w:after="0"/>
      </w:pPr>
    </w:p>
    <w:tbl>
      <w:tblPr>
        <w:tblStyle w:val="TableGrid"/>
        <w:tblW w:w="9636" w:type="dxa"/>
        <w:tblLook w:val="01E0" w:firstRow="1" w:lastRow="1" w:firstColumn="1" w:lastColumn="1" w:noHBand="0" w:noVBand="0"/>
      </w:tblPr>
      <w:tblGrid>
        <w:gridCol w:w="1191"/>
        <w:gridCol w:w="1735"/>
        <w:gridCol w:w="1596"/>
        <w:gridCol w:w="1686"/>
        <w:gridCol w:w="1832"/>
        <w:gridCol w:w="1596"/>
      </w:tblGrid>
      <w:tr w:rsidR="00580B8E" w:rsidTr="00CC30DC">
        <w:tc>
          <w:tcPr>
            <w:tcW w:w="9636" w:type="dxa"/>
            <w:gridSpan w:val="6"/>
          </w:tcPr>
          <w:p w:rsidR="00580B8E" w:rsidRDefault="00580B8E" w:rsidP="001F1974">
            <w:pPr>
              <w:pStyle w:val="BodyText2"/>
              <w:spacing w:after="0" w:line="240" w:lineRule="auto"/>
              <w:jc w:val="center"/>
              <w:rPr>
                <w:b/>
              </w:rPr>
            </w:pPr>
            <w:r>
              <w:rPr>
                <w:b/>
              </w:rPr>
              <w:t>Small C&amp;I Customer Class – Actual Rates</w:t>
            </w:r>
          </w:p>
        </w:tc>
      </w:tr>
      <w:tr w:rsidR="00580B8E" w:rsidTr="00CC30DC">
        <w:tc>
          <w:tcPr>
            <w:tcW w:w="1191" w:type="dxa"/>
          </w:tcPr>
          <w:p w:rsidR="00580B8E" w:rsidRDefault="00580B8E" w:rsidP="001F1974">
            <w:pPr>
              <w:pStyle w:val="BodyText2"/>
              <w:spacing w:after="0" w:line="240" w:lineRule="auto"/>
              <w:jc w:val="center"/>
              <w:rPr>
                <w:sz w:val="22"/>
                <w:szCs w:val="22"/>
              </w:rPr>
            </w:pPr>
            <w:r>
              <w:rPr>
                <w:sz w:val="22"/>
                <w:szCs w:val="22"/>
              </w:rPr>
              <w:t>Quarterly Periods</w:t>
            </w:r>
          </w:p>
        </w:tc>
        <w:tc>
          <w:tcPr>
            <w:tcW w:w="1735" w:type="dxa"/>
          </w:tcPr>
          <w:p w:rsidR="00580B8E" w:rsidRDefault="00580B8E" w:rsidP="001F1974">
            <w:pPr>
              <w:pStyle w:val="BodyText2"/>
              <w:spacing w:after="0" w:line="240" w:lineRule="auto"/>
              <w:jc w:val="center"/>
              <w:rPr>
                <w:sz w:val="22"/>
                <w:szCs w:val="22"/>
              </w:rPr>
            </w:pPr>
            <w:r>
              <w:rPr>
                <w:sz w:val="22"/>
                <w:szCs w:val="22"/>
              </w:rPr>
              <w:t xml:space="preserve">June 1, 2011 – </w:t>
            </w:r>
            <w:r>
              <w:rPr>
                <w:sz w:val="22"/>
                <w:szCs w:val="22"/>
              </w:rPr>
              <w:br/>
              <w:t>August 31, 2011</w:t>
            </w:r>
          </w:p>
        </w:tc>
        <w:tc>
          <w:tcPr>
            <w:tcW w:w="1596" w:type="dxa"/>
          </w:tcPr>
          <w:p w:rsidR="00580B8E" w:rsidRDefault="00580B8E" w:rsidP="001F1974">
            <w:pPr>
              <w:pStyle w:val="BodyText2"/>
              <w:spacing w:after="0" w:line="240" w:lineRule="auto"/>
              <w:jc w:val="center"/>
              <w:rPr>
                <w:sz w:val="22"/>
                <w:szCs w:val="22"/>
              </w:rPr>
            </w:pPr>
            <w:r>
              <w:rPr>
                <w:sz w:val="22"/>
                <w:szCs w:val="22"/>
              </w:rPr>
              <w:t>Sept. 1, 2011 – Nov. 30, 2011</w:t>
            </w:r>
          </w:p>
        </w:tc>
        <w:tc>
          <w:tcPr>
            <w:tcW w:w="1686" w:type="dxa"/>
          </w:tcPr>
          <w:p w:rsidR="00580B8E" w:rsidRDefault="00580B8E" w:rsidP="001F1974">
            <w:pPr>
              <w:pStyle w:val="BodyText2"/>
              <w:spacing w:after="0" w:line="240" w:lineRule="auto"/>
              <w:jc w:val="center"/>
              <w:rPr>
                <w:sz w:val="22"/>
                <w:szCs w:val="22"/>
              </w:rPr>
            </w:pPr>
            <w:r>
              <w:rPr>
                <w:sz w:val="22"/>
                <w:szCs w:val="22"/>
              </w:rPr>
              <w:t>Dec. 1, 2011 –</w:t>
            </w:r>
            <w:r>
              <w:rPr>
                <w:sz w:val="22"/>
                <w:szCs w:val="22"/>
              </w:rPr>
              <w:br/>
              <w:t>Feb. 29, 2012</w:t>
            </w:r>
          </w:p>
        </w:tc>
        <w:tc>
          <w:tcPr>
            <w:tcW w:w="1832" w:type="dxa"/>
          </w:tcPr>
          <w:p w:rsidR="00580B8E" w:rsidRDefault="00580B8E" w:rsidP="001F1974">
            <w:pPr>
              <w:pStyle w:val="BodyText2"/>
              <w:spacing w:after="0" w:line="240" w:lineRule="auto"/>
              <w:jc w:val="center"/>
              <w:rPr>
                <w:sz w:val="22"/>
                <w:szCs w:val="22"/>
              </w:rPr>
            </w:pPr>
            <w:r>
              <w:rPr>
                <w:sz w:val="22"/>
                <w:szCs w:val="22"/>
              </w:rPr>
              <w:t>March 1, 2012 – May 31, 2012</w:t>
            </w:r>
          </w:p>
        </w:tc>
        <w:tc>
          <w:tcPr>
            <w:tcW w:w="1596" w:type="dxa"/>
          </w:tcPr>
          <w:p w:rsidR="00580B8E" w:rsidRDefault="00580B8E" w:rsidP="001F1974">
            <w:pPr>
              <w:pStyle w:val="BodyText2"/>
              <w:spacing w:after="0" w:line="240" w:lineRule="auto"/>
              <w:jc w:val="center"/>
              <w:rPr>
                <w:sz w:val="22"/>
                <w:szCs w:val="22"/>
              </w:rPr>
            </w:pPr>
            <w:r>
              <w:rPr>
                <w:sz w:val="22"/>
                <w:szCs w:val="22"/>
              </w:rPr>
              <w:t>June 1, 2012 –</w:t>
            </w:r>
            <w:r>
              <w:rPr>
                <w:sz w:val="22"/>
                <w:szCs w:val="22"/>
              </w:rPr>
              <w:br/>
              <w:t>Aug. 31, 2012</w:t>
            </w:r>
          </w:p>
        </w:tc>
      </w:tr>
      <w:tr w:rsidR="00580B8E" w:rsidTr="00CC30DC">
        <w:tc>
          <w:tcPr>
            <w:tcW w:w="1191" w:type="dxa"/>
          </w:tcPr>
          <w:p w:rsidR="00580B8E" w:rsidRDefault="00580B8E" w:rsidP="001F1974">
            <w:pPr>
              <w:pStyle w:val="BodyText2"/>
              <w:spacing w:after="0" w:line="240" w:lineRule="auto"/>
              <w:jc w:val="center"/>
            </w:pPr>
            <w:r>
              <w:t>E-Factor Rate</w:t>
            </w:r>
          </w:p>
        </w:tc>
        <w:tc>
          <w:tcPr>
            <w:tcW w:w="1735" w:type="dxa"/>
          </w:tcPr>
          <w:p w:rsidR="00580B8E" w:rsidRDefault="00580B8E" w:rsidP="001F1974">
            <w:pPr>
              <w:pStyle w:val="BodyText2"/>
              <w:spacing w:after="0" w:line="240" w:lineRule="auto"/>
              <w:jc w:val="center"/>
            </w:pPr>
            <w:r>
              <w:t>4.154</w:t>
            </w:r>
          </w:p>
        </w:tc>
        <w:tc>
          <w:tcPr>
            <w:tcW w:w="1596" w:type="dxa"/>
          </w:tcPr>
          <w:p w:rsidR="00580B8E" w:rsidRDefault="00580B8E" w:rsidP="001F1974">
            <w:pPr>
              <w:pStyle w:val="BodyText2"/>
              <w:spacing w:after="0" w:line="240" w:lineRule="auto"/>
              <w:jc w:val="center"/>
            </w:pPr>
            <w:r>
              <w:t>2.107</w:t>
            </w:r>
          </w:p>
        </w:tc>
        <w:tc>
          <w:tcPr>
            <w:tcW w:w="1686" w:type="dxa"/>
          </w:tcPr>
          <w:p w:rsidR="00580B8E" w:rsidRDefault="00580B8E" w:rsidP="001F1974">
            <w:pPr>
              <w:pStyle w:val="BodyText2"/>
              <w:spacing w:after="0" w:line="240" w:lineRule="auto"/>
              <w:jc w:val="center"/>
            </w:pPr>
            <w:r>
              <w:t>(1.533)</w:t>
            </w:r>
          </w:p>
        </w:tc>
        <w:tc>
          <w:tcPr>
            <w:tcW w:w="1832" w:type="dxa"/>
          </w:tcPr>
          <w:p w:rsidR="00580B8E" w:rsidRDefault="00580B8E" w:rsidP="001F1974">
            <w:pPr>
              <w:pStyle w:val="BodyText2"/>
              <w:spacing w:after="0" w:line="240" w:lineRule="auto"/>
              <w:jc w:val="center"/>
            </w:pPr>
            <w:r>
              <w:t>(1.214)</w:t>
            </w:r>
          </w:p>
        </w:tc>
        <w:tc>
          <w:tcPr>
            <w:tcW w:w="1596" w:type="dxa"/>
          </w:tcPr>
          <w:p w:rsidR="00580B8E" w:rsidRDefault="00580B8E" w:rsidP="001F1974">
            <w:pPr>
              <w:pStyle w:val="BodyText2"/>
              <w:spacing w:after="0" w:line="240" w:lineRule="auto"/>
              <w:jc w:val="center"/>
            </w:pPr>
            <w:r>
              <w:t>.269</w:t>
            </w:r>
          </w:p>
        </w:tc>
      </w:tr>
      <w:tr w:rsidR="00580B8E" w:rsidTr="00CC30DC">
        <w:tc>
          <w:tcPr>
            <w:tcW w:w="1191" w:type="dxa"/>
          </w:tcPr>
          <w:p w:rsidR="00580B8E" w:rsidRDefault="00580B8E" w:rsidP="001F1974">
            <w:pPr>
              <w:pStyle w:val="BodyText2"/>
              <w:spacing w:after="0" w:line="240" w:lineRule="auto"/>
              <w:jc w:val="center"/>
            </w:pPr>
            <w:r>
              <w:t>Total Rate</w:t>
            </w:r>
          </w:p>
        </w:tc>
        <w:tc>
          <w:tcPr>
            <w:tcW w:w="1735" w:type="dxa"/>
          </w:tcPr>
          <w:p w:rsidR="00580B8E" w:rsidRDefault="00580B8E" w:rsidP="001F1974">
            <w:pPr>
              <w:pStyle w:val="BodyText2"/>
              <w:spacing w:after="0" w:line="240" w:lineRule="auto"/>
              <w:jc w:val="center"/>
            </w:pPr>
            <w:r>
              <w:t>12.171</w:t>
            </w:r>
          </w:p>
        </w:tc>
        <w:tc>
          <w:tcPr>
            <w:tcW w:w="1596" w:type="dxa"/>
          </w:tcPr>
          <w:p w:rsidR="00580B8E" w:rsidRDefault="00580B8E" w:rsidP="001F1974">
            <w:pPr>
              <w:pStyle w:val="BodyText2"/>
              <w:spacing w:after="0" w:line="240" w:lineRule="auto"/>
              <w:jc w:val="center"/>
            </w:pPr>
            <w:r>
              <w:t>9.319</w:t>
            </w:r>
          </w:p>
        </w:tc>
        <w:tc>
          <w:tcPr>
            <w:tcW w:w="1686" w:type="dxa"/>
          </w:tcPr>
          <w:p w:rsidR="00580B8E" w:rsidRDefault="00580B8E" w:rsidP="001F1974">
            <w:pPr>
              <w:pStyle w:val="BodyText2"/>
              <w:spacing w:after="0" w:line="240" w:lineRule="auto"/>
              <w:jc w:val="center"/>
            </w:pPr>
            <w:r>
              <w:t>5.900</w:t>
            </w:r>
          </w:p>
        </w:tc>
        <w:tc>
          <w:tcPr>
            <w:tcW w:w="1832" w:type="dxa"/>
          </w:tcPr>
          <w:p w:rsidR="00580B8E" w:rsidRDefault="00580B8E" w:rsidP="001F1974">
            <w:pPr>
              <w:pStyle w:val="BodyText2"/>
              <w:spacing w:after="0" w:line="240" w:lineRule="auto"/>
              <w:jc w:val="center"/>
            </w:pPr>
            <w:r>
              <w:t>5.511</w:t>
            </w:r>
          </w:p>
        </w:tc>
        <w:tc>
          <w:tcPr>
            <w:tcW w:w="1596" w:type="dxa"/>
          </w:tcPr>
          <w:p w:rsidR="00580B8E" w:rsidRDefault="00580B8E" w:rsidP="001F1974">
            <w:pPr>
              <w:pStyle w:val="BodyText2"/>
              <w:spacing w:after="0" w:line="240" w:lineRule="auto"/>
              <w:jc w:val="center"/>
            </w:pPr>
            <w:r>
              <w:t>7.886</w:t>
            </w:r>
          </w:p>
        </w:tc>
      </w:tr>
    </w:tbl>
    <w:p w:rsidR="00580B8E" w:rsidRDefault="00580B8E" w:rsidP="001F1974">
      <w:pPr>
        <w:pStyle w:val="BodyText2"/>
        <w:spacing w:after="0"/>
      </w:pPr>
    </w:p>
    <w:tbl>
      <w:tblPr>
        <w:tblStyle w:val="TableGrid"/>
        <w:tblW w:w="9636" w:type="dxa"/>
        <w:tblLook w:val="01E0" w:firstRow="1" w:lastRow="1" w:firstColumn="1" w:lastColumn="1" w:noHBand="0" w:noVBand="0"/>
      </w:tblPr>
      <w:tblGrid>
        <w:gridCol w:w="1191"/>
        <w:gridCol w:w="1735"/>
        <w:gridCol w:w="1596"/>
        <w:gridCol w:w="1686"/>
        <w:gridCol w:w="1832"/>
        <w:gridCol w:w="1596"/>
      </w:tblGrid>
      <w:tr w:rsidR="00580B8E" w:rsidTr="00CC30DC">
        <w:tc>
          <w:tcPr>
            <w:tcW w:w="9636" w:type="dxa"/>
            <w:gridSpan w:val="6"/>
          </w:tcPr>
          <w:p w:rsidR="00580B8E" w:rsidRDefault="00580B8E" w:rsidP="001F1974">
            <w:pPr>
              <w:pStyle w:val="BodyText2"/>
              <w:spacing w:after="0" w:line="240" w:lineRule="auto"/>
              <w:jc w:val="center"/>
              <w:rPr>
                <w:b/>
              </w:rPr>
            </w:pPr>
            <w:r>
              <w:rPr>
                <w:b/>
              </w:rPr>
              <w:t>Small C&amp;I Customer Class – Recast Rates</w:t>
            </w:r>
          </w:p>
        </w:tc>
      </w:tr>
      <w:tr w:rsidR="00580B8E" w:rsidTr="00CC30DC">
        <w:tc>
          <w:tcPr>
            <w:tcW w:w="1191" w:type="dxa"/>
          </w:tcPr>
          <w:p w:rsidR="00580B8E" w:rsidRDefault="00580B8E" w:rsidP="001F1974">
            <w:pPr>
              <w:pStyle w:val="BodyText2"/>
              <w:spacing w:after="0" w:line="240" w:lineRule="auto"/>
              <w:jc w:val="center"/>
              <w:rPr>
                <w:sz w:val="22"/>
                <w:szCs w:val="22"/>
              </w:rPr>
            </w:pPr>
            <w:r>
              <w:rPr>
                <w:sz w:val="22"/>
                <w:szCs w:val="22"/>
              </w:rPr>
              <w:t>Quarterly Periods</w:t>
            </w:r>
          </w:p>
        </w:tc>
        <w:tc>
          <w:tcPr>
            <w:tcW w:w="1735" w:type="dxa"/>
          </w:tcPr>
          <w:p w:rsidR="00580B8E" w:rsidRDefault="00580B8E" w:rsidP="001F1974">
            <w:pPr>
              <w:pStyle w:val="BodyText2"/>
              <w:spacing w:after="0" w:line="240" w:lineRule="auto"/>
              <w:jc w:val="center"/>
              <w:rPr>
                <w:sz w:val="22"/>
                <w:szCs w:val="22"/>
              </w:rPr>
            </w:pPr>
            <w:r>
              <w:rPr>
                <w:sz w:val="22"/>
                <w:szCs w:val="22"/>
              </w:rPr>
              <w:t xml:space="preserve">June 1, 2011 – </w:t>
            </w:r>
            <w:r>
              <w:rPr>
                <w:sz w:val="22"/>
                <w:szCs w:val="22"/>
              </w:rPr>
              <w:br/>
              <w:t>August 31, 2011</w:t>
            </w:r>
          </w:p>
        </w:tc>
        <w:tc>
          <w:tcPr>
            <w:tcW w:w="1596" w:type="dxa"/>
          </w:tcPr>
          <w:p w:rsidR="00580B8E" w:rsidRDefault="00580B8E" w:rsidP="001F1974">
            <w:pPr>
              <w:pStyle w:val="BodyText2"/>
              <w:spacing w:after="0" w:line="240" w:lineRule="auto"/>
              <w:jc w:val="center"/>
              <w:rPr>
                <w:sz w:val="22"/>
                <w:szCs w:val="22"/>
              </w:rPr>
            </w:pPr>
            <w:r>
              <w:rPr>
                <w:sz w:val="22"/>
                <w:szCs w:val="22"/>
              </w:rPr>
              <w:t>Sept. 1, 2011 – Nov. 30, 2011</w:t>
            </w:r>
          </w:p>
        </w:tc>
        <w:tc>
          <w:tcPr>
            <w:tcW w:w="1686" w:type="dxa"/>
          </w:tcPr>
          <w:p w:rsidR="00580B8E" w:rsidRDefault="00580B8E" w:rsidP="001F1974">
            <w:pPr>
              <w:pStyle w:val="BodyText2"/>
              <w:spacing w:after="0" w:line="240" w:lineRule="auto"/>
              <w:jc w:val="center"/>
              <w:rPr>
                <w:sz w:val="22"/>
                <w:szCs w:val="22"/>
              </w:rPr>
            </w:pPr>
            <w:r>
              <w:rPr>
                <w:sz w:val="22"/>
                <w:szCs w:val="22"/>
              </w:rPr>
              <w:t>Dec. 1, 2011 –</w:t>
            </w:r>
            <w:r>
              <w:rPr>
                <w:sz w:val="22"/>
                <w:szCs w:val="22"/>
              </w:rPr>
              <w:br/>
              <w:t>Feb. 29, 2012</w:t>
            </w:r>
          </w:p>
        </w:tc>
        <w:tc>
          <w:tcPr>
            <w:tcW w:w="1832" w:type="dxa"/>
          </w:tcPr>
          <w:p w:rsidR="00580B8E" w:rsidRDefault="00580B8E" w:rsidP="001F1974">
            <w:pPr>
              <w:pStyle w:val="BodyText2"/>
              <w:spacing w:after="0" w:line="240" w:lineRule="auto"/>
              <w:jc w:val="center"/>
              <w:rPr>
                <w:sz w:val="22"/>
                <w:szCs w:val="22"/>
              </w:rPr>
            </w:pPr>
            <w:r>
              <w:rPr>
                <w:sz w:val="22"/>
                <w:szCs w:val="22"/>
              </w:rPr>
              <w:t>March 1, 2012 – May 31, 2012</w:t>
            </w:r>
          </w:p>
        </w:tc>
        <w:tc>
          <w:tcPr>
            <w:tcW w:w="1596" w:type="dxa"/>
          </w:tcPr>
          <w:p w:rsidR="00580B8E" w:rsidRDefault="00580B8E" w:rsidP="001F1974">
            <w:pPr>
              <w:pStyle w:val="BodyText2"/>
              <w:spacing w:after="0" w:line="240" w:lineRule="auto"/>
              <w:jc w:val="center"/>
              <w:rPr>
                <w:sz w:val="22"/>
                <w:szCs w:val="22"/>
              </w:rPr>
            </w:pPr>
            <w:r>
              <w:rPr>
                <w:sz w:val="22"/>
                <w:szCs w:val="22"/>
              </w:rPr>
              <w:t>June 1, 2012 –</w:t>
            </w:r>
            <w:r>
              <w:rPr>
                <w:sz w:val="22"/>
                <w:szCs w:val="22"/>
              </w:rPr>
              <w:br/>
              <w:t>Aug. 31, 2012</w:t>
            </w:r>
          </w:p>
        </w:tc>
      </w:tr>
      <w:tr w:rsidR="00580B8E" w:rsidTr="00CC30DC">
        <w:tc>
          <w:tcPr>
            <w:tcW w:w="1191" w:type="dxa"/>
          </w:tcPr>
          <w:p w:rsidR="00580B8E" w:rsidRDefault="00580B8E" w:rsidP="001F1974">
            <w:pPr>
              <w:pStyle w:val="BodyText2"/>
              <w:spacing w:after="0" w:line="240" w:lineRule="auto"/>
              <w:jc w:val="center"/>
            </w:pPr>
            <w:r>
              <w:t>E-Factor Rate</w:t>
            </w:r>
          </w:p>
        </w:tc>
        <w:tc>
          <w:tcPr>
            <w:tcW w:w="1735" w:type="dxa"/>
          </w:tcPr>
          <w:p w:rsidR="00580B8E" w:rsidRDefault="00580B8E" w:rsidP="001F1974">
            <w:pPr>
              <w:pStyle w:val="BodyText2"/>
              <w:spacing w:after="0" w:line="240" w:lineRule="auto"/>
              <w:jc w:val="center"/>
            </w:pPr>
            <w:r>
              <w:t>1.039</w:t>
            </w:r>
          </w:p>
        </w:tc>
        <w:tc>
          <w:tcPr>
            <w:tcW w:w="1596" w:type="dxa"/>
          </w:tcPr>
          <w:p w:rsidR="00580B8E" w:rsidRDefault="00580B8E" w:rsidP="001F1974">
            <w:pPr>
              <w:pStyle w:val="BodyText2"/>
              <w:spacing w:after="0" w:line="240" w:lineRule="auto"/>
              <w:jc w:val="center"/>
            </w:pPr>
            <w:r>
              <w:t>1.289</w:t>
            </w:r>
          </w:p>
        </w:tc>
        <w:tc>
          <w:tcPr>
            <w:tcW w:w="1686" w:type="dxa"/>
          </w:tcPr>
          <w:p w:rsidR="00580B8E" w:rsidRDefault="00580B8E" w:rsidP="001F1974">
            <w:pPr>
              <w:pStyle w:val="BodyText2"/>
              <w:spacing w:after="0" w:line="240" w:lineRule="auto"/>
              <w:jc w:val="center"/>
            </w:pPr>
            <w:r>
              <w:t>0.902</w:t>
            </w:r>
          </w:p>
        </w:tc>
        <w:tc>
          <w:tcPr>
            <w:tcW w:w="1832" w:type="dxa"/>
          </w:tcPr>
          <w:p w:rsidR="00580B8E" w:rsidRDefault="00580B8E" w:rsidP="001F1974">
            <w:pPr>
              <w:pStyle w:val="BodyText2"/>
              <w:spacing w:after="0" w:line="240" w:lineRule="auto"/>
              <w:jc w:val="center"/>
            </w:pPr>
            <w:r>
              <w:t>0.742</w:t>
            </w:r>
          </w:p>
        </w:tc>
        <w:tc>
          <w:tcPr>
            <w:tcW w:w="1596" w:type="dxa"/>
          </w:tcPr>
          <w:p w:rsidR="00580B8E" w:rsidRDefault="00580B8E" w:rsidP="001F1974">
            <w:pPr>
              <w:pStyle w:val="BodyText2"/>
              <w:spacing w:after="0" w:line="240" w:lineRule="auto"/>
              <w:jc w:val="center"/>
            </w:pPr>
            <w:r>
              <w:t>(0.229)</w:t>
            </w:r>
          </w:p>
        </w:tc>
      </w:tr>
      <w:tr w:rsidR="00580B8E" w:rsidTr="00CC30DC">
        <w:tc>
          <w:tcPr>
            <w:tcW w:w="1191" w:type="dxa"/>
          </w:tcPr>
          <w:p w:rsidR="00580B8E" w:rsidRDefault="00580B8E" w:rsidP="001F1974">
            <w:pPr>
              <w:pStyle w:val="BodyText2"/>
              <w:spacing w:after="0" w:line="240" w:lineRule="auto"/>
              <w:jc w:val="center"/>
            </w:pPr>
            <w:r>
              <w:t>Total Rate</w:t>
            </w:r>
          </w:p>
        </w:tc>
        <w:tc>
          <w:tcPr>
            <w:tcW w:w="1735" w:type="dxa"/>
          </w:tcPr>
          <w:p w:rsidR="00580B8E" w:rsidRDefault="00580B8E" w:rsidP="001F1974">
            <w:pPr>
              <w:pStyle w:val="BodyText2"/>
              <w:spacing w:after="0" w:line="240" w:lineRule="auto"/>
              <w:jc w:val="center"/>
            </w:pPr>
            <w:r>
              <w:t>9.056</w:t>
            </w:r>
          </w:p>
        </w:tc>
        <w:tc>
          <w:tcPr>
            <w:tcW w:w="1596" w:type="dxa"/>
          </w:tcPr>
          <w:p w:rsidR="00580B8E" w:rsidRDefault="00580B8E" w:rsidP="001F1974">
            <w:pPr>
              <w:pStyle w:val="BodyText2"/>
              <w:spacing w:after="0" w:line="240" w:lineRule="auto"/>
              <w:jc w:val="center"/>
            </w:pPr>
            <w:r>
              <w:t>8.501</w:t>
            </w:r>
          </w:p>
        </w:tc>
        <w:tc>
          <w:tcPr>
            <w:tcW w:w="1686" w:type="dxa"/>
          </w:tcPr>
          <w:p w:rsidR="00580B8E" w:rsidRDefault="00580B8E" w:rsidP="001F1974">
            <w:pPr>
              <w:pStyle w:val="BodyText2"/>
              <w:spacing w:after="0" w:line="240" w:lineRule="auto"/>
              <w:jc w:val="center"/>
            </w:pPr>
            <w:r>
              <w:t>8.335</w:t>
            </w:r>
          </w:p>
        </w:tc>
        <w:tc>
          <w:tcPr>
            <w:tcW w:w="1832" w:type="dxa"/>
          </w:tcPr>
          <w:p w:rsidR="00580B8E" w:rsidRDefault="00580B8E" w:rsidP="001F1974">
            <w:pPr>
              <w:pStyle w:val="BodyText2"/>
              <w:spacing w:after="0" w:line="240" w:lineRule="auto"/>
              <w:jc w:val="center"/>
            </w:pPr>
            <w:r>
              <w:t>7.396</w:t>
            </w:r>
          </w:p>
        </w:tc>
        <w:tc>
          <w:tcPr>
            <w:tcW w:w="1596" w:type="dxa"/>
          </w:tcPr>
          <w:p w:rsidR="00580B8E" w:rsidRDefault="00580B8E" w:rsidP="001F1974">
            <w:pPr>
              <w:pStyle w:val="BodyText2"/>
              <w:spacing w:after="0" w:line="240" w:lineRule="auto"/>
              <w:jc w:val="center"/>
            </w:pPr>
            <w:r>
              <w:t>7.404</w:t>
            </w:r>
          </w:p>
        </w:tc>
      </w:tr>
    </w:tbl>
    <w:p w:rsidR="00580B8E" w:rsidRDefault="00580B8E" w:rsidP="001F1974">
      <w:pPr>
        <w:pStyle w:val="BodyText2"/>
        <w:spacing w:after="0"/>
        <w:jc w:val="left"/>
      </w:pPr>
    </w:p>
    <w:p w:rsidR="00580B8E" w:rsidRDefault="00580B8E" w:rsidP="001F1974">
      <w:pPr>
        <w:pStyle w:val="BodyText2"/>
        <w:spacing w:after="0" w:line="240" w:lineRule="auto"/>
        <w:ind w:left="1440" w:right="1440"/>
        <w:jc w:val="left"/>
      </w:pPr>
      <w:r>
        <w:t xml:space="preserve">As demonstrated in the foregoing tables, the E-Factor portion of rates has created substantial savings in the PTC, and these swings can be greatly mitigated by adoption of a 12-month rolling average reconciliation.  The foregoing is compelling evidence to demonstrate the merit in revising the E-Factor calculation to moderate default rate swings that are unrelated to market price changes, which alternately can encourage and discourage customer shopping.  </w:t>
      </w:r>
    </w:p>
    <w:p w:rsidR="002066DF" w:rsidRDefault="002066DF" w:rsidP="00466DFE">
      <w:pPr>
        <w:pStyle w:val="BodyText2"/>
        <w:spacing w:after="0" w:line="240" w:lineRule="auto"/>
        <w:jc w:val="left"/>
      </w:pPr>
      <w:r>
        <w:t>PPL Electric MB at 53-55.</w:t>
      </w:r>
    </w:p>
    <w:p w:rsidR="002066DF" w:rsidRDefault="002066DF" w:rsidP="00855F83">
      <w:pPr>
        <w:pStyle w:val="BodyText2"/>
        <w:spacing w:after="0" w:line="360" w:lineRule="auto"/>
        <w:jc w:val="left"/>
      </w:pPr>
    </w:p>
    <w:p w:rsidR="00614977" w:rsidRDefault="002F0443" w:rsidP="00466DFE">
      <w:pPr>
        <w:pStyle w:val="BodyText2"/>
        <w:spacing w:after="0" w:line="360" w:lineRule="auto"/>
        <w:jc w:val="left"/>
      </w:pPr>
      <w:r>
        <w:tab/>
      </w:r>
      <w:r>
        <w:tab/>
      </w:r>
      <w:r w:rsidR="00580B8E">
        <w:t xml:space="preserve">RESA </w:t>
      </w:r>
      <w:r w:rsidR="00614977">
        <w:t xml:space="preserve">expressed concern </w:t>
      </w:r>
      <w:r w:rsidR="00BF7C41">
        <w:t>regarding</w:t>
      </w:r>
      <w:r w:rsidR="00614977">
        <w:t xml:space="preserve"> the</w:t>
      </w:r>
      <w:r w:rsidR="00580B8E">
        <w:t xml:space="preserve"> use of a rolling 12-month reconciliation period on the basis that greater over/under collection interest will be accrued.  RESA </w:t>
      </w:r>
      <w:r w:rsidR="00614977">
        <w:t>MB at 42-43</w:t>
      </w:r>
      <w:r w:rsidR="00580B8E">
        <w:t xml:space="preserve">.  </w:t>
      </w:r>
      <w:r w:rsidR="00614977">
        <w:t>The Company argues that</w:t>
      </w:r>
      <w:r w:rsidR="00580B8E">
        <w:t xml:space="preserve"> the overall impact on customer bills from interest is negligible and will not have a substantial effect on the E-Factor calculations or on customer shopping decisions.  </w:t>
      </w:r>
      <w:proofErr w:type="gramStart"/>
      <w:r w:rsidR="00580B8E">
        <w:t>PPL Electric St</w:t>
      </w:r>
      <w:r w:rsidR="00212346">
        <w:t>mt</w:t>
      </w:r>
      <w:r w:rsidR="00580B8E">
        <w:t>. 5-R</w:t>
      </w:r>
      <w:r w:rsidR="00212346">
        <w:t xml:space="preserve"> at</w:t>
      </w:r>
      <w:r w:rsidR="00580B8E">
        <w:t xml:space="preserve"> 9.</w:t>
      </w:r>
      <w:proofErr w:type="gramEnd"/>
      <w:r w:rsidR="00580B8E">
        <w:t xml:space="preserve"> </w:t>
      </w:r>
      <w:r w:rsidR="00614977">
        <w:t>As it would apply equally to</w:t>
      </w:r>
      <w:r w:rsidR="00580B8E">
        <w:t xml:space="preserve"> overcollection and undercollection, as can be seen on PPL Electric Ex. JMK-5, the net effect that interest calculated and due to the Company on monthly undercollection balances may be offset by interest owed to customers on monthly overcollection balances. </w:t>
      </w:r>
      <w:r w:rsidR="00614977">
        <w:t xml:space="preserve"> </w:t>
      </w:r>
      <w:proofErr w:type="gramStart"/>
      <w:r w:rsidR="00614977">
        <w:t>PPL Electric MB at 56.</w:t>
      </w:r>
      <w:proofErr w:type="gramEnd"/>
    </w:p>
    <w:p w:rsidR="00212346" w:rsidRDefault="00212346" w:rsidP="001F1974">
      <w:pPr>
        <w:pStyle w:val="BodyText2"/>
        <w:spacing w:after="0" w:line="360" w:lineRule="auto"/>
        <w:jc w:val="left"/>
      </w:pPr>
    </w:p>
    <w:p w:rsidR="00614977" w:rsidRDefault="00212346" w:rsidP="001F1974">
      <w:pPr>
        <w:pStyle w:val="BodyText2"/>
        <w:spacing w:after="0" w:line="360" w:lineRule="auto"/>
        <w:contextualSpacing/>
        <w:jc w:val="left"/>
      </w:pPr>
      <w:r>
        <w:tab/>
      </w:r>
      <w:r>
        <w:tab/>
        <w:t xml:space="preserve">OSBA agrees that the PTC has been "wildly unstable," caused substantially by the reconciliation component "bouncing up and down from a huge charge to a huge credit," and "has distorted price signals to customers to switch in and out of default service in order to take advantage of the reconciliation mechanism."  </w:t>
      </w:r>
      <w:proofErr w:type="gramStart"/>
      <w:r>
        <w:t>OSBA Stmt. 1 at 5; OSBA MB at 15.</w:t>
      </w:r>
      <w:proofErr w:type="gramEnd"/>
      <w:r w:rsidR="00E75D87">
        <w:t xml:space="preserve">  </w:t>
      </w:r>
    </w:p>
    <w:p w:rsidR="00BF7C41" w:rsidRDefault="00BF7C41" w:rsidP="001F1974">
      <w:pPr>
        <w:pStyle w:val="BodyText2"/>
        <w:spacing w:after="0" w:line="360" w:lineRule="auto"/>
        <w:contextualSpacing/>
        <w:jc w:val="left"/>
      </w:pPr>
    </w:p>
    <w:p w:rsidR="00AE5384" w:rsidRDefault="00E75D87" w:rsidP="001F1974">
      <w:pPr>
        <w:pStyle w:val="BodyText2"/>
        <w:spacing w:after="0" w:line="360" w:lineRule="auto"/>
        <w:contextualSpacing/>
        <w:jc w:val="left"/>
      </w:pPr>
      <w:r>
        <w:tab/>
      </w:r>
      <w:r w:rsidR="00A71F4F">
        <w:tab/>
      </w:r>
      <w:r>
        <w:t xml:space="preserve">OSBA points out that DSP plans including purchases of a substantial amount of short term and spot market supplies require prompt reconciliation more so than plans including medium term fixed price contracts.  Further, the Company plan serves as a workable compromise between RESA and the Company's position in the recent case involving a proposed reconciliation rider for default service.  </w:t>
      </w:r>
      <w:r>
        <w:rPr>
          <w:i/>
        </w:rPr>
        <w:t>Petition of PPL Electric Utilities Corporation for Approval to Implement a Reconciliation Rider for Default Service Supply</w:t>
      </w:r>
      <w:r w:rsidRPr="00AE5384">
        <w:t>, P-2011-2256365</w:t>
      </w:r>
      <w:r w:rsidR="00AE5384" w:rsidRPr="00AE5384">
        <w:t xml:space="preserve"> (Order entered</w:t>
      </w:r>
      <w:r w:rsidR="00393C77">
        <w:t xml:space="preserve"> July 19, 2012)</w:t>
      </w:r>
      <w:r w:rsidR="00AE5384">
        <w:t>; OSBA MB at 16</w:t>
      </w:r>
      <w:r w:rsidR="00393C77">
        <w:t>.</w:t>
      </w:r>
    </w:p>
    <w:p w:rsidR="00BF7C41" w:rsidRDefault="00BF7C41" w:rsidP="001F1974">
      <w:pPr>
        <w:pStyle w:val="BodyText2"/>
        <w:spacing w:after="0" w:line="360" w:lineRule="auto"/>
        <w:contextualSpacing/>
        <w:jc w:val="left"/>
      </w:pPr>
    </w:p>
    <w:p w:rsidR="00A71F4F" w:rsidRDefault="00AE5384" w:rsidP="001F1974">
      <w:pPr>
        <w:pStyle w:val="BodyText2"/>
        <w:spacing w:after="0" w:line="360" w:lineRule="auto"/>
        <w:contextualSpacing/>
        <w:jc w:val="left"/>
      </w:pPr>
      <w:r>
        <w:tab/>
      </w:r>
      <w:r w:rsidR="00A71F4F">
        <w:tab/>
      </w:r>
      <w:r>
        <w:t xml:space="preserve">As it stands, OSBA argues, the Company's reconciliation of the TSC does not reflect actual costs incurred by class anyway, as it relies on forecasted class contributions to peak demands rather than actual, which have not been accurate.  </w:t>
      </w:r>
      <w:proofErr w:type="gramStart"/>
      <w:r>
        <w:t>OSBA Stmt. 1 at 6-7; OSBA MB at 17.</w:t>
      </w:r>
      <w:proofErr w:type="gramEnd"/>
      <w:r>
        <w:t xml:space="preserve">  As the overall issue of reconciliation methodology is referred to a generic investigation, OSBA recommends adopting the Company's proposal</w:t>
      </w:r>
      <w:r w:rsidR="00A71F4F">
        <w:t>:</w:t>
      </w:r>
    </w:p>
    <w:p w:rsidR="00A71F4F" w:rsidRDefault="00A71F4F" w:rsidP="001F1974">
      <w:pPr>
        <w:pStyle w:val="BodyText2"/>
        <w:spacing w:after="0" w:line="360" w:lineRule="auto"/>
        <w:contextualSpacing/>
        <w:jc w:val="left"/>
      </w:pPr>
    </w:p>
    <w:p w:rsidR="00AE5384" w:rsidRDefault="00A71F4F" w:rsidP="001F1974">
      <w:pPr>
        <w:pStyle w:val="BodyText2"/>
        <w:spacing w:after="0" w:line="240" w:lineRule="auto"/>
        <w:ind w:left="1440" w:right="1440"/>
        <w:contextualSpacing/>
        <w:jc w:val="left"/>
      </w:pPr>
      <w:r>
        <w:t xml:space="preserve">Even RESA cannot really be contending that the 4.15 cent per kWh reconciliation charge, a 51.8 percent markup on estimated current period costs, imposed on Small </w:t>
      </w:r>
      <w:proofErr w:type="gramStart"/>
      <w:r>
        <w:t>C&amp;I</w:t>
      </w:r>
      <w:proofErr w:type="gramEnd"/>
      <w:r>
        <w:t xml:space="preserve"> customers in the summer 2011 reflected market conditions that summer.  Or that the 1.53 cent per kWh credit (a more than 20 percent discount off the current period costs) in the winter of 2011/2012 reflected market conditions.  Or that the current 2.28 cent per kWh markup reflects current market conditions.  RESA offers no credible explanation as to how or why these huge fluctuations in reconciliation charges or credits are in any way consistent with matching default service rates with market prices.  Again, the OSBA is forced to conclude that RESA has no interest in actually setting market-based rates, but is interested only in preserving a methodology that produces volatile and ugly default service rates.</w:t>
      </w:r>
    </w:p>
    <w:p w:rsidR="00466DFE" w:rsidRDefault="00466DFE" w:rsidP="001F1974">
      <w:pPr>
        <w:pStyle w:val="BodyText2"/>
        <w:spacing w:after="0" w:line="240" w:lineRule="auto"/>
        <w:ind w:left="1440" w:right="1440"/>
        <w:contextualSpacing/>
        <w:jc w:val="left"/>
      </w:pPr>
    </w:p>
    <w:p w:rsidR="00A71F4F" w:rsidRDefault="00A71F4F" w:rsidP="001F1974">
      <w:pPr>
        <w:pStyle w:val="BodyText2"/>
        <w:spacing w:after="0" w:line="240" w:lineRule="auto"/>
        <w:ind w:left="1440" w:right="1440"/>
        <w:contextualSpacing/>
        <w:jc w:val="left"/>
      </w:pPr>
      <w:r>
        <w:lastRenderedPageBreak/>
        <w:tab/>
        <w:t xml:space="preserve">The OSBA is the first to recognize that the approach proposed by PPL in this proceeding will not address the underlying problems with its reconciliation methodology.  Nevertheless, the Company's proposal will at least smooth out the fluctuations and thereby reduce the distortion associated with the previous mechanism.  As demonstrated by Mr. Kleha, had a 12-month rolling mechanism for recovery of prior period variances been in place for the past two years, the distortions associated with the reconciliation charges/credits would have been substantially smaller.  </w:t>
      </w:r>
      <w:r w:rsidRPr="00A71F4F">
        <w:rPr>
          <w:i/>
        </w:rPr>
        <w:t>See</w:t>
      </w:r>
      <w:r>
        <w:t xml:space="preserve"> </w:t>
      </w:r>
      <w:r w:rsidR="00934109">
        <w:t>PPL Initial Brief at 54-55.  No</w:t>
      </w:r>
      <w:r>
        <w:t xml:space="preserve"> party has presented any evidence which contradicts that analysis.  Consequently, for purposes of this proceeding, the OSBA supports the Company's proposal.</w:t>
      </w:r>
    </w:p>
    <w:p w:rsidR="00A71F4F" w:rsidRDefault="00A71F4F" w:rsidP="008177A1">
      <w:pPr>
        <w:pStyle w:val="BodyText2"/>
        <w:spacing w:after="0" w:line="240" w:lineRule="auto"/>
        <w:contextualSpacing/>
        <w:jc w:val="left"/>
      </w:pPr>
      <w:proofErr w:type="gramStart"/>
      <w:r>
        <w:t>OSBA RB at 10.</w:t>
      </w:r>
      <w:proofErr w:type="gramEnd"/>
    </w:p>
    <w:p w:rsidR="00AE5384" w:rsidRDefault="00AE5384" w:rsidP="00466DFE">
      <w:pPr>
        <w:pStyle w:val="BodyText2"/>
        <w:spacing w:after="0" w:line="360" w:lineRule="auto"/>
        <w:ind w:left="1440" w:right="1440"/>
        <w:contextualSpacing/>
        <w:jc w:val="left"/>
      </w:pPr>
    </w:p>
    <w:p w:rsidR="00580B8E" w:rsidRDefault="00AE5384" w:rsidP="001F1974">
      <w:pPr>
        <w:pStyle w:val="BodyText2"/>
        <w:spacing w:after="0" w:line="360" w:lineRule="auto"/>
        <w:contextualSpacing/>
        <w:jc w:val="left"/>
      </w:pPr>
      <w:r>
        <w:tab/>
      </w:r>
      <w:r>
        <w:tab/>
      </w:r>
      <w:r w:rsidR="00813BEA">
        <w:t xml:space="preserve">The Company's charts show that Small C&amp;I customers would have benefitted significantly, thus justifying the adoption of the rolling reconciliation methodology.  For the residential customers, the benefit was less clear.  However, there would be no harm, and for consistency, both customer classes should be treated the same.  </w:t>
      </w:r>
      <w:r>
        <w:t>Because of the Company's well-documented difficulty with reconciliations, the recommendation here is to allow PPL Electric to try the proposed method.  The results will be available for reporting in the generic investigation.</w:t>
      </w:r>
      <w:r w:rsidR="00580B8E">
        <w:t xml:space="preserve"> </w:t>
      </w:r>
    </w:p>
    <w:p w:rsidR="00A71F4F" w:rsidRDefault="00A71F4F" w:rsidP="001F1974">
      <w:pPr>
        <w:pStyle w:val="BodyText2"/>
        <w:spacing w:after="0" w:line="360" w:lineRule="auto"/>
        <w:contextualSpacing/>
        <w:jc w:val="left"/>
      </w:pPr>
    </w:p>
    <w:p w:rsidR="00580B8E" w:rsidRDefault="00580B8E" w:rsidP="001F1974">
      <w:pPr>
        <w:pStyle w:val="BodyText2"/>
        <w:spacing w:after="0" w:line="240" w:lineRule="auto"/>
        <w:ind w:left="1440" w:right="1440"/>
        <w:contextualSpacing/>
        <w:jc w:val="left"/>
      </w:pPr>
      <w:r>
        <w:t xml:space="preserve">Finally, PPL Electric notes that the DSP II GSC-1 reconciliation calculations will include the remaining over/under collection balances for both the fixed price and TOU price rate options as of May 31, 2013 under the DSP I Program for the separate Residential and Small C&amp;I customer classes.  In this regard, the Company intends to follow the order issued by the Commission on August 30, 2012 at Docket No. R-2011-2264771, wherein the Commission held that PPL Electric may recover the net undercollection of its prior period TOU program from all default service customers, by customer class, following certification by the Commission’s Bureau of Audits that the amount of the net undercollection claimed is correct and has been accounted for consistent with Commission directives.  </w:t>
      </w:r>
      <w:proofErr w:type="gramStart"/>
      <w:r>
        <w:t>(PPL Electric St. 5-RJ, p. 2).</w:t>
      </w:r>
      <w:proofErr w:type="gramEnd"/>
      <w:r>
        <w:t xml:space="preserve">  PPL Electric is aware of no opposition to this proposal.</w:t>
      </w:r>
    </w:p>
    <w:p w:rsidR="009C7964" w:rsidRDefault="009C7964" w:rsidP="001F1974">
      <w:pPr>
        <w:pStyle w:val="Heading4"/>
        <w:numPr>
          <w:ilvl w:val="0"/>
          <w:numId w:val="0"/>
        </w:numPr>
        <w:spacing w:after="0"/>
        <w:contextualSpacing/>
        <w:rPr>
          <w:b w:val="0"/>
        </w:rPr>
      </w:pPr>
      <w:bookmarkStart w:id="51" w:name="_Toc337196659"/>
      <w:r w:rsidRPr="009C7964">
        <w:rPr>
          <w:b w:val="0"/>
        </w:rPr>
        <w:t>PPL Electric MB at 56-57.</w:t>
      </w:r>
    </w:p>
    <w:p w:rsidR="00813BEA" w:rsidRPr="00813BEA" w:rsidRDefault="00813BEA" w:rsidP="00466DFE">
      <w:pPr>
        <w:pStyle w:val="BodyText2"/>
        <w:spacing w:after="0" w:line="360" w:lineRule="auto"/>
      </w:pPr>
    </w:p>
    <w:p w:rsidR="00C50B37" w:rsidRDefault="00C50B37" w:rsidP="00855F83">
      <w:pPr>
        <w:pStyle w:val="Heading4"/>
        <w:tabs>
          <w:tab w:val="clear" w:pos="3060"/>
        </w:tabs>
        <w:spacing w:after="0"/>
        <w:ind w:left="2160"/>
        <w:contextualSpacing/>
        <w:jc w:val="left"/>
      </w:pPr>
      <w:r>
        <w:br w:type="page"/>
      </w:r>
    </w:p>
    <w:p w:rsidR="00580B8E" w:rsidRDefault="00FF18D0" w:rsidP="00FF18D0">
      <w:pPr>
        <w:pStyle w:val="Heading4"/>
        <w:numPr>
          <w:ilvl w:val="0"/>
          <w:numId w:val="0"/>
        </w:numPr>
        <w:spacing w:after="0"/>
        <w:ind w:left="2160" w:hanging="720"/>
        <w:contextualSpacing/>
        <w:jc w:val="left"/>
      </w:pPr>
      <w:r>
        <w:lastRenderedPageBreak/>
        <w:t>c.</w:t>
      </w:r>
      <w:r>
        <w:tab/>
      </w:r>
      <w:r w:rsidR="00580B8E">
        <w:t>Large C&amp;I Customer Class – Rates</w:t>
      </w:r>
      <w:bookmarkEnd w:id="51"/>
      <w:r>
        <w:fldChar w:fldCharType="begin"/>
      </w:r>
      <w:r>
        <w:instrText xml:space="preserve"> TC "</w:instrText>
      </w:r>
      <w:bookmarkStart w:id="52" w:name="_Toc340670009"/>
      <w:r w:rsidRPr="009B7B20">
        <w:instrText>c.</w:instrText>
      </w:r>
      <w:r w:rsidRPr="009B7B20">
        <w:tab/>
        <w:instrText>Large C&amp;I Customer Class – Rates</w:instrText>
      </w:r>
      <w:bookmarkEnd w:id="52"/>
      <w:r>
        <w:instrText xml:space="preserve">" \f C \l "4" </w:instrText>
      </w:r>
      <w:r>
        <w:fldChar w:fldCharType="end"/>
      </w:r>
    </w:p>
    <w:p w:rsidR="00813BEA" w:rsidRPr="00813BEA" w:rsidRDefault="00813BEA" w:rsidP="00466DFE">
      <w:pPr>
        <w:pStyle w:val="BodyText2"/>
        <w:spacing w:after="0" w:line="360" w:lineRule="auto"/>
      </w:pPr>
    </w:p>
    <w:p w:rsidR="009C7964" w:rsidRDefault="009C7964" w:rsidP="001F1974">
      <w:pPr>
        <w:pStyle w:val="BodyText2"/>
        <w:spacing w:after="0" w:line="360" w:lineRule="auto"/>
        <w:contextualSpacing/>
        <w:jc w:val="left"/>
      </w:pPr>
      <w:r>
        <w:tab/>
      </w:r>
      <w:r>
        <w:tab/>
        <w:t xml:space="preserve">No changes are proposed from </w:t>
      </w:r>
      <w:r w:rsidR="00580B8E">
        <w:t xml:space="preserve">the DSP I Program </w:t>
      </w:r>
      <w:r>
        <w:t>regarding</w:t>
      </w:r>
      <w:r w:rsidR="00580B8E">
        <w:t xml:space="preserve"> the calculation of charges for default service to customers in the Large C&amp;I Customer class under the GSC-2.  The Company proposes to continue to collect:  </w:t>
      </w:r>
    </w:p>
    <w:p w:rsidR="00466DFE" w:rsidRDefault="00466DFE" w:rsidP="001F1974">
      <w:pPr>
        <w:pStyle w:val="BodyText2"/>
        <w:spacing w:after="0" w:line="360" w:lineRule="auto"/>
        <w:contextualSpacing/>
        <w:jc w:val="left"/>
      </w:pPr>
    </w:p>
    <w:p w:rsidR="009C7964" w:rsidRDefault="00855F83" w:rsidP="00855F83">
      <w:pPr>
        <w:pStyle w:val="BodyText2"/>
        <w:spacing w:after="0" w:line="240" w:lineRule="auto"/>
        <w:ind w:left="2160" w:right="1440"/>
        <w:jc w:val="left"/>
      </w:pPr>
      <w:r>
        <w:t>(1)</w:t>
      </w:r>
      <w:r>
        <w:tab/>
      </w:r>
      <w:r w:rsidR="009C7964">
        <w:t>A</w:t>
      </w:r>
      <w:r w:rsidR="00580B8E">
        <w:t>n energy charge per kWh based on the real time hourly spot-market price and the customer’s actual hourly energy usage</w:t>
      </w:r>
      <w:r w:rsidR="009C7964">
        <w:t>;</w:t>
      </w:r>
    </w:p>
    <w:p w:rsidR="00466DFE" w:rsidRDefault="00466DFE" w:rsidP="00855F83">
      <w:pPr>
        <w:pStyle w:val="BodyText2"/>
        <w:spacing w:after="0" w:line="240" w:lineRule="auto"/>
        <w:ind w:left="2160" w:right="1440"/>
        <w:jc w:val="left"/>
      </w:pPr>
    </w:p>
    <w:p w:rsidR="009C7964" w:rsidRDefault="009C7964" w:rsidP="00855F83">
      <w:pPr>
        <w:pStyle w:val="BodyText2"/>
        <w:spacing w:after="0" w:line="240" w:lineRule="auto"/>
        <w:ind w:left="2160" w:right="1440"/>
        <w:jc w:val="left"/>
      </w:pPr>
      <w:r>
        <w:t>(2</w:t>
      </w:r>
      <w:r w:rsidR="00855F83">
        <w:t>)</w:t>
      </w:r>
      <w:r w:rsidR="00855F83">
        <w:tab/>
      </w:r>
      <w:r>
        <w:t>A</w:t>
      </w:r>
      <w:r w:rsidR="00580B8E">
        <w:t xml:space="preserve"> capacity charge per kW based on the PJM reliability pricing model (“RPM”) price for capacity and the customer’s peak load contribution</w:t>
      </w:r>
      <w:r>
        <w:t>;</w:t>
      </w:r>
      <w:r w:rsidR="00580B8E">
        <w:t xml:space="preserve"> and </w:t>
      </w:r>
    </w:p>
    <w:p w:rsidR="00466DFE" w:rsidRDefault="00466DFE" w:rsidP="00855F83">
      <w:pPr>
        <w:pStyle w:val="BodyText2"/>
        <w:spacing w:after="0" w:line="240" w:lineRule="auto"/>
        <w:ind w:left="2160" w:right="1440"/>
        <w:jc w:val="left"/>
      </w:pPr>
    </w:p>
    <w:p w:rsidR="009C7964" w:rsidRDefault="00855F83" w:rsidP="00855F83">
      <w:pPr>
        <w:pStyle w:val="BodyText2"/>
        <w:spacing w:after="0" w:line="240" w:lineRule="auto"/>
        <w:ind w:left="2160" w:right="1440"/>
        <w:contextualSpacing/>
        <w:jc w:val="left"/>
      </w:pPr>
      <w:r>
        <w:t>(3)</w:t>
      </w:r>
      <w:r>
        <w:tab/>
      </w:r>
      <w:r w:rsidR="009C7964">
        <w:t>A</w:t>
      </w:r>
      <w:r w:rsidR="00580B8E">
        <w:t xml:space="preserve">n energy charge per kWh to recover all supplier charges and PPL Electric’s costs of administration, including an amortization of the costs of procurement.  </w:t>
      </w:r>
    </w:p>
    <w:p w:rsidR="00813BEA" w:rsidRDefault="00580B8E" w:rsidP="00855F83">
      <w:pPr>
        <w:pStyle w:val="BodyText2"/>
        <w:spacing w:after="0" w:line="240" w:lineRule="auto"/>
        <w:ind w:left="2160" w:right="1440"/>
        <w:contextualSpacing/>
        <w:jc w:val="left"/>
      </w:pPr>
      <w:proofErr w:type="gramStart"/>
      <w:r>
        <w:t>(PPL Electric Ex. 1, p. 32).</w:t>
      </w:r>
      <w:proofErr w:type="gramEnd"/>
      <w:r>
        <w:t xml:space="preserve"> </w:t>
      </w:r>
    </w:p>
    <w:p w:rsidR="00466DFE" w:rsidRDefault="00466DFE" w:rsidP="001F1974">
      <w:pPr>
        <w:pStyle w:val="BodyText2"/>
        <w:spacing w:after="0" w:line="360" w:lineRule="auto"/>
        <w:contextualSpacing/>
        <w:jc w:val="left"/>
      </w:pPr>
    </w:p>
    <w:p w:rsidR="00813BEA" w:rsidRDefault="00813BEA" w:rsidP="001F1974">
      <w:pPr>
        <w:pStyle w:val="BodyText2"/>
        <w:spacing w:after="0" w:line="360" w:lineRule="auto"/>
        <w:jc w:val="left"/>
      </w:pPr>
      <w:r>
        <w:tab/>
      </w:r>
      <w:r>
        <w:tab/>
        <w:t xml:space="preserve">The energy charge per kWh to cover supplier charges and administrative costs is revised annually, consistent with the annual procurement process for default service supplies for </w:t>
      </w:r>
      <w:r w:rsidR="008177A1">
        <w:t xml:space="preserve">the Large C&amp;I customer class.  </w:t>
      </w:r>
      <w:r>
        <w:t>PPL Electric Ex. 1</w:t>
      </w:r>
      <w:r w:rsidR="008177A1">
        <w:t xml:space="preserve"> at</w:t>
      </w:r>
      <w:r>
        <w:t xml:space="preserve"> p. 32.  The energy charge for real-time hourly spot market prices and capacity charge are derived from PJM markets.  </w:t>
      </w:r>
      <w:proofErr w:type="gramStart"/>
      <w:r>
        <w:t>PPL Electric MB at 57.</w:t>
      </w:r>
      <w:proofErr w:type="gramEnd"/>
    </w:p>
    <w:p w:rsidR="00813BEA" w:rsidRDefault="00813BEA" w:rsidP="00855F83">
      <w:pPr>
        <w:pStyle w:val="BodyText2"/>
        <w:spacing w:after="0" w:line="360" w:lineRule="auto"/>
        <w:jc w:val="left"/>
      </w:pPr>
    </w:p>
    <w:p w:rsidR="00813BEA" w:rsidRDefault="00813BEA" w:rsidP="00855F83">
      <w:pPr>
        <w:pStyle w:val="BodyText2"/>
        <w:spacing w:after="0" w:line="360" w:lineRule="auto"/>
        <w:jc w:val="left"/>
      </w:pPr>
      <w:r>
        <w:tab/>
      </w:r>
      <w:r>
        <w:tab/>
        <w:t>No party has challenged the structure of rates for the Large C&amp;I customer class, and PPL Electric’s</w:t>
      </w:r>
      <w:r w:rsidR="00466DFE">
        <w:t xml:space="preserve"> proposal should be approved.  </w:t>
      </w:r>
    </w:p>
    <w:p w:rsidR="009C7964" w:rsidRDefault="009C7964" w:rsidP="00855F83">
      <w:pPr>
        <w:pStyle w:val="BodyText2"/>
        <w:spacing w:after="0" w:line="360" w:lineRule="auto"/>
        <w:contextualSpacing/>
        <w:jc w:val="left"/>
      </w:pPr>
    </w:p>
    <w:p w:rsidR="00580B8E" w:rsidRDefault="00FF18D0" w:rsidP="00FF18D0">
      <w:pPr>
        <w:pStyle w:val="Heading4"/>
        <w:keepNext/>
        <w:numPr>
          <w:ilvl w:val="0"/>
          <w:numId w:val="0"/>
        </w:numPr>
        <w:spacing w:after="0"/>
        <w:ind w:left="2160" w:hanging="720"/>
      </w:pPr>
      <w:bookmarkStart w:id="53" w:name="_Toc337196660"/>
      <w:r>
        <w:t>d.</w:t>
      </w:r>
      <w:r>
        <w:tab/>
      </w:r>
      <w:r w:rsidR="00580B8E">
        <w:t>Large C&amp;I Customer Class – Reconciliation</w:t>
      </w:r>
      <w:bookmarkEnd w:id="53"/>
      <w:r>
        <w:fldChar w:fldCharType="begin"/>
      </w:r>
      <w:r>
        <w:instrText xml:space="preserve"> TC "</w:instrText>
      </w:r>
      <w:bookmarkStart w:id="54" w:name="_Toc340670010"/>
      <w:r w:rsidRPr="009B7B20">
        <w:instrText>d.</w:instrText>
      </w:r>
      <w:r w:rsidRPr="009B7B20">
        <w:tab/>
        <w:instrText>Large C&amp;I Customer Class – Reconciliation</w:instrText>
      </w:r>
      <w:bookmarkEnd w:id="54"/>
      <w:r>
        <w:instrText xml:space="preserve">" \f C \l "4" </w:instrText>
      </w:r>
      <w:r>
        <w:fldChar w:fldCharType="end"/>
      </w:r>
    </w:p>
    <w:p w:rsidR="00466DFE" w:rsidRPr="00466DFE" w:rsidRDefault="00466DFE" w:rsidP="00855F83">
      <w:pPr>
        <w:pStyle w:val="BodyText2"/>
        <w:spacing w:after="0" w:line="360" w:lineRule="auto"/>
      </w:pPr>
    </w:p>
    <w:p w:rsidR="00580B8E" w:rsidRDefault="00580B8E" w:rsidP="001F1974">
      <w:pPr>
        <w:pStyle w:val="BodyText2"/>
        <w:spacing w:after="0" w:line="240" w:lineRule="auto"/>
        <w:ind w:left="1440" w:right="1440"/>
        <w:jc w:val="left"/>
      </w:pPr>
      <w:r>
        <w:t xml:space="preserve">PPL Electric currently reconciles the GSC-2 revenues and costs on an annual basis.  </w:t>
      </w:r>
      <w:proofErr w:type="gramStart"/>
      <w:r>
        <w:t>(PPL Electric St. 5-R, p. 8).</w:t>
      </w:r>
      <w:proofErr w:type="gramEnd"/>
      <w:r>
        <w:t xml:space="preserve">  This is consistent with the fact that the bulk of the charges are pass-throughs of PJM real-time spot and capacity charges, and the annual non-laddered procurement of contracts from suppliers.  PPL Electric has proposed no change to this reconciliation methodology in DSP II.  PPL Electric proposes that any remaining over or under collection </w:t>
      </w:r>
      <w:r>
        <w:lastRenderedPageBreak/>
        <w:t>from the DSP I Program be included in the ongoing GSC-2 charge reconciliation.  PPL Electric is not aware of any challenge to the proposed continuation of annual reconciliation of the GSC-2 charge.  It is noted that over 98% of Large C&amp;I customer load is currently shopping and thus there is no reason, from a shopping perspective, to change the existing process of reconciliation.</w:t>
      </w:r>
    </w:p>
    <w:p w:rsidR="009C7964" w:rsidRDefault="009C7964" w:rsidP="001F1974">
      <w:pPr>
        <w:pStyle w:val="BodyText2"/>
        <w:spacing w:after="0" w:line="240" w:lineRule="auto"/>
        <w:jc w:val="left"/>
      </w:pPr>
      <w:r>
        <w:t>PPL Electric MB at 57-58.</w:t>
      </w:r>
    </w:p>
    <w:p w:rsidR="00466DFE" w:rsidRDefault="00466DFE" w:rsidP="00855F83">
      <w:pPr>
        <w:pStyle w:val="BodyText2"/>
        <w:spacing w:after="0" w:line="360" w:lineRule="auto"/>
        <w:jc w:val="left"/>
      </w:pPr>
    </w:p>
    <w:p w:rsidR="009C7964" w:rsidRDefault="005D6954" w:rsidP="00855F83">
      <w:pPr>
        <w:pStyle w:val="BodyText2"/>
        <w:spacing w:after="0" w:line="360" w:lineRule="auto"/>
        <w:contextualSpacing/>
        <w:jc w:val="left"/>
      </w:pPr>
      <w:r>
        <w:tab/>
      </w:r>
      <w:r>
        <w:tab/>
        <w:t>There is no opposition to this proposal, and it is recommended for approval.</w:t>
      </w:r>
    </w:p>
    <w:p w:rsidR="009C7964" w:rsidRDefault="009C7964" w:rsidP="00855F83">
      <w:pPr>
        <w:pStyle w:val="BodyText2"/>
        <w:spacing w:after="0" w:line="360" w:lineRule="auto"/>
        <w:ind w:left="1440" w:right="1440"/>
      </w:pPr>
    </w:p>
    <w:p w:rsidR="00580B8E" w:rsidRDefault="00FF18D0" w:rsidP="00FF18D0">
      <w:pPr>
        <w:pStyle w:val="Heading4"/>
        <w:keepNext/>
        <w:numPr>
          <w:ilvl w:val="0"/>
          <w:numId w:val="0"/>
        </w:numPr>
        <w:spacing w:after="0"/>
        <w:ind w:left="2160" w:hanging="720"/>
      </w:pPr>
      <w:bookmarkStart w:id="55" w:name="_Toc337196661"/>
      <w:r>
        <w:t>e.</w:t>
      </w:r>
      <w:r>
        <w:tab/>
      </w:r>
      <w:r w:rsidR="00580B8E">
        <w:t>The Green Power Program</w:t>
      </w:r>
      <w:bookmarkEnd w:id="55"/>
      <w:r>
        <w:fldChar w:fldCharType="begin"/>
      </w:r>
      <w:r>
        <w:instrText xml:space="preserve"> TC "</w:instrText>
      </w:r>
      <w:bookmarkStart w:id="56" w:name="_Toc340670011"/>
      <w:r w:rsidRPr="009B7B20">
        <w:instrText>e.</w:instrText>
      </w:r>
      <w:r w:rsidRPr="009B7B20">
        <w:tab/>
        <w:instrText>The Green Power Program</w:instrText>
      </w:r>
      <w:bookmarkEnd w:id="56"/>
      <w:r>
        <w:instrText xml:space="preserve">" \f C \l "4" </w:instrText>
      </w:r>
      <w:r>
        <w:fldChar w:fldCharType="end"/>
      </w:r>
    </w:p>
    <w:p w:rsidR="00466DFE" w:rsidRPr="00466DFE" w:rsidRDefault="00466DFE" w:rsidP="00855F83">
      <w:pPr>
        <w:pStyle w:val="BodyText2"/>
        <w:spacing w:after="0" w:line="360" w:lineRule="auto"/>
      </w:pPr>
    </w:p>
    <w:p w:rsidR="009C7964" w:rsidRDefault="00BF7C41" w:rsidP="00C50B37">
      <w:pPr>
        <w:pStyle w:val="ListNumber"/>
        <w:numPr>
          <w:ilvl w:val="0"/>
          <w:numId w:val="0"/>
        </w:numPr>
        <w:tabs>
          <w:tab w:val="clear" w:pos="1170"/>
        </w:tabs>
        <w:spacing w:line="360" w:lineRule="auto"/>
        <w:ind w:firstLine="720"/>
        <w:contextualSpacing/>
        <w:jc w:val="left"/>
      </w:pPr>
      <w:r>
        <w:tab/>
      </w:r>
      <w:r w:rsidR="00580B8E">
        <w:t>The Green Power Program was implemented</w:t>
      </w:r>
      <w:r w:rsidR="00103C91">
        <w:t xml:space="preserve"> August 11, 2009,</w:t>
      </w:r>
      <w:r w:rsidR="00580B8E">
        <w:t xml:space="preserve"> to provide Residential and Small C&amp;I default service customers with an option to pay a fee, in addition to their monthly bill, with the fees of all participating customers used to purchase AECs. PPL Electric S</w:t>
      </w:r>
      <w:r w:rsidR="00103C91">
        <w:t>tmt</w:t>
      </w:r>
      <w:r w:rsidR="00580B8E">
        <w:t>. 4</w:t>
      </w:r>
      <w:r w:rsidR="00103C91">
        <w:t xml:space="preserve"> at</w:t>
      </w:r>
      <w:r w:rsidR="00580B8E">
        <w:t>. 34.  Customer participation has never exce</w:t>
      </w:r>
      <w:r w:rsidR="00103C91">
        <w:t xml:space="preserve">eded a few hundred customers.  </w:t>
      </w:r>
      <w:r w:rsidR="00580B8E">
        <w:t>PPL Electric St</w:t>
      </w:r>
      <w:r w:rsidR="00103C91">
        <w:t>mt. 4 at</w:t>
      </w:r>
      <w:r w:rsidR="00580B8E">
        <w:t xml:space="preserve"> 34</w:t>
      </w:r>
      <w:r w:rsidR="00103C91">
        <w:t>; PPL Electric MB at 58.</w:t>
      </w:r>
      <w:r w:rsidR="00580B8E">
        <w:t xml:space="preserve">  </w:t>
      </w:r>
    </w:p>
    <w:p w:rsidR="005D6954" w:rsidRDefault="005D6954" w:rsidP="001F1974">
      <w:pPr>
        <w:pStyle w:val="ListNumber"/>
        <w:numPr>
          <w:ilvl w:val="0"/>
          <w:numId w:val="0"/>
        </w:numPr>
        <w:spacing w:line="360" w:lineRule="auto"/>
        <w:ind w:firstLine="720"/>
        <w:contextualSpacing/>
        <w:jc w:val="both"/>
      </w:pPr>
    </w:p>
    <w:p w:rsidR="00103C91" w:rsidRDefault="005D6954" w:rsidP="00C50B37">
      <w:pPr>
        <w:pStyle w:val="ListNumber"/>
        <w:numPr>
          <w:ilvl w:val="0"/>
          <w:numId w:val="0"/>
        </w:numPr>
        <w:tabs>
          <w:tab w:val="clear" w:pos="1170"/>
        </w:tabs>
        <w:spacing w:line="360" w:lineRule="auto"/>
        <w:ind w:firstLine="720"/>
        <w:contextualSpacing/>
        <w:jc w:val="left"/>
      </w:pPr>
      <w:r>
        <w:tab/>
      </w:r>
      <w:r w:rsidR="009C7964">
        <w:t xml:space="preserve">PPL Electric is proposing to terminate </w:t>
      </w:r>
      <w:r w:rsidR="00103C91">
        <w:t xml:space="preserve">this program </w:t>
      </w:r>
      <w:r w:rsidR="009C7964">
        <w:t>on May 31, 2013</w:t>
      </w:r>
      <w:r w:rsidR="00103C91">
        <w:t xml:space="preserve"> for several reasons</w:t>
      </w:r>
      <w:r w:rsidR="009C7964">
        <w:t>.</w:t>
      </w:r>
      <w:r>
        <w:t xml:space="preserve">  </w:t>
      </w:r>
      <w:r w:rsidR="00103C91">
        <w:t>The contract between PPL Electric and the supplier of the AECs,</w:t>
      </w:r>
      <w:r w:rsidR="00580B8E">
        <w:t xml:space="preserve"> Community Energy, Inc.</w:t>
      </w:r>
      <w:r w:rsidR="00103C91">
        <w:t>,</w:t>
      </w:r>
      <w:r w:rsidR="00580B8E">
        <w:t xml:space="preserve"> will terminate on May 31, 2013</w:t>
      </w:r>
      <w:r w:rsidR="00103C91">
        <w:t>, coinciding with the implementation of the DSP II</w:t>
      </w:r>
      <w:r w:rsidR="00580B8E">
        <w:t xml:space="preserve">.  </w:t>
      </w:r>
    </w:p>
    <w:p w:rsidR="00103C91" w:rsidRDefault="00103C91" w:rsidP="00466DFE">
      <w:pPr>
        <w:pStyle w:val="ListNumber"/>
        <w:numPr>
          <w:ilvl w:val="0"/>
          <w:numId w:val="0"/>
        </w:numPr>
        <w:spacing w:line="360" w:lineRule="auto"/>
        <w:ind w:firstLine="720"/>
        <w:contextualSpacing/>
        <w:jc w:val="left"/>
      </w:pPr>
    </w:p>
    <w:p w:rsidR="00580B8E" w:rsidRDefault="00103C91" w:rsidP="00C50B37">
      <w:pPr>
        <w:pStyle w:val="ListNumber"/>
        <w:numPr>
          <w:ilvl w:val="0"/>
          <w:numId w:val="0"/>
        </w:numPr>
        <w:tabs>
          <w:tab w:val="clear" w:pos="1170"/>
        </w:tabs>
        <w:spacing w:line="360" w:lineRule="auto"/>
        <w:ind w:firstLine="720"/>
        <w:contextualSpacing/>
        <w:jc w:val="left"/>
      </w:pPr>
      <w:r>
        <w:tab/>
        <w:t>More importantly, the Company</w:t>
      </w:r>
      <w:r w:rsidR="00580B8E">
        <w:t xml:space="preserve"> believes that this type of optional service should be offered by competitive market participants, not </w:t>
      </w:r>
      <w:r>
        <w:t xml:space="preserve">by a Default Service provider. </w:t>
      </w:r>
      <w:r w:rsidR="00580B8E">
        <w:t>PPL Electric St</w:t>
      </w:r>
      <w:r>
        <w:t>mt</w:t>
      </w:r>
      <w:r w:rsidR="00580B8E">
        <w:t>. 4</w:t>
      </w:r>
      <w:r>
        <w:t xml:space="preserve"> at</w:t>
      </w:r>
      <w:r w:rsidR="00580B8E">
        <w:t xml:space="preserve"> 34.  The Company proposes to send a </w:t>
      </w:r>
      <w:proofErr w:type="gramStart"/>
      <w:r w:rsidR="00580B8E">
        <w:t>letter  to</w:t>
      </w:r>
      <w:proofErr w:type="gramEnd"/>
      <w:r w:rsidR="00580B8E">
        <w:t xml:space="preserve"> each participant prior to the contract termination date informing each customer that the Green Power Program will be ending.  PPL Electric St</w:t>
      </w:r>
      <w:r>
        <w:t>mt</w:t>
      </w:r>
      <w:r w:rsidR="00580B8E">
        <w:t>. 4</w:t>
      </w:r>
      <w:r>
        <w:t xml:space="preserve"> at </w:t>
      </w:r>
      <w:r w:rsidR="00580B8E">
        <w:t>34</w:t>
      </w:r>
      <w:r>
        <w:t>; PPL Electric MB at 58.</w:t>
      </w:r>
    </w:p>
    <w:p w:rsidR="00466DFE" w:rsidRDefault="00466DFE" w:rsidP="00466DFE">
      <w:pPr>
        <w:pStyle w:val="ListNumber"/>
        <w:numPr>
          <w:ilvl w:val="0"/>
          <w:numId w:val="0"/>
        </w:numPr>
        <w:spacing w:line="360" w:lineRule="auto"/>
        <w:ind w:firstLine="720"/>
        <w:contextualSpacing/>
        <w:jc w:val="left"/>
      </w:pPr>
    </w:p>
    <w:p w:rsidR="00607E8A" w:rsidRDefault="005D6954" w:rsidP="00C50B37">
      <w:pPr>
        <w:pStyle w:val="ListNumber"/>
        <w:numPr>
          <w:ilvl w:val="0"/>
          <w:numId w:val="0"/>
        </w:numPr>
        <w:tabs>
          <w:tab w:val="clear" w:pos="1170"/>
        </w:tabs>
        <w:spacing w:line="360" w:lineRule="auto"/>
        <w:ind w:firstLine="720"/>
        <w:contextualSpacing/>
        <w:jc w:val="left"/>
      </w:pPr>
      <w:r>
        <w:tab/>
      </w:r>
      <w:r w:rsidR="00580B8E">
        <w:t xml:space="preserve">SEF and RESA raised concerns about the Company’s proposal to allow the Green Power Program </w:t>
      </w:r>
      <w:r w:rsidR="00607E8A">
        <w:t xml:space="preserve">to </w:t>
      </w:r>
      <w:r w:rsidR="00580B8E">
        <w:t>expire</w:t>
      </w:r>
      <w:r w:rsidR="00607E8A">
        <w:t>.</w:t>
      </w:r>
      <w:r w:rsidR="00580B8E">
        <w:t xml:space="preserve"> </w:t>
      </w:r>
    </w:p>
    <w:p w:rsidR="00607E8A" w:rsidRDefault="00607E8A" w:rsidP="001F1974">
      <w:pPr>
        <w:pStyle w:val="ListNumber"/>
        <w:numPr>
          <w:ilvl w:val="0"/>
          <w:numId w:val="0"/>
        </w:numPr>
        <w:spacing w:line="360" w:lineRule="auto"/>
        <w:ind w:firstLine="720"/>
        <w:jc w:val="both"/>
      </w:pPr>
    </w:p>
    <w:p w:rsidR="00607E8A" w:rsidRDefault="004A65F4" w:rsidP="00C50B37">
      <w:pPr>
        <w:pStyle w:val="ListNumber"/>
        <w:numPr>
          <w:ilvl w:val="0"/>
          <w:numId w:val="0"/>
        </w:numPr>
        <w:tabs>
          <w:tab w:val="clear" w:pos="1170"/>
        </w:tabs>
        <w:spacing w:line="360" w:lineRule="auto"/>
        <w:ind w:firstLine="720"/>
        <w:jc w:val="left"/>
      </w:pPr>
      <w:r>
        <w:tab/>
      </w:r>
      <w:r w:rsidR="00580B8E">
        <w:t xml:space="preserve">SEF contends that the Green Power Program should not be eliminated because it provides “significant benefits” to ratepayers.  (SEF St. 1, pp. 4-5).  </w:t>
      </w:r>
      <w:r w:rsidR="00607E8A">
        <w:t xml:space="preserve">In the alternative to </w:t>
      </w:r>
      <w:r w:rsidR="00607E8A">
        <w:lastRenderedPageBreak/>
        <w:t>continuing the program, SEF recommends that the utility send a letter to each Green Power customer advising them that it will be ending and that green power rate options may be available from EGSs.  Then,</w:t>
      </w:r>
    </w:p>
    <w:p w:rsidR="00466DFE" w:rsidRDefault="00466DFE" w:rsidP="001F1974">
      <w:pPr>
        <w:pStyle w:val="ListNumber"/>
        <w:numPr>
          <w:ilvl w:val="0"/>
          <w:numId w:val="0"/>
        </w:numPr>
        <w:spacing w:line="360" w:lineRule="auto"/>
        <w:ind w:firstLine="720"/>
        <w:jc w:val="left"/>
      </w:pPr>
    </w:p>
    <w:p w:rsidR="00607E8A" w:rsidRDefault="00607E8A" w:rsidP="00466DFE">
      <w:pPr>
        <w:pStyle w:val="ListNumber"/>
        <w:numPr>
          <w:ilvl w:val="0"/>
          <w:numId w:val="0"/>
        </w:numPr>
        <w:spacing w:line="240" w:lineRule="auto"/>
        <w:ind w:left="1440" w:right="1440"/>
        <w:contextualSpacing/>
        <w:jc w:val="left"/>
      </w:pPr>
      <w:r>
        <w:t>At the election of EGSs and at the sole expense of electing EGSs, the Company will send a second letter to participating Green Power customers containing offers of EGSs for green products.  SEF believes that this offer of compromise will ensure that Green Power program participants are given timely notice of the end of the program and are apprised of available options, provided that EGSs are sufficiently interested in their business.</w:t>
      </w:r>
    </w:p>
    <w:p w:rsidR="00607E8A" w:rsidRDefault="00607E8A" w:rsidP="001F1974">
      <w:pPr>
        <w:pStyle w:val="ListNumber"/>
        <w:numPr>
          <w:ilvl w:val="0"/>
          <w:numId w:val="0"/>
        </w:numPr>
        <w:spacing w:line="360" w:lineRule="auto"/>
        <w:jc w:val="both"/>
      </w:pPr>
      <w:r>
        <w:t>SEF MB at 8.</w:t>
      </w:r>
    </w:p>
    <w:p w:rsidR="005D6954" w:rsidRDefault="005D6954" w:rsidP="001F1974">
      <w:pPr>
        <w:pStyle w:val="ListNumber"/>
        <w:numPr>
          <w:ilvl w:val="0"/>
          <w:numId w:val="0"/>
        </w:numPr>
        <w:spacing w:line="360" w:lineRule="auto"/>
        <w:jc w:val="both"/>
      </w:pPr>
    </w:p>
    <w:p w:rsidR="00607E8A" w:rsidRDefault="004A65F4" w:rsidP="00C50B37">
      <w:pPr>
        <w:pStyle w:val="ListNumber"/>
        <w:numPr>
          <w:ilvl w:val="0"/>
          <w:numId w:val="0"/>
        </w:numPr>
        <w:tabs>
          <w:tab w:val="clear" w:pos="1170"/>
        </w:tabs>
        <w:spacing w:line="360" w:lineRule="auto"/>
        <w:ind w:firstLine="720"/>
        <w:jc w:val="left"/>
      </w:pPr>
      <w:r>
        <w:tab/>
      </w:r>
      <w:r w:rsidR="007233C9">
        <w:t>RESA agrees that the program should be permitted to expire and agrees with the Company that this type of optional service should be provided by the competitive market.  RESA MB at 45.</w:t>
      </w:r>
    </w:p>
    <w:p w:rsidR="00466DFE" w:rsidRDefault="00466DFE" w:rsidP="00466DFE">
      <w:pPr>
        <w:pStyle w:val="ListNumber"/>
        <w:numPr>
          <w:ilvl w:val="0"/>
          <w:numId w:val="0"/>
        </w:numPr>
        <w:spacing w:line="360" w:lineRule="auto"/>
        <w:ind w:firstLine="720"/>
        <w:jc w:val="left"/>
      </w:pPr>
    </w:p>
    <w:p w:rsidR="007233C9" w:rsidRDefault="00580B8E" w:rsidP="00466DFE">
      <w:pPr>
        <w:pStyle w:val="ListNumber"/>
        <w:numPr>
          <w:ilvl w:val="0"/>
          <w:numId w:val="0"/>
        </w:numPr>
        <w:spacing w:line="240" w:lineRule="auto"/>
        <w:ind w:left="1440" w:right="1440" w:firstLine="720"/>
        <w:contextualSpacing/>
        <w:jc w:val="left"/>
      </w:pPr>
      <w:r>
        <w:t xml:space="preserve">Notably, in August of this year, the PaPowerSwitch website listed two credit purchase programs similar to the Green Power Program and thirteen (13) green energy programs offered by EGSs.  (PPL Electric St. 4-R, p. 50).  Furthermore, the Company’s Green Power Program has a disadvantage in that participating customers cannot shop for electricity and, thereby, lose the opportunity to achieve additional savings. </w:t>
      </w:r>
      <w:r>
        <w:rPr>
          <w:i/>
        </w:rPr>
        <w:t>Id.</w:t>
      </w:r>
    </w:p>
    <w:p w:rsidR="007233C9" w:rsidRDefault="007233C9" w:rsidP="001F1974">
      <w:pPr>
        <w:pStyle w:val="ListNumber"/>
        <w:numPr>
          <w:ilvl w:val="0"/>
          <w:numId w:val="0"/>
        </w:numPr>
        <w:jc w:val="left"/>
      </w:pPr>
      <w:r>
        <w:t>PPL Electric MB at 58.</w:t>
      </w:r>
    </w:p>
    <w:p w:rsidR="007233C9" w:rsidRDefault="007233C9" w:rsidP="001F1974">
      <w:pPr>
        <w:pStyle w:val="ListNumber"/>
        <w:numPr>
          <w:ilvl w:val="0"/>
          <w:numId w:val="0"/>
        </w:numPr>
        <w:spacing w:line="360" w:lineRule="auto"/>
        <w:ind w:firstLine="720"/>
        <w:jc w:val="left"/>
      </w:pPr>
    </w:p>
    <w:p w:rsidR="007233C9" w:rsidRDefault="007233C9" w:rsidP="00C50B37">
      <w:pPr>
        <w:pStyle w:val="ListNumber"/>
        <w:numPr>
          <w:ilvl w:val="0"/>
          <w:numId w:val="0"/>
        </w:numPr>
        <w:tabs>
          <w:tab w:val="clear" w:pos="1170"/>
        </w:tabs>
        <w:spacing w:line="360" w:lineRule="auto"/>
        <w:ind w:firstLine="1440"/>
        <w:jc w:val="left"/>
      </w:pPr>
      <w:r>
        <w:t>However, RESA has several recommendations to insure that PPL's Green Power customers will have the opportunity to obtain similar "green" products from the competitive market.  RESA recommends that PPL send two notices to each of the customers subscribing to this product, rather than just one.  At least one, if not both of the notices should contain offers (prepared at the EGS's expense) describing alternative green products offered in the competitive market.  Any Pennsylvania EGS should be eligible to participate and they should be able to discuss in their marketing material any alternative energy product that satisfies Pennsylvania's Alternative E</w:t>
      </w:r>
      <w:r w:rsidR="008177A1">
        <w:t>nergy Portfolio Standards Act (</w:t>
      </w:r>
      <w:r>
        <w:t>AEPS Act).</w:t>
      </w:r>
      <w:r w:rsidR="002F0443">
        <w:t xml:space="preserve">  </w:t>
      </w:r>
      <w:r>
        <w:t>RESA MB at 45-46.</w:t>
      </w:r>
    </w:p>
    <w:p w:rsidR="002F0443" w:rsidRDefault="002F0443" w:rsidP="001F1974">
      <w:pPr>
        <w:pStyle w:val="ListNumber"/>
        <w:numPr>
          <w:ilvl w:val="0"/>
          <w:numId w:val="0"/>
        </w:numPr>
        <w:spacing w:line="360" w:lineRule="auto"/>
        <w:jc w:val="left"/>
      </w:pPr>
    </w:p>
    <w:p w:rsidR="004A65F4" w:rsidRDefault="007233C9" w:rsidP="00C50B37">
      <w:pPr>
        <w:pStyle w:val="ListNumber"/>
        <w:numPr>
          <w:ilvl w:val="0"/>
          <w:numId w:val="0"/>
        </w:numPr>
        <w:tabs>
          <w:tab w:val="clear" w:pos="1170"/>
        </w:tabs>
        <w:spacing w:line="360" w:lineRule="auto"/>
        <w:ind w:firstLine="1440"/>
        <w:jc w:val="left"/>
      </w:pPr>
      <w:r>
        <w:lastRenderedPageBreak/>
        <w:t>As the Company states in its Reply Brief, the parties are now in agreement that the Green Power Program should be permitted to expire.  PPL Electric will notify each customer of the end of the program and advis</w:t>
      </w:r>
      <w:r w:rsidR="004A65F4">
        <w:t>e</w:t>
      </w:r>
      <w:r>
        <w:t xml:space="preserve"> them that green power rate options may be available from EGSs.  At the election of the EGSs, the Company will send a second lett</w:t>
      </w:r>
      <w:r w:rsidR="002F0443">
        <w:t xml:space="preserve">er containing offers from EGSs.  </w:t>
      </w:r>
      <w:r>
        <w:t>PPL Electric RB at 27.</w:t>
      </w:r>
      <w:r w:rsidR="005D6954">
        <w:t xml:space="preserve">  </w:t>
      </w:r>
    </w:p>
    <w:p w:rsidR="004A65F4" w:rsidRDefault="004A65F4" w:rsidP="001F1974">
      <w:pPr>
        <w:pStyle w:val="ListNumber"/>
        <w:numPr>
          <w:ilvl w:val="0"/>
          <w:numId w:val="0"/>
        </w:numPr>
        <w:spacing w:line="360" w:lineRule="auto"/>
        <w:ind w:firstLine="720"/>
        <w:jc w:val="left"/>
      </w:pPr>
    </w:p>
    <w:p w:rsidR="007233C9" w:rsidRDefault="004A65F4" w:rsidP="001F1974">
      <w:pPr>
        <w:pStyle w:val="ListNumber"/>
        <w:numPr>
          <w:ilvl w:val="0"/>
          <w:numId w:val="0"/>
        </w:numPr>
        <w:spacing w:line="360" w:lineRule="auto"/>
        <w:ind w:firstLine="720"/>
        <w:jc w:val="left"/>
      </w:pPr>
      <w:r>
        <w:tab/>
      </w:r>
      <w:r w:rsidR="005D6954">
        <w:t>The discontinuance of the Green Power Program is recommended for approval.</w:t>
      </w:r>
    </w:p>
    <w:p w:rsidR="007233C9" w:rsidRDefault="007233C9" w:rsidP="00466DFE">
      <w:pPr>
        <w:pStyle w:val="ListNumber"/>
        <w:numPr>
          <w:ilvl w:val="0"/>
          <w:numId w:val="0"/>
        </w:numPr>
        <w:spacing w:line="360" w:lineRule="auto"/>
        <w:ind w:firstLine="720"/>
        <w:jc w:val="left"/>
      </w:pPr>
    </w:p>
    <w:p w:rsidR="00580B8E" w:rsidRDefault="00FF18D0" w:rsidP="00FF18D0">
      <w:pPr>
        <w:pStyle w:val="Heading4"/>
        <w:keepNext/>
        <w:numPr>
          <w:ilvl w:val="0"/>
          <w:numId w:val="0"/>
        </w:numPr>
        <w:spacing w:after="0"/>
        <w:ind w:left="2160" w:hanging="720"/>
      </w:pPr>
      <w:bookmarkStart w:id="57" w:name="_Toc337196662"/>
      <w:r>
        <w:t>f.</w:t>
      </w:r>
      <w:r>
        <w:tab/>
      </w:r>
      <w:r w:rsidR="00580B8E">
        <w:t>Optional Monthly Pricing Service</w:t>
      </w:r>
      <w:bookmarkEnd w:id="57"/>
      <w:r>
        <w:fldChar w:fldCharType="begin"/>
      </w:r>
      <w:r>
        <w:instrText xml:space="preserve"> TC "</w:instrText>
      </w:r>
      <w:bookmarkStart w:id="58" w:name="_Toc340670012"/>
      <w:r w:rsidRPr="009B7B20">
        <w:instrText>f.</w:instrText>
      </w:r>
      <w:r w:rsidRPr="009B7B20">
        <w:tab/>
        <w:instrText>Optional Monthly Pricing Service</w:instrText>
      </w:r>
      <w:bookmarkEnd w:id="58"/>
      <w:r>
        <w:instrText xml:space="preserve">" \f C \l "4" </w:instrText>
      </w:r>
      <w:r>
        <w:fldChar w:fldCharType="end"/>
      </w:r>
    </w:p>
    <w:p w:rsidR="00466DFE" w:rsidRPr="00466DFE" w:rsidRDefault="00466DFE" w:rsidP="00466DFE">
      <w:pPr>
        <w:pStyle w:val="BodyText2"/>
        <w:spacing w:after="0" w:line="360" w:lineRule="auto"/>
      </w:pPr>
    </w:p>
    <w:p w:rsidR="002F0443" w:rsidRDefault="004A65F4" w:rsidP="00466DFE">
      <w:pPr>
        <w:pStyle w:val="ListNumber"/>
        <w:numPr>
          <w:ilvl w:val="0"/>
          <w:numId w:val="0"/>
        </w:numPr>
        <w:spacing w:line="360" w:lineRule="auto"/>
        <w:ind w:firstLine="720"/>
        <w:contextualSpacing/>
        <w:jc w:val="left"/>
      </w:pPr>
      <w:r>
        <w:tab/>
      </w:r>
      <w:r w:rsidR="00580B8E">
        <w:t>The Company proposes in this proceeding to eliminate procurements for the Opt</w:t>
      </w:r>
      <w:r w:rsidR="008177A1">
        <w:t>ional Monthly Pricing Service (</w:t>
      </w:r>
      <w:r w:rsidR="00580B8E">
        <w:t>OM</w:t>
      </w:r>
      <w:r w:rsidR="008177A1">
        <w:t>PS</w:t>
      </w:r>
      <w:r w:rsidR="00580B8E">
        <w:t>) and to eliminate this rate option for the Large C&amp;I Customer Class</w:t>
      </w:r>
      <w:r w:rsidR="002F0443">
        <w:t xml:space="preserve"> and explains:</w:t>
      </w:r>
    </w:p>
    <w:p w:rsidR="00466DFE" w:rsidRDefault="00466DFE" w:rsidP="00466DFE">
      <w:pPr>
        <w:pStyle w:val="ListNumber"/>
        <w:numPr>
          <w:ilvl w:val="0"/>
          <w:numId w:val="0"/>
        </w:numPr>
        <w:spacing w:line="360" w:lineRule="auto"/>
        <w:ind w:firstLine="720"/>
        <w:contextualSpacing/>
        <w:jc w:val="left"/>
      </w:pPr>
    </w:p>
    <w:p w:rsidR="00580B8E" w:rsidRDefault="00580B8E" w:rsidP="001F1974">
      <w:pPr>
        <w:pStyle w:val="ListNumber"/>
        <w:numPr>
          <w:ilvl w:val="0"/>
          <w:numId w:val="0"/>
        </w:numPr>
        <w:spacing w:line="240" w:lineRule="auto"/>
        <w:ind w:left="1440" w:right="1440" w:firstLine="720"/>
        <w:jc w:val="left"/>
      </w:pPr>
      <w:r>
        <w:t xml:space="preserve">The OMPS was established in the settlement of the DSP I Program, and was designed to provide a monthly fixed price service option for Large C&amp;I customers.  (PPL Electric St. 1, p. 10).  The provision of OMPS was contingent upon PPL Electric receiving bids from wholesale suppliers to provide the service.  </w:t>
      </w:r>
      <w:proofErr w:type="gramStart"/>
      <w:r>
        <w:t>In</w:t>
      </w:r>
      <w:r w:rsidR="002F0443">
        <w:t xml:space="preserve"> </w:t>
      </w:r>
      <w:r>
        <w:t>every procurement</w:t>
      </w:r>
      <w:proofErr w:type="gramEnd"/>
      <w:r>
        <w:t xml:space="preserve"> to date under the DSP I Program, no supplier has bid to provide OMPS service, and the service has never been available.  (PPL Electric St. 1, p. 10).  Based on this evidence, it is clear that no supplier is willing to undertake the risk of providing OMPS.  Therefore, the Company is proposing to discontinue offering this product.  No party has objected to this proposal, and therefore it should be adopted.</w:t>
      </w:r>
    </w:p>
    <w:p w:rsidR="002F0443" w:rsidRDefault="002F0443" w:rsidP="00466DFE">
      <w:pPr>
        <w:pStyle w:val="ListNumber"/>
        <w:numPr>
          <w:ilvl w:val="0"/>
          <w:numId w:val="0"/>
        </w:numPr>
        <w:spacing w:line="240" w:lineRule="auto"/>
        <w:jc w:val="left"/>
      </w:pPr>
      <w:r>
        <w:t>PPL Electric MB at 61.</w:t>
      </w:r>
    </w:p>
    <w:p w:rsidR="002F0443" w:rsidRDefault="002F0443" w:rsidP="00855F83">
      <w:pPr>
        <w:pStyle w:val="ListNumber"/>
        <w:numPr>
          <w:ilvl w:val="0"/>
          <w:numId w:val="0"/>
        </w:numPr>
        <w:spacing w:line="360" w:lineRule="auto"/>
        <w:jc w:val="left"/>
      </w:pPr>
    </w:p>
    <w:p w:rsidR="002F0443" w:rsidRDefault="002F0443" w:rsidP="00855F83">
      <w:pPr>
        <w:pStyle w:val="ListNumber"/>
        <w:numPr>
          <w:ilvl w:val="0"/>
          <w:numId w:val="0"/>
        </w:numPr>
        <w:spacing w:line="360" w:lineRule="auto"/>
        <w:jc w:val="left"/>
      </w:pPr>
      <w:r>
        <w:tab/>
      </w:r>
      <w:r>
        <w:tab/>
        <w:t>This proposal is recommended for approval.</w:t>
      </w:r>
    </w:p>
    <w:p w:rsidR="002F0443" w:rsidRDefault="002F0443" w:rsidP="00855F83">
      <w:pPr>
        <w:pStyle w:val="ListNumber"/>
        <w:numPr>
          <w:ilvl w:val="0"/>
          <w:numId w:val="0"/>
        </w:numPr>
        <w:spacing w:line="360" w:lineRule="auto"/>
        <w:ind w:right="1440"/>
        <w:jc w:val="left"/>
      </w:pPr>
    </w:p>
    <w:p w:rsidR="00580B8E" w:rsidRDefault="00FF18D0" w:rsidP="00FF18D0">
      <w:pPr>
        <w:pStyle w:val="Heading4"/>
        <w:keepNext/>
        <w:numPr>
          <w:ilvl w:val="0"/>
          <w:numId w:val="0"/>
        </w:numPr>
        <w:spacing w:after="0"/>
        <w:ind w:left="2160" w:hanging="720"/>
      </w:pPr>
      <w:bookmarkStart w:id="59" w:name="_Toc337196663"/>
      <w:r>
        <w:t>g.</w:t>
      </w:r>
      <w:r>
        <w:tab/>
      </w:r>
      <w:r w:rsidR="00580B8E">
        <w:t>Price to Compare Calculation Date</w:t>
      </w:r>
      <w:bookmarkEnd w:id="59"/>
      <w:r>
        <w:fldChar w:fldCharType="begin"/>
      </w:r>
      <w:r>
        <w:instrText xml:space="preserve"> TC "</w:instrText>
      </w:r>
      <w:bookmarkStart w:id="60" w:name="_Toc340670013"/>
      <w:r w:rsidRPr="009B7B20">
        <w:instrText>g.</w:instrText>
      </w:r>
      <w:r w:rsidRPr="009B7B20">
        <w:tab/>
        <w:instrText>Price to Compare Calculation Date</w:instrText>
      </w:r>
      <w:bookmarkEnd w:id="60"/>
      <w:r>
        <w:instrText xml:space="preserve">" \f C \l "4" </w:instrText>
      </w:r>
      <w:r>
        <w:fldChar w:fldCharType="end"/>
      </w:r>
    </w:p>
    <w:p w:rsidR="00D532F6" w:rsidRDefault="00D532F6" w:rsidP="00855F83">
      <w:pPr>
        <w:pStyle w:val="BodyText2"/>
        <w:spacing w:after="0" w:line="360" w:lineRule="auto"/>
        <w:jc w:val="left"/>
      </w:pPr>
    </w:p>
    <w:p w:rsidR="00D532F6" w:rsidRDefault="00D532F6" w:rsidP="00466DFE">
      <w:pPr>
        <w:pStyle w:val="BodyText2"/>
        <w:spacing w:after="0" w:line="360" w:lineRule="auto"/>
        <w:contextualSpacing/>
        <w:jc w:val="left"/>
      </w:pPr>
      <w:r>
        <w:tab/>
      </w:r>
      <w:r>
        <w:tab/>
        <w:t xml:space="preserve">The Company explains that it currently provides a preliminary PTC approximately 90 days in advance of when the final PTC is provided.  </w:t>
      </w:r>
      <w:proofErr w:type="gramStart"/>
      <w:r>
        <w:t>Tr. 157.</w:t>
      </w:r>
      <w:proofErr w:type="gramEnd"/>
      <w:r>
        <w:t xml:space="preserve"> A </w:t>
      </w:r>
      <w:r w:rsidR="00580B8E">
        <w:t xml:space="preserve">final PTC rate </w:t>
      </w:r>
      <w:r>
        <w:lastRenderedPageBreak/>
        <w:t xml:space="preserve">is published </w:t>
      </w:r>
      <w:r w:rsidR="00580B8E">
        <w:t>about 10-15 days prio</w:t>
      </w:r>
      <w:r w:rsidR="005D6954">
        <w:t xml:space="preserve">r to the rate effective date.  </w:t>
      </w:r>
      <w:proofErr w:type="gramStart"/>
      <w:r w:rsidR="00580B8E">
        <w:t>PPL Electric St</w:t>
      </w:r>
      <w:r w:rsidR="005D6954">
        <w:t>mt</w:t>
      </w:r>
      <w:r w:rsidR="00580B8E">
        <w:t>. 1-R</w:t>
      </w:r>
      <w:r w:rsidR="005D6954">
        <w:t xml:space="preserve"> at</w:t>
      </w:r>
      <w:r w:rsidR="00580B8E">
        <w:t xml:space="preserve"> 14</w:t>
      </w:r>
      <w:r w:rsidR="005D6954">
        <w:t>; PPL Electric MB at 61</w:t>
      </w:r>
      <w:r w:rsidR="00580B8E">
        <w:t>.</w:t>
      </w:r>
      <w:proofErr w:type="gramEnd"/>
      <w:r w:rsidR="00580B8E">
        <w:t xml:space="preserve">  </w:t>
      </w:r>
    </w:p>
    <w:p w:rsidR="005D6954" w:rsidRDefault="005D6954" w:rsidP="001F1974">
      <w:pPr>
        <w:pStyle w:val="BodyText2"/>
        <w:spacing w:after="0" w:line="360" w:lineRule="auto"/>
        <w:contextualSpacing/>
        <w:jc w:val="left"/>
      </w:pPr>
    </w:p>
    <w:p w:rsidR="00D532F6" w:rsidRDefault="00D532F6" w:rsidP="001F1974">
      <w:pPr>
        <w:pStyle w:val="BodyText2"/>
        <w:spacing w:after="0" w:line="360" w:lineRule="auto"/>
        <w:contextualSpacing/>
        <w:jc w:val="left"/>
      </w:pPr>
      <w:r>
        <w:tab/>
      </w:r>
      <w:r>
        <w:tab/>
      </w:r>
      <w:r w:rsidR="00580B8E">
        <w:t xml:space="preserve">RESA contends that moving default service procurements to take place approximately 60 days in advance of the applicable effective period, compared to the Company’s proposal to undertake procurements of 12-month full requirements contracts approximately 30 days in advance of the applicable effective period, will permit PPL Electric to calculate the new PTC 45 days in advance of the effective date.  RESA argues that advancing the date for calculating a new PTC will provide customers with “accurate information needed to make informed shopping decisions.”  RESA </w:t>
      </w:r>
      <w:r>
        <w:t>MB at 46-47</w:t>
      </w:r>
      <w:r w:rsidR="00580B8E">
        <w:t xml:space="preserve">.  </w:t>
      </w:r>
    </w:p>
    <w:p w:rsidR="005D6954" w:rsidRDefault="005D6954" w:rsidP="001F1974">
      <w:pPr>
        <w:pStyle w:val="BodyText2"/>
        <w:spacing w:after="0" w:line="360" w:lineRule="auto"/>
        <w:contextualSpacing/>
        <w:jc w:val="left"/>
      </w:pPr>
    </w:p>
    <w:p w:rsidR="00580B8E" w:rsidRDefault="00D532F6" w:rsidP="001F1974">
      <w:pPr>
        <w:pStyle w:val="BodyText2"/>
        <w:spacing w:after="0" w:line="360" w:lineRule="auto"/>
        <w:contextualSpacing/>
        <w:jc w:val="left"/>
      </w:pPr>
      <w:r>
        <w:tab/>
      </w:r>
      <w:r>
        <w:tab/>
      </w:r>
      <w:r w:rsidR="00580B8E">
        <w:t>PPL Electric disagrees with RESA’s proposal.</w:t>
      </w:r>
    </w:p>
    <w:p w:rsidR="00466DFE" w:rsidRDefault="00466DFE" w:rsidP="001F1974">
      <w:pPr>
        <w:pStyle w:val="BodyText2"/>
        <w:spacing w:after="0" w:line="360" w:lineRule="auto"/>
        <w:contextualSpacing/>
        <w:jc w:val="left"/>
      </w:pPr>
    </w:p>
    <w:p w:rsidR="00580B8E" w:rsidRDefault="00D532F6" w:rsidP="001F1974">
      <w:pPr>
        <w:pStyle w:val="BodyText2"/>
        <w:spacing w:after="0" w:line="240" w:lineRule="auto"/>
        <w:ind w:left="1440" w:right="1440"/>
        <w:contextualSpacing/>
        <w:jc w:val="left"/>
      </w:pPr>
      <w:r>
        <w:t xml:space="preserve">. . . </w:t>
      </w:r>
      <w:r w:rsidR="00580B8E">
        <w:t xml:space="preserve">RESA’s contention that PPL Electric should undertake the default service RFP approximately 60 days in advance of the effective period and that the Company should then provide a final PTC rate 45 days prior to the effective date will result in a less accurate PTC rate and greater E-Factor distortions.  The Company’s regulatory accounting department does not finalize its calculation of the E-factor component of the PTC until about 15 days prior to the effective date of new GSC rates.  </w:t>
      </w:r>
      <w:proofErr w:type="gramStart"/>
      <w:r w:rsidR="00580B8E">
        <w:t>(PPL Electric St. 1-R, p. 14).</w:t>
      </w:r>
      <w:proofErr w:type="gramEnd"/>
      <w:r w:rsidR="00580B8E">
        <w:t xml:space="preserve">  The Company seeks to have the most recent available over/under collection data, calculated through the end of the month prior to the new PTC date, in order to minimize the potential distortion, and resulting increased reconciliation, that would result from having less current actual data.  </w:t>
      </w:r>
      <w:proofErr w:type="gramStart"/>
      <w:r w:rsidR="00580B8E">
        <w:t>(Tr. 157).</w:t>
      </w:r>
      <w:proofErr w:type="gramEnd"/>
      <w:r w:rsidR="00580B8E">
        <w:t xml:space="preserve">  In addition, the Company receives updated forecasts of default service load on a monthly basis.  By waiting for the beginning of the month in which the PTC is calculated, the Company is able to use a more current forecast of projected sales to calculate the PTC.  Current forecasts of projected default service sales also reduce reconciliation distortions.  </w:t>
      </w:r>
      <w:proofErr w:type="gramStart"/>
      <w:r w:rsidR="00580B8E">
        <w:t>(PPL Electric St. 1-R, p. 14).</w:t>
      </w:r>
      <w:proofErr w:type="gramEnd"/>
    </w:p>
    <w:p w:rsidR="00D532F6" w:rsidRDefault="00D532F6" w:rsidP="001F1974">
      <w:pPr>
        <w:pStyle w:val="BodyText2"/>
        <w:spacing w:after="0" w:line="360" w:lineRule="auto"/>
        <w:contextualSpacing/>
        <w:jc w:val="left"/>
      </w:pPr>
      <w:r>
        <w:t>PPL Electric MB at 61-62.</w:t>
      </w:r>
    </w:p>
    <w:p w:rsidR="004052FC" w:rsidRDefault="004052FC" w:rsidP="001F1974">
      <w:pPr>
        <w:pStyle w:val="BodyText2"/>
        <w:spacing w:after="0" w:line="360" w:lineRule="auto"/>
        <w:contextualSpacing/>
        <w:jc w:val="left"/>
      </w:pPr>
    </w:p>
    <w:p w:rsidR="004052FC" w:rsidRDefault="004052FC" w:rsidP="001F1974">
      <w:pPr>
        <w:pStyle w:val="BodyText2"/>
        <w:spacing w:after="0" w:line="360" w:lineRule="auto"/>
        <w:contextualSpacing/>
        <w:jc w:val="left"/>
      </w:pPr>
      <w:r>
        <w:tab/>
      </w:r>
      <w:r>
        <w:tab/>
        <w:t>There is no dispute that reduction of reconciliation distortions is an important factor to consider.</w:t>
      </w:r>
    </w:p>
    <w:p w:rsidR="004052FC" w:rsidRDefault="004052FC" w:rsidP="001F1974">
      <w:pPr>
        <w:pStyle w:val="BodyText2"/>
        <w:spacing w:after="0" w:line="360" w:lineRule="auto"/>
        <w:contextualSpacing/>
        <w:jc w:val="left"/>
      </w:pPr>
    </w:p>
    <w:p w:rsidR="00580B8E" w:rsidRDefault="004052FC" w:rsidP="001F1974">
      <w:pPr>
        <w:pStyle w:val="BodyText2"/>
        <w:spacing w:after="0" w:line="360" w:lineRule="auto"/>
        <w:contextualSpacing/>
        <w:jc w:val="left"/>
      </w:pPr>
      <w:r>
        <w:lastRenderedPageBreak/>
        <w:tab/>
      </w:r>
      <w:r>
        <w:tab/>
        <w:t xml:space="preserve">RESA argues that publishing the PTC with more advance notice would better allow EGSs to educate customers about upcoming changes in the PTC and would allow customers to make better informed shopping decisions.  </w:t>
      </w:r>
      <w:proofErr w:type="gramStart"/>
      <w:r>
        <w:t>RESA MB at 47.</w:t>
      </w:r>
      <w:proofErr w:type="gramEnd"/>
      <w:r>
        <w:t xml:space="preserve">  While this is true, it does not change the Company's ability to forecast more accurately than the shorter time period does.  Accordingly, </w:t>
      </w:r>
      <w:r w:rsidR="00580B8E">
        <w:t>RESA’s proposal to accelerate procurements and require an earlier publication of the final PTC should be rejected.</w:t>
      </w:r>
    </w:p>
    <w:p w:rsidR="004052FC" w:rsidRDefault="004052FC" w:rsidP="00466DFE">
      <w:pPr>
        <w:pStyle w:val="BodyText2"/>
        <w:spacing w:after="0" w:line="360" w:lineRule="auto"/>
        <w:jc w:val="left"/>
      </w:pPr>
    </w:p>
    <w:p w:rsidR="00580B8E" w:rsidRDefault="00FF18D0" w:rsidP="00FF18D0">
      <w:pPr>
        <w:pStyle w:val="Heading4"/>
        <w:keepNext/>
        <w:numPr>
          <w:ilvl w:val="0"/>
          <w:numId w:val="0"/>
        </w:numPr>
        <w:spacing w:after="0"/>
        <w:ind w:left="2160" w:hanging="720"/>
        <w:jc w:val="left"/>
      </w:pPr>
      <w:bookmarkStart w:id="61" w:name="_Toc337196664"/>
      <w:r>
        <w:rPr>
          <w:color w:val="0C0C0C"/>
        </w:rPr>
        <w:t>h.</w:t>
      </w:r>
      <w:r>
        <w:rPr>
          <w:color w:val="0C0C0C"/>
        </w:rPr>
        <w:tab/>
      </w:r>
      <w:r w:rsidR="00580B8E">
        <w:rPr>
          <w:color w:val="0C0C0C"/>
        </w:rPr>
        <w:t>Recovery of Transmission</w:t>
      </w:r>
      <w:r w:rsidR="00580B8E">
        <w:t xml:space="preserve"> and Other Related Charges</w:t>
      </w:r>
      <w:bookmarkEnd w:id="61"/>
      <w:r>
        <w:fldChar w:fldCharType="begin"/>
      </w:r>
      <w:r>
        <w:instrText xml:space="preserve"> TC "</w:instrText>
      </w:r>
      <w:bookmarkStart w:id="62" w:name="_Toc340670014"/>
      <w:r w:rsidRPr="009B7B20">
        <w:rPr>
          <w:color w:val="0C0C0C"/>
        </w:rPr>
        <w:instrText>h.</w:instrText>
      </w:r>
      <w:r w:rsidRPr="009B7B20">
        <w:rPr>
          <w:color w:val="0C0C0C"/>
        </w:rPr>
        <w:tab/>
        <w:instrText>Recovery of Transmission</w:instrText>
      </w:r>
      <w:r w:rsidRPr="009B7B20">
        <w:instrText xml:space="preserve"> and Other Related Charges</w:instrText>
      </w:r>
      <w:bookmarkEnd w:id="62"/>
      <w:r>
        <w:instrText xml:space="preserve">" \f C \l "4" </w:instrText>
      </w:r>
      <w:r>
        <w:fldChar w:fldCharType="end"/>
      </w:r>
    </w:p>
    <w:p w:rsidR="00466DFE" w:rsidRPr="00466DFE" w:rsidRDefault="00466DFE" w:rsidP="00466DFE">
      <w:pPr>
        <w:pStyle w:val="BodyText2"/>
        <w:spacing w:after="0" w:line="360" w:lineRule="auto"/>
      </w:pPr>
    </w:p>
    <w:p w:rsidR="00580B8E" w:rsidRDefault="008177A1" w:rsidP="00466DFE">
      <w:pPr>
        <w:pStyle w:val="BodyText2"/>
        <w:spacing w:after="0" w:line="360" w:lineRule="auto"/>
        <w:contextualSpacing/>
        <w:jc w:val="left"/>
      </w:pPr>
      <w:r>
        <w:tab/>
      </w:r>
      <w:r>
        <w:tab/>
      </w:r>
      <w:r w:rsidR="00580B8E">
        <w:t xml:space="preserve">The Company also imposes a Transmission Service Charge (TSC) on all default service customers to recover the cost of acquiring transmission service for such customers.  </w:t>
      </w:r>
      <w:proofErr w:type="gramStart"/>
      <w:r w:rsidR="00580B8E">
        <w:t>PPL Electric St</w:t>
      </w:r>
      <w:r>
        <w:t>mt</w:t>
      </w:r>
      <w:r w:rsidR="00580B8E">
        <w:t>. 5</w:t>
      </w:r>
      <w:r>
        <w:t xml:space="preserve"> at </w:t>
      </w:r>
      <w:r w:rsidR="00580B8E">
        <w:t>10.</w:t>
      </w:r>
      <w:proofErr w:type="gramEnd"/>
      <w:r w:rsidR="00580B8E">
        <w:t xml:space="preserve">  In its filing, the Company proposed to modify the language of the TSC to clarify what FERC-approved costs are to be recovered through the TSC.  The TSC includes those charges that, under the default service Supply Master Agreement (SMA), are billed to the Company and not to default service wholesale suppliers.  </w:t>
      </w:r>
      <w:proofErr w:type="gramStart"/>
      <w:r w:rsidR="00580B8E">
        <w:t>(PPL Electric St</w:t>
      </w:r>
      <w:r>
        <w:t>mt</w:t>
      </w:r>
      <w:r w:rsidR="00580B8E">
        <w:t>. 5</w:t>
      </w:r>
      <w:r>
        <w:t xml:space="preserve"> at</w:t>
      </w:r>
      <w:r w:rsidR="00580B8E">
        <w:t xml:space="preserve"> 10; PPL Electric Ex. JMK-3).</w:t>
      </w:r>
      <w:proofErr w:type="gramEnd"/>
      <w:r w:rsidR="00580B8E">
        <w:t xml:space="preserve">  Under the SMA, PPL Electric is responsible for payment of all “non-market based transmission services” costs, which the SMA defines as network integration transmission services (NITS), transmission enhancement costs, expansion cost recovery costs, non-firm point-to-point transmission service credits, regional transmission expansion plan (RTEP) and generation deactivation charges.  </w:t>
      </w:r>
      <w:proofErr w:type="gramStart"/>
      <w:r w:rsidR="00580B8E">
        <w:t>(PPL Electric Ex. 1, Appendix A, Article 2.3 and Article 1, Definition of “non-market-based transmission services”).</w:t>
      </w:r>
      <w:proofErr w:type="gramEnd"/>
      <w:r w:rsidR="00580B8E">
        <w:t xml:space="preserve">  It is these transmission charges that PPL Electric recovers through the TSC.</w:t>
      </w:r>
    </w:p>
    <w:p w:rsidR="00466DFE" w:rsidRPr="00FF18D0" w:rsidRDefault="00466DFE" w:rsidP="00466DFE">
      <w:pPr>
        <w:pStyle w:val="BodyText2"/>
        <w:spacing w:after="0" w:line="360" w:lineRule="auto"/>
        <w:contextualSpacing/>
        <w:jc w:val="left"/>
      </w:pPr>
    </w:p>
    <w:p w:rsidR="00C50B37" w:rsidRDefault="00580B8E" w:rsidP="008177A1">
      <w:pPr>
        <w:pStyle w:val="BodyText2"/>
        <w:spacing w:after="0" w:line="240" w:lineRule="auto"/>
        <w:ind w:left="1440" w:right="1440"/>
        <w:contextualSpacing/>
        <w:jc w:val="left"/>
      </w:pPr>
      <w:r w:rsidRPr="008177A1">
        <w:t xml:space="preserve">Pursuant to PPL Electric’s tariff, the TSC is separately computed and applied to four customer classes:  Residential, Small C&amp;I, Large C&amp;I Primary and Large C&amp;I Transmission.  For TSC purposes, the Large C&amp;I – Primary customers take service at 12 kV primary voltage level and are served under Rate Schedules LP-4 and IS-P(R).  Large C&amp;I – Transmission customers take service at the 69 kV or higher transmission voltage level.  Residential and </w:t>
      </w:r>
      <w:r w:rsidR="00C50B37">
        <w:br w:type="page"/>
      </w:r>
    </w:p>
    <w:p w:rsidR="00580B8E" w:rsidRPr="008177A1" w:rsidRDefault="00580B8E" w:rsidP="008177A1">
      <w:pPr>
        <w:pStyle w:val="BodyText2"/>
        <w:spacing w:after="0" w:line="240" w:lineRule="auto"/>
        <w:ind w:left="1440" w:right="1440"/>
        <w:contextualSpacing/>
        <w:jc w:val="left"/>
      </w:pPr>
      <w:r w:rsidRPr="008177A1">
        <w:lastRenderedPageBreak/>
        <w:t xml:space="preserve">Small C&amp;I customers are served at a secondary voltage level.  </w:t>
      </w:r>
      <w:proofErr w:type="gramStart"/>
      <w:r w:rsidRPr="008177A1">
        <w:t>(PPL Electric St. 5-R, p. 10).</w:t>
      </w:r>
      <w:proofErr w:type="gramEnd"/>
      <w:r w:rsidRPr="008177A1">
        <w:rPr>
          <w:rStyle w:val="FootnoteReference"/>
        </w:rPr>
        <w:footnoteReference w:id="27"/>
      </w:r>
      <w:r w:rsidRPr="008177A1">
        <w:t xml:space="preserve">  </w:t>
      </w:r>
    </w:p>
    <w:p w:rsidR="003428F9" w:rsidRDefault="003428F9" w:rsidP="001F1974">
      <w:pPr>
        <w:pStyle w:val="BodyText2"/>
        <w:spacing w:after="0" w:line="360" w:lineRule="auto"/>
        <w:contextualSpacing/>
        <w:jc w:val="left"/>
      </w:pPr>
      <w:proofErr w:type="gramStart"/>
      <w:r>
        <w:t>PPL Electric MB at 63.</w:t>
      </w:r>
      <w:proofErr w:type="gramEnd"/>
    </w:p>
    <w:p w:rsidR="00466DFE" w:rsidRDefault="00466DFE" w:rsidP="00466DFE">
      <w:pPr>
        <w:pStyle w:val="BodyText2"/>
        <w:spacing w:after="0" w:line="360" w:lineRule="auto"/>
        <w:jc w:val="left"/>
      </w:pPr>
    </w:p>
    <w:p w:rsidR="003428F9" w:rsidRDefault="008177A1" w:rsidP="00466DFE">
      <w:pPr>
        <w:pStyle w:val="BodyText2"/>
        <w:spacing w:after="0" w:line="360" w:lineRule="auto"/>
        <w:jc w:val="left"/>
      </w:pPr>
      <w:r>
        <w:tab/>
      </w:r>
      <w:r>
        <w:tab/>
      </w:r>
      <w:r w:rsidR="003428F9" w:rsidRPr="008177A1">
        <w:t xml:space="preserve">The differing eligibility rules for Small C&amp;I customers between the GSC-1 and the TSC involve complexity and confusion. </w:t>
      </w:r>
      <w:r w:rsidR="009B4029" w:rsidRPr="008177A1">
        <w:t xml:space="preserve">Modification </w:t>
      </w:r>
      <w:r w:rsidR="009B4029">
        <w:t xml:space="preserve">of the DSP II to create a consistent definition for Small C&amp;I rather than the two present now would aid in this endeavor.  </w:t>
      </w:r>
      <w:proofErr w:type="gramStart"/>
      <w:r w:rsidR="009B4029">
        <w:t>OSBA MB at 20.</w:t>
      </w:r>
      <w:proofErr w:type="gramEnd"/>
      <w:r w:rsidR="009B4029">
        <w:t xml:space="preserve">  The Company explains:</w:t>
      </w:r>
    </w:p>
    <w:p w:rsidR="00466DFE" w:rsidRDefault="00466DFE" w:rsidP="00466DFE">
      <w:pPr>
        <w:pStyle w:val="BodyText2"/>
        <w:spacing w:after="0" w:line="360" w:lineRule="auto"/>
        <w:jc w:val="left"/>
      </w:pPr>
    </w:p>
    <w:p w:rsidR="00580B8E" w:rsidRDefault="009B4029" w:rsidP="001F1974">
      <w:pPr>
        <w:pStyle w:val="BodyText2"/>
        <w:spacing w:after="0" w:line="240" w:lineRule="auto"/>
        <w:ind w:left="1440" w:right="1440"/>
        <w:contextualSpacing/>
        <w:jc w:val="left"/>
      </w:pPr>
      <w:r>
        <w:tab/>
      </w:r>
      <w:r w:rsidR="00580B8E">
        <w:t xml:space="preserve">OSBA initially raised an issue concerning whether Small C&amp;I customers under Rate Schedule GSC-3 with a peak demand of 500 kW or greater should be switched to the Large C&amp;I Primary class for TSC purposes, and whether Large C&amp;I Primary customers under Rate Schedule LP-4 with a peak demand of less than 500 kW should be switched to the Small C&amp;I class for TSC purposes.  This proposal was based upon the fact that these customers were in the Large </w:t>
      </w:r>
      <w:proofErr w:type="gramStart"/>
      <w:r w:rsidR="00580B8E">
        <w:t>C&amp;I and Small C&amp;I</w:t>
      </w:r>
      <w:proofErr w:type="gramEnd"/>
      <w:r w:rsidR="00580B8E">
        <w:t xml:space="preserve"> customer classes, respectively, for generation procurement (GSC-1 and GSC-2) purposes.  </w:t>
      </w:r>
      <w:proofErr w:type="gramStart"/>
      <w:r w:rsidR="00580B8E">
        <w:t>(OSBA St. 1, p. 9).</w:t>
      </w:r>
      <w:proofErr w:type="gramEnd"/>
      <w:r w:rsidR="00580B8E">
        <w:t xml:space="preserve">  PPL Electric opposed OSBA’s proposed change to the assignment of customers for transmission cost purposes.  PPL Electric argued that it was more appropriate to continue the assignment of customers for TSC purposes based upon their service voltage level, rather than based upon a previously-agreed upon assignment of the customers for procurement purposes.  </w:t>
      </w:r>
      <w:proofErr w:type="gramStart"/>
      <w:r w:rsidR="00580B8E">
        <w:t>(PPL Electric St. 5-R, pp. 11-12).</w:t>
      </w:r>
      <w:proofErr w:type="gramEnd"/>
      <w:r w:rsidR="00580B8E">
        <w:t xml:space="preserve">  PPL Electric further explained that a change in the class assignment of certain customers could result in </w:t>
      </w:r>
      <w:r w:rsidR="00184BBF">
        <w:t>adverse effects</w:t>
      </w:r>
      <w:r w:rsidR="00580B8E">
        <w:t xml:space="preserve"> on such customers and cost shifting among the different customer classes.  </w:t>
      </w:r>
      <w:proofErr w:type="gramStart"/>
      <w:r w:rsidR="00580B8E">
        <w:t>(PPL Electric St. 5-R, p. 12).</w:t>
      </w:r>
      <w:proofErr w:type="gramEnd"/>
      <w:r w:rsidR="00580B8E">
        <w:t xml:space="preserve">  In surrebuttal, OSBA witness Knecht testified that it was not his intent to create a cost shifting problem, and that if PPL Electric presented credible evidence of a material amount of cost shifting, he would recommend that OSBA no longer support this adjustment.  In response, PPL Electric witness Kleha testified that the 104 Rate Schedule LP-4 customers who would be moved from the Large C&amp;I – Primary class to the Small C&amp;I class under OSBA’s proposal would collectively pay about $226,000 more (averaging over $2,000 more per customer).  In addition, the six Rate Schedule GS-3 customers who would be </w:t>
      </w:r>
      <w:r w:rsidR="00580B8E">
        <w:lastRenderedPageBreak/>
        <w:t xml:space="preserve">moved from the Small C&amp;I class to the Large C&amp;I – Primary class would collectively pay about $121,000 less.  </w:t>
      </w:r>
      <w:proofErr w:type="gramStart"/>
      <w:r w:rsidR="00580B8E">
        <w:t>(PPL Electric St. 5-RJ, pp. 1-2).</w:t>
      </w:r>
      <w:proofErr w:type="gramEnd"/>
      <w:r w:rsidR="00580B8E">
        <w:t xml:space="preserve">  Mr. Kleha further explained that the switch would not only substantially affect the individual customers who would be moved between the two TSC rate classes, but would also affect existing customers on those two classes.  Specifically, the remaining Small C&amp;I customers would receive a decrease in costs of about $152,000 while existing Large C&amp;I – Primary customers would experience an increase in costs of $47,000.  </w:t>
      </w:r>
      <w:proofErr w:type="gramStart"/>
      <w:r w:rsidR="00580B8E">
        <w:t>(PPL Electric St. 5-RJ, pp. 1-2).</w:t>
      </w:r>
      <w:proofErr w:type="gramEnd"/>
      <w:r w:rsidR="00580B8E">
        <w:t xml:space="preserve">  PPL Electric believes these class shifts are material and provide further substantial evidence that these GSC-3 and LP-4 customers should not be moved out of their existing TSC customer classes.</w:t>
      </w:r>
    </w:p>
    <w:p w:rsidR="009B4029" w:rsidRDefault="009B4029" w:rsidP="00F51969">
      <w:pPr>
        <w:pStyle w:val="BodyText2"/>
        <w:spacing w:after="0" w:line="240" w:lineRule="auto"/>
        <w:contextualSpacing/>
        <w:jc w:val="left"/>
      </w:pPr>
      <w:proofErr w:type="gramStart"/>
      <w:r>
        <w:t>PPL Electric MB at 64.</w:t>
      </w:r>
      <w:proofErr w:type="gramEnd"/>
    </w:p>
    <w:p w:rsidR="009B4029" w:rsidRDefault="009B4029" w:rsidP="00F51969">
      <w:pPr>
        <w:pStyle w:val="BodyText2"/>
        <w:spacing w:after="0" w:line="360" w:lineRule="auto"/>
        <w:ind w:right="1440"/>
        <w:contextualSpacing/>
        <w:jc w:val="left"/>
      </w:pPr>
    </w:p>
    <w:p w:rsidR="00580B8E" w:rsidRDefault="00580B8E" w:rsidP="00F51969">
      <w:pPr>
        <w:pStyle w:val="Heading5"/>
        <w:keepNext/>
        <w:tabs>
          <w:tab w:val="clear" w:pos="3600"/>
        </w:tabs>
        <w:spacing w:after="0"/>
        <w:ind w:left="2880"/>
        <w:jc w:val="left"/>
      </w:pPr>
      <w:bookmarkStart w:id="63" w:name="_Toc337196665"/>
      <w:r>
        <w:t>Costs to be Included in the TSC or GSC</w:t>
      </w:r>
      <w:bookmarkEnd w:id="63"/>
      <w:r w:rsidR="00FF18D0">
        <w:fldChar w:fldCharType="begin"/>
      </w:r>
      <w:r w:rsidR="00FF18D0">
        <w:instrText xml:space="preserve"> TC "</w:instrText>
      </w:r>
      <w:bookmarkStart w:id="64" w:name="_Toc340670015"/>
      <w:r w:rsidR="00FF18D0" w:rsidRPr="009B7B20">
        <w:instrText>Costs to be Included in the TSC or GSC</w:instrText>
      </w:r>
      <w:bookmarkEnd w:id="64"/>
      <w:r w:rsidR="00FF18D0">
        <w:instrText xml:space="preserve">" \f C \l "5" </w:instrText>
      </w:r>
      <w:r w:rsidR="00FF18D0">
        <w:fldChar w:fldCharType="end"/>
      </w:r>
    </w:p>
    <w:p w:rsidR="00466DFE" w:rsidRPr="00466DFE" w:rsidRDefault="00466DFE" w:rsidP="00F51969">
      <w:pPr>
        <w:pStyle w:val="BodyText2"/>
        <w:spacing w:after="0" w:line="360" w:lineRule="auto"/>
      </w:pPr>
    </w:p>
    <w:p w:rsidR="004C01D2" w:rsidRDefault="008177A1" w:rsidP="00F51969">
      <w:pPr>
        <w:pStyle w:val="BodyText2"/>
        <w:spacing w:after="0" w:line="360" w:lineRule="auto"/>
        <w:contextualSpacing/>
        <w:jc w:val="left"/>
      </w:pPr>
      <w:r>
        <w:tab/>
      </w:r>
      <w:r>
        <w:tab/>
      </w:r>
      <w:r w:rsidR="00580B8E">
        <w:t xml:space="preserve">Constellation </w:t>
      </w:r>
      <w:r w:rsidR="009B4029">
        <w:t xml:space="preserve">and OSBA have withdrawn their </w:t>
      </w:r>
      <w:r w:rsidR="00580B8E">
        <w:t>propos</w:t>
      </w:r>
      <w:r w:rsidR="009B4029">
        <w:t>al</w:t>
      </w:r>
      <w:r w:rsidR="00580B8E">
        <w:t xml:space="preserve"> that new economic load response (ELR) charges be recovered through the TSC rider, and not be the responsibility of wholesale default service suppliers.  </w:t>
      </w:r>
    </w:p>
    <w:p w:rsidR="004C01D2" w:rsidRDefault="004C01D2" w:rsidP="00F51969">
      <w:pPr>
        <w:pStyle w:val="BodyText2"/>
        <w:spacing w:after="0" w:line="360" w:lineRule="auto"/>
        <w:contextualSpacing/>
        <w:jc w:val="left"/>
      </w:pPr>
    </w:p>
    <w:p w:rsidR="00580B8E" w:rsidRDefault="00580B8E" w:rsidP="00F51969">
      <w:pPr>
        <w:pStyle w:val="Heading5"/>
        <w:tabs>
          <w:tab w:val="clear" w:pos="3600"/>
        </w:tabs>
        <w:spacing w:after="0"/>
        <w:ind w:left="2880"/>
      </w:pPr>
      <w:bookmarkStart w:id="65" w:name="_Toc337196666"/>
      <w:r>
        <w:t>Non-Bypassable Structure</w:t>
      </w:r>
      <w:bookmarkEnd w:id="65"/>
      <w:r w:rsidR="00FF18D0">
        <w:fldChar w:fldCharType="begin"/>
      </w:r>
      <w:r w:rsidR="00FF18D0">
        <w:instrText xml:space="preserve"> TC "</w:instrText>
      </w:r>
      <w:bookmarkStart w:id="66" w:name="_Toc340670016"/>
      <w:r w:rsidR="00FF18D0" w:rsidRPr="009B7B20">
        <w:instrText>Non-Bypassable Structure</w:instrText>
      </w:r>
      <w:bookmarkEnd w:id="66"/>
      <w:r w:rsidR="00FF18D0">
        <w:instrText xml:space="preserve">" \f C \l "5" </w:instrText>
      </w:r>
      <w:r w:rsidR="00FF18D0">
        <w:fldChar w:fldCharType="end"/>
      </w:r>
    </w:p>
    <w:p w:rsidR="00466DFE" w:rsidRPr="00466DFE" w:rsidRDefault="00466DFE" w:rsidP="00F51969">
      <w:pPr>
        <w:pStyle w:val="BodyText2"/>
        <w:spacing w:after="0" w:line="360" w:lineRule="auto"/>
      </w:pPr>
    </w:p>
    <w:p w:rsidR="004A65F4" w:rsidRDefault="008177A1" w:rsidP="00F51969">
      <w:pPr>
        <w:pStyle w:val="BodyText2"/>
        <w:spacing w:after="0" w:line="360" w:lineRule="auto"/>
        <w:contextualSpacing/>
        <w:jc w:val="left"/>
      </w:pPr>
      <w:r>
        <w:tab/>
      </w:r>
      <w:r>
        <w:tab/>
      </w:r>
      <w:r w:rsidR="00580B8E">
        <w:t xml:space="preserve">OSBA and Constellation have proposed that the TSC be revised to apply to all distribution customers, shopping and non-shopping, on a non-bypassable basis.  </w:t>
      </w:r>
      <w:proofErr w:type="gramStart"/>
      <w:r w:rsidR="00580B8E">
        <w:t>OSBA St</w:t>
      </w:r>
      <w:r>
        <w:t>mt</w:t>
      </w:r>
      <w:r w:rsidR="00580B8E">
        <w:t>. 1</w:t>
      </w:r>
      <w:r>
        <w:t xml:space="preserve"> at</w:t>
      </w:r>
      <w:r w:rsidR="00580B8E">
        <w:t xml:space="preserve"> 8; Constellation St</w:t>
      </w:r>
      <w:r>
        <w:t>mt</w:t>
      </w:r>
      <w:r w:rsidR="00580B8E">
        <w:t>. 1</w:t>
      </w:r>
      <w:r>
        <w:t xml:space="preserve"> at</w:t>
      </w:r>
      <w:r w:rsidR="00580B8E">
        <w:t xml:space="preserve"> 23.</w:t>
      </w:r>
      <w:proofErr w:type="gramEnd"/>
      <w:r w:rsidR="00580B8E">
        <w:t xml:space="preserve">  In rebuttal, RESA supported these proposals.  </w:t>
      </w:r>
      <w:proofErr w:type="gramStart"/>
      <w:r w:rsidR="00580B8E">
        <w:t>R</w:t>
      </w:r>
      <w:r>
        <w:t>E</w:t>
      </w:r>
      <w:r w:rsidR="00580B8E">
        <w:t>SA S</w:t>
      </w:r>
      <w:r>
        <w:t>tmt. 1-R at</w:t>
      </w:r>
      <w:r w:rsidR="00580B8E">
        <w:t xml:space="preserve"> 13.</w:t>
      </w:r>
      <w:proofErr w:type="gramEnd"/>
      <w:r w:rsidR="00580B8E">
        <w:t xml:space="preserve">  These parties propose that instead of limiting the TSC to default service customers, the charge would be imposed upon all customers.  PPL Electric does not support this proposal.  </w:t>
      </w:r>
    </w:p>
    <w:p w:rsidR="004A65F4" w:rsidRDefault="004A65F4" w:rsidP="00F51969">
      <w:pPr>
        <w:pStyle w:val="BodyText2"/>
        <w:spacing w:after="0" w:line="360" w:lineRule="auto"/>
        <w:contextualSpacing/>
        <w:jc w:val="left"/>
      </w:pPr>
    </w:p>
    <w:p w:rsidR="00580B8E" w:rsidRDefault="004A65F4" w:rsidP="00F51969">
      <w:pPr>
        <w:pStyle w:val="BodyText2"/>
        <w:spacing w:after="0" w:line="360" w:lineRule="auto"/>
        <w:contextualSpacing/>
        <w:jc w:val="left"/>
      </w:pPr>
      <w:r>
        <w:tab/>
      </w:r>
      <w:r>
        <w:tab/>
      </w:r>
      <w:r w:rsidR="00580B8E">
        <w:t>This proposal involves numerous complexities, and could result in substantial cost shifting among customers that has not been examined by the proponents of this proposal.  To accomplish this proposal, transmission-related costs currently billed by PJM to EGSs would need to be reassigned to PPL Electric, which would then need to devel</w:t>
      </w:r>
      <w:r w:rsidR="008177A1">
        <w:t xml:space="preserve">op new class cost allocators.  </w:t>
      </w:r>
      <w:proofErr w:type="gramStart"/>
      <w:r w:rsidR="00580B8E">
        <w:t>Constellation St</w:t>
      </w:r>
      <w:r w:rsidR="008177A1">
        <w:t>mt</w:t>
      </w:r>
      <w:r w:rsidR="00580B8E">
        <w:t>. 1-SR</w:t>
      </w:r>
      <w:r w:rsidR="008177A1">
        <w:t xml:space="preserve"> at</w:t>
      </w:r>
      <w:r w:rsidR="00580B8E">
        <w:t xml:space="preserve"> 2.</w:t>
      </w:r>
      <w:proofErr w:type="gramEnd"/>
      <w:r w:rsidR="00580B8E">
        <w:t xml:space="preserve">  This process would need to account for all customer</w:t>
      </w:r>
      <w:r w:rsidR="008177A1">
        <w:t xml:space="preserve">s’ load, peak load and costs.  </w:t>
      </w:r>
      <w:proofErr w:type="gramStart"/>
      <w:r w:rsidR="00580B8E">
        <w:rPr>
          <w:i/>
        </w:rPr>
        <w:t>See</w:t>
      </w:r>
      <w:r w:rsidR="00580B8E">
        <w:t xml:space="preserve"> PPL Electric St</w:t>
      </w:r>
      <w:r w:rsidR="008177A1">
        <w:t>mt</w:t>
      </w:r>
      <w:r w:rsidR="00580B8E">
        <w:t>. 5-R</w:t>
      </w:r>
      <w:r w:rsidR="008177A1">
        <w:t xml:space="preserve"> at</w:t>
      </w:r>
      <w:r w:rsidR="00580B8E">
        <w:t xml:space="preserve"> 13.</w:t>
      </w:r>
      <w:proofErr w:type="gramEnd"/>
      <w:r w:rsidR="00580B8E">
        <w:t xml:space="preserve">  In addition, a change to a non-bypassable charge applied to all distribution customers would deprive customers of the opportunity to seek </w:t>
      </w:r>
      <w:r w:rsidR="00580B8E">
        <w:lastRenderedPageBreak/>
        <w:t xml:space="preserve">alternative arrangements for payment of transmission-related costs.  Constellation witness Bennett acknowledged that Large C&amp;I customers currently may have contracts with pass through or fixed price arrangements related to recovery of transmission charges.  Among these arrangements are EGS offerings to collect costs through a collection method that reflects a customer’s individual PJM transmission obligation.  </w:t>
      </w:r>
      <w:proofErr w:type="gramStart"/>
      <w:r w:rsidR="00580B8E">
        <w:t>Constellation St</w:t>
      </w:r>
      <w:r w:rsidR="008177A1">
        <w:t>mt</w:t>
      </w:r>
      <w:r w:rsidR="00580B8E">
        <w:t>. 1-SR</w:t>
      </w:r>
      <w:r w:rsidR="008177A1">
        <w:t xml:space="preserve"> at</w:t>
      </w:r>
      <w:r w:rsidR="00580B8E">
        <w:t xml:space="preserve"> 6.</w:t>
      </w:r>
      <w:proofErr w:type="gramEnd"/>
      <w:r w:rsidR="00580B8E">
        <w:t xml:space="preserve">  As the Commission examines potential end state default service structures and EGSs argue that shopping provides opportunities to tailor new products for customers, it would appear to be a step backward to make a substantial change to the structure of the TSC rider to create a non-bypassable charge to be imposed by the default service provider upon all customers.  PPL Electric further notes that, as acknowledged by witnesses for OSBA and RESA, the Commission rejected a proposal to establish a non-bypassable transmission charge in the </w:t>
      </w:r>
      <w:r w:rsidR="00580B8E">
        <w:rPr>
          <w:i/>
        </w:rPr>
        <w:t>FirstEnergy Order</w:t>
      </w:r>
      <w:r w:rsidR="00580B8E">
        <w:t xml:space="preserve">.  (OSBA St. 3, p. 3; RESA St. 1-R, p. 14; </w:t>
      </w:r>
      <w:r w:rsidR="00580B8E">
        <w:rPr>
          <w:i/>
        </w:rPr>
        <w:t>FirstEnergy Order</w:t>
      </w:r>
      <w:r w:rsidR="00580B8E">
        <w:t xml:space="preserve"> at pp. 77-78).  For these reasons, the proposal to create a non-bypassable TSC should be rejected.</w:t>
      </w:r>
    </w:p>
    <w:p w:rsidR="00F51969" w:rsidRDefault="00F51969" w:rsidP="00F51969">
      <w:pPr>
        <w:pStyle w:val="BodyText2"/>
        <w:spacing w:after="0" w:line="360" w:lineRule="auto"/>
        <w:contextualSpacing/>
        <w:jc w:val="left"/>
      </w:pPr>
    </w:p>
    <w:p w:rsidR="00580B8E" w:rsidRDefault="008177A1" w:rsidP="001F1974">
      <w:pPr>
        <w:pStyle w:val="BodyText2"/>
        <w:spacing w:after="0" w:line="360" w:lineRule="auto"/>
        <w:contextualSpacing/>
        <w:jc w:val="left"/>
      </w:pPr>
      <w:r>
        <w:rPr>
          <w:color w:val="FF0000"/>
        </w:rPr>
        <w:tab/>
      </w:r>
      <w:r>
        <w:rPr>
          <w:color w:val="FF0000"/>
        </w:rPr>
        <w:tab/>
      </w:r>
      <w:r w:rsidR="00580B8E" w:rsidRPr="008177A1">
        <w:t xml:space="preserve">Alternatively, OSBA’s witness Knecht proposes to eliminate the TSC as a charge to default service customers, and require </w:t>
      </w:r>
      <w:r w:rsidR="00580B8E">
        <w:t xml:space="preserve">wholesale suppliers to bear those costs and price them into their default service supply bids.  </w:t>
      </w:r>
      <w:proofErr w:type="gramStart"/>
      <w:r w:rsidR="00580B8E">
        <w:t>OSBA St</w:t>
      </w:r>
      <w:r>
        <w:t>mt</w:t>
      </w:r>
      <w:r w:rsidR="00580B8E">
        <w:t>. 1</w:t>
      </w:r>
      <w:r>
        <w:t xml:space="preserve"> at</w:t>
      </w:r>
      <w:r w:rsidR="00580B8E">
        <w:t xml:space="preserve"> 8.</w:t>
      </w:r>
      <w:proofErr w:type="gramEnd"/>
      <w:r w:rsidR="00580B8E">
        <w:t xml:space="preserve">  Constellation does not supp</w:t>
      </w:r>
      <w:r>
        <w:t xml:space="preserve">ort the alternative proposal.  </w:t>
      </w:r>
      <w:r w:rsidR="00580B8E">
        <w:t>Constellation St</w:t>
      </w:r>
      <w:r>
        <w:t>mt. 1-R at</w:t>
      </w:r>
      <w:r w:rsidR="00580B8E">
        <w:t xml:space="preserve"> p. 7.  </w:t>
      </w:r>
    </w:p>
    <w:p w:rsidR="00466DFE" w:rsidRDefault="00466DFE" w:rsidP="00466DFE">
      <w:pPr>
        <w:pStyle w:val="BodyText2"/>
        <w:spacing w:after="0" w:line="360" w:lineRule="auto"/>
        <w:contextualSpacing/>
        <w:jc w:val="left"/>
      </w:pPr>
    </w:p>
    <w:p w:rsidR="004C01D2" w:rsidRDefault="004C01D2" w:rsidP="00466DFE">
      <w:pPr>
        <w:pStyle w:val="BodyText2"/>
        <w:spacing w:after="0" w:line="360" w:lineRule="auto"/>
        <w:jc w:val="left"/>
      </w:pPr>
      <w:r>
        <w:tab/>
      </w:r>
      <w:r>
        <w:tab/>
        <w:t xml:space="preserve">The Company </w:t>
      </w:r>
      <w:r w:rsidR="008177A1">
        <w:t xml:space="preserve">also </w:t>
      </w:r>
      <w:r>
        <w:t>does not agree</w:t>
      </w:r>
      <w:r w:rsidR="008177A1">
        <w:t xml:space="preserve"> with the alternative proposal</w:t>
      </w:r>
      <w:r>
        <w:t>:</w:t>
      </w:r>
    </w:p>
    <w:p w:rsidR="00466DFE" w:rsidRDefault="00466DFE" w:rsidP="00466DFE">
      <w:pPr>
        <w:pStyle w:val="BodyText2"/>
        <w:spacing w:after="0" w:line="360" w:lineRule="auto"/>
        <w:jc w:val="left"/>
      </w:pPr>
    </w:p>
    <w:p w:rsidR="00580B8E" w:rsidRDefault="00580B8E" w:rsidP="001F1974">
      <w:pPr>
        <w:pStyle w:val="BodyText2"/>
        <w:spacing w:after="0" w:line="240" w:lineRule="auto"/>
        <w:ind w:left="1440" w:right="1440"/>
        <w:contextualSpacing/>
        <w:jc w:val="left"/>
      </w:pPr>
      <w:r>
        <w:t xml:space="preserve">There are difficulties with this alternative proposal that have not been examined by OSBA.  Current contracts with wholesale suppliers under the DSP I Program do not provide for suppliers to be responsible for these transmission-related charges.  These DSP I Program contracts extend for various terms into the DSP II Program period, with the last of the fixed-price, full-requirements, load-following contracts for the Residential and Small C&amp;I customer classes not expiring until March of 2015.  </w:t>
      </w:r>
      <w:proofErr w:type="gramStart"/>
      <w:r>
        <w:t>(PPL Electric St. 1-R, p. 30; PPL Electric Ex. JC-4A; PPL Electric Ex. JC-4B).</w:t>
      </w:r>
      <w:proofErr w:type="gramEnd"/>
      <w:r>
        <w:t xml:space="preserve">  As such, it is not possible to require these suppliers to bear such transmission-related costs.  Thus, as Mr. Knecht concedes, there would need to be a process to phase out the TSC charge.  </w:t>
      </w:r>
      <w:proofErr w:type="gramStart"/>
      <w:r>
        <w:t>(PPL Electric St. 1-R, p. 30; OSBA St. 3, p. 2).</w:t>
      </w:r>
      <w:proofErr w:type="gramEnd"/>
      <w:r>
        <w:t xml:space="preserve">  Mr. Knecht has offered no explanation of how the process of phasing out the TSC charge would be accomplished.  He also has not offered any analysis of </w:t>
      </w:r>
      <w:r>
        <w:lastRenderedPageBreak/>
        <w:t xml:space="preserve">whether such a phase out process could affect shopping decisions by customers or affect the willingness of wholesale suppliers to continue to participate in future default service procurements.  </w:t>
      </w:r>
      <w:proofErr w:type="gramStart"/>
      <w:r>
        <w:t>(PPL Electric St. 1-R, p. 30).</w:t>
      </w:r>
      <w:proofErr w:type="gramEnd"/>
      <w:r>
        <w:rPr>
          <w:rStyle w:val="FootnoteReference"/>
        </w:rPr>
        <w:footnoteReference w:id="28"/>
      </w:r>
      <w:r>
        <w:t xml:space="preserve">  OSBA’s alternative proposal to phase out the TSC should be rejected.</w:t>
      </w:r>
    </w:p>
    <w:p w:rsidR="004C01D2" w:rsidRDefault="004C01D2" w:rsidP="001F1974">
      <w:pPr>
        <w:pStyle w:val="BodyText2"/>
        <w:spacing w:after="0" w:line="240" w:lineRule="auto"/>
        <w:contextualSpacing/>
        <w:jc w:val="left"/>
      </w:pPr>
      <w:r>
        <w:t>PPL Electric MB at 67-68.</w:t>
      </w:r>
    </w:p>
    <w:p w:rsidR="004C01D2" w:rsidRDefault="004C01D2" w:rsidP="00F51969">
      <w:pPr>
        <w:pStyle w:val="BodyText2"/>
        <w:spacing w:after="0" w:line="360" w:lineRule="auto"/>
        <w:contextualSpacing/>
        <w:jc w:val="left"/>
      </w:pPr>
    </w:p>
    <w:p w:rsidR="004C01D2" w:rsidRDefault="004C01D2" w:rsidP="00F51969">
      <w:pPr>
        <w:pStyle w:val="BodyText2"/>
        <w:spacing w:after="0" w:line="360" w:lineRule="auto"/>
        <w:contextualSpacing/>
        <w:jc w:val="left"/>
      </w:pPr>
      <w:r>
        <w:tab/>
      </w:r>
      <w:r>
        <w:tab/>
        <w:t>While these difficulties constrain the Company's ability to implement the recommendation in DSP II, it does not prevent their consideration for the next DSP case.  The Company should be directed to consider them for the reasons given by OSBA.</w:t>
      </w:r>
    </w:p>
    <w:p w:rsidR="004C01D2" w:rsidRDefault="004C01D2" w:rsidP="00F51969">
      <w:pPr>
        <w:pStyle w:val="BodyText2"/>
        <w:spacing w:after="0" w:line="360" w:lineRule="auto"/>
        <w:contextualSpacing/>
        <w:jc w:val="left"/>
      </w:pPr>
    </w:p>
    <w:p w:rsidR="00580B8E" w:rsidRDefault="00580B8E" w:rsidP="00F51969">
      <w:pPr>
        <w:pStyle w:val="Heading5"/>
        <w:keepNext/>
        <w:tabs>
          <w:tab w:val="clear" w:pos="3600"/>
        </w:tabs>
        <w:spacing w:after="0"/>
        <w:ind w:left="2880"/>
        <w:jc w:val="left"/>
      </w:pPr>
      <w:bookmarkStart w:id="67" w:name="_Toc337196667"/>
      <w:r>
        <w:t>Reconciliation</w:t>
      </w:r>
      <w:bookmarkEnd w:id="67"/>
      <w:r w:rsidR="00FF18D0">
        <w:fldChar w:fldCharType="begin"/>
      </w:r>
      <w:r w:rsidR="00FF18D0">
        <w:instrText xml:space="preserve"> TC "</w:instrText>
      </w:r>
      <w:bookmarkStart w:id="68" w:name="_Toc340670017"/>
      <w:r w:rsidR="00FF18D0" w:rsidRPr="009B7B20">
        <w:instrText>Reconciliation</w:instrText>
      </w:r>
      <w:bookmarkEnd w:id="68"/>
      <w:r w:rsidR="00FF18D0">
        <w:instrText xml:space="preserve">" \f C \l "5" </w:instrText>
      </w:r>
      <w:r w:rsidR="00FF18D0">
        <w:fldChar w:fldCharType="end"/>
      </w:r>
    </w:p>
    <w:p w:rsidR="00466DFE" w:rsidRPr="00466DFE" w:rsidRDefault="00466DFE" w:rsidP="00F51969">
      <w:pPr>
        <w:pStyle w:val="BodyText2"/>
        <w:spacing w:after="0" w:line="360" w:lineRule="auto"/>
        <w:jc w:val="left"/>
      </w:pPr>
    </w:p>
    <w:p w:rsidR="00580B8E" w:rsidRDefault="00580B8E" w:rsidP="00284D23">
      <w:pPr>
        <w:pStyle w:val="BodyText2"/>
        <w:spacing w:after="0" w:line="240" w:lineRule="auto"/>
        <w:ind w:left="1440" w:right="1440"/>
        <w:contextualSpacing/>
        <w:jc w:val="left"/>
      </w:pPr>
      <w:r>
        <w:t xml:space="preserve">PPL Electric’s current TSC cost allocation and reconciliation procedure among the customer classes is based on each transmission customer class’s percentage contribution to the five highest coincident peaks used by PJM to bill PPL Electric for default service transmission costs.  The percentages for these five days are averaged to develop a customer class contribution.  The resulting calculated class peak load responsibility is adjusted for the forecast amount of default service load for the upcoming annual TSC application period.  The adjusted peak load responsibility values then are used to determine the annual percentage of the demand related components of the PJM transmission-related charges assigned to each customer class for the term of the annual TSC application period.  Currently PPL Electric uses the same calculated percentages for the after-the-fact reconciliation of the actual demand related costs that are incurred.  </w:t>
      </w:r>
      <w:proofErr w:type="gramStart"/>
      <w:r>
        <w:t>(PPL Electric St. 5-R, pp. 13-14).</w:t>
      </w:r>
      <w:proofErr w:type="gramEnd"/>
      <w:r>
        <w:t xml:space="preserve">  </w:t>
      </w:r>
    </w:p>
    <w:p w:rsidR="00466DFE" w:rsidRDefault="00466DFE" w:rsidP="001F1974">
      <w:pPr>
        <w:pStyle w:val="BodyText2"/>
        <w:spacing w:after="0" w:line="240" w:lineRule="auto"/>
        <w:ind w:left="1440" w:right="1440"/>
        <w:contextualSpacing/>
        <w:jc w:val="left"/>
      </w:pPr>
    </w:p>
    <w:p w:rsidR="00580B8E" w:rsidRDefault="00580B8E" w:rsidP="001F1974">
      <w:pPr>
        <w:pStyle w:val="BodyText2"/>
        <w:spacing w:after="0" w:line="240" w:lineRule="auto"/>
        <w:ind w:left="1440" w:right="1440"/>
        <w:contextualSpacing/>
        <w:jc w:val="left"/>
      </w:pPr>
      <w:r>
        <w:t xml:space="preserve">OSBA has challenged the foregoing procedure used to reconcile demand-related costs in the TSC.  OSBA contends that PPL Electric’s allocation of such demand-related costs to the four TSC customer classes should be revised in the reconciliation process to use experienced class contributions to peak demand during the reconciliation period, rather than the initial forecasted demands that were used to develop the TSC charges.  </w:t>
      </w:r>
      <w:proofErr w:type="gramStart"/>
      <w:r>
        <w:t>(OSBA St. 1, p. 6).</w:t>
      </w:r>
      <w:proofErr w:type="gramEnd"/>
    </w:p>
    <w:p w:rsidR="00580B8E" w:rsidRDefault="00580B8E" w:rsidP="001F1974">
      <w:pPr>
        <w:pStyle w:val="BodyText2"/>
        <w:spacing w:after="0" w:line="240" w:lineRule="auto"/>
        <w:ind w:left="1440" w:right="1440"/>
        <w:contextualSpacing/>
        <w:jc w:val="left"/>
      </w:pPr>
      <w:r>
        <w:lastRenderedPageBreak/>
        <w:t xml:space="preserve">PPL Electric explained in rebuttal that it concurs with Mr. Knecht that a modification of the TSC allocation procedure to reflect actual monthly TSC demand per customer class is appropriate.  </w:t>
      </w:r>
      <w:proofErr w:type="gramStart"/>
      <w:r>
        <w:t>(PPL Electric St. 5-R, p. 13).</w:t>
      </w:r>
      <w:proofErr w:type="gramEnd"/>
      <w:r>
        <w:t xml:space="preserve">  PPL Electric witness Kleha explained the process that PPL Electric has recommended to allocate demand costs for purposes of TSC reconciliation in the Commission’s Docket No. </w:t>
      </w:r>
      <w:proofErr w:type="gramStart"/>
      <w:r>
        <w:t>M-2011-2239714.</w:t>
      </w:r>
      <w:proofErr w:type="gramEnd"/>
      <w:r>
        <w:rPr>
          <w:rStyle w:val="FootnoteReference"/>
        </w:rPr>
        <w:footnoteReference w:id="29"/>
      </w:r>
      <w:r>
        <w:t xml:space="preserve">  PPL Electric recognizes that maintaining the same customer class allocation factors can distort the class’s responsibility for demand related costs due to customers moving to and from default service.  Therefore, PPL Electric proposes that the customer class allocation factors for the demand related transmission costs should be adjusted on a monthly basis.  </w:t>
      </w:r>
      <w:proofErr w:type="gramStart"/>
      <w:r>
        <w:t>(PPL Electric St. 5-R, p. 15).</w:t>
      </w:r>
      <w:proofErr w:type="gramEnd"/>
      <w:r>
        <w:t xml:space="preserve">  Under this approach, the percentage of demand-related costs assigned to each customer class would change monthly to account for increases and decreases in the customer classes’ assigned peak load responsibility, based on a customer class’s share of default service load in a given month.  This monthly adjustment to the customer class allocation factors would then be reflected in the annual reconciliation of TSC demand-related costs.  </w:t>
      </w:r>
      <w:proofErr w:type="gramStart"/>
      <w:r>
        <w:t>(PPL Electric St. 5-R, p. 15).</w:t>
      </w:r>
      <w:proofErr w:type="gramEnd"/>
    </w:p>
    <w:p w:rsidR="00284D23" w:rsidRDefault="00284D23" w:rsidP="001F1974">
      <w:pPr>
        <w:pStyle w:val="BodyText2"/>
        <w:spacing w:after="0" w:line="240" w:lineRule="auto"/>
        <w:ind w:left="1440" w:right="1440"/>
        <w:contextualSpacing/>
        <w:jc w:val="left"/>
      </w:pPr>
    </w:p>
    <w:p w:rsidR="00580B8E" w:rsidRDefault="00580B8E" w:rsidP="001F1974">
      <w:pPr>
        <w:pStyle w:val="BodyText2"/>
        <w:spacing w:after="0" w:line="240" w:lineRule="auto"/>
        <w:ind w:left="1440" w:right="1440"/>
        <w:contextualSpacing/>
        <w:jc w:val="left"/>
      </w:pPr>
      <w:r>
        <w:t>No party has opposed this modification.  Therefore, PPL Electric respectfully recommends that this modification be adopted for the current annual TSC application/reconciliation period, for the twelve months ending May 31, 2013.</w:t>
      </w:r>
    </w:p>
    <w:p w:rsidR="004B11D5" w:rsidRDefault="004B11D5" w:rsidP="001F1974">
      <w:pPr>
        <w:pStyle w:val="BodyText2"/>
        <w:spacing w:after="0" w:line="240" w:lineRule="auto"/>
        <w:contextualSpacing/>
        <w:jc w:val="left"/>
      </w:pPr>
      <w:r>
        <w:t>PPL Electric MB at 68-69.</w:t>
      </w:r>
    </w:p>
    <w:p w:rsidR="004B11D5" w:rsidRDefault="004B11D5" w:rsidP="00284D23">
      <w:pPr>
        <w:pStyle w:val="BodyText2"/>
        <w:spacing w:after="0" w:line="360" w:lineRule="auto"/>
        <w:contextualSpacing/>
        <w:jc w:val="left"/>
      </w:pPr>
    </w:p>
    <w:p w:rsidR="004B11D5" w:rsidRDefault="004B11D5" w:rsidP="00284D23">
      <w:pPr>
        <w:pStyle w:val="BodyText2"/>
        <w:spacing w:after="0" w:line="360" w:lineRule="auto"/>
        <w:contextualSpacing/>
        <w:jc w:val="left"/>
      </w:pPr>
      <w:r>
        <w:tab/>
      </w:r>
      <w:r>
        <w:tab/>
        <w:t>As this is unopposed, it is recommended for approval.</w:t>
      </w:r>
    </w:p>
    <w:p w:rsidR="00284D23" w:rsidRDefault="00284D23" w:rsidP="00011E36">
      <w:pPr>
        <w:pStyle w:val="BodyText2"/>
        <w:spacing w:after="0" w:line="360" w:lineRule="auto"/>
        <w:contextualSpacing/>
        <w:jc w:val="left"/>
      </w:pPr>
    </w:p>
    <w:p w:rsidR="00580B8E" w:rsidRDefault="00580B8E" w:rsidP="00011E36">
      <w:pPr>
        <w:pStyle w:val="Heading3"/>
        <w:keepNext/>
        <w:tabs>
          <w:tab w:val="clear" w:pos="2160"/>
        </w:tabs>
        <w:spacing w:after="0"/>
        <w:ind w:left="1440"/>
        <w:jc w:val="left"/>
      </w:pPr>
      <w:bookmarkStart w:id="69" w:name="_Toc337196668"/>
      <w:r>
        <w:t>Time of Use Rate Option</w:t>
      </w:r>
      <w:bookmarkEnd w:id="69"/>
      <w:r w:rsidR="00FF18D0">
        <w:fldChar w:fldCharType="begin"/>
      </w:r>
      <w:r w:rsidR="00FF18D0">
        <w:instrText xml:space="preserve"> TC "</w:instrText>
      </w:r>
      <w:bookmarkStart w:id="70" w:name="_Toc340670018"/>
      <w:r w:rsidR="00FF18D0" w:rsidRPr="009B7B20">
        <w:instrText>Time of Use Rate Option</w:instrText>
      </w:r>
      <w:bookmarkEnd w:id="70"/>
      <w:r w:rsidR="00FF18D0">
        <w:instrText xml:space="preserve">" \f C \l "3" </w:instrText>
      </w:r>
      <w:r w:rsidR="00FF18D0">
        <w:fldChar w:fldCharType="end"/>
      </w:r>
    </w:p>
    <w:p w:rsidR="00284D23" w:rsidRPr="00284D23" w:rsidRDefault="00284D23" w:rsidP="00011E36">
      <w:pPr>
        <w:pStyle w:val="BodyText2"/>
        <w:spacing w:after="0" w:line="360" w:lineRule="auto"/>
      </w:pPr>
    </w:p>
    <w:p w:rsidR="00580B8E" w:rsidRDefault="00580B8E" w:rsidP="00011E36">
      <w:pPr>
        <w:pStyle w:val="Heading4"/>
        <w:keepNext/>
        <w:tabs>
          <w:tab w:val="clear" w:pos="3060"/>
        </w:tabs>
        <w:spacing w:after="0"/>
        <w:ind w:left="2160"/>
        <w:jc w:val="left"/>
      </w:pPr>
      <w:bookmarkStart w:id="71" w:name="_Toc337196669"/>
      <w:r>
        <w:t>Introduction</w:t>
      </w:r>
      <w:bookmarkEnd w:id="71"/>
      <w:r w:rsidR="00FF18D0">
        <w:fldChar w:fldCharType="begin"/>
      </w:r>
      <w:r w:rsidR="00FF18D0">
        <w:instrText xml:space="preserve"> TC "</w:instrText>
      </w:r>
      <w:bookmarkStart w:id="72" w:name="_Toc340670019"/>
      <w:r w:rsidR="00FF18D0" w:rsidRPr="009B7B20">
        <w:instrText>Introduction</w:instrText>
      </w:r>
      <w:bookmarkEnd w:id="72"/>
      <w:r w:rsidR="00FF18D0">
        <w:instrText xml:space="preserve">" \f C \l "4" </w:instrText>
      </w:r>
      <w:r w:rsidR="00FF18D0">
        <w:fldChar w:fldCharType="end"/>
      </w:r>
    </w:p>
    <w:p w:rsidR="00284D23" w:rsidRPr="00284D23" w:rsidRDefault="00284D23" w:rsidP="00011E36">
      <w:pPr>
        <w:pStyle w:val="BodyText2"/>
        <w:spacing w:after="0" w:line="360" w:lineRule="auto"/>
      </w:pPr>
    </w:p>
    <w:p w:rsidR="00236DA2" w:rsidRDefault="00236DA2" w:rsidP="00011E36">
      <w:pPr>
        <w:pStyle w:val="BodyText"/>
        <w:spacing w:after="0"/>
        <w:jc w:val="left"/>
      </w:pPr>
      <w:r>
        <w:tab/>
      </w:r>
      <w:r>
        <w:tab/>
        <w:t>As the default service provider, PPL Electric is required to file a time-of-use program:</w:t>
      </w:r>
    </w:p>
    <w:p w:rsidR="00284D23" w:rsidRDefault="00284D23" w:rsidP="00011E36">
      <w:pPr>
        <w:pStyle w:val="BodyText"/>
        <w:spacing w:after="0"/>
        <w:jc w:val="left"/>
      </w:pPr>
    </w:p>
    <w:p w:rsidR="00236DA2" w:rsidRDefault="00236DA2" w:rsidP="001F1974">
      <w:pPr>
        <w:pStyle w:val="BodyText"/>
        <w:spacing w:after="0" w:line="240" w:lineRule="auto"/>
        <w:ind w:left="1440" w:right="1440"/>
        <w:jc w:val="left"/>
      </w:pPr>
      <w:r>
        <w:tab/>
        <w:t>(5)</w:t>
      </w:r>
      <w:r>
        <w:tab/>
        <w:t xml:space="preserve">By January 1, 2010, or at the end of the applicable generation rate cap period, whichever is later, a default service provider shall submit to the commission one or more proposed time-of-use rates and real-time price plans.  The commission shall approve or modify the time-of-use rates and real-time price plan within six months of submittal.  </w:t>
      </w:r>
      <w:r w:rsidRPr="00FE6568">
        <w:rPr>
          <w:b/>
        </w:rPr>
        <w:t>The default service provider shall offer the time-of-use rates and real-time price plan to all customers that have been provided with smart meter</w:t>
      </w:r>
      <w:r w:rsidR="000A4338" w:rsidRPr="00FE6568">
        <w:rPr>
          <w:b/>
        </w:rPr>
        <w:t xml:space="preserve"> technology under paragraph (2</w:t>
      </w:r>
      <w:proofErr w:type="gramStart"/>
      <w:r w:rsidR="000A4338" w:rsidRPr="00FE6568">
        <w:rPr>
          <w:b/>
        </w:rPr>
        <w:t>)(</w:t>
      </w:r>
      <w:proofErr w:type="gramEnd"/>
      <w:r w:rsidR="000A4338" w:rsidRPr="00FE6568">
        <w:rPr>
          <w:b/>
        </w:rPr>
        <w:t>iii).</w:t>
      </w:r>
      <w:r w:rsidR="000A4338">
        <w:t xml:space="preserve">  Residential or commercial customers may elect to participate in time-of-use rates or real-time pricing.  The default service provider shall submit an annual report to the price programs and the efficacy of the programs in affecting energy demand and consumption and the effect on the wholesale market prices.</w:t>
      </w:r>
    </w:p>
    <w:p w:rsidR="000A4338" w:rsidRDefault="000A4338" w:rsidP="001F1974">
      <w:pPr>
        <w:pStyle w:val="BodyText"/>
        <w:spacing w:after="0"/>
      </w:pPr>
      <w:r>
        <w:t>* * *</w:t>
      </w:r>
    </w:p>
    <w:p w:rsidR="000A4338" w:rsidRPr="00236DA2" w:rsidRDefault="000A4338" w:rsidP="001F1974">
      <w:pPr>
        <w:pStyle w:val="BodyText"/>
        <w:spacing w:after="0"/>
        <w:jc w:val="left"/>
      </w:pPr>
      <w:r>
        <w:t>66 Pa. C.S. § 28-7(f</w:t>
      </w:r>
      <w:proofErr w:type="gramStart"/>
      <w:r>
        <w:t>)(</w:t>
      </w:r>
      <w:proofErr w:type="gramEnd"/>
      <w:r>
        <w:t>5)</w:t>
      </w:r>
      <w:r w:rsidR="00FE6568">
        <w:t>(emphasis added)</w:t>
      </w:r>
      <w:r>
        <w:t>.</w:t>
      </w:r>
    </w:p>
    <w:p w:rsidR="00236DA2" w:rsidRDefault="00236DA2" w:rsidP="00284D23">
      <w:pPr>
        <w:pStyle w:val="BodyText"/>
        <w:spacing w:after="0"/>
        <w:jc w:val="left"/>
        <w:rPr>
          <w:i/>
        </w:rPr>
      </w:pPr>
    </w:p>
    <w:p w:rsidR="008C4AB7" w:rsidRDefault="000A4338" w:rsidP="00284D23">
      <w:pPr>
        <w:pStyle w:val="BodyText"/>
        <w:spacing w:after="0"/>
        <w:jc w:val="left"/>
      </w:pPr>
      <w:r>
        <w:tab/>
      </w:r>
      <w:r>
        <w:tab/>
        <w:t>As PPL Electric has the appropriate meters in place, the Company developed and implemented a TOU program</w:t>
      </w:r>
      <w:r w:rsidR="008C4AB7">
        <w:t>.  The Commission has explained the history of PPL Electric TOU as follows:</w:t>
      </w:r>
    </w:p>
    <w:p w:rsidR="00284D23" w:rsidRDefault="00284D23" w:rsidP="00284D23">
      <w:pPr>
        <w:pStyle w:val="BodyText"/>
        <w:spacing w:after="0"/>
        <w:jc w:val="left"/>
      </w:pPr>
    </w:p>
    <w:p w:rsidR="008C4AB7" w:rsidRPr="008C4AB7" w:rsidRDefault="008C4AB7" w:rsidP="001F1974">
      <w:pPr>
        <w:spacing w:line="240" w:lineRule="auto"/>
        <w:ind w:left="1440" w:right="1440"/>
        <w:contextualSpacing/>
        <w:jc w:val="left"/>
      </w:pPr>
      <w:r w:rsidRPr="003804C3">
        <w:rPr>
          <w:sz w:val="26"/>
          <w:szCs w:val="26"/>
        </w:rPr>
        <w:tab/>
      </w:r>
      <w:r w:rsidRPr="008C4AB7">
        <w:t xml:space="preserve">PPL’s initial TOU program (Supplement No. 71) was filed on July 31, 2009, and approved by the Commission on March 9, 2010.  </w:t>
      </w:r>
      <w:r w:rsidRPr="008C4AB7">
        <w:rPr>
          <w:i/>
        </w:rPr>
        <w:t>Pa. PUC v. PPL Electric Utilities Corporation</w:t>
      </w:r>
      <w:r w:rsidRPr="008C4AB7">
        <w:t>, Docket No. R-2009-2122718 (Order entered March 9, 2010</w:t>
      </w:r>
      <w:proofErr w:type="gramStart"/>
      <w:r w:rsidRPr="008C4AB7">
        <w:t>)(</w:t>
      </w:r>
      <w:proofErr w:type="gramEnd"/>
      <w:r w:rsidRPr="008C4AB7">
        <w:t>2010 TOU Order).  The TOU rate was based upon the price to compare (PTC).  It exceeded the PTC during on-peak hours and was lower than the PTC during off-peak hours.  TOU power supplies were procured through the Default Service Plan (DSP) and were reconciled with other DSP costs and recoveries via PPL’s Generation Supply Charge (GSC).  PPL St. 1 at 4; PPL M.B. at 13; R.D. at 9-10.</w:t>
      </w:r>
    </w:p>
    <w:p w:rsidR="008C4AB7" w:rsidRPr="008C4AB7" w:rsidRDefault="008C4AB7" w:rsidP="001F1974">
      <w:pPr>
        <w:spacing w:line="240" w:lineRule="auto"/>
        <w:ind w:left="1440" w:right="1440"/>
        <w:contextualSpacing/>
        <w:jc w:val="left"/>
      </w:pPr>
    </w:p>
    <w:p w:rsidR="008C4AB7" w:rsidRPr="008C4AB7" w:rsidRDefault="008C4AB7" w:rsidP="001F1974">
      <w:pPr>
        <w:spacing w:line="240" w:lineRule="auto"/>
        <w:ind w:left="1440" w:right="1440"/>
        <w:contextualSpacing/>
        <w:jc w:val="left"/>
      </w:pPr>
      <w:r w:rsidRPr="008C4AB7">
        <w:tab/>
        <w:t xml:space="preserve">PPL’s second TOU program (Supplement No. 94) implemented changes to the initial TOU program by, </w:t>
      </w:r>
      <w:r w:rsidRPr="008C4AB7">
        <w:rPr>
          <w:i/>
        </w:rPr>
        <w:t>inter alia,</w:t>
      </w:r>
      <w:r w:rsidRPr="008C4AB7">
        <w:t xml:space="preserve"> using spot market purchases under the DSP for TOU supply; establishing TOU rates based upon quotes on forward contracts for on-peak and off-peak wholesale energy within the PPL zone and the historical variation in PJM prices, adjusted to reflect capacity costs, ancillary services, administrative costs, alternative energy credits, gross receipts, taxes and losses.  PPL did not change the </w:t>
      </w:r>
      <w:r w:rsidRPr="008C4AB7">
        <w:lastRenderedPageBreak/>
        <w:t xml:space="preserve">on-peak and off-peak hours and continued to operate the program within its DSP.  </w:t>
      </w:r>
      <w:r w:rsidRPr="008C4AB7">
        <w:rPr>
          <w:i/>
        </w:rPr>
        <w:t xml:space="preserve">PPL Electric Utilities Corporation Supplement No. 94 to Tariff Electric – Pa. P.U.C. No. 201-Time of Use Rates, </w:t>
      </w:r>
      <w:r w:rsidRPr="008C4AB7">
        <w:t>Docket No. R-2010-2201138 (Order entered December 2, 2010); R.D. at 10-11.</w:t>
      </w:r>
    </w:p>
    <w:p w:rsidR="008C4AB7" w:rsidRPr="008C4AB7" w:rsidRDefault="008C4AB7" w:rsidP="001F1974">
      <w:pPr>
        <w:spacing w:line="240" w:lineRule="auto"/>
        <w:ind w:left="1440" w:right="1440"/>
        <w:contextualSpacing/>
        <w:jc w:val="left"/>
      </w:pPr>
    </w:p>
    <w:p w:rsidR="008C4AB7" w:rsidRPr="008C4AB7" w:rsidRDefault="008C4AB7" w:rsidP="001F1974">
      <w:pPr>
        <w:spacing w:line="240" w:lineRule="auto"/>
        <w:ind w:left="1440" w:right="1440"/>
        <w:contextualSpacing/>
        <w:jc w:val="left"/>
      </w:pPr>
      <w:r w:rsidRPr="008C4AB7">
        <w:tab/>
        <w:t xml:space="preserve">The first Application Period for Supplement No. 94 ran from January 1, 2011 through May 31, 2011.  During this period both the on-peak and off-peak TOU rates were lower than the fixed price default service rate, meaning that customers could switch to TOU rates and save money without adjusting their usage.  As of May 2011, approximately 21,000 customers had switched to the TOU program.  </w:t>
      </w:r>
      <w:proofErr w:type="gramStart"/>
      <w:r w:rsidRPr="008C4AB7">
        <w:t>PPL St. 1-R at 7; PPL M.B. at 15; R.D. at 11.</w:t>
      </w:r>
      <w:proofErr w:type="gramEnd"/>
    </w:p>
    <w:p w:rsidR="008C4AB7" w:rsidRPr="008C4AB7" w:rsidRDefault="008C4AB7" w:rsidP="001F1974">
      <w:pPr>
        <w:spacing w:line="240" w:lineRule="auto"/>
        <w:ind w:left="1440" w:right="1440"/>
        <w:contextualSpacing/>
        <w:jc w:val="left"/>
      </w:pPr>
    </w:p>
    <w:p w:rsidR="008C4AB7" w:rsidRPr="008C4AB7" w:rsidRDefault="008C4AB7" w:rsidP="001F1974">
      <w:pPr>
        <w:spacing w:line="240" w:lineRule="auto"/>
        <w:ind w:left="1440" w:right="1440"/>
        <w:contextualSpacing/>
        <w:jc w:val="left"/>
      </w:pPr>
      <w:r w:rsidRPr="008C4AB7">
        <w:tab/>
        <w:t xml:space="preserve">The second Application Period for Supplement No. 94 ran from June 1, 2011 through August 31, 2011.  During this period, both the on-peak and off-peak TOU rates were higher than the fixed price default service rate.  </w:t>
      </w:r>
      <w:proofErr w:type="gramStart"/>
      <w:r w:rsidRPr="008C4AB7">
        <w:t>PPL Exh.</w:t>
      </w:r>
      <w:proofErr w:type="gramEnd"/>
      <w:r w:rsidRPr="008C4AB7">
        <w:t xml:space="preserve"> </w:t>
      </w:r>
      <w:proofErr w:type="gramStart"/>
      <w:r w:rsidRPr="008C4AB7">
        <w:t>1 at 2; PPL M.B. at 15.</w:t>
      </w:r>
      <w:proofErr w:type="gramEnd"/>
      <w:r w:rsidRPr="008C4AB7">
        <w:t xml:space="preserve">  With no advantage to customers, most dropped the TOU rate option and returned to fixed rate default service.  At the time of the hearing, the number of customers being served on the TOU schedule was approximately 3,200.  </w:t>
      </w:r>
      <w:proofErr w:type="gramStart"/>
      <w:r w:rsidRPr="008C4AB7">
        <w:t>N.T. at 27; PPL M.B. at 14; R.D. at 11.</w:t>
      </w:r>
      <w:proofErr w:type="gramEnd"/>
    </w:p>
    <w:p w:rsidR="008C4AB7" w:rsidRPr="008C4AB7" w:rsidRDefault="008C4AB7" w:rsidP="001F1974">
      <w:pPr>
        <w:spacing w:line="240" w:lineRule="auto"/>
        <w:ind w:left="1440" w:right="1440"/>
        <w:contextualSpacing/>
        <w:jc w:val="left"/>
      </w:pPr>
    </w:p>
    <w:p w:rsidR="008C4AB7" w:rsidRDefault="008C4AB7" w:rsidP="001F1974">
      <w:pPr>
        <w:spacing w:line="240" w:lineRule="auto"/>
        <w:ind w:left="1440" w:right="1440"/>
        <w:contextualSpacing/>
        <w:jc w:val="left"/>
      </w:pPr>
      <w:r w:rsidRPr="008C4AB7">
        <w:tab/>
        <w:t>PPL realized a substantial undercollection</w:t>
      </w:r>
      <w:r w:rsidRPr="008C4AB7">
        <w:rPr>
          <w:rStyle w:val="FootnoteReference"/>
        </w:rPr>
        <w:footnoteReference w:id="30"/>
      </w:r>
      <w:r w:rsidRPr="008C4AB7">
        <w:t xml:space="preserve"> for its TOU program for the January 1, 2011 through May 31, 2011 application period.  PPL reported that the size of the undercollection and the reduced size of the customer base would have resulted in rates of approximately four times the fixed price default service rate.  As such, the Commission granted the Company’s request to: suspend the TOU rates that would have become effective on September 1, 2011; maintain the TOU rates in effect at that time; and allow the Company to submit a revised TOU program within thirty days.  </w:t>
      </w:r>
      <w:r w:rsidRPr="008C4AB7">
        <w:rPr>
          <w:i/>
        </w:rPr>
        <w:t>See</w:t>
      </w:r>
      <w:r w:rsidRPr="008C4AB7">
        <w:t xml:space="preserve"> Docket No. M-2011-2258733 (Order entered August 25, 2011).  </w:t>
      </w:r>
      <w:proofErr w:type="gramStart"/>
      <w:r w:rsidRPr="008C4AB7">
        <w:t>R.D. at 11.</w:t>
      </w:r>
      <w:proofErr w:type="gramEnd"/>
      <w:r w:rsidRPr="008C4AB7">
        <w:t xml:space="preserve">  </w:t>
      </w:r>
    </w:p>
    <w:p w:rsidR="00284D23" w:rsidRPr="008C4AB7" w:rsidRDefault="00284D23" w:rsidP="001F1974">
      <w:pPr>
        <w:spacing w:line="240" w:lineRule="auto"/>
        <w:ind w:left="1440" w:right="1440"/>
        <w:contextualSpacing/>
        <w:jc w:val="left"/>
      </w:pPr>
    </w:p>
    <w:p w:rsidR="008C4AB7" w:rsidRDefault="008C4AB7" w:rsidP="001F1974">
      <w:pPr>
        <w:pStyle w:val="BodyText2"/>
        <w:spacing w:after="0" w:line="240" w:lineRule="auto"/>
        <w:ind w:left="1440" w:right="1440"/>
        <w:contextualSpacing/>
        <w:jc w:val="left"/>
      </w:pPr>
      <w:r w:rsidRPr="008C4AB7">
        <w:tab/>
        <w:t xml:space="preserve">Pursuant to that Order, PPL filed its third TOU program (Supplement No. 110) proposing the following changes to the second TOU program: on-peak and off-peak hours were changed to be consistent throughout the year rather than seasonal; TOU rates were based upon the PTC with an added premium for on-peak hours and a discount for off-peak hours.  </w:t>
      </w:r>
      <w:proofErr w:type="gramStart"/>
      <w:r w:rsidRPr="008C4AB7">
        <w:t>PPL St. 2 at 10; R.D. at 12.</w:t>
      </w:r>
      <w:proofErr w:type="gramEnd"/>
    </w:p>
    <w:p w:rsidR="00284D23" w:rsidRPr="008C4AB7" w:rsidRDefault="00284D23" w:rsidP="001F1974">
      <w:pPr>
        <w:pStyle w:val="BodyText2"/>
        <w:spacing w:after="0" w:line="240" w:lineRule="auto"/>
        <w:ind w:left="1440" w:right="1440"/>
        <w:contextualSpacing/>
        <w:jc w:val="left"/>
      </w:pPr>
    </w:p>
    <w:p w:rsidR="008C4AB7" w:rsidRDefault="008C4AB7" w:rsidP="001F1974">
      <w:pPr>
        <w:pStyle w:val="BodyText2"/>
        <w:spacing w:after="0" w:line="240" w:lineRule="auto"/>
        <w:ind w:left="1440" w:right="1440"/>
        <w:contextualSpacing/>
        <w:jc w:val="left"/>
      </w:pPr>
      <w:r w:rsidRPr="003804C3">
        <w:tab/>
      </w:r>
      <w:r w:rsidRPr="00D90919">
        <w:t xml:space="preserve">The advantage to the Company </w:t>
      </w:r>
      <w:r>
        <w:t xml:space="preserve">under Supplement No. 110 </w:t>
      </w:r>
      <w:r w:rsidRPr="00D90919">
        <w:t xml:space="preserve">is that the under and over collection of default service costs will not vary with the enrollment </w:t>
      </w:r>
      <w:r>
        <w:t>in</w:t>
      </w:r>
      <w:r w:rsidRPr="00D90919">
        <w:t xml:space="preserve"> the TOU program because the TOU rates are tied to the default service rate.  </w:t>
      </w:r>
      <w:proofErr w:type="gramStart"/>
      <w:r w:rsidRPr="00D90919">
        <w:t>OCA St. 1 at 4; R.D. at 12.</w:t>
      </w:r>
      <w:proofErr w:type="gramEnd"/>
      <w:r w:rsidRPr="00D90919">
        <w:t xml:space="preserve">  In addition, for reconcil</w:t>
      </w:r>
      <w:r>
        <w:t>iation purposes, the Company wi</w:t>
      </w:r>
      <w:r w:rsidRPr="00D90919">
        <w:t>l</w:t>
      </w:r>
      <w:r>
        <w:t>l</w:t>
      </w:r>
      <w:r w:rsidRPr="00D90919">
        <w:t xml:space="preserve"> treat all TOU service</w:t>
      </w:r>
      <w:r>
        <w:t>s</w:t>
      </w:r>
      <w:r w:rsidRPr="00D90919">
        <w:t xml:space="preserve"> as though </w:t>
      </w:r>
      <w:r>
        <w:t xml:space="preserve">they were </w:t>
      </w:r>
      <w:r w:rsidRPr="00D90919">
        <w:t>billed at straight default service</w:t>
      </w:r>
      <w:r>
        <w:t xml:space="preserve"> rates.  </w:t>
      </w:r>
      <w:proofErr w:type="gramStart"/>
      <w:r>
        <w:t>PPL St</w:t>
      </w:r>
      <w:r w:rsidRPr="00D90919">
        <w:t>. 1 at 7; R.D. at 12.</w:t>
      </w:r>
      <w:proofErr w:type="gramEnd"/>
    </w:p>
    <w:p w:rsidR="004C1B9A" w:rsidRPr="00BF1127" w:rsidRDefault="008C4AB7" w:rsidP="001F1974">
      <w:pPr>
        <w:spacing w:line="240" w:lineRule="auto"/>
        <w:jc w:val="left"/>
      </w:pPr>
      <w:r w:rsidRPr="00BF1127">
        <w:rPr>
          <w:i/>
        </w:rPr>
        <w:t>Pa. Publ. Util. Comm'n, et al. v. PPL Electric Utilities Corporation</w:t>
      </w:r>
      <w:r w:rsidR="004C1B9A" w:rsidRPr="00BF1127">
        <w:rPr>
          <w:i/>
        </w:rPr>
        <w:t xml:space="preserve">, </w:t>
      </w:r>
      <w:r w:rsidR="004C1B9A" w:rsidRPr="00BF1127">
        <w:t xml:space="preserve">Docket Nos. R-2011-2264771, C-2011-2267808, C-2011-2268983 (Opinion and Order entered </w:t>
      </w:r>
    </w:p>
    <w:p w:rsidR="008C4AB7" w:rsidRPr="00BF1127" w:rsidRDefault="004C1B9A" w:rsidP="001F1974">
      <w:pPr>
        <w:spacing w:line="240" w:lineRule="auto"/>
        <w:jc w:val="left"/>
      </w:pPr>
      <w:r w:rsidRPr="00BF1127">
        <w:t>August 30, 2012</w:t>
      </w:r>
      <w:proofErr w:type="gramStart"/>
      <w:r w:rsidRPr="00BF1127">
        <w:t>)</w:t>
      </w:r>
      <w:r w:rsidR="00BF1127" w:rsidRPr="00BF1127">
        <w:t>(</w:t>
      </w:r>
      <w:proofErr w:type="gramEnd"/>
      <w:r w:rsidR="00BF1127" w:rsidRPr="00BF1127">
        <w:t>TOU Order)</w:t>
      </w:r>
      <w:r w:rsidRPr="00BF1127">
        <w:t xml:space="preserve">. </w:t>
      </w:r>
    </w:p>
    <w:p w:rsidR="000A4338" w:rsidRPr="00BF1127" w:rsidRDefault="000A4338" w:rsidP="00284D23">
      <w:pPr>
        <w:pStyle w:val="BodyText"/>
        <w:spacing w:after="0"/>
        <w:jc w:val="left"/>
      </w:pPr>
    </w:p>
    <w:p w:rsidR="004C1B9A" w:rsidRDefault="004C1B9A" w:rsidP="00284D23">
      <w:pPr>
        <w:pStyle w:val="BodyText"/>
        <w:spacing w:after="0"/>
        <w:jc w:val="left"/>
      </w:pPr>
      <w:r>
        <w:tab/>
      </w:r>
      <w:r>
        <w:tab/>
        <w:t>This third TOU program was disapproved in the Opinion and Order</w:t>
      </w:r>
      <w:r w:rsidR="00BF1127">
        <w:t>, which directed that the existing TOU program remain in effect until June 1, 2013.  The Commission stated:</w:t>
      </w:r>
    </w:p>
    <w:p w:rsidR="00284D23" w:rsidRDefault="00284D23" w:rsidP="00284D23">
      <w:pPr>
        <w:pStyle w:val="BodyText"/>
        <w:spacing w:after="0"/>
        <w:jc w:val="left"/>
      </w:pPr>
    </w:p>
    <w:p w:rsidR="008C4AB7" w:rsidRDefault="00BF1127" w:rsidP="001F1974">
      <w:pPr>
        <w:pStyle w:val="BodyText"/>
        <w:spacing w:after="0" w:line="240" w:lineRule="auto"/>
        <w:ind w:left="1440" w:right="1440"/>
        <w:jc w:val="left"/>
      </w:pPr>
      <w:r>
        <w:tab/>
        <w:t>An Electric Distribution Company (EDC) may not implement a program that would introduce costs where they are absent and customer should not be required to pay more for generation based on non-cost based considerations.  Such a program would be inconsistent with basic ratemaking principles.  We also support the SEF's rational for not approving the instant proposal, and instead addressing the TOU program within PPL's ongoing DSP proceeding.  With regard to PPL's po</w:t>
      </w:r>
      <w:r w:rsidR="000F710A">
        <w:t xml:space="preserve">sition that any reasonable TOU </w:t>
      </w:r>
      <w:r>
        <w:t xml:space="preserve">plan must be designed around the applicable fixed price default service rate, we are not persuaded by the record in this proceeding that PPL's TOU rates should be a derivation of the DSP rate.  </w:t>
      </w:r>
    </w:p>
    <w:p w:rsidR="00BF1127" w:rsidRDefault="00BF1127" w:rsidP="001F1974">
      <w:pPr>
        <w:pStyle w:val="BodyText"/>
        <w:spacing w:after="0" w:line="480" w:lineRule="auto"/>
        <w:jc w:val="left"/>
      </w:pPr>
      <w:proofErr w:type="gramStart"/>
      <w:r>
        <w:t>TOU Order at 18.</w:t>
      </w:r>
      <w:proofErr w:type="gramEnd"/>
    </w:p>
    <w:p w:rsidR="00284D23" w:rsidRDefault="00284D23" w:rsidP="00284D23">
      <w:pPr>
        <w:pStyle w:val="BodyText"/>
        <w:spacing w:after="0"/>
        <w:jc w:val="left"/>
      </w:pPr>
    </w:p>
    <w:p w:rsidR="002E4F6E" w:rsidRDefault="002E4F6E" w:rsidP="00284D23">
      <w:pPr>
        <w:pStyle w:val="BodyText"/>
        <w:spacing w:after="0"/>
        <w:jc w:val="left"/>
      </w:pPr>
      <w:r>
        <w:tab/>
      </w:r>
      <w:r>
        <w:tab/>
        <w:t>The Company declares its support for the concept:</w:t>
      </w:r>
    </w:p>
    <w:p w:rsidR="00284D23" w:rsidRDefault="00284D23" w:rsidP="00284D23">
      <w:pPr>
        <w:pStyle w:val="BodyText"/>
        <w:spacing w:after="0"/>
        <w:jc w:val="left"/>
      </w:pPr>
    </w:p>
    <w:p w:rsidR="00C50B37" w:rsidRDefault="00580B8E" w:rsidP="001F1974">
      <w:pPr>
        <w:pStyle w:val="BodyText"/>
        <w:spacing w:after="0" w:line="240" w:lineRule="auto"/>
        <w:ind w:left="1440" w:right="1440"/>
        <w:contextualSpacing/>
        <w:jc w:val="left"/>
      </w:pPr>
      <w:r>
        <w:t xml:space="preserve">PPL Electric has been a long-time supporter of TOU rates.  Prior to restructuring, PPL Electric implemented interruptible rates for large customers in the early 1980s, and thereafter implemented several other TOU-type programs, including demand free days, </w:t>
      </w:r>
      <w:r w:rsidR="00C50B37">
        <w:br w:type="page"/>
      </w:r>
    </w:p>
    <w:p w:rsidR="00580B8E" w:rsidRDefault="00580B8E" w:rsidP="001F1974">
      <w:pPr>
        <w:pStyle w:val="BodyText"/>
        <w:spacing w:after="0" w:line="240" w:lineRule="auto"/>
        <w:ind w:left="1440" w:right="1440"/>
        <w:contextualSpacing/>
        <w:jc w:val="left"/>
      </w:pPr>
      <w:proofErr w:type="gramStart"/>
      <w:r>
        <w:lastRenderedPageBreak/>
        <w:t>time</w:t>
      </w:r>
      <w:proofErr w:type="gramEnd"/>
      <w:r>
        <w:t xml:space="preserve"> of day billing options, reduced off-peak billing demand components and interruptible rate options.</w:t>
      </w:r>
      <w:r>
        <w:rPr>
          <w:rStyle w:val="FootnoteReference"/>
        </w:rPr>
        <w:footnoteReference w:id="31"/>
      </w:r>
      <w:r>
        <w:t xml:space="preserve">  And, after restructuring and prior to the adoption of Act 129, PPL Electric offered several pilot TOU programs for Residential customers.</w:t>
      </w:r>
      <w:r>
        <w:rPr>
          <w:rStyle w:val="FootnoteReference"/>
        </w:rPr>
        <w:footnoteReference w:id="32"/>
      </w:r>
      <w:r w:rsidR="00FF18D0">
        <w:t xml:space="preserve">  </w:t>
      </w:r>
      <w:r>
        <w:t xml:space="preserve">  </w:t>
      </w:r>
    </w:p>
    <w:p w:rsidR="002E4F6E" w:rsidRDefault="002E4F6E" w:rsidP="001F1974">
      <w:pPr>
        <w:pStyle w:val="BodyText"/>
        <w:spacing w:after="0" w:line="480" w:lineRule="auto"/>
        <w:jc w:val="left"/>
      </w:pPr>
      <w:proofErr w:type="gramStart"/>
      <w:r>
        <w:t>PPL Electric MB at 7</w:t>
      </w:r>
      <w:r w:rsidR="008468EA">
        <w:t>2</w:t>
      </w:r>
      <w:r>
        <w:t>.</w:t>
      </w:r>
      <w:proofErr w:type="gramEnd"/>
    </w:p>
    <w:p w:rsidR="00284D23" w:rsidRDefault="00284D23" w:rsidP="00284D23">
      <w:pPr>
        <w:pStyle w:val="BodyText"/>
        <w:spacing w:after="0"/>
        <w:jc w:val="left"/>
      </w:pPr>
    </w:p>
    <w:p w:rsidR="00315342" w:rsidRDefault="00315342" w:rsidP="00284D23">
      <w:pPr>
        <w:pStyle w:val="BodyText"/>
        <w:spacing w:after="0"/>
        <w:jc w:val="left"/>
      </w:pPr>
      <w:r>
        <w:tab/>
      </w:r>
      <w:r>
        <w:tab/>
      </w:r>
      <w:r w:rsidR="00FE6568">
        <w:t>In the TOU case, t</w:t>
      </w:r>
      <w:r>
        <w:t>he Company indicated that it would provide a "new" program as part of the DSP II plan:</w:t>
      </w:r>
    </w:p>
    <w:p w:rsidR="00284D23" w:rsidRDefault="00284D23" w:rsidP="00284D23">
      <w:pPr>
        <w:pStyle w:val="BodyText"/>
        <w:spacing w:after="0"/>
        <w:jc w:val="left"/>
      </w:pPr>
    </w:p>
    <w:p w:rsidR="00315342" w:rsidRDefault="00315342" w:rsidP="001F1974">
      <w:pPr>
        <w:pStyle w:val="BodyText2"/>
        <w:spacing w:after="0" w:line="240" w:lineRule="auto"/>
        <w:ind w:left="1440" w:right="1440"/>
        <w:jc w:val="left"/>
      </w:pPr>
      <w:r>
        <w:t>The proposed TOU program is a transition program that will last until May 31, 2013.  PPL Electric intends to propose a new TOU program to begin on June 1, 2013 under the Company’s next default service plan.</w:t>
      </w:r>
    </w:p>
    <w:p w:rsidR="00C50B37" w:rsidRDefault="00315342" w:rsidP="00C50B37">
      <w:pPr>
        <w:pStyle w:val="BodyText"/>
        <w:spacing w:after="0"/>
        <w:jc w:val="left"/>
      </w:pPr>
      <w:r>
        <w:t xml:space="preserve">PPL Electric MB in the TOU case, at 1-2; </w:t>
      </w:r>
      <w:r>
        <w:rPr>
          <w:i/>
        </w:rPr>
        <w:t xml:space="preserve">see also </w:t>
      </w:r>
      <w:r>
        <w:t xml:space="preserve">PPL Electric Stmt. 1 at 13, lines 15-22.  </w:t>
      </w:r>
    </w:p>
    <w:p w:rsidR="00C50B37" w:rsidRDefault="00C50B37" w:rsidP="00C50B37">
      <w:pPr>
        <w:pStyle w:val="BodyText"/>
        <w:spacing w:after="0"/>
        <w:jc w:val="left"/>
      </w:pPr>
    </w:p>
    <w:p w:rsidR="00315342" w:rsidRPr="00FB4831" w:rsidRDefault="00507FC2" w:rsidP="00C50B37">
      <w:pPr>
        <w:pStyle w:val="BodyText"/>
        <w:spacing w:after="0"/>
        <w:jc w:val="left"/>
      </w:pPr>
      <w:r>
        <w:tab/>
      </w:r>
      <w:r>
        <w:tab/>
      </w:r>
      <w:r w:rsidR="00FB4831" w:rsidRPr="00FB4831">
        <w:t>However, the Company</w:t>
      </w:r>
      <w:r w:rsidR="00315342" w:rsidRPr="00FB4831">
        <w:t xml:space="preserve"> explains</w:t>
      </w:r>
      <w:r w:rsidR="00FE6568" w:rsidRPr="00FB4831">
        <w:t xml:space="preserve"> </w:t>
      </w:r>
      <w:r w:rsidR="00FB4831" w:rsidRPr="00FB4831">
        <w:t>in the present case</w:t>
      </w:r>
      <w:r w:rsidR="00315342" w:rsidRPr="00FB4831">
        <w:t>:</w:t>
      </w:r>
    </w:p>
    <w:p w:rsidR="00284D23" w:rsidRDefault="00284D23" w:rsidP="00C50B37">
      <w:pPr>
        <w:pStyle w:val="BodyText"/>
        <w:spacing w:after="0"/>
        <w:jc w:val="left"/>
      </w:pPr>
    </w:p>
    <w:p w:rsidR="00580B8E" w:rsidRDefault="00580B8E" w:rsidP="001F1974">
      <w:pPr>
        <w:pStyle w:val="BodyText"/>
        <w:spacing w:after="0" w:line="240" w:lineRule="auto"/>
        <w:ind w:left="1440" w:right="1440"/>
        <w:jc w:val="left"/>
      </w:pPr>
      <w:r>
        <w:t>The proposed 2012 TOU plan was pending before the Commission at the time of the DSP II Program filing (May 1, 2012).  Given the lack of a final Commission decision, the transitional nature of the default service filing and the uncertainty regarding PPL Electric’s default service provider status after June 1, 2015, the Company decided to “stick with” its 2012 TOU proposal in its default service filing, and to reflect any changes that might later be required as a result of the pending 2012 TOU rate proceeding.</w:t>
      </w:r>
    </w:p>
    <w:p w:rsidR="00315342" w:rsidRDefault="00315342" w:rsidP="00284D23">
      <w:pPr>
        <w:pStyle w:val="BodyText"/>
        <w:spacing w:after="0" w:line="240" w:lineRule="auto"/>
        <w:jc w:val="left"/>
      </w:pPr>
      <w:r>
        <w:t>PPL Electric MB at 73-74.</w:t>
      </w:r>
    </w:p>
    <w:p w:rsidR="00284D23" w:rsidRDefault="00284D23" w:rsidP="00284D23">
      <w:pPr>
        <w:pStyle w:val="BodyText"/>
        <w:spacing w:after="0"/>
        <w:jc w:val="left"/>
      </w:pPr>
    </w:p>
    <w:p w:rsidR="00580B8E" w:rsidRDefault="00BD39CF" w:rsidP="00284D23">
      <w:pPr>
        <w:pStyle w:val="BodyText"/>
        <w:spacing w:after="0"/>
        <w:jc w:val="left"/>
      </w:pPr>
      <w:r>
        <w:tab/>
      </w:r>
      <w:r>
        <w:tab/>
        <w:t>In the meantime, with the promise of a "new" program to be filed with this DSP II plan, o</w:t>
      </w:r>
      <w:r w:rsidR="00580B8E">
        <w:t xml:space="preserve">n June 20, 2012, </w:t>
      </w:r>
      <w:r>
        <w:t>I</w:t>
      </w:r>
      <w:r w:rsidR="00580B8E">
        <w:t xml:space="preserve"> issued </w:t>
      </w:r>
      <w:r>
        <w:t>my</w:t>
      </w:r>
      <w:r w:rsidR="00580B8E">
        <w:t xml:space="preserve"> Recommended Decision (“R.D.”) in the 2012 TOU proceeding</w:t>
      </w:r>
      <w:r>
        <w:t>, which</w:t>
      </w:r>
      <w:r w:rsidR="00580B8E">
        <w:t xml:space="preserve"> characterized the Company’s 2012 TOU plan as a stop-gap program designed only to meet the minimum standards required by Act 129</w:t>
      </w:r>
      <w:r>
        <w:t xml:space="preserve">, </w:t>
      </w:r>
      <w:r w:rsidR="00580B8E">
        <w:t xml:space="preserve">noted that  the proposed program would have been effective for less than a calendar year and that the parties were already </w:t>
      </w:r>
      <w:r w:rsidR="00580B8E">
        <w:lastRenderedPageBreak/>
        <w:t>litigating TOU issues in the current default service proceeding</w:t>
      </w:r>
      <w:r>
        <w:t>, and</w:t>
      </w:r>
      <w:r w:rsidR="00580B8E">
        <w:t xml:space="preserve"> rejected the Company’s TOU proposal and encouraged the parties to negotiate a TOU program in the current DSP II proceeding.</w:t>
      </w:r>
      <w:r w:rsidR="00580B8E">
        <w:rPr>
          <w:rStyle w:val="FootnoteReference"/>
        </w:rPr>
        <w:footnoteReference w:id="33"/>
      </w:r>
      <w:r w:rsidR="00580B8E">
        <w:t xml:space="preserve">  </w:t>
      </w:r>
    </w:p>
    <w:p w:rsidR="000F710A" w:rsidRDefault="000F710A" w:rsidP="001F1974">
      <w:pPr>
        <w:pStyle w:val="BodyText"/>
        <w:spacing w:after="0"/>
        <w:jc w:val="left"/>
      </w:pPr>
    </w:p>
    <w:p w:rsidR="00D4140C" w:rsidRDefault="00BD39CF" w:rsidP="001F1974">
      <w:pPr>
        <w:pStyle w:val="BodyText2"/>
        <w:spacing w:after="0" w:line="360" w:lineRule="auto"/>
        <w:jc w:val="left"/>
      </w:pPr>
      <w:r>
        <w:tab/>
      </w:r>
      <w:r>
        <w:tab/>
      </w:r>
      <w:r w:rsidR="00580B8E">
        <w:t>The Commission’s O</w:t>
      </w:r>
      <w:r>
        <w:t>pinion and O</w:t>
      </w:r>
      <w:r w:rsidR="00580B8E">
        <w:t>rder</w:t>
      </w:r>
      <w:r w:rsidR="000F710A">
        <w:t xml:space="preserve"> in the TOU case</w:t>
      </w:r>
      <w:r w:rsidR="00580B8E">
        <w:t xml:space="preserve"> contains three important holdings</w:t>
      </w:r>
      <w:r>
        <w:t>: (1)</w:t>
      </w:r>
      <w:r w:rsidR="00580B8E">
        <w:t xml:space="preserve"> that TOU service is a default service</w:t>
      </w:r>
      <w:r>
        <w:t xml:space="preserve">; </w:t>
      </w:r>
      <w:r w:rsidR="00580B8E">
        <w:t xml:space="preserve"> </w:t>
      </w:r>
      <w:r>
        <w:t>(2)</w:t>
      </w:r>
      <w:r w:rsidR="00580B8E">
        <w:t xml:space="preserve"> </w:t>
      </w:r>
      <w:r w:rsidR="00FE6568">
        <w:t xml:space="preserve">that </w:t>
      </w:r>
      <w:r w:rsidR="00580B8E">
        <w:t>the Commission</w:t>
      </w:r>
      <w:r w:rsidR="00FE6568">
        <w:t xml:space="preserve"> </w:t>
      </w:r>
      <w:r w:rsidR="00580B8E">
        <w:t>was not persuaded that TOU default service rates should be derived from or based on fi</w:t>
      </w:r>
      <w:r>
        <w:t>xed-price default service rates; and (3)</w:t>
      </w:r>
      <w:r w:rsidR="00D4140C">
        <w:t xml:space="preserve"> </w:t>
      </w:r>
      <w:r w:rsidR="00580B8E">
        <w:t>that the Company could recover prior period and ongoing undercollections from all Residential and Small C&amp;I customers, respectively</w:t>
      </w:r>
      <w:r w:rsidR="00D4140C">
        <w:t>, f</w:t>
      </w:r>
      <w:r w:rsidR="00580B8E">
        <w:t>ollowing certification by the Commission’s Bureau of Audits that the amount of the net undercollection claimed is correct, the accounting method used is consistent with Commission directives and the allocation among rate classes is appropriate, PPL may begin recovery of its TOU undercollection</w:t>
      </w:r>
      <w:r w:rsidR="00D4140C">
        <w:t>.  The Company states:</w:t>
      </w:r>
    </w:p>
    <w:p w:rsidR="00284D23" w:rsidRDefault="00284D23" w:rsidP="001F1974">
      <w:pPr>
        <w:pStyle w:val="BodyText2"/>
        <w:spacing w:after="0" w:line="360" w:lineRule="auto"/>
        <w:jc w:val="left"/>
      </w:pPr>
    </w:p>
    <w:p w:rsidR="00580B8E" w:rsidRDefault="00580B8E" w:rsidP="001F1974">
      <w:pPr>
        <w:pStyle w:val="BodyText2"/>
        <w:spacing w:after="0" w:line="240" w:lineRule="auto"/>
        <w:ind w:left="1440" w:right="1440"/>
        <w:jc w:val="left"/>
      </w:pPr>
      <w:r>
        <w:t xml:space="preserve">Because the Commission’s Order was only entered shortly after testimony was filed and shortly before hearings began in this proceeding, PPL Electric and other interested parties did not have the opportunity to fully react and respond to the Commission’s Order.  For the reasons set forth below, and given all of the above facts and circumstances, PPL Electric believes that the most prudent course of action would be to approve PPL Electric’s as-filed TOU plan as an interim, transitional measure.  If the Commission does not adopt PPL Electric’s plan as filed, PPL Electric presents in this Brief an alternative proposal that seeks to address the major concerns raised by the ALJ, the Commission and other parties to this proceeding.  While the basic elements of the alternative proposal, explained below, are supported by the record in this proceeding, the Company requests that a collaborative be implemented so that details of the alternative proposal can be worked out and to ensure that all implementation issues are fully addressed.  </w:t>
      </w:r>
    </w:p>
    <w:p w:rsidR="00D4140C" w:rsidRDefault="00D4140C" w:rsidP="001F1974">
      <w:pPr>
        <w:pStyle w:val="BodyText2"/>
        <w:spacing w:after="0" w:line="240" w:lineRule="auto"/>
        <w:jc w:val="left"/>
      </w:pPr>
      <w:r>
        <w:t>PPL Electric MB at 74-75.</w:t>
      </w:r>
    </w:p>
    <w:p w:rsidR="00D4140C" w:rsidRDefault="00D4140C" w:rsidP="00284D23">
      <w:pPr>
        <w:pStyle w:val="BodyText2"/>
        <w:spacing w:after="0" w:line="360" w:lineRule="auto"/>
        <w:ind w:left="1440" w:right="1440"/>
        <w:jc w:val="left"/>
      </w:pPr>
    </w:p>
    <w:p w:rsidR="00C50B37" w:rsidRDefault="00C50B37" w:rsidP="00011E36">
      <w:pPr>
        <w:pStyle w:val="Heading4"/>
        <w:tabs>
          <w:tab w:val="clear" w:pos="3060"/>
        </w:tabs>
        <w:spacing w:after="0"/>
        <w:ind w:left="2160"/>
        <w:jc w:val="left"/>
      </w:pPr>
      <w:bookmarkStart w:id="73" w:name="_Toc337196670"/>
      <w:r>
        <w:br w:type="page"/>
      </w:r>
    </w:p>
    <w:p w:rsidR="00580B8E" w:rsidRDefault="00FF18D0" w:rsidP="00FF18D0">
      <w:pPr>
        <w:pStyle w:val="Heading4"/>
        <w:numPr>
          <w:ilvl w:val="0"/>
          <w:numId w:val="0"/>
        </w:numPr>
        <w:spacing w:after="0"/>
        <w:ind w:left="2160" w:hanging="720"/>
        <w:jc w:val="left"/>
      </w:pPr>
      <w:proofErr w:type="gramStart"/>
      <w:r>
        <w:lastRenderedPageBreak/>
        <w:t>b.</w:t>
      </w:r>
      <w:r>
        <w:tab/>
      </w:r>
      <w:r w:rsidR="00580B8E">
        <w:t>PPL</w:t>
      </w:r>
      <w:proofErr w:type="gramEnd"/>
      <w:r w:rsidR="00580B8E">
        <w:t xml:space="preserve"> Electric’s As Filed Proposal</w:t>
      </w:r>
      <w:bookmarkEnd w:id="73"/>
      <w:r>
        <w:fldChar w:fldCharType="begin"/>
      </w:r>
      <w:r>
        <w:instrText xml:space="preserve"> TC "</w:instrText>
      </w:r>
      <w:bookmarkStart w:id="74" w:name="_Toc340670020"/>
      <w:r w:rsidRPr="009B7B20">
        <w:instrText>b.</w:instrText>
      </w:r>
      <w:r w:rsidRPr="009B7B20">
        <w:tab/>
        <w:instrText>PPL Electric’s As Filed Proposal</w:instrText>
      </w:r>
      <w:bookmarkEnd w:id="74"/>
      <w:r>
        <w:instrText xml:space="preserve">" \f C \l "4" </w:instrText>
      </w:r>
      <w:r>
        <w:fldChar w:fldCharType="end"/>
      </w:r>
      <w:r w:rsidR="00580B8E">
        <w:t xml:space="preserve"> </w:t>
      </w:r>
    </w:p>
    <w:p w:rsidR="00284D23" w:rsidRPr="00284D23" w:rsidRDefault="00284D23" w:rsidP="00284D23">
      <w:pPr>
        <w:pStyle w:val="BodyText2"/>
        <w:spacing w:after="0" w:line="360" w:lineRule="auto"/>
      </w:pPr>
    </w:p>
    <w:p w:rsidR="00F81D62" w:rsidRDefault="00F81D62" w:rsidP="001F1974">
      <w:pPr>
        <w:pStyle w:val="BodyText2"/>
        <w:spacing w:after="0" w:line="360" w:lineRule="auto"/>
        <w:contextualSpacing/>
        <w:jc w:val="left"/>
      </w:pPr>
      <w:r>
        <w:tab/>
      </w:r>
      <w:r>
        <w:tab/>
      </w:r>
      <w:r w:rsidR="00580B8E">
        <w:t>The Company</w:t>
      </w:r>
      <w:r>
        <w:t xml:space="preserve"> explains that it designed its proposed TOU program with four goals in mind:  (1) to</w:t>
      </w:r>
      <w:r w:rsidR="00580B8E">
        <w:t xml:space="preserve"> provide a basic TOU rate option for default service customers that would allow them the opportunity to save money if they shifted usage</w:t>
      </w:r>
      <w:r>
        <w:t>; (2)</w:t>
      </w:r>
      <w:r w:rsidR="00580B8E">
        <w:t xml:space="preserve"> to </w:t>
      </w:r>
      <w:r>
        <w:t>provide</w:t>
      </w:r>
      <w:r w:rsidR="00580B8E">
        <w:t xml:space="preserve"> a program that did not unduly inhibit the development of or compete with TOU rate options in the competitive retail market</w:t>
      </w:r>
      <w:r>
        <w:t>; and (3)</w:t>
      </w:r>
      <w:r w:rsidR="00580B8E">
        <w:t xml:space="preserve"> </w:t>
      </w:r>
      <w:r>
        <w:t xml:space="preserve">to </w:t>
      </w:r>
      <w:r w:rsidR="00580B8E">
        <w:t>avoid a design that would encourage customers to switch back and forth between the TOU and fixed default service rates based on structural differences in the two programs</w:t>
      </w:r>
      <w:r>
        <w:t>; and (4)</w:t>
      </w:r>
      <w:r w:rsidR="00580B8E">
        <w:t xml:space="preserve"> to enable the Company to recover all costs associated with providing TOU default service on a full and current basis.  </w:t>
      </w:r>
      <w:proofErr w:type="gramStart"/>
      <w:r>
        <w:t>PPL Electric MB at 76.</w:t>
      </w:r>
      <w:proofErr w:type="gramEnd"/>
    </w:p>
    <w:p w:rsidR="00F81D62" w:rsidRDefault="00F81D62" w:rsidP="001F1974">
      <w:pPr>
        <w:pStyle w:val="BodyText2"/>
        <w:spacing w:after="0" w:line="360" w:lineRule="auto"/>
        <w:contextualSpacing/>
        <w:jc w:val="left"/>
      </w:pPr>
    </w:p>
    <w:p w:rsidR="00580B8E" w:rsidRDefault="005936F4" w:rsidP="001F1974">
      <w:pPr>
        <w:pStyle w:val="BodyText2"/>
        <w:spacing w:after="0" w:line="360" w:lineRule="auto"/>
        <w:contextualSpacing/>
        <w:jc w:val="left"/>
      </w:pPr>
      <w:r>
        <w:tab/>
      </w:r>
      <w:r>
        <w:tab/>
        <w:t xml:space="preserve">The TOU plan proposes </w:t>
      </w:r>
      <w:r w:rsidR="00580B8E">
        <w:t>for Residential customers</w:t>
      </w:r>
      <w:r w:rsidR="002E06AE">
        <w:t xml:space="preserve"> </w:t>
      </w:r>
      <w:r w:rsidR="00580B8E">
        <w:t xml:space="preserve">an on-peak period from 12:00 p.m. to 7:00 p.m. year-round, excluding weekends and PJM holidays.  This consistent year-round time period </w:t>
      </w:r>
      <w:r w:rsidR="002E06AE">
        <w:t>is intended to</w:t>
      </w:r>
      <w:r w:rsidR="00580B8E">
        <w:t xml:space="preserve">:  (1) be easier for customers to remember, (2) not require them to reset timers on appliances or other devices, and (3) not require them to change usage patterns on a seasonal basis.  </w:t>
      </w:r>
      <w:proofErr w:type="gramStart"/>
      <w:r w:rsidR="002E06AE">
        <w:t>PPL Electric St</w:t>
      </w:r>
      <w:r w:rsidR="00FE6568">
        <w:t>mt</w:t>
      </w:r>
      <w:r w:rsidR="002E06AE">
        <w:t>. 3</w:t>
      </w:r>
      <w:r w:rsidR="00FE6568">
        <w:t xml:space="preserve"> at</w:t>
      </w:r>
      <w:r w:rsidR="002E06AE">
        <w:t xml:space="preserve"> 6.</w:t>
      </w:r>
      <w:proofErr w:type="gramEnd"/>
      <w:r w:rsidR="002E06AE">
        <w:t xml:space="preserve">  </w:t>
      </w:r>
      <w:r w:rsidR="00580B8E">
        <w:t xml:space="preserve">The actual load shape for the Residential class was used to determine the hourly percentage variance from the annual average for all possible combinations of on-peak and off-peak periods.  </w:t>
      </w:r>
      <w:proofErr w:type="gramStart"/>
      <w:r w:rsidR="002E06AE">
        <w:t>PPL Electric St</w:t>
      </w:r>
      <w:r w:rsidR="00FE6568">
        <w:t>mt</w:t>
      </w:r>
      <w:r w:rsidR="002E06AE">
        <w:t>. 3</w:t>
      </w:r>
      <w:r w:rsidR="00FE6568">
        <w:t xml:space="preserve"> at</w:t>
      </w:r>
      <w:r w:rsidR="002E06AE">
        <w:t xml:space="preserve"> 6.</w:t>
      </w:r>
      <w:proofErr w:type="gramEnd"/>
      <w:r w:rsidR="00FF18D0">
        <w:t xml:space="preserve">  </w:t>
      </w:r>
      <w:r w:rsidR="00580B8E">
        <w:t>The on-peak period was evaluated based on several criteria including: a premium/discount that would encourage shifting of load and/or conservation; a reasonable time frame to encourage participation; and periods that included the typical summer and winter peak load times.  PPL Electric St</w:t>
      </w:r>
      <w:r w:rsidR="00FE6568">
        <w:t>mt</w:t>
      </w:r>
      <w:r w:rsidR="00580B8E">
        <w:t>. 3</w:t>
      </w:r>
      <w:r w:rsidR="00FE6568">
        <w:t xml:space="preserve"> at</w:t>
      </w:r>
      <w:r w:rsidR="00580B8E">
        <w:t xml:space="preserve"> 6-7</w:t>
      </w:r>
      <w:r w:rsidR="00FE6568">
        <w:t>;</w:t>
      </w:r>
      <w:r w:rsidR="00580B8E">
        <w:t xml:space="preserve"> </w:t>
      </w:r>
      <w:r w:rsidR="002E06AE">
        <w:t>PPL Electric MB at 76-77.</w:t>
      </w:r>
      <w:r w:rsidR="00580B8E">
        <w:t xml:space="preserve"> </w:t>
      </w:r>
      <w:r w:rsidR="000F710A">
        <w:t xml:space="preserve"> For Small </w:t>
      </w:r>
      <w:proofErr w:type="gramStart"/>
      <w:r w:rsidR="000F710A">
        <w:t>C&amp;I</w:t>
      </w:r>
      <w:proofErr w:type="gramEnd"/>
      <w:r w:rsidR="000F710A">
        <w:t xml:space="preserve"> customers:</w:t>
      </w:r>
    </w:p>
    <w:p w:rsidR="002E06AE" w:rsidRDefault="002E06AE" w:rsidP="00284D23">
      <w:pPr>
        <w:pStyle w:val="BodyText2"/>
        <w:spacing w:after="0" w:line="360" w:lineRule="auto"/>
        <w:ind w:left="1440" w:right="1440"/>
        <w:contextualSpacing/>
        <w:jc w:val="left"/>
      </w:pPr>
    </w:p>
    <w:p w:rsidR="00580B8E" w:rsidRDefault="002E06AE" w:rsidP="001F1974">
      <w:pPr>
        <w:pStyle w:val="BodyText2"/>
        <w:spacing w:after="0" w:line="240" w:lineRule="auto"/>
        <w:ind w:left="1440" w:right="1440"/>
        <w:contextualSpacing/>
        <w:jc w:val="left"/>
      </w:pPr>
      <w:r>
        <w:tab/>
      </w:r>
      <w:r w:rsidR="00580B8E">
        <w:t xml:space="preserve">The on-peak period for Small C&amp;I customers is from 7:00 a.m. to 7:00 p.m., also on a year-round basis, excluding week-ends and PJM holidays.  All other hours would be considered off-peak.  </w:t>
      </w:r>
      <w:proofErr w:type="gramStart"/>
      <w:r w:rsidR="00580B8E">
        <w:t>(PPL Electric St. 3, p. 7).</w:t>
      </w:r>
      <w:proofErr w:type="gramEnd"/>
      <w:r w:rsidR="00580B8E">
        <w:t xml:space="preserve">  The same criteria set forth above for the Residential Class were used to select the on-peak period for the Small C&amp;I class including in particular that customers taking optional off-peak space heating and water heating service under Rate Schedules GH-1 and GH-2 already have equipment that is controlled to minimize use during the 7:00 a.m. to 7:00 p.m. period.  </w:t>
      </w:r>
      <w:r w:rsidR="00580B8E">
        <w:rPr>
          <w:i/>
        </w:rPr>
        <w:t>Id</w:t>
      </w:r>
      <w:r w:rsidR="00580B8E">
        <w:t>.</w:t>
      </w:r>
    </w:p>
    <w:p w:rsidR="00284D23" w:rsidRDefault="00284D23" w:rsidP="001F1974">
      <w:pPr>
        <w:pStyle w:val="BodyText2"/>
        <w:spacing w:after="0" w:line="240" w:lineRule="auto"/>
        <w:ind w:left="1440" w:right="1440"/>
        <w:contextualSpacing/>
        <w:jc w:val="left"/>
      </w:pPr>
    </w:p>
    <w:p w:rsidR="00580B8E" w:rsidRDefault="00143396" w:rsidP="001F1974">
      <w:pPr>
        <w:pStyle w:val="BodyText2"/>
        <w:spacing w:after="0" w:line="240" w:lineRule="auto"/>
        <w:ind w:left="1440" w:right="1440"/>
        <w:contextualSpacing/>
        <w:jc w:val="left"/>
      </w:pPr>
      <w:r>
        <w:lastRenderedPageBreak/>
        <w:tab/>
      </w:r>
      <w:r w:rsidR="00580B8E">
        <w:t xml:space="preserve">The rates for Residential and Small C&amp;I TOU customers will be fixed for a 6-month period, corresponding with each proposed fixed-price default service PTC period, </w:t>
      </w:r>
      <w:r w:rsidR="00580B8E">
        <w:rPr>
          <w:i/>
        </w:rPr>
        <w:t>i.e.,</w:t>
      </w:r>
      <w:r w:rsidR="00580B8E">
        <w:t xml:space="preserve"> June -November and December - May supply periods.  The rates will reflect the generation cost component of the respective Customer Class GSC-1 rates adjusted by an adder for the on-peak period and a discount for the off-peak period, plus the Customer Classes’ respective portions of Company administrative costs and the E-Factor.  </w:t>
      </w:r>
      <w:proofErr w:type="gramStart"/>
      <w:r w:rsidR="00580B8E">
        <w:t>(PPL Electric St. 3, p. 7).</w:t>
      </w:r>
      <w:proofErr w:type="gramEnd"/>
      <w:r w:rsidR="00FF18D0">
        <w:t xml:space="preserve">  </w:t>
      </w:r>
    </w:p>
    <w:p w:rsidR="00284D23" w:rsidRDefault="00284D23" w:rsidP="001F1974">
      <w:pPr>
        <w:pStyle w:val="BodyText2"/>
        <w:spacing w:after="0" w:line="240" w:lineRule="auto"/>
        <w:ind w:left="1440" w:right="1440"/>
        <w:contextualSpacing/>
        <w:jc w:val="left"/>
      </w:pPr>
    </w:p>
    <w:p w:rsidR="00580B8E" w:rsidRDefault="00143396" w:rsidP="001F1974">
      <w:pPr>
        <w:pStyle w:val="BodyText2"/>
        <w:spacing w:after="0" w:line="240" w:lineRule="auto"/>
        <w:ind w:left="1440" w:right="1440"/>
        <w:contextualSpacing/>
        <w:jc w:val="left"/>
      </w:pPr>
      <w:r>
        <w:tab/>
      </w:r>
      <w:r w:rsidR="00580B8E">
        <w:t xml:space="preserve">As described in detail by PPL Electric witness Woodruff, the on-peak adder and off-peak discount will be determined based on an analysis of the prior three calendar years of energy prices and load.  </w:t>
      </w:r>
      <w:proofErr w:type="gramStart"/>
      <w:r w:rsidR="00580B8E">
        <w:t>(PPL Electric St. 3, pp. 8-9).</w:t>
      </w:r>
      <w:proofErr w:type="gramEnd"/>
      <w:r w:rsidR="00580B8E">
        <w:t xml:space="preserve">  This analysis will include a review of the Customer Class hourly load, the hourly PJM LMP, the hourly spot market energy dollars, the on-peak and off-peak $/MWh averages, and the generation cost factor of the GSC-1 rate for the respective Customer Class.  </w:t>
      </w:r>
      <w:r w:rsidR="00580B8E">
        <w:rPr>
          <w:i/>
        </w:rPr>
        <w:t>Id.</w:t>
      </w:r>
      <w:r w:rsidR="00284D23">
        <w:t xml:space="preserve">  </w:t>
      </w:r>
    </w:p>
    <w:p w:rsidR="00284D23" w:rsidRDefault="00284D23" w:rsidP="001F1974">
      <w:pPr>
        <w:pStyle w:val="BodyText2"/>
        <w:spacing w:after="0" w:line="240" w:lineRule="auto"/>
        <w:ind w:left="1440" w:right="1440"/>
        <w:contextualSpacing/>
        <w:jc w:val="left"/>
      </w:pPr>
    </w:p>
    <w:p w:rsidR="00580B8E" w:rsidRDefault="00143396" w:rsidP="001F1974">
      <w:pPr>
        <w:pStyle w:val="BodyText2"/>
        <w:spacing w:after="0" w:line="240" w:lineRule="auto"/>
        <w:ind w:left="1440" w:right="1440"/>
        <w:contextualSpacing/>
        <w:jc w:val="left"/>
      </w:pPr>
      <w:r>
        <w:tab/>
      </w:r>
      <w:r w:rsidR="00580B8E">
        <w:t xml:space="preserve">TOU over/under collections will be reconciled across all default service customers by rate class, </w:t>
      </w:r>
      <w:r w:rsidR="00580B8E">
        <w:rPr>
          <w:i/>
        </w:rPr>
        <w:t>i.e.,</w:t>
      </w:r>
      <w:r w:rsidR="00580B8E">
        <w:t xml:space="preserve"> Residential TOU over/undercollections will be reconciled over all Residential default service load and Small C&amp;I over/undercollections will be reconciled over all Small C&amp;I default service load.</w:t>
      </w:r>
      <w:r w:rsidR="00580B8E">
        <w:rPr>
          <w:rStyle w:val="FootnoteReference"/>
        </w:rPr>
        <w:footnoteReference w:id="34"/>
      </w:r>
    </w:p>
    <w:p w:rsidR="00284D23" w:rsidRDefault="00284D23" w:rsidP="001F1974">
      <w:pPr>
        <w:pStyle w:val="BodyText2"/>
        <w:spacing w:after="0" w:line="240" w:lineRule="auto"/>
        <w:ind w:left="1440" w:right="1440"/>
        <w:contextualSpacing/>
        <w:jc w:val="left"/>
      </w:pPr>
    </w:p>
    <w:p w:rsidR="00580B8E" w:rsidRDefault="005936F4" w:rsidP="001F1974">
      <w:pPr>
        <w:pStyle w:val="BodyText2"/>
        <w:spacing w:after="0" w:line="240" w:lineRule="auto"/>
        <w:ind w:left="1440" w:right="1440"/>
        <w:contextualSpacing/>
        <w:jc w:val="left"/>
        <w:rPr>
          <w:i/>
        </w:rPr>
      </w:pPr>
      <w:r>
        <w:tab/>
      </w:r>
      <w:r w:rsidR="00580B8E">
        <w:t xml:space="preserve">Customers will be provided with advance notice and must affirmatively elect to participate in the TOU program, </w:t>
      </w:r>
      <w:r w:rsidR="00580B8E">
        <w:rPr>
          <w:i/>
        </w:rPr>
        <w:t>i.e.,</w:t>
      </w:r>
      <w:r w:rsidR="00580B8E">
        <w:t xml:space="preserve"> there will be no carryover of customers from the former program.  </w:t>
      </w:r>
      <w:proofErr w:type="gramStart"/>
      <w:r w:rsidR="00580B8E">
        <w:t>(PPL Electric St. 3, p. 10).</w:t>
      </w:r>
      <w:proofErr w:type="gramEnd"/>
      <w:r w:rsidR="00580B8E">
        <w:t xml:space="preserve">  There is no cap on the number of customers who can participate in the proposed TOU program.  All existing TOU customers would be removed from the then-existing TOU rates as of their meter reading in May 2013, and would be eligible for the new TOU rates as of their meter reading in June 2013.  The TOU program end date will be based on a customer’s final billing cycle on or before May 31, 2015.  </w:t>
      </w:r>
      <w:r w:rsidR="00580B8E">
        <w:rPr>
          <w:i/>
        </w:rPr>
        <w:t>Id.</w:t>
      </w:r>
    </w:p>
    <w:p w:rsidR="00603E6B" w:rsidRDefault="002E06AE" w:rsidP="00D67008">
      <w:pPr>
        <w:pStyle w:val="BodyText2"/>
        <w:spacing w:after="0" w:line="240" w:lineRule="auto"/>
        <w:contextualSpacing/>
        <w:jc w:val="left"/>
      </w:pPr>
      <w:r>
        <w:t>PPL Electric MB at 77-78.</w:t>
      </w:r>
    </w:p>
    <w:p w:rsidR="002E06AE" w:rsidRDefault="002E06AE" w:rsidP="00D67008">
      <w:pPr>
        <w:pStyle w:val="BodyText2"/>
        <w:spacing w:after="0" w:line="360" w:lineRule="auto"/>
        <w:contextualSpacing/>
        <w:jc w:val="left"/>
      </w:pPr>
    </w:p>
    <w:p w:rsidR="00011E36" w:rsidRDefault="00011E36" w:rsidP="00284D23">
      <w:pPr>
        <w:pStyle w:val="BodyText2"/>
        <w:spacing w:after="0" w:line="360" w:lineRule="auto"/>
        <w:contextualSpacing/>
        <w:jc w:val="left"/>
      </w:pPr>
      <w:r>
        <w:br w:type="page"/>
      </w:r>
    </w:p>
    <w:p w:rsidR="0044532A" w:rsidRDefault="0044532A" w:rsidP="00D67008">
      <w:pPr>
        <w:pStyle w:val="BodyText2"/>
        <w:spacing w:after="0" w:line="360" w:lineRule="auto"/>
        <w:contextualSpacing/>
        <w:jc w:val="left"/>
      </w:pPr>
      <w:r>
        <w:lastRenderedPageBreak/>
        <w:tab/>
      </w:r>
      <w:r>
        <w:tab/>
        <w:t>The Company states:</w:t>
      </w:r>
    </w:p>
    <w:p w:rsidR="00284D23" w:rsidRDefault="00284D23" w:rsidP="00D67008">
      <w:pPr>
        <w:pStyle w:val="BodyText2"/>
        <w:spacing w:after="0" w:line="360" w:lineRule="auto"/>
        <w:contextualSpacing/>
        <w:jc w:val="left"/>
      </w:pPr>
    </w:p>
    <w:p w:rsidR="0044532A" w:rsidRDefault="0044532A" w:rsidP="00810C08">
      <w:pPr>
        <w:pStyle w:val="BodyText2"/>
        <w:spacing w:after="0" w:line="240" w:lineRule="auto"/>
        <w:ind w:left="1440" w:right="1440"/>
        <w:contextualSpacing/>
        <w:jc w:val="left"/>
      </w:pPr>
      <w:r>
        <w:tab/>
        <w:t xml:space="preserve">Fourth, the Company's proposal to maintain the </w:t>
      </w:r>
      <w:r>
        <w:rPr>
          <w:i/>
        </w:rPr>
        <w:t>status quo</w:t>
      </w:r>
      <w:r>
        <w:t xml:space="preserve"> is consistent with the transitional nature of this filing and the uncertainty surrounding EDCs future as the default service provider.  It does not make sense to expend limited Commission resources to develop a new TOU rate program that may only be in effect for a short period of time.</w:t>
      </w:r>
    </w:p>
    <w:p w:rsidR="0044532A" w:rsidRDefault="0044532A" w:rsidP="001F1974">
      <w:pPr>
        <w:pStyle w:val="BodyText2"/>
        <w:spacing w:after="0" w:line="360" w:lineRule="auto"/>
        <w:contextualSpacing/>
        <w:jc w:val="left"/>
      </w:pPr>
      <w:proofErr w:type="gramStart"/>
      <w:r>
        <w:t>PPL MB at 79.</w:t>
      </w:r>
      <w:proofErr w:type="gramEnd"/>
    </w:p>
    <w:p w:rsidR="0044532A" w:rsidRDefault="0044532A" w:rsidP="001F1974">
      <w:pPr>
        <w:pStyle w:val="BodyText2"/>
        <w:spacing w:after="0" w:line="360" w:lineRule="auto"/>
        <w:contextualSpacing/>
        <w:jc w:val="left"/>
      </w:pPr>
    </w:p>
    <w:p w:rsidR="00143396" w:rsidRDefault="00143396" w:rsidP="001F1974">
      <w:pPr>
        <w:pStyle w:val="BodyText2"/>
        <w:spacing w:after="0" w:line="360" w:lineRule="auto"/>
        <w:contextualSpacing/>
        <w:jc w:val="left"/>
      </w:pPr>
      <w:r>
        <w:tab/>
      </w:r>
      <w:r>
        <w:tab/>
      </w:r>
      <w:r w:rsidR="00D17672">
        <w:t>Apparently t</w:t>
      </w:r>
      <w:r>
        <w:t>he Company</w:t>
      </w:r>
      <w:r w:rsidR="00D17672">
        <w:t xml:space="preserve"> believes </w:t>
      </w:r>
      <w:r>
        <w:t xml:space="preserve">that it should not bother to develop a program that complies with existing legislation because </w:t>
      </w:r>
      <w:r w:rsidR="0044532A">
        <w:t>the law</w:t>
      </w:r>
      <w:r>
        <w:t xml:space="preserve"> just might change</w:t>
      </w:r>
      <w:r w:rsidR="00D17672">
        <w:t>.  This position</w:t>
      </w:r>
      <w:r>
        <w:t xml:space="preserve"> has no support in the law and should be given no weight.</w:t>
      </w:r>
      <w:r w:rsidR="000826DB">
        <w:t xml:space="preserve">  The requirement</w:t>
      </w:r>
      <w:r w:rsidR="000F710A">
        <w:t xml:space="preserve"> in the existing statute</w:t>
      </w:r>
      <w:r w:rsidR="000826DB">
        <w:t xml:space="preserve"> is </w:t>
      </w:r>
      <w:r w:rsidR="000F710A">
        <w:t xml:space="preserve">for PPL Electric, as an EDC providing default service, </w:t>
      </w:r>
      <w:r w:rsidR="000826DB">
        <w:t xml:space="preserve">to propose and implement a valid TOU plan for use during the two-year period covered by the DSP II plan.  </w:t>
      </w:r>
    </w:p>
    <w:p w:rsidR="00143396" w:rsidRDefault="00143396" w:rsidP="001F1974">
      <w:pPr>
        <w:pStyle w:val="BodyText2"/>
        <w:spacing w:after="0" w:line="360" w:lineRule="auto"/>
        <w:contextualSpacing/>
        <w:jc w:val="left"/>
      </w:pPr>
    </w:p>
    <w:p w:rsidR="002308D5" w:rsidRDefault="00D17672" w:rsidP="001F1974">
      <w:pPr>
        <w:pStyle w:val="BodyText2"/>
        <w:spacing w:after="0" w:line="360" w:lineRule="auto"/>
        <w:contextualSpacing/>
        <w:jc w:val="left"/>
      </w:pPr>
      <w:r>
        <w:tab/>
      </w:r>
      <w:r>
        <w:tab/>
      </w:r>
      <w:r w:rsidR="002308D5">
        <w:t>SEF charges that the Company has failed to satisfy the minimum requirements of Act 129.  In fact, SEF charges that the Company has failed to make a good faith effort to design and administer TOU programs to effectuate the intent of Act 129 to provide the least cost of electricity over time for an EDC's captive customers.  SEF points out:</w:t>
      </w:r>
    </w:p>
    <w:p w:rsidR="00284D23" w:rsidRDefault="00284D23" w:rsidP="001F1974">
      <w:pPr>
        <w:pStyle w:val="BodyText2"/>
        <w:spacing w:after="0" w:line="360" w:lineRule="auto"/>
        <w:contextualSpacing/>
        <w:jc w:val="left"/>
      </w:pPr>
    </w:p>
    <w:p w:rsidR="002308D5" w:rsidRDefault="002308D5" w:rsidP="001F1974">
      <w:pPr>
        <w:pStyle w:val="BodyText2"/>
        <w:spacing w:after="0" w:line="240" w:lineRule="auto"/>
        <w:ind w:left="1440" w:right="1440"/>
        <w:contextualSpacing/>
        <w:jc w:val="left"/>
      </w:pPr>
      <w:r>
        <w:tab/>
        <w:t>In this filing, as in previous TOU filings, PPL Electric has:  (1) failed to analyze the cost effectiveness of the TOU program; (2) failed to analyze energy demand reductions, if any; (3) failed to analyze energy consumption reductions, if any; and, (4) committed a critical error in the design of "on-peak" periods.</w:t>
      </w:r>
    </w:p>
    <w:p w:rsidR="00284D23" w:rsidRDefault="00284D23" w:rsidP="001F1974">
      <w:pPr>
        <w:pStyle w:val="BodyText2"/>
        <w:spacing w:after="0" w:line="240" w:lineRule="auto"/>
        <w:ind w:left="1440" w:right="1440"/>
        <w:contextualSpacing/>
        <w:jc w:val="left"/>
      </w:pPr>
    </w:p>
    <w:p w:rsidR="002308D5" w:rsidRDefault="002308D5" w:rsidP="001F1974">
      <w:pPr>
        <w:pStyle w:val="BodyText2"/>
        <w:spacing w:after="0" w:line="240" w:lineRule="auto"/>
        <w:ind w:left="1440" w:right="1440"/>
        <w:contextualSpacing/>
        <w:jc w:val="left"/>
      </w:pPr>
      <w:r>
        <w:tab/>
        <w:t>After first committing to providing an assessment of t</w:t>
      </w:r>
      <w:r w:rsidR="00507FC2">
        <w:t>he 2</w:t>
      </w:r>
      <w:r>
        <w:t xml:space="preserve">009 through 2012 TOU programs during the February 22, 2012 TOU hearing, PPL Electric finally did file a Time of Use Annual Report (required under Act 129) with the Commission on or about July 18, 2012.  However, SEF witness Mr. Costlow has testified that the Report indicates that for the years 2009, 2010 and 2011, the average residential customer experienced only a $0.18 reduction in their monthly energy cost.  Also, "when comparing the "on-peak" portion from 2010 to 2011, the "on-peak" portion increased 2.94%.  In addition, when compared to all RS customers, TOU customers only decreased "on-peak" consumption by 0.35%.  Moreover, PPL Electric admits that "one area not analyzed in this </w:t>
      </w:r>
      <w:r>
        <w:lastRenderedPageBreak/>
        <w:t xml:space="preserve">study was the impact on overall consumption."  However, </w:t>
      </w:r>
      <w:r>
        <w:rPr>
          <w:i/>
        </w:rPr>
        <w:t>consumption</w:t>
      </w:r>
      <w:r>
        <w:t xml:space="preserve"> is one of the key areas the Annual Report was supposed to analyze under the requirements of 66 Pa. C.S. § 2807(f</w:t>
      </w:r>
      <w:proofErr w:type="gramStart"/>
      <w:r>
        <w:t>)(</w:t>
      </w:r>
      <w:proofErr w:type="gramEnd"/>
      <w:r>
        <w:t>5).</w:t>
      </w:r>
    </w:p>
    <w:p w:rsidR="00284D23" w:rsidRDefault="00284D23" w:rsidP="001F1974">
      <w:pPr>
        <w:pStyle w:val="BodyText2"/>
        <w:spacing w:after="0" w:line="240" w:lineRule="auto"/>
        <w:ind w:left="1440" w:right="1440"/>
        <w:contextualSpacing/>
        <w:jc w:val="left"/>
      </w:pPr>
    </w:p>
    <w:p w:rsidR="002308D5" w:rsidRDefault="002308D5" w:rsidP="001F1974">
      <w:pPr>
        <w:pStyle w:val="BodyText2"/>
        <w:spacing w:after="0" w:line="240" w:lineRule="auto"/>
        <w:ind w:left="1440" w:right="1440"/>
        <w:contextualSpacing/>
        <w:jc w:val="left"/>
      </w:pPr>
      <w:r>
        <w:tab/>
        <w:t xml:space="preserve">In fact, this is not the first time that PPL Electric has proposed a TOU program that is inconsistent with the requirements of Act 129.  The Commission's Order in PPL Electric's 2009 Time of Use filing clearly states that PPL Electric should have analyzed net usage, demand reduction and reductions to Peak Load Contribution.  In addition, the Commission instructed PPL Electric to include (in future filings) the reduction in energy use, actual TRC benefits versus projected TRC benefits and total reduction in peak demand by rate schedule among other items  This data is critical to determining whether the requirements of Act 129 concerning the reductions in peak demand and consumption, have been met.  SEF witness Mr. Costlow has testified that, with the exception of the limited data supplied in the Annual Report (previously discussed), PPL Electric has failed to provide the same information in this proceeding.  </w:t>
      </w:r>
    </w:p>
    <w:p w:rsidR="00284D23" w:rsidRDefault="00284D23" w:rsidP="001F1974">
      <w:pPr>
        <w:pStyle w:val="BodyText2"/>
        <w:spacing w:after="0" w:line="240" w:lineRule="auto"/>
        <w:ind w:left="1440" w:right="1440"/>
        <w:contextualSpacing/>
        <w:jc w:val="left"/>
      </w:pPr>
    </w:p>
    <w:p w:rsidR="002308D5" w:rsidRDefault="002308D5" w:rsidP="001F1974">
      <w:pPr>
        <w:pStyle w:val="BodyText2"/>
        <w:spacing w:after="0" w:line="240" w:lineRule="auto"/>
        <w:ind w:left="1440" w:right="1440"/>
        <w:contextualSpacing/>
        <w:jc w:val="left"/>
      </w:pPr>
      <w:r>
        <w:tab/>
        <w:t>Consequently, SEF witness Mr. Costlow has testified that PPL Electric's proposed TOU program should not be approved.  In this regard, Mr. Costlow states "[w]ith "on-peak" and "off-peak" prices fixed by PPL Electric, suppliers being compensated based on the amount PPL Electric bills TOU customers and default service providers being required to provide TOU service as part of its default service obligation, the proposed rate is neither transparent nor reflective of current market conditions.  In addition, by not separating the TOU rate from the standard default service rate, the potential exists for the risk of providing TOU's share to be borne by non-TOU customers.  Further, the Commission has recently questioned whether PPL Electric's TOU should be designed based upon the fixed price default service rate.  In fact, SEF witness Mr. Costlow has testified that basing TOU pricing on the Default Service rate defeats the purpose of TOU rates.</w:t>
      </w:r>
    </w:p>
    <w:p w:rsidR="002308D5" w:rsidRDefault="002308D5" w:rsidP="001F1974">
      <w:pPr>
        <w:pStyle w:val="BodyText2"/>
        <w:spacing w:after="0" w:line="360" w:lineRule="auto"/>
        <w:contextualSpacing/>
        <w:jc w:val="left"/>
      </w:pPr>
      <w:r>
        <w:t xml:space="preserve">SEF MB </w:t>
      </w:r>
      <w:r w:rsidR="000B50FF">
        <w:t>at 10</w:t>
      </w:r>
      <w:r>
        <w:t>-13 (footnotes omitted).</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The Company counters that, as TOU rates are default service, they</w:t>
      </w:r>
      <w:r w:rsidR="00810C08">
        <w:t xml:space="preserve"> are</w:t>
      </w:r>
      <w:r>
        <w:t xml:space="preserve"> "established and designed on a consistent basis."  </w:t>
      </w:r>
      <w:proofErr w:type="gramStart"/>
      <w:r>
        <w:t>PPL Electric MB at 78.</w:t>
      </w:r>
      <w:proofErr w:type="gramEnd"/>
      <w:r>
        <w:t xml:space="preserve">  It cautions that there could be significant confusion otherwise.  The Company also offers a warning, reminding the Commission that "history has provided a clear lesson as to the dangers of detaching TOU rates </w:t>
      </w:r>
      <w:r>
        <w:lastRenderedPageBreak/>
        <w:t xml:space="preserve">from fixed default service rates," citing its ill-fated TOU price for the first 5 months of 2011.  </w:t>
      </w:r>
      <w:proofErr w:type="gramStart"/>
      <w:r>
        <w:t>PPL Electric MB at 77.</w:t>
      </w:r>
      <w:proofErr w:type="gramEnd"/>
      <w:r>
        <w:t xml:space="preserve">  </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 xml:space="preserve">This argument attempts to convince the Commission that any plan other than the one proposed here will fail.  There is no evidence to support this, only evidence to support that </w:t>
      </w:r>
      <w:r>
        <w:rPr>
          <w:i/>
        </w:rPr>
        <w:t>one</w:t>
      </w:r>
      <w:r>
        <w:t xml:space="preserve"> other plan failed.</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 xml:space="preserve">RESA agrees that the Company's proposal should be rejected and instead, states that the Commission should rely on the competitive market to </w:t>
      </w:r>
      <w:r w:rsidR="00810C08">
        <w:t>have companies comply with their</w:t>
      </w:r>
      <w:r>
        <w:t xml:space="preserve"> TOU rate obligation</w:t>
      </w:r>
      <w:r w:rsidR="00810C08">
        <w:t>s</w:t>
      </w:r>
      <w:r>
        <w:t>, quoting the RMI Default Service Order:</w:t>
      </w:r>
    </w:p>
    <w:p w:rsidR="002308D5" w:rsidRDefault="002308D5" w:rsidP="001F1974">
      <w:pPr>
        <w:pStyle w:val="BodyText2"/>
        <w:spacing w:after="0" w:line="360" w:lineRule="auto"/>
        <w:contextualSpacing/>
        <w:jc w:val="left"/>
      </w:pPr>
    </w:p>
    <w:p w:rsidR="002308D5" w:rsidRDefault="002308D5" w:rsidP="001F1974">
      <w:pPr>
        <w:pStyle w:val="BodyText2"/>
        <w:spacing w:after="0" w:line="240" w:lineRule="auto"/>
        <w:ind w:left="1440" w:right="1440"/>
        <w:contextualSpacing/>
        <w:jc w:val="left"/>
      </w:pPr>
      <w:r>
        <w:t xml:space="preserve">. . . </w:t>
      </w:r>
      <w:proofErr w:type="gramStart"/>
      <w:r>
        <w:t>the</w:t>
      </w:r>
      <w:proofErr w:type="gramEnd"/>
      <w:r>
        <w:t xml:space="preserve"> Commission will maintain its recommendation that EDCs contemplate contracting with an EGS in order to satisfy their TOU requirement.  The Commission does wish to clarify that this recommendation is not, in and of itself, a rejection of the other raised, such as instituting peak time rebate offers or creating a separate wholesale auction for TOU rates.  Such ideas may indeed have merit, and we will allow the EDCs to evaluate these proposals for possible inclusion in their next default service filings.</w:t>
      </w:r>
    </w:p>
    <w:p w:rsidR="002308D5" w:rsidRDefault="002308D5" w:rsidP="001F1974">
      <w:pPr>
        <w:pStyle w:val="BodyText2"/>
        <w:spacing w:after="0" w:line="360" w:lineRule="auto"/>
        <w:contextualSpacing/>
        <w:jc w:val="left"/>
      </w:pPr>
      <w:r>
        <w:t>RMI Default Service Order at 47-48; RESA MB at 49-50.</w:t>
      </w:r>
    </w:p>
    <w:p w:rsidR="002308D5" w:rsidRDefault="002308D5" w:rsidP="00D67008">
      <w:pPr>
        <w:pStyle w:val="BodyText2"/>
        <w:spacing w:after="0" w:line="360" w:lineRule="auto"/>
        <w:contextualSpacing/>
        <w:jc w:val="left"/>
      </w:pPr>
    </w:p>
    <w:p w:rsidR="002308D5" w:rsidRDefault="002308D5" w:rsidP="00D67008">
      <w:pPr>
        <w:pStyle w:val="BodyText2"/>
        <w:spacing w:after="0" w:line="360" w:lineRule="auto"/>
        <w:contextualSpacing/>
        <w:jc w:val="left"/>
      </w:pPr>
      <w:r>
        <w:tab/>
      </w:r>
      <w:r>
        <w:tab/>
        <w:t>RESA continues:</w:t>
      </w:r>
    </w:p>
    <w:p w:rsidR="002308D5" w:rsidRDefault="002308D5" w:rsidP="00D67008">
      <w:pPr>
        <w:pStyle w:val="BodyText2"/>
        <w:spacing w:after="0" w:line="360" w:lineRule="auto"/>
        <w:contextualSpacing/>
        <w:jc w:val="left"/>
      </w:pPr>
    </w:p>
    <w:p w:rsidR="002308D5" w:rsidRDefault="002308D5" w:rsidP="001F1974">
      <w:pPr>
        <w:pStyle w:val="BodyText2"/>
        <w:spacing w:after="0" w:line="240" w:lineRule="auto"/>
        <w:ind w:left="1440" w:right="1440"/>
        <w:contextualSpacing/>
        <w:jc w:val="left"/>
      </w:pPr>
      <w:r>
        <w:tab/>
        <w:t xml:space="preserve">Specifically, RESA's primary recommendation is that PPL be required to certify that one or more EGSs have agreed to offer a TOU rate to residential customers in its service territories.  To comply with the Act 129 requirement that the "default service provider shall submit to the Commission one or more proposed time-of-use rates and real-time price plans," each year, PPL would survey EGSs and determine whether they are or intend to offer a time-differentiated rate and whether the EGS intends to offer the product for at least 12-months.  If PPL finds one or more EGSs offering such rates, it would post that information on a clearinghouse website (and refer customers to the information upon inquiry) and certify this information to the Commission.  After the end of the year, PPL would submit a report on the number of EGSs actually providing the service.  Act 129 also provides that the default service supplier should prepare a report [presumably to the Commission] detailing "the efficacy of the </w:t>
      </w:r>
      <w:r>
        <w:lastRenderedPageBreak/>
        <w:t>programs in affecting energy demand and consumption and the effect on wholesale market prices.  Rather than have PPL compile these data and provide these opinions (which could require PPL to review competitively sensitive information), this data could be compiled and analyzed by either the Commission's Bureau of Conservation, Economics and Energy Planning ("</w:t>
      </w:r>
      <w:proofErr w:type="spellStart"/>
      <w:r>
        <w:t>CEEP</w:t>
      </w:r>
      <w:proofErr w:type="spellEnd"/>
      <w:r>
        <w:t>"), or by a consultant hired by PPL.</w:t>
      </w:r>
    </w:p>
    <w:p w:rsidR="002308D5" w:rsidRDefault="002308D5" w:rsidP="001F1974">
      <w:pPr>
        <w:pStyle w:val="BodyText2"/>
        <w:spacing w:after="0" w:line="360" w:lineRule="auto"/>
        <w:contextualSpacing/>
        <w:jc w:val="left"/>
      </w:pPr>
      <w:r>
        <w:t>RESA MB at 50-51.</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The above RESA plan is complicated, confusing, and requires actions on the part of the Company which are clearly outside the scope of a distribution company's normal activities.  Accordingly, this plan should be denied.</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What the plan does is provide a clear illustration of why a time-of-use program, meant to give the customer a discount or penalty on the commodity itself, depending upon the time of its use, should be offered by the generator or generation supplier, not the distributor, of the power.  However, under the law, the EDC is required to: (1) offer the TOU program as default service; (2) purchase the power; and (3) pass through the cost and not profit from the sale of the power itself.</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 xml:space="preserve">RESA's second proposal is to have the Company bid the program, which is consistent with the need to have the price vary according to the time of the power's use.  However, RESA recommends that the customers who use the program become customers of the EGS, who would remain with the EGS at the end of the contract term unless the customer had affirmatively elected otherwise.  </w:t>
      </w:r>
    </w:p>
    <w:p w:rsidR="002308D5" w:rsidRDefault="002308D5" w:rsidP="001F1974">
      <w:pPr>
        <w:pStyle w:val="BodyText2"/>
        <w:spacing w:after="0" w:line="360" w:lineRule="auto"/>
        <w:contextualSpacing/>
        <w:jc w:val="left"/>
      </w:pPr>
    </w:p>
    <w:p w:rsidR="002308D5" w:rsidRDefault="002308D5" w:rsidP="001F1974">
      <w:pPr>
        <w:pStyle w:val="BodyText2"/>
        <w:spacing w:after="0" w:line="240" w:lineRule="auto"/>
        <w:ind w:left="1440" w:right="1440"/>
        <w:contextualSpacing/>
        <w:jc w:val="left"/>
      </w:pPr>
      <w:r>
        <w:t>This approach, which has recently been proposed by PECO and accepted by the Commission, has the advantage of utilizing the competitive market to secure the TOU rate required by Act 129.  Thus, the TOU bid-out approach is a "win-win-win," in that it: 1) satisfies PPL's Act 129 obligation; 2) will likely result in a more innovative and attractive rate that will provide value to customers; and 3) further enhances the competitive market.</w:t>
      </w:r>
      <w:r w:rsidR="00FF18D0">
        <w:t xml:space="preserve">  </w:t>
      </w:r>
    </w:p>
    <w:p w:rsidR="002308D5" w:rsidRDefault="00D67008" w:rsidP="001F1974">
      <w:pPr>
        <w:pStyle w:val="BodyText2"/>
        <w:spacing w:after="0" w:line="360" w:lineRule="auto"/>
        <w:contextualSpacing/>
        <w:jc w:val="left"/>
      </w:pPr>
      <w:r>
        <w:t xml:space="preserve"> </w:t>
      </w:r>
      <w:proofErr w:type="gramStart"/>
      <w:r>
        <w:t>RESA MB at 51.</w:t>
      </w:r>
      <w:proofErr w:type="gramEnd"/>
    </w:p>
    <w:p w:rsidR="002308D5" w:rsidRDefault="002308D5" w:rsidP="00284D23">
      <w:pPr>
        <w:pStyle w:val="BodyText2"/>
        <w:spacing w:after="0" w:line="360" w:lineRule="auto"/>
        <w:contextualSpacing/>
        <w:jc w:val="left"/>
      </w:pPr>
      <w:r>
        <w:t xml:space="preserve"> </w:t>
      </w:r>
    </w:p>
    <w:p w:rsidR="00011E36" w:rsidRDefault="00011E36" w:rsidP="00284D23">
      <w:pPr>
        <w:pStyle w:val="BodyText2"/>
        <w:spacing w:after="0" w:line="360" w:lineRule="auto"/>
        <w:contextualSpacing/>
        <w:jc w:val="left"/>
      </w:pPr>
      <w:r>
        <w:br w:type="page"/>
      </w:r>
    </w:p>
    <w:p w:rsidR="002308D5" w:rsidRDefault="002308D5" w:rsidP="00284D23">
      <w:pPr>
        <w:pStyle w:val="BodyText2"/>
        <w:spacing w:after="0" w:line="360" w:lineRule="auto"/>
        <w:contextualSpacing/>
        <w:jc w:val="left"/>
      </w:pPr>
      <w:r>
        <w:lastRenderedPageBreak/>
        <w:tab/>
      </w:r>
      <w:r>
        <w:tab/>
        <w:t>The Company responds</w:t>
      </w:r>
    </w:p>
    <w:p w:rsidR="00284D23" w:rsidRDefault="00284D23" w:rsidP="00284D23">
      <w:pPr>
        <w:pStyle w:val="BodyText2"/>
        <w:spacing w:after="0" w:line="360" w:lineRule="auto"/>
        <w:contextualSpacing/>
        <w:jc w:val="left"/>
      </w:pPr>
    </w:p>
    <w:p w:rsidR="002308D5" w:rsidRPr="00680D16" w:rsidRDefault="002308D5" w:rsidP="00284D23">
      <w:pPr>
        <w:spacing w:line="240" w:lineRule="auto"/>
        <w:ind w:left="1440" w:right="1440"/>
        <w:contextualSpacing/>
        <w:jc w:val="left"/>
      </w:pPr>
      <w:r>
        <w:t xml:space="preserve">. . . </w:t>
      </w:r>
      <w:proofErr w:type="gramStart"/>
      <w:r w:rsidRPr="00680D16">
        <w:t>as</w:t>
      </w:r>
      <w:proofErr w:type="gramEnd"/>
      <w:r w:rsidRPr="00680D16">
        <w:t xml:space="preserve"> the default service provider, PPL Electric is required by Act 129 to offer a TOU rate option to its default service customers and the Commission has explicitly stated that the TOU program is a form of default service.  If PPL Electric were to bid out the TOU service to an EGS then the EGS, by definition, would be providing this service and the Company would not be meeting its statutory obligation.  Such a result would clearly violate section 2807(f</w:t>
      </w:r>
      <w:proofErr w:type="gramStart"/>
      <w:r w:rsidRPr="00680D16">
        <w:t>)(</w:t>
      </w:r>
      <w:proofErr w:type="gramEnd"/>
      <w:r w:rsidRPr="00680D16">
        <w:t xml:space="preserve">5) because PPL Electric, the statutory default service provider, would not be “offering” a TOU rate to its customers.  Moreover, the TOU service would be offered by an EGS, which again, by definition, is not a default service provider.  This also violates the plain language of the statute.  The statute is clear.  The obligation to offer TOU rates lies with the default service provider.  PPL Electric is the default service provider and, therefore, must offer TOU default service.  If PPL Electric “bids out” this service, it is no longer offering the service.  Unless and until PPL Electric is replaced as the default service provider, it and it alone must offer TOU default service. </w:t>
      </w:r>
    </w:p>
    <w:p w:rsidR="002308D5" w:rsidRDefault="002308D5" w:rsidP="001F1974">
      <w:pPr>
        <w:pStyle w:val="BodyText2"/>
        <w:spacing w:after="0" w:line="360" w:lineRule="auto"/>
        <w:contextualSpacing/>
        <w:jc w:val="left"/>
      </w:pPr>
      <w:r>
        <w:t>PPL Electric MB at 86-87.</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r>
      <w:r w:rsidR="00B42E6D">
        <w:t>There is no doubt that the arguments in RESA's Reply Brief touting the preferable aspects of the time-of-use programs are persuasive as an ideal market-based alternative to having the EDC offer a TOU plan, RESA RB at 20-21, and the existence of these time-of-use plans to be offered by EGSs would be a wonderful way for the industry to support the goals of the legislature by shifting peak load at critical times.  However, as the Company a</w:t>
      </w:r>
      <w:r>
        <w:t xml:space="preserve">rgues, this approach does not satisfy the </w:t>
      </w:r>
      <w:r w:rsidR="00B42E6D">
        <w:t xml:space="preserve">statutory </w:t>
      </w:r>
      <w:r>
        <w:t xml:space="preserve">requirement that the TOU program be administered by the default service provider as default service.  Ironically, it is this statutory requirement that stands in the way of the ideal solution, which is to simply allow the EGSs </w:t>
      </w:r>
      <w:r w:rsidR="00810C08">
        <w:t xml:space="preserve">to </w:t>
      </w:r>
      <w:r>
        <w:t xml:space="preserve">offer a time-of-use program with terms specific to each EGS, </w:t>
      </w:r>
      <w:r w:rsidRPr="005F4321">
        <w:rPr>
          <w:i/>
        </w:rPr>
        <w:t xml:space="preserve">instead </w:t>
      </w:r>
      <w:r>
        <w:t xml:space="preserve">of requiring the EDC to administer it.  Of course, the EGSs may offer these programs now, but that does not relieve the default service provider from the statutory requirement that it offer one or more time-of-use programs itself.  </w:t>
      </w:r>
    </w:p>
    <w:p w:rsidR="00B42E6D" w:rsidRDefault="00B42E6D" w:rsidP="001F1974">
      <w:pPr>
        <w:pStyle w:val="BodyText2"/>
        <w:spacing w:after="0" w:line="360" w:lineRule="auto"/>
        <w:contextualSpacing/>
        <w:jc w:val="left"/>
      </w:pPr>
    </w:p>
    <w:p w:rsidR="002308D5" w:rsidRDefault="00DE7233" w:rsidP="001F1974">
      <w:pPr>
        <w:pStyle w:val="BodyText2"/>
        <w:spacing w:after="0" w:line="360" w:lineRule="auto"/>
        <w:contextualSpacing/>
        <w:jc w:val="left"/>
      </w:pPr>
      <w:r>
        <w:tab/>
      </w:r>
      <w:r>
        <w:tab/>
      </w:r>
      <w:r w:rsidR="002308D5">
        <w:t xml:space="preserve">The OCA supports adoption of the plan as proposed with minor modifications and with the understanding that if the as-filed plan is not approved, the development of the alternative requires a collaborative to iron out the details.  </w:t>
      </w:r>
      <w:proofErr w:type="gramStart"/>
      <w:r w:rsidR="002308D5">
        <w:t>OCA RB at 16.</w:t>
      </w:r>
      <w:proofErr w:type="gramEnd"/>
      <w:r w:rsidR="002308D5">
        <w:t xml:space="preserve">  </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 xml:space="preserve">OCA believes that the plan as proposed will achieve the objectives of reducing peak loads, lowering the cost to supply and lowering customers' bills.  However, OCA believes that there should be a different definition of peak period for summer and non-summer months, as well as different on-peak premium and off-peak discount factors. </w:t>
      </w:r>
      <w:proofErr w:type="gramStart"/>
      <w:r>
        <w:t>OCA Stmt. 1 at 24-25; OCA MB at 30.</w:t>
      </w:r>
      <w:proofErr w:type="gramEnd"/>
      <w:r>
        <w:t xml:space="preserve">  </w:t>
      </w:r>
    </w:p>
    <w:p w:rsidR="002308D5" w:rsidRDefault="002308D5" w:rsidP="001F1974">
      <w:pPr>
        <w:pStyle w:val="BodyText2"/>
        <w:spacing w:after="0" w:line="360" w:lineRule="auto"/>
        <w:contextualSpacing/>
        <w:jc w:val="left"/>
      </w:pPr>
    </w:p>
    <w:p w:rsidR="002308D5" w:rsidRDefault="002308D5" w:rsidP="001F1974">
      <w:pPr>
        <w:pStyle w:val="BodyText2"/>
        <w:spacing w:after="0" w:line="360" w:lineRule="auto"/>
        <w:contextualSpacing/>
        <w:jc w:val="left"/>
      </w:pPr>
      <w:r>
        <w:tab/>
      </w:r>
      <w:r>
        <w:tab/>
        <w:t xml:space="preserve">OCA argues against the alternative SEF plan as unnecessarily complex to have TOU rate customers switch back and forth between TOU rates and regular default service rates several times per year, but this argument misinterprets the plan.  Under the alternative plan, TOU customers never leave TOU service unless they elect to do so.  They are automatically charged default service rates during non-TOU months with no action necessary on the part of the customer.  </w:t>
      </w:r>
      <w:proofErr w:type="gramStart"/>
      <w:r>
        <w:t>SEF RB at 2.</w:t>
      </w:r>
      <w:proofErr w:type="gramEnd"/>
      <w:r>
        <w:t xml:space="preserve">  </w:t>
      </w:r>
    </w:p>
    <w:p w:rsidR="002308D5" w:rsidRDefault="002308D5" w:rsidP="001F1974">
      <w:pPr>
        <w:pStyle w:val="BodyText2"/>
        <w:spacing w:after="0" w:line="360" w:lineRule="auto"/>
        <w:contextualSpacing/>
        <w:jc w:val="left"/>
      </w:pPr>
    </w:p>
    <w:p w:rsidR="002308D5" w:rsidRPr="00F81D62" w:rsidRDefault="002308D5" w:rsidP="001F1974">
      <w:pPr>
        <w:pStyle w:val="BodyText2"/>
        <w:spacing w:after="0" w:line="360" w:lineRule="auto"/>
        <w:contextualSpacing/>
        <w:jc w:val="left"/>
      </w:pPr>
      <w:r>
        <w:tab/>
      </w:r>
      <w:r>
        <w:tab/>
        <w:t xml:space="preserve">OSBA does not object to the proposal to incorporate TOU service into the default service procurement for Small C&amp;I customers, but it notes that there is no economic basis for setting different on-peak and off-peak periods for the different customer classes. OSBA does warn that integrating the TOU service with fixed-rate default service will increase the risk faced by wholesale suppliers and may result in higher bid prices for default supplies than if the two supplies were bid separately. </w:t>
      </w:r>
    </w:p>
    <w:p w:rsidR="002308D5" w:rsidRDefault="002308D5" w:rsidP="001F1974">
      <w:pPr>
        <w:pStyle w:val="BodyText2"/>
        <w:spacing w:after="0"/>
        <w:jc w:val="left"/>
        <w:rPr>
          <w:i/>
        </w:rPr>
      </w:pPr>
    </w:p>
    <w:p w:rsidR="002308D5" w:rsidRDefault="002308D5" w:rsidP="001F1974">
      <w:pPr>
        <w:pStyle w:val="BodyText2"/>
        <w:spacing w:after="0" w:line="360" w:lineRule="auto"/>
        <w:contextualSpacing/>
        <w:jc w:val="left"/>
      </w:pPr>
      <w:r>
        <w:tab/>
      </w:r>
      <w:r>
        <w:tab/>
        <w:t>FES echoes the OSBA belief that combining the fixed price default service load with the TOU load will unnecessarily complicate the bid design and will likely result in higher bids than would be obtained on just the fixed-price full requirements portion of the product:</w:t>
      </w:r>
    </w:p>
    <w:p w:rsidR="00284D23" w:rsidRDefault="00284D23" w:rsidP="001F1974">
      <w:pPr>
        <w:pStyle w:val="BodyText2"/>
        <w:spacing w:after="0" w:line="360" w:lineRule="auto"/>
        <w:contextualSpacing/>
        <w:jc w:val="left"/>
      </w:pPr>
    </w:p>
    <w:p w:rsidR="002308D5" w:rsidRDefault="002308D5" w:rsidP="001F1974">
      <w:pPr>
        <w:pStyle w:val="BodyText2"/>
        <w:spacing w:after="0" w:line="240" w:lineRule="auto"/>
        <w:ind w:left="1440" w:right="1440"/>
        <w:jc w:val="left"/>
      </w:pPr>
      <w:r>
        <w:t xml:space="preserve">FES, as an experienced wholesale supplier, believes that it is reasonable to expect the potential TOU obligation to reduce the overall level of supplier interest in PPL Electric's fixed-price products and/or increase bids on fixed-price default supply.  PPL Electric already expresses concerns that there are other barriers that may cause DSP II not to attract enough wholesale suppliers to the solicitations, such as current shopping and RMI initiatives.  See PPL Electric St. No. 1 at 22.  The addition of the potential TOU </w:t>
      </w:r>
      <w:r>
        <w:lastRenderedPageBreak/>
        <w:t>obligation could only exacerbate this perceived problem (or, in FES's opinion, create an actual problem).  FES St. No. 1 at 12.</w:t>
      </w:r>
    </w:p>
    <w:p w:rsidR="002308D5" w:rsidRDefault="002308D5" w:rsidP="00284D23">
      <w:pPr>
        <w:pStyle w:val="BodyText2"/>
        <w:spacing w:after="0" w:line="240" w:lineRule="auto"/>
        <w:jc w:val="left"/>
      </w:pPr>
      <w:proofErr w:type="gramStart"/>
      <w:r>
        <w:t>FES MB at 39.</w:t>
      </w:r>
      <w:proofErr w:type="gramEnd"/>
    </w:p>
    <w:p w:rsidR="00284D23" w:rsidRDefault="00284D23" w:rsidP="001F1974">
      <w:pPr>
        <w:pStyle w:val="BodyText2"/>
        <w:spacing w:after="0"/>
        <w:jc w:val="left"/>
      </w:pPr>
    </w:p>
    <w:p w:rsidR="00A1094D" w:rsidRDefault="00143396" w:rsidP="001F1974">
      <w:pPr>
        <w:pStyle w:val="BodyText2"/>
        <w:spacing w:after="0" w:line="360" w:lineRule="auto"/>
        <w:contextualSpacing/>
        <w:jc w:val="left"/>
      </w:pPr>
      <w:r>
        <w:tab/>
      </w:r>
      <w:r>
        <w:tab/>
      </w:r>
      <w:r w:rsidR="0016394C">
        <w:t>T</w:t>
      </w:r>
      <w:r>
        <w:t>he Company's proposal</w:t>
      </w:r>
      <w:r w:rsidR="00F86DC3">
        <w:t xml:space="preserve"> here</w:t>
      </w:r>
      <w:r>
        <w:t xml:space="preserve"> was evaluated in detail in the </w:t>
      </w:r>
      <w:r w:rsidR="00705BE2">
        <w:t xml:space="preserve">August 30, 2012 </w:t>
      </w:r>
      <w:r>
        <w:t xml:space="preserve">TOU Order and was rejected.  </w:t>
      </w:r>
      <w:r w:rsidR="00A1094D">
        <w:t>The Commission stated:</w:t>
      </w:r>
    </w:p>
    <w:p w:rsidR="00284D23" w:rsidRDefault="00284D23" w:rsidP="001F1974">
      <w:pPr>
        <w:pStyle w:val="BodyText2"/>
        <w:spacing w:after="0" w:line="360" w:lineRule="auto"/>
        <w:contextualSpacing/>
        <w:jc w:val="left"/>
      </w:pPr>
    </w:p>
    <w:p w:rsidR="00A1094D" w:rsidRDefault="00A1094D" w:rsidP="001F1974">
      <w:pPr>
        <w:pStyle w:val="BodyText2"/>
        <w:spacing w:after="0" w:line="240" w:lineRule="auto"/>
        <w:ind w:left="1440" w:right="1440"/>
        <w:contextualSpacing/>
        <w:jc w:val="left"/>
      </w:pPr>
      <w:r>
        <w:t>An Electric Distribution Company (EDC) may not implement a program that would introduce costs where they are absent and customers should not be required to pay more for generation based on non-cost based considerations.  Such a program would be inconsistent with basic ratemaking principles.</w:t>
      </w:r>
    </w:p>
    <w:p w:rsidR="00A1094D" w:rsidRDefault="00A1094D" w:rsidP="001F1974">
      <w:pPr>
        <w:pStyle w:val="BodyText2"/>
        <w:spacing w:after="0" w:line="360" w:lineRule="auto"/>
        <w:contextualSpacing/>
        <w:jc w:val="left"/>
      </w:pPr>
      <w:proofErr w:type="gramStart"/>
      <w:r>
        <w:t>TOU Order at 18.</w:t>
      </w:r>
      <w:proofErr w:type="gramEnd"/>
    </w:p>
    <w:p w:rsidR="00A1094D" w:rsidRDefault="00A1094D" w:rsidP="001F1974">
      <w:pPr>
        <w:pStyle w:val="BodyText2"/>
        <w:spacing w:after="0" w:line="360" w:lineRule="auto"/>
        <w:contextualSpacing/>
        <w:jc w:val="left"/>
      </w:pPr>
    </w:p>
    <w:p w:rsidR="000826DB" w:rsidRDefault="00A1094D" w:rsidP="001F1974">
      <w:pPr>
        <w:pStyle w:val="BodyText2"/>
        <w:spacing w:after="0" w:line="360" w:lineRule="auto"/>
        <w:contextualSpacing/>
        <w:jc w:val="left"/>
      </w:pPr>
      <w:r>
        <w:tab/>
      </w:r>
      <w:r>
        <w:tab/>
      </w:r>
      <w:r w:rsidR="00143396">
        <w:t xml:space="preserve">The </w:t>
      </w:r>
      <w:r w:rsidR="00B42E6D">
        <w:t xml:space="preserve">Company's proposed </w:t>
      </w:r>
      <w:r w:rsidR="00143396">
        <w:t xml:space="preserve">plan has not changed, and neither have the reasons for rejecting it.  </w:t>
      </w:r>
      <w:r w:rsidR="00F86DC3">
        <w:rPr>
          <w:i/>
        </w:rPr>
        <w:t xml:space="preserve">See </w:t>
      </w:r>
      <w:r w:rsidR="00F86DC3">
        <w:t>TOU Order of August 30, 2012.</w:t>
      </w:r>
      <w:r>
        <w:t xml:space="preserve">  Therefore, the Company's proposed TOU program should be denied again.</w:t>
      </w:r>
    </w:p>
    <w:p w:rsidR="00F86DC3" w:rsidRDefault="00F86DC3" w:rsidP="001F1974">
      <w:pPr>
        <w:pStyle w:val="BodyText2"/>
        <w:spacing w:after="0" w:line="360" w:lineRule="auto"/>
        <w:contextualSpacing/>
        <w:jc w:val="left"/>
      </w:pPr>
    </w:p>
    <w:p w:rsidR="002308D5" w:rsidRPr="002E06AE" w:rsidRDefault="00011E36" w:rsidP="00FF18D0">
      <w:pPr>
        <w:pStyle w:val="BodyText2"/>
        <w:tabs>
          <w:tab w:val="left" w:pos="720"/>
          <w:tab w:val="left" w:pos="1440"/>
          <w:tab w:val="left" w:pos="2160"/>
          <w:tab w:val="left" w:pos="2880"/>
          <w:tab w:val="left" w:pos="3600"/>
          <w:tab w:val="left" w:pos="4320"/>
          <w:tab w:val="left" w:pos="4680"/>
        </w:tabs>
        <w:spacing w:after="0" w:line="360" w:lineRule="auto"/>
        <w:ind w:left="1440"/>
        <w:contextualSpacing/>
        <w:jc w:val="left"/>
        <w:rPr>
          <w:b/>
        </w:rPr>
      </w:pPr>
      <w:r>
        <w:rPr>
          <w:b/>
        </w:rPr>
        <w:t>c.</w:t>
      </w:r>
      <w:r>
        <w:rPr>
          <w:b/>
        </w:rPr>
        <w:tab/>
      </w:r>
      <w:r w:rsidR="002308D5" w:rsidRPr="002E06AE">
        <w:rPr>
          <w:b/>
        </w:rPr>
        <w:t xml:space="preserve">The </w:t>
      </w:r>
      <w:r w:rsidR="002976EF">
        <w:rPr>
          <w:b/>
        </w:rPr>
        <w:t>SEF A</w:t>
      </w:r>
      <w:r w:rsidR="002308D5" w:rsidRPr="002E06AE">
        <w:rPr>
          <w:b/>
        </w:rPr>
        <w:t>lternative</w:t>
      </w:r>
      <w:r w:rsidR="00FF18D0">
        <w:rPr>
          <w:b/>
        </w:rPr>
        <w:fldChar w:fldCharType="begin"/>
      </w:r>
      <w:r w:rsidR="00FF18D0">
        <w:instrText xml:space="preserve"> TC "</w:instrText>
      </w:r>
      <w:bookmarkStart w:id="75" w:name="_Toc340670021"/>
      <w:r w:rsidR="00FF18D0" w:rsidRPr="009B7B20">
        <w:rPr>
          <w:b/>
        </w:rPr>
        <w:instrText>c.</w:instrText>
      </w:r>
      <w:r w:rsidR="00FF18D0" w:rsidRPr="009B7B20">
        <w:rPr>
          <w:b/>
        </w:rPr>
        <w:tab/>
        <w:instrText>The SEF Alternative</w:instrText>
      </w:r>
      <w:bookmarkEnd w:id="75"/>
      <w:r w:rsidR="00FF18D0">
        <w:instrText xml:space="preserve">" \f C \l "4" </w:instrText>
      </w:r>
      <w:r w:rsidR="00FF18D0">
        <w:rPr>
          <w:b/>
        </w:rPr>
        <w:fldChar w:fldCharType="end"/>
      </w:r>
      <w:r w:rsidR="00FF18D0">
        <w:rPr>
          <w:b/>
        </w:rPr>
        <w:tab/>
      </w:r>
    </w:p>
    <w:p w:rsidR="002308D5" w:rsidRDefault="002308D5" w:rsidP="001F1974">
      <w:pPr>
        <w:pStyle w:val="BodyText2"/>
        <w:spacing w:after="0" w:line="360" w:lineRule="auto"/>
        <w:contextualSpacing/>
        <w:jc w:val="left"/>
      </w:pPr>
    </w:p>
    <w:p w:rsidR="005936F4" w:rsidRDefault="000826DB" w:rsidP="001F1974">
      <w:pPr>
        <w:pStyle w:val="BodyText2"/>
        <w:spacing w:after="0" w:line="360" w:lineRule="auto"/>
        <w:contextualSpacing/>
        <w:jc w:val="left"/>
      </w:pPr>
      <w:r>
        <w:tab/>
      </w:r>
      <w:r>
        <w:tab/>
      </w:r>
      <w:r w:rsidR="00143396">
        <w:t xml:space="preserve">The SEF offers an alternative </w:t>
      </w:r>
      <w:r w:rsidR="002976EF">
        <w:t xml:space="preserve">(the Easy TOU) </w:t>
      </w:r>
      <w:r w:rsidR="00143396">
        <w:t xml:space="preserve">that has not been analyzed by the Commission, and </w:t>
      </w:r>
      <w:r w:rsidR="002308D5">
        <w:t>the Company is agreeable to it</w:t>
      </w:r>
      <w:r w:rsidR="005936F4">
        <w:t xml:space="preserve"> as an alternative with the following characteristics:</w:t>
      </w:r>
    </w:p>
    <w:p w:rsidR="00284D23" w:rsidRDefault="00284D23" w:rsidP="001F1974">
      <w:pPr>
        <w:pStyle w:val="BodyText2"/>
        <w:spacing w:after="0" w:line="360" w:lineRule="auto"/>
        <w:contextualSpacing/>
        <w:jc w:val="left"/>
      </w:pPr>
    </w:p>
    <w:p w:rsidR="005936F4" w:rsidRDefault="005936F4" w:rsidP="00011E36">
      <w:pPr>
        <w:pStyle w:val="ListBullet"/>
        <w:tabs>
          <w:tab w:val="clear" w:pos="360"/>
        </w:tabs>
        <w:spacing w:line="240" w:lineRule="auto"/>
        <w:ind w:left="2160" w:right="1440" w:hanging="720"/>
        <w:jc w:val="left"/>
      </w:pPr>
      <w:r>
        <w:t xml:space="preserve">An on-peak period of June, July and August from 3:00 p.m. to 6:00 p.m., excluding weekends and PJM holidays. </w:t>
      </w:r>
    </w:p>
    <w:p w:rsidR="00284D23" w:rsidRDefault="00284D23" w:rsidP="00011E36">
      <w:pPr>
        <w:pStyle w:val="ListBullet"/>
        <w:numPr>
          <w:ilvl w:val="0"/>
          <w:numId w:val="0"/>
        </w:numPr>
        <w:spacing w:line="240" w:lineRule="auto"/>
        <w:ind w:left="2160" w:right="1440" w:hanging="360"/>
        <w:jc w:val="left"/>
      </w:pPr>
    </w:p>
    <w:p w:rsidR="00284D23" w:rsidRDefault="005936F4" w:rsidP="00011E36">
      <w:pPr>
        <w:pStyle w:val="ListBullet"/>
        <w:tabs>
          <w:tab w:val="clear" w:pos="360"/>
        </w:tabs>
        <w:spacing w:line="240" w:lineRule="auto"/>
        <w:ind w:left="2160" w:right="1440" w:hanging="720"/>
        <w:jc w:val="left"/>
      </w:pPr>
      <w:r>
        <w:t xml:space="preserve">During the remainder of the year, Summer TOU customers would receive the same rates as the standard default service customers, and would be included in load to be met by fixed rate default service suppliers.  </w:t>
      </w:r>
    </w:p>
    <w:p w:rsidR="00284D23" w:rsidRDefault="00284D23" w:rsidP="00011E36">
      <w:pPr>
        <w:pStyle w:val="ListBullet"/>
        <w:numPr>
          <w:ilvl w:val="0"/>
          <w:numId w:val="0"/>
        </w:numPr>
        <w:spacing w:line="240" w:lineRule="auto"/>
        <w:ind w:left="2160" w:right="1440" w:hanging="360"/>
        <w:jc w:val="left"/>
      </w:pPr>
    </w:p>
    <w:p w:rsidR="005936F4" w:rsidRDefault="005936F4" w:rsidP="00011E36">
      <w:pPr>
        <w:pStyle w:val="ListBullet"/>
        <w:tabs>
          <w:tab w:val="clear" w:pos="360"/>
        </w:tabs>
        <w:spacing w:line="240" w:lineRule="auto"/>
        <w:ind w:left="2160" w:right="1440" w:hanging="720"/>
        <w:jc w:val="left"/>
      </w:pPr>
      <w:r>
        <w:t xml:space="preserve">The same on-peak and off-peak periods would apply to Residential and Small C&amp;I customers.  </w:t>
      </w:r>
    </w:p>
    <w:p w:rsidR="00284D23" w:rsidRDefault="00284D23" w:rsidP="00011E36">
      <w:pPr>
        <w:pStyle w:val="ListBullet"/>
        <w:numPr>
          <w:ilvl w:val="0"/>
          <w:numId w:val="0"/>
        </w:numPr>
        <w:spacing w:line="240" w:lineRule="auto"/>
        <w:ind w:left="2160" w:right="1440" w:hanging="360"/>
        <w:jc w:val="left"/>
      </w:pPr>
    </w:p>
    <w:p w:rsidR="005936F4" w:rsidRDefault="005936F4" w:rsidP="00011E36">
      <w:pPr>
        <w:pStyle w:val="ListBullet"/>
        <w:tabs>
          <w:tab w:val="clear" w:pos="360"/>
        </w:tabs>
        <w:spacing w:line="240" w:lineRule="auto"/>
        <w:ind w:left="2160" w:right="1440" w:hanging="720"/>
        <w:jc w:val="left"/>
      </w:pPr>
      <w:r>
        <w:t>The default service Summer TOU load would be bid out separately from fixed-price supply, but at the same time as the fixe</w:t>
      </w:r>
      <w:r w:rsidR="00284D23">
        <w:t xml:space="preserve">d-price default service load. </w:t>
      </w:r>
    </w:p>
    <w:p w:rsidR="00284D23" w:rsidRDefault="00284D23" w:rsidP="00011E36">
      <w:pPr>
        <w:pStyle w:val="ListBullet"/>
        <w:numPr>
          <w:ilvl w:val="0"/>
          <w:numId w:val="0"/>
        </w:numPr>
        <w:spacing w:line="240" w:lineRule="auto"/>
        <w:ind w:left="2160" w:right="1440"/>
        <w:jc w:val="left"/>
      </w:pPr>
    </w:p>
    <w:p w:rsidR="005936F4" w:rsidRDefault="005936F4" w:rsidP="00011E36">
      <w:pPr>
        <w:pStyle w:val="ListBullet"/>
        <w:tabs>
          <w:tab w:val="clear" w:pos="360"/>
        </w:tabs>
        <w:spacing w:line="240" w:lineRule="auto"/>
        <w:ind w:left="2160" w:right="1440" w:hanging="720"/>
        <w:jc w:val="left"/>
      </w:pPr>
      <w:r>
        <w:t>The Company would issue an RFP</w:t>
      </w:r>
      <w:r>
        <w:rPr>
          <w:rStyle w:val="FootnoteReference"/>
        </w:rPr>
        <w:footnoteReference w:id="35"/>
      </w:r>
      <w:r>
        <w:t xml:space="preserve"> requesting bidders to provide both an on-peak price and off-peak price at the same time in seeks bids for the fixed-price load-following contracts.  The TOU RFP would seek to procure products to meet the default service load of TOU customers for the summer period only. </w:t>
      </w:r>
    </w:p>
    <w:p w:rsidR="00284D23" w:rsidRDefault="00284D23" w:rsidP="00011E36">
      <w:pPr>
        <w:pStyle w:val="ListBullet"/>
        <w:numPr>
          <w:ilvl w:val="0"/>
          <w:numId w:val="0"/>
        </w:numPr>
        <w:spacing w:line="240" w:lineRule="auto"/>
        <w:ind w:left="2160" w:right="1440"/>
        <w:jc w:val="left"/>
      </w:pPr>
    </w:p>
    <w:p w:rsidR="005936F4" w:rsidRDefault="005936F4" w:rsidP="00011E36">
      <w:pPr>
        <w:pStyle w:val="ListBullet"/>
        <w:tabs>
          <w:tab w:val="clear" w:pos="360"/>
        </w:tabs>
        <w:spacing w:line="240" w:lineRule="auto"/>
        <w:ind w:left="2160" w:right="1440" w:hanging="720"/>
        <w:jc w:val="left"/>
      </w:pPr>
      <w:r>
        <w:t xml:space="preserve">The Company would evaluate the bids based on the prices that would result in the greatest economic benefit, </w:t>
      </w:r>
      <w:r>
        <w:rPr>
          <w:i/>
        </w:rPr>
        <w:t>i.e</w:t>
      </w:r>
      <w:r>
        <w:t xml:space="preserve">., the least overall cost to the TOU customer using the existing rate class profiles.  The Company and the supplier will enter into a supply agreement with the winning bidders. </w:t>
      </w:r>
    </w:p>
    <w:p w:rsidR="00284D23" w:rsidRDefault="00284D23" w:rsidP="00011E36">
      <w:pPr>
        <w:pStyle w:val="ListBullet"/>
        <w:numPr>
          <w:ilvl w:val="0"/>
          <w:numId w:val="0"/>
        </w:numPr>
        <w:spacing w:line="240" w:lineRule="auto"/>
        <w:ind w:left="2160" w:right="1440"/>
        <w:jc w:val="left"/>
      </w:pPr>
    </w:p>
    <w:p w:rsidR="005936F4" w:rsidRDefault="005936F4" w:rsidP="00011E36">
      <w:pPr>
        <w:pStyle w:val="ListBullet"/>
        <w:tabs>
          <w:tab w:val="clear" w:pos="360"/>
        </w:tabs>
        <w:spacing w:line="240" w:lineRule="auto"/>
        <w:ind w:left="2160" w:right="1440" w:hanging="720"/>
        <w:jc w:val="left"/>
      </w:pPr>
      <w:r>
        <w:t>The rates for the on-peak and off-peak periods would be those directly resulting from the winning suppliers bids, plus the Customer Classes’ respective portions of Company administrative costs and the E-Factor.  Winning suppliers for the Summer TOU period would be paid their bid price.</w:t>
      </w:r>
    </w:p>
    <w:p w:rsidR="00284D23" w:rsidRDefault="00284D23" w:rsidP="00011E36">
      <w:pPr>
        <w:pStyle w:val="ListBullet"/>
        <w:numPr>
          <w:ilvl w:val="0"/>
          <w:numId w:val="0"/>
        </w:numPr>
        <w:spacing w:line="240" w:lineRule="auto"/>
        <w:ind w:left="2160" w:right="1440"/>
        <w:jc w:val="left"/>
      </w:pPr>
    </w:p>
    <w:p w:rsidR="005936F4" w:rsidRDefault="005936F4" w:rsidP="00011E36">
      <w:pPr>
        <w:pStyle w:val="ListBullet"/>
        <w:tabs>
          <w:tab w:val="clear" w:pos="360"/>
        </w:tabs>
        <w:spacing w:line="240" w:lineRule="auto"/>
        <w:ind w:left="2160" w:right="1440" w:hanging="720"/>
        <w:jc w:val="left"/>
      </w:pPr>
      <w:r>
        <w:t xml:space="preserve">Any over/under collections will be recovered as per the Company’s as filed proposal. </w:t>
      </w:r>
    </w:p>
    <w:p w:rsidR="00284D23" w:rsidRDefault="00284D23" w:rsidP="00011E36">
      <w:pPr>
        <w:pStyle w:val="ListBullet"/>
        <w:numPr>
          <w:ilvl w:val="0"/>
          <w:numId w:val="0"/>
        </w:numPr>
        <w:spacing w:line="240" w:lineRule="auto"/>
        <w:ind w:left="2160" w:right="1440"/>
        <w:jc w:val="left"/>
      </w:pPr>
    </w:p>
    <w:p w:rsidR="005936F4" w:rsidRDefault="005936F4" w:rsidP="00011E36">
      <w:pPr>
        <w:pStyle w:val="ListBullet"/>
        <w:tabs>
          <w:tab w:val="clear" w:pos="360"/>
        </w:tabs>
        <w:spacing w:line="240" w:lineRule="auto"/>
        <w:ind w:left="2160" w:right="1440" w:hanging="720"/>
        <w:jc w:val="left"/>
      </w:pPr>
      <w:r>
        <w:t>A collaborative should be implemented so that details of the Summer TOU could be worked out and to ensure that implem</w:t>
      </w:r>
      <w:r w:rsidR="00284D23">
        <w:t>entation issues are addressed.</w:t>
      </w:r>
    </w:p>
    <w:p w:rsidR="00284D23" w:rsidRDefault="00284D23" w:rsidP="00011E36">
      <w:pPr>
        <w:pStyle w:val="ListBullet"/>
        <w:numPr>
          <w:ilvl w:val="0"/>
          <w:numId w:val="0"/>
        </w:numPr>
        <w:spacing w:line="240" w:lineRule="auto"/>
        <w:ind w:left="2160" w:right="1440"/>
        <w:jc w:val="left"/>
      </w:pPr>
    </w:p>
    <w:p w:rsidR="005936F4" w:rsidRDefault="005936F4" w:rsidP="001F1974">
      <w:pPr>
        <w:pStyle w:val="BodyText2"/>
        <w:spacing w:after="0" w:line="240" w:lineRule="auto"/>
        <w:ind w:left="1440" w:right="1440"/>
        <w:contextualSpacing/>
        <w:jc w:val="left"/>
      </w:pPr>
      <w:r>
        <w:t xml:space="preserve">This alternative proposal is modeled after the Easy TOU rate proposal presented by SEF in this proceeding with two changes.  </w:t>
      </w:r>
      <w:proofErr w:type="gramStart"/>
      <w:r>
        <w:t>(SEF St. 1, p. 14-15).</w:t>
      </w:r>
      <w:proofErr w:type="gramEnd"/>
      <w:r>
        <w:t xml:space="preserve">  First, the on-peak period of June, July and August from 3:00 p.m. to 6:00 p.m., excluding week-ends and PJM holidays, is intended to target the highest peak periods during the summer months.  </w:t>
      </w:r>
      <w:proofErr w:type="gramStart"/>
      <w:r>
        <w:t>(</w:t>
      </w:r>
      <w:r>
        <w:rPr>
          <w:i/>
        </w:rPr>
        <w:t>See</w:t>
      </w:r>
      <w:r>
        <w:t xml:space="preserve"> SEF St. 1, p. 15; SEF St. 1-R, p. 9).</w:t>
      </w:r>
      <w:proofErr w:type="gramEnd"/>
      <w:r>
        <w:rPr>
          <w:rStyle w:val="FootnoteReference"/>
        </w:rPr>
        <w:footnoteReference w:id="36"/>
      </w:r>
      <w:r>
        <w:t xml:space="preserve">  Second, TOU customers will be billed on their normal billing cycles and not on a calendar month basis. </w:t>
      </w:r>
    </w:p>
    <w:p w:rsidR="005936F4" w:rsidRDefault="005936F4" w:rsidP="001F1974">
      <w:pPr>
        <w:pStyle w:val="BodyText2"/>
        <w:spacing w:after="0" w:line="360" w:lineRule="auto"/>
        <w:contextualSpacing/>
        <w:jc w:val="left"/>
      </w:pPr>
      <w:r>
        <w:t>PPL Electric MB at 88-90.</w:t>
      </w:r>
    </w:p>
    <w:p w:rsidR="005936F4" w:rsidRDefault="005936F4" w:rsidP="001F1974">
      <w:pPr>
        <w:pStyle w:val="BodyText2"/>
        <w:spacing w:after="0" w:line="360" w:lineRule="auto"/>
        <w:contextualSpacing/>
        <w:jc w:val="left"/>
      </w:pPr>
    </w:p>
    <w:p w:rsidR="005936F4" w:rsidRDefault="005936F4" w:rsidP="001F1974">
      <w:pPr>
        <w:pStyle w:val="BodyText2"/>
        <w:spacing w:after="0" w:line="360" w:lineRule="auto"/>
        <w:contextualSpacing/>
        <w:jc w:val="left"/>
      </w:pPr>
      <w:r>
        <w:lastRenderedPageBreak/>
        <w:tab/>
      </w:r>
      <w:r>
        <w:tab/>
        <w:t>The Company states that certain details would need to be worked out in order to finalize this alternative proposal.  Therefore, if the Commission decides to adopt this alternative proposal, rather than PPL Electric’s filed TOU Program, a collaborative should be implemented so that details of the Summer TOU can be worked out to ensure that all implementation issues are fully addressed:</w:t>
      </w:r>
      <w:r w:rsidR="00FF18D0">
        <w:t xml:space="preserve">  </w:t>
      </w:r>
    </w:p>
    <w:p w:rsidR="00284D23" w:rsidRDefault="00284D23" w:rsidP="001F1974">
      <w:pPr>
        <w:pStyle w:val="BodyText2"/>
        <w:spacing w:after="0" w:line="360" w:lineRule="auto"/>
        <w:contextualSpacing/>
        <w:jc w:val="left"/>
      </w:pPr>
    </w:p>
    <w:p w:rsidR="005936F4" w:rsidRDefault="005936F4" w:rsidP="001F1974">
      <w:pPr>
        <w:pStyle w:val="BodyText2"/>
        <w:spacing w:after="0" w:line="240" w:lineRule="auto"/>
        <w:ind w:left="1440" w:right="1440"/>
        <w:contextualSpacing/>
        <w:jc w:val="left"/>
      </w:pPr>
      <w:r>
        <w:t>This alternative generally satisfies the goals that PPL Electric has set for in</w:t>
      </w:r>
      <w:r w:rsidR="00D4282D">
        <w:t xml:space="preserve"> [sic]</w:t>
      </w:r>
      <w:r>
        <w:t xml:space="preserve"> the TOU rate option.  It is a simple and easy to understand program that would provide a basic TOU rate option for default service customers and allow them the opportunity to save money if they shifted usage.  It also avoids seasonal differences in on-peak and off-peak periods and, therefore, will not require seasonal adjustments or changes in customer behavior.  The alternative design will provide customers the opportunity to shift load and save money, but at the same time should not unduly inhibit the development of other TOU rate options in the competitive retail market.  Finally, the Company will recover all costs associated with providing TOU default service on a full and current basis. </w:t>
      </w:r>
    </w:p>
    <w:p w:rsidR="00284D23" w:rsidRDefault="00284D23" w:rsidP="001F1974">
      <w:pPr>
        <w:pStyle w:val="BodyText2"/>
        <w:spacing w:after="0" w:line="240" w:lineRule="auto"/>
        <w:ind w:left="1440" w:right="1440"/>
        <w:contextualSpacing/>
        <w:jc w:val="left"/>
      </w:pPr>
    </w:p>
    <w:p w:rsidR="005936F4" w:rsidRDefault="005936F4" w:rsidP="001F1974">
      <w:pPr>
        <w:pStyle w:val="BodyText2"/>
        <w:spacing w:after="0" w:line="240" w:lineRule="auto"/>
        <w:ind w:left="1440" w:right="1440"/>
        <w:contextualSpacing/>
        <w:jc w:val="left"/>
      </w:pPr>
      <w:r>
        <w:t xml:space="preserve">This alternative also addresses, at least in part, many of the concerns and criticisms raised by other parties to this proceeding.  OSBA and FES assert that TOU supply should be bid out separately from fixed-price default service load.  PPL Electric’s alternative proposal adopts this approach.  The Commission and others do not believe that TOU prices should be developed from fixed-price default service rates.  PPL Electric’s alternative proposal separates the determination of TOU rates from fixed-price default service rates.  SEF contends that TOU prices should be market based.  </w:t>
      </w:r>
      <w:proofErr w:type="gramStart"/>
      <w:r>
        <w:t>(SEF St. 1-SR, p. 6).</w:t>
      </w:r>
      <w:proofErr w:type="gramEnd"/>
      <w:r>
        <w:t xml:space="preserve">  PPL Electric’s alternative proposal adopts this approach.  SEF contends that the same on peak and off peak periods should be used for Residential and Small C&amp;</w:t>
      </w:r>
      <w:proofErr w:type="gramStart"/>
      <w:r>
        <w:t>I  customers</w:t>
      </w:r>
      <w:proofErr w:type="gramEnd"/>
      <w:r>
        <w:t>.</w:t>
      </w:r>
      <w:r>
        <w:rPr>
          <w:rStyle w:val="FootnoteReference"/>
        </w:rPr>
        <w:footnoteReference w:id="37"/>
      </w:r>
      <w:r>
        <w:t xml:space="preserve">  PPL Electric’s alternative proposal adopts this approach</w:t>
      </w:r>
      <w:proofErr w:type="gramStart"/>
      <w:r>
        <w:t>..</w:t>
      </w:r>
      <w:proofErr w:type="gramEnd"/>
    </w:p>
    <w:p w:rsidR="00284D23" w:rsidRDefault="00284D23" w:rsidP="001F1974">
      <w:pPr>
        <w:pStyle w:val="BodyText2"/>
        <w:spacing w:after="0" w:line="240" w:lineRule="auto"/>
        <w:ind w:left="1440" w:right="1440"/>
        <w:contextualSpacing/>
        <w:jc w:val="left"/>
      </w:pPr>
    </w:p>
    <w:p w:rsidR="005936F4" w:rsidRDefault="005936F4" w:rsidP="001F1974">
      <w:pPr>
        <w:pStyle w:val="BodyText2"/>
        <w:spacing w:after="0" w:line="240" w:lineRule="auto"/>
        <w:ind w:left="1440" w:right="1440"/>
        <w:contextualSpacing/>
        <w:jc w:val="left"/>
      </w:pPr>
      <w:r>
        <w:t xml:space="preserve">The Summer TOU program, however, is not perfect.  It is not clear that wholesale suppliers will bid on a separate TOU product where the amount of load is likely to be small, at least initially, and where </w:t>
      </w:r>
      <w:r>
        <w:lastRenderedPageBreak/>
        <w:t>customers can freely join or leave the rate at any time.</w:t>
      </w:r>
      <w:r>
        <w:rPr>
          <w:rStyle w:val="FootnoteReference"/>
        </w:rPr>
        <w:footnoteReference w:id="38"/>
      </w:r>
      <w:r>
        <w:t xml:space="preserve">  Also, the prices for TOU service, while market based, would be detached from fixed-price default service rates and could lead to customers joining or leaving the TOU rates based on the different designs of the rates as opposed to the merits of the TOU program.  However, given the unique facts and circumstances of this case and the transitional nature of this proceeding, the Company would support the adoption of a Summer TOU program as an interim measure to transition to a yet undefined default service end state if </w:t>
      </w:r>
      <w:proofErr w:type="spellStart"/>
      <w:r>
        <w:t>its</w:t>
      </w:r>
      <w:proofErr w:type="spellEnd"/>
      <w:r>
        <w:t xml:space="preserve"> as-filed proposal </w:t>
      </w:r>
      <w:r w:rsidR="00184BBF">
        <w:t xml:space="preserve">is not adopted.  </w:t>
      </w:r>
    </w:p>
    <w:p w:rsidR="00603E6B" w:rsidRDefault="005936F4" w:rsidP="00284D23">
      <w:pPr>
        <w:pStyle w:val="BodyText2"/>
        <w:spacing w:after="0" w:line="240" w:lineRule="auto"/>
        <w:jc w:val="left"/>
      </w:pPr>
      <w:proofErr w:type="gramStart"/>
      <w:r>
        <w:t>PPL Electric MB at 90.</w:t>
      </w:r>
      <w:proofErr w:type="gramEnd"/>
    </w:p>
    <w:p w:rsidR="00284D23" w:rsidRDefault="00284D23" w:rsidP="00284D23">
      <w:pPr>
        <w:pStyle w:val="BodyText2"/>
        <w:spacing w:after="0" w:line="360" w:lineRule="auto"/>
        <w:jc w:val="left"/>
      </w:pPr>
    </w:p>
    <w:p w:rsidR="001A13D5" w:rsidRDefault="001A13D5" w:rsidP="001F1974">
      <w:pPr>
        <w:pStyle w:val="BodyText2"/>
        <w:spacing w:after="0" w:line="360" w:lineRule="auto"/>
        <w:contextualSpacing/>
        <w:jc w:val="left"/>
      </w:pPr>
      <w:r>
        <w:tab/>
      </w:r>
      <w:r>
        <w:tab/>
        <w:t xml:space="preserve">SEF agrees that this alternative appears to provide the best opportunity for PPL Electric customers to enjoy true time of use rates in accordance with the requirements of Act 129, and recommends its adoption.  SEF views this as an opportunity for the Commission to observe the results and make determinations in the future regarding potential programs including winters.  SEF also agrees that a collaborative needs to be convened as soon as possible to identify and address implementation issues.  </w:t>
      </w:r>
      <w:proofErr w:type="gramStart"/>
      <w:r>
        <w:t>SEF RB at 1.</w:t>
      </w:r>
      <w:proofErr w:type="gramEnd"/>
    </w:p>
    <w:p w:rsidR="00F34685" w:rsidRDefault="00F34685" w:rsidP="001F1974">
      <w:pPr>
        <w:pStyle w:val="BodyText2"/>
        <w:spacing w:after="0" w:line="360" w:lineRule="auto"/>
        <w:contextualSpacing/>
        <w:jc w:val="left"/>
      </w:pPr>
    </w:p>
    <w:p w:rsidR="000E2D38" w:rsidRDefault="000E2D38" w:rsidP="001F1974">
      <w:pPr>
        <w:pStyle w:val="BodyText2"/>
        <w:spacing w:after="0" w:line="360" w:lineRule="auto"/>
        <w:contextualSpacing/>
        <w:jc w:val="left"/>
      </w:pPr>
      <w:r>
        <w:tab/>
      </w:r>
      <w:r>
        <w:tab/>
        <w:t>FES recommend</w:t>
      </w:r>
      <w:r w:rsidR="00D4282D">
        <w:t>s</w:t>
      </w:r>
      <w:r>
        <w:t xml:space="preserve"> that PPL Electric continue to procure its TOU default supply from wholesale suppliers that currently supply its spot market energy needs, as the Company insists that it cannot </w:t>
      </w:r>
      <w:r w:rsidR="00E02161">
        <w:t xml:space="preserve">bid out the TOU rate option directly to an EGS.  </w:t>
      </w:r>
      <w:proofErr w:type="gramStart"/>
      <w:r w:rsidR="00E02161">
        <w:t>FES MB at 39.</w:t>
      </w:r>
      <w:proofErr w:type="gramEnd"/>
      <w:r w:rsidR="00E02161">
        <w:t xml:space="preserve">  In the alternative, FES recommends that PPL Electric conduct a separate solicitation for TOU service for suppliers who might specialize in TOU products, in order to meet the TOU obligations.  </w:t>
      </w:r>
      <w:proofErr w:type="gramStart"/>
      <w:r w:rsidR="00E02161">
        <w:t>FES MB at 40.</w:t>
      </w:r>
      <w:proofErr w:type="gramEnd"/>
    </w:p>
    <w:p w:rsidR="00E02161" w:rsidRDefault="00E02161" w:rsidP="001F1974">
      <w:pPr>
        <w:pStyle w:val="BodyText2"/>
        <w:spacing w:after="0" w:line="360" w:lineRule="auto"/>
        <w:contextualSpacing/>
        <w:jc w:val="left"/>
      </w:pPr>
    </w:p>
    <w:p w:rsidR="00E02161" w:rsidRDefault="00E02161" w:rsidP="001F1974">
      <w:pPr>
        <w:pStyle w:val="BodyText2"/>
        <w:spacing w:after="0" w:line="360" w:lineRule="auto"/>
        <w:contextualSpacing/>
        <w:jc w:val="left"/>
      </w:pPr>
      <w:r>
        <w:tab/>
      </w:r>
      <w:r>
        <w:tab/>
        <w:t xml:space="preserve">FES does not object to the SEF recommendation that PPL bid out its TOU program to an EGS and that customers could enroll through PPL Electric, nor does it object to the RESA recommendation that PPL rely on the competitive market by having one or more EGS offer a TOU rate.  </w:t>
      </w:r>
      <w:proofErr w:type="gramStart"/>
      <w:r>
        <w:t>FES MB at 40.</w:t>
      </w:r>
      <w:proofErr w:type="gramEnd"/>
      <w:r>
        <w:t xml:space="preserve">  FES object to the Constellation recommendation that the Company allocate a pro-rata percentage share of TOU customer load to each tranche, rather than </w:t>
      </w:r>
      <w:r>
        <w:lastRenderedPageBreak/>
        <w:t xml:space="preserve">revising the price paid to default suppliers under their contracts, although FES does recommend that the PPL Electric SMA reflect the bidding recommendations.  </w:t>
      </w:r>
      <w:proofErr w:type="gramStart"/>
      <w:r>
        <w:t>FES MB at 41.</w:t>
      </w:r>
      <w:proofErr w:type="gramEnd"/>
    </w:p>
    <w:p w:rsidR="00F34685" w:rsidRDefault="00F34685" w:rsidP="001F1974">
      <w:pPr>
        <w:pStyle w:val="BodyText2"/>
        <w:spacing w:after="0" w:line="360" w:lineRule="auto"/>
        <w:contextualSpacing/>
        <w:jc w:val="left"/>
      </w:pPr>
    </w:p>
    <w:p w:rsidR="00EF5246" w:rsidRPr="000E2D38" w:rsidRDefault="00EF5246" w:rsidP="001F1974">
      <w:pPr>
        <w:pStyle w:val="BodyText2"/>
        <w:spacing w:after="0" w:line="360" w:lineRule="auto"/>
        <w:contextualSpacing/>
        <w:jc w:val="left"/>
      </w:pPr>
      <w:r>
        <w:tab/>
      </w:r>
      <w:r>
        <w:tab/>
        <w:t xml:space="preserve">FES notes that it does not object to the "Summer TOU" plan proposed by the Company, because the TOU load will be bid out separately from fixed-price supply.  </w:t>
      </w:r>
      <w:proofErr w:type="gramStart"/>
      <w:r>
        <w:t>FES RB at</w:t>
      </w:r>
      <w:r w:rsidR="00284D23">
        <w:t> </w:t>
      </w:r>
      <w:r>
        <w:t>23.</w:t>
      </w:r>
      <w:proofErr w:type="gramEnd"/>
    </w:p>
    <w:p w:rsidR="00580B8E" w:rsidRDefault="00580B8E" w:rsidP="001F1974">
      <w:pPr>
        <w:contextualSpacing/>
        <w:jc w:val="left"/>
      </w:pPr>
      <w:r>
        <w:t xml:space="preserve"> </w:t>
      </w:r>
    </w:p>
    <w:p w:rsidR="00F34685" w:rsidRDefault="00F34685" w:rsidP="001F1974">
      <w:pPr>
        <w:pStyle w:val="BodyText2"/>
        <w:spacing w:after="0" w:line="360" w:lineRule="auto"/>
        <w:contextualSpacing/>
        <w:jc w:val="left"/>
      </w:pPr>
      <w:r>
        <w:tab/>
      </w:r>
      <w:r>
        <w:tab/>
      </w:r>
      <w:r w:rsidR="00D4282D">
        <w:t>The Company notes that th</w:t>
      </w:r>
      <w:r w:rsidR="00580B8E">
        <w:t xml:space="preserve">e Easy TOU rate option proposes an on-peak period of 3:30 p.m. to 6:30 p.m., </w:t>
      </w:r>
      <w:r w:rsidR="00D4282D">
        <w:t>but</w:t>
      </w:r>
      <w:r w:rsidR="00580B8E">
        <w:t xml:space="preserve"> th</w:t>
      </w:r>
      <w:r w:rsidR="00D4282D">
        <w:t>is is not currently feasible because (1)</w:t>
      </w:r>
      <w:r w:rsidR="00580B8E">
        <w:t xml:space="preserve"> the majority of PPL Electric’s meters record full clock hour interval data because the PJM market is an hourly market</w:t>
      </w:r>
      <w:r w:rsidR="00D4282D">
        <w:t>,</w:t>
      </w:r>
      <w:r w:rsidR="00580B8E">
        <w:t xml:space="preserve"> </w:t>
      </w:r>
      <w:r w:rsidR="00D4282D">
        <w:t>and</w:t>
      </w:r>
      <w:r w:rsidR="00580B8E">
        <w:t xml:space="preserve">  PPL Electric currently has no way to record 30-minute data with the existing meters (with the exception of larger customers with MV90 meters that record 15-minute intervals)</w:t>
      </w:r>
      <w:r w:rsidR="00D4282D">
        <w:t>; and (2)</w:t>
      </w:r>
      <w:r w:rsidR="00580B8E">
        <w:t xml:space="preserve"> PPL Electric’ s existing billing system cannot bill on 30-minute intervals without extensive re-programming.  </w:t>
      </w:r>
      <w:r>
        <w:t xml:space="preserve">PPL Electric MB at </w:t>
      </w:r>
      <w:r>
        <w:softHyphen/>
      </w:r>
      <w:r>
        <w:softHyphen/>
        <w:t xml:space="preserve">82.  In addition, PPL Electric cannot bill on a calendar month schedule.  SEF accepts these changes.  </w:t>
      </w:r>
      <w:proofErr w:type="gramStart"/>
      <w:r>
        <w:t>SEF RB at 1.</w:t>
      </w:r>
      <w:proofErr w:type="gramEnd"/>
      <w:r>
        <w:t xml:space="preserve">  </w:t>
      </w:r>
    </w:p>
    <w:p w:rsidR="00D4282D" w:rsidRDefault="00F34685" w:rsidP="001F1974">
      <w:pPr>
        <w:pStyle w:val="BodyText2"/>
        <w:spacing w:after="0" w:line="360" w:lineRule="auto"/>
        <w:contextualSpacing/>
        <w:jc w:val="left"/>
      </w:pPr>
      <w:r>
        <w:t xml:space="preserve"> </w:t>
      </w:r>
    </w:p>
    <w:p w:rsidR="00580B8E" w:rsidRDefault="00F34685" w:rsidP="001F1974">
      <w:pPr>
        <w:pStyle w:val="BodyText2"/>
        <w:spacing w:after="0" w:line="360" w:lineRule="auto"/>
        <w:contextualSpacing/>
        <w:jc w:val="left"/>
      </w:pPr>
      <w:r>
        <w:tab/>
      </w:r>
      <w:r>
        <w:tab/>
      </w:r>
      <w:r w:rsidR="00580B8E">
        <w:t xml:space="preserve">Constellation recommends that the Company allocate a </w:t>
      </w:r>
      <w:r w:rsidR="00580B8E">
        <w:rPr>
          <w:i/>
        </w:rPr>
        <w:t>pro rata</w:t>
      </w:r>
      <w:r w:rsidR="00580B8E">
        <w:t xml:space="preserve"> percentage share of TOU c</w:t>
      </w:r>
      <w:r>
        <w:t xml:space="preserve">ustomer load to each tranche.  </w:t>
      </w:r>
      <w:r w:rsidR="00580B8E">
        <w:t>Constellation St</w:t>
      </w:r>
      <w:r>
        <w:t>mt</w:t>
      </w:r>
      <w:r w:rsidR="00580B8E">
        <w:t>. 1</w:t>
      </w:r>
      <w:r>
        <w:t xml:space="preserve"> at</w:t>
      </w:r>
      <w:r w:rsidR="00580B8E">
        <w:t xml:space="preserve"> 39-40.  Additionally, Constellation also recommends the Company include in this </w:t>
      </w:r>
      <w:r w:rsidR="00580B8E">
        <w:rPr>
          <w:i/>
        </w:rPr>
        <w:t>pro rata</w:t>
      </w:r>
      <w:r w:rsidR="00580B8E">
        <w:t xml:space="preserve"> allocation those suppliers awarded in prior default service program’s RFPs and not revise the price paid to suppliers under their contracts.  </w:t>
      </w:r>
      <w:r w:rsidR="00580B8E">
        <w:rPr>
          <w:i/>
        </w:rPr>
        <w:t xml:space="preserve">Id.  </w:t>
      </w:r>
      <w:r w:rsidR="00580B8E">
        <w:t xml:space="preserve">Given the Commission’s recent decision on reconciliation of TOU under/over collections, </w:t>
      </w:r>
      <w:proofErr w:type="gramStart"/>
      <w:r>
        <w:t>While</w:t>
      </w:r>
      <w:proofErr w:type="gramEnd"/>
      <w:r>
        <w:t xml:space="preserve"> </w:t>
      </w:r>
      <w:r w:rsidR="00580B8E">
        <w:t>the Company would not oppose this proposal</w:t>
      </w:r>
      <w:r>
        <w:t>, PPL Electric MB at 84, it is moot under the recommendation for the Easy TOU</w:t>
      </w:r>
      <w:r w:rsidR="00580B8E">
        <w:t xml:space="preserve">. </w:t>
      </w:r>
    </w:p>
    <w:p w:rsidR="00DE7233" w:rsidRDefault="00DE7233" w:rsidP="001F1974">
      <w:pPr>
        <w:pStyle w:val="BodyText2"/>
        <w:spacing w:after="0" w:line="360" w:lineRule="auto"/>
        <w:contextualSpacing/>
        <w:jc w:val="left"/>
      </w:pPr>
    </w:p>
    <w:p w:rsidR="00DE7233" w:rsidRDefault="00DE7233" w:rsidP="00284D23">
      <w:pPr>
        <w:pStyle w:val="BodyText2"/>
        <w:spacing w:after="0" w:line="360" w:lineRule="auto"/>
        <w:contextualSpacing/>
        <w:jc w:val="left"/>
      </w:pPr>
      <w:r>
        <w:tab/>
      </w:r>
      <w:r>
        <w:tab/>
        <w:t xml:space="preserve">In the wake of a failed TOU program and several inadequate proposals for replacement, the Company should be directed to implement the Easy TOU program in time for the 2013 summer season.  As it seeks a collaborative to aid in this implementation, the Company should be directed to convene the collaborative within a week of the Commission's final order in this matter, and to provide a complete plan for staff review under the present docket no later than one month prior to the first effective date of the program.  </w:t>
      </w:r>
      <w:r>
        <w:tab/>
      </w:r>
    </w:p>
    <w:p w:rsidR="00011E36" w:rsidRDefault="00011E36" w:rsidP="00284D23">
      <w:pPr>
        <w:pStyle w:val="Heading3"/>
        <w:keepNext/>
        <w:spacing w:after="0"/>
        <w:contextualSpacing/>
      </w:pPr>
      <w:bookmarkStart w:id="76" w:name="_Toc337196677"/>
      <w:r>
        <w:br w:type="page"/>
      </w:r>
    </w:p>
    <w:p w:rsidR="00580B8E" w:rsidRDefault="00011E36" w:rsidP="00D67008">
      <w:pPr>
        <w:pStyle w:val="Heading3"/>
        <w:keepNext/>
        <w:numPr>
          <w:ilvl w:val="0"/>
          <w:numId w:val="0"/>
        </w:numPr>
        <w:spacing w:after="0"/>
        <w:ind w:left="720"/>
        <w:contextualSpacing/>
      </w:pPr>
      <w:r>
        <w:lastRenderedPageBreak/>
        <w:t>4.</w:t>
      </w:r>
      <w:r>
        <w:tab/>
      </w:r>
      <w:r w:rsidR="00580B8E">
        <w:t>Other Default Service Program Issues</w:t>
      </w:r>
      <w:bookmarkEnd w:id="76"/>
      <w:r w:rsidR="00FF18D0">
        <w:fldChar w:fldCharType="begin"/>
      </w:r>
      <w:r w:rsidR="00FF18D0">
        <w:instrText xml:space="preserve"> TC "</w:instrText>
      </w:r>
      <w:bookmarkStart w:id="77" w:name="_Toc340670022"/>
      <w:r w:rsidR="00FF18D0" w:rsidRPr="009B7B20">
        <w:instrText>4.</w:instrText>
      </w:r>
      <w:r w:rsidR="00FF18D0" w:rsidRPr="009B7B20">
        <w:tab/>
        <w:instrText>Other Default Service Program Issues</w:instrText>
      </w:r>
      <w:bookmarkEnd w:id="77"/>
      <w:r w:rsidR="00FF18D0">
        <w:instrText xml:space="preserve">" \f C \l "3" </w:instrText>
      </w:r>
      <w:r w:rsidR="00FF18D0">
        <w:fldChar w:fldCharType="end"/>
      </w:r>
    </w:p>
    <w:p w:rsidR="00D17672" w:rsidRPr="00D17672" w:rsidRDefault="00D17672" w:rsidP="00D67008">
      <w:pPr>
        <w:pStyle w:val="BodyText2"/>
        <w:spacing w:after="0" w:line="360" w:lineRule="auto"/>
        <w:contextualSpacing/>
      </w:pPr>
    </w:p>
    <w:p w:rsidR="00580B8E" w:rsidRDefault="00580B8E" w:rsidP="00D67008">
      <w:pPr>
        <w:pStyle w:val="Heading4"/>
        <w:keepNext/>
        <w:tabs>
          <w:tab w:val="clear" w:pos="3060"/>
        </w:tabs>
        <w:spacing w:after="0"/>
        <w:ind w:left="2160"/>
        <w:contextualSpacing/>
      </w:pPr>
      <w:bookmarkStart w:id="78" w:name="_Toc337196678"/>
      <w:r>
        <w:t>Supply Master Agreement and RFP Process and Rules</w:t>
      </w:r>
      <w:bookmarkEnd w:id="78"/>
      <w:r w:rsidR="00FF18D0">
        <w:fldChar w:fldCharType="begin"/>
      </w:r>
      <w:r w:rsidR="00FF18D0">
        <w:instrText xml:space="preserve"> TC "</w:instrText>
      </w:r>
      <w:bookmarkStart w:id="79" w:name="_Toc340670023"/>
      <w:r w:rsidR="00FF18D0" w:rsidRPr="009B7B20">
        <w:instrText>Supply Master Agreement and RFP Process and Rules</w:instrText>
      </w:r>
      <w:bookmarkEnd w:id="79"/>
      <w:r w:rsidR="00FF18D0">
        <w:instrText xml:space="preserve">" \f C \l "4" </w:instrText>
      </w:r>
      <w:r w:rsidR="00FF18D0">
        <w:fldChar w:fldCharType="end"/>
      </w:r>
    </w:p>
    <w:p w:rsidR="00D17672" w:rsidRPr="00D17672" w:rsidRDefault="00D17672" w:rsidP="00D67008">
      <w:pPr>
        <w:pStyle w:val="BodyText2"/>
        <w:spacing w:after="0" w:line="360" w:lineRule="auto"/>
        <w:contextualSpacing/>
      </w:pPr>
    </w:p>
    <w:p w:rsidR="00CA2309" w:rsidRDefault="00767179" w:rsidP="00284D23">
      <w:pPr>
        <w:pStyle w:val="ListNumber"/>
        <w:numPr>
          <w:ilvl w:val="0"/>
          <w:numId w:val="0"/>
        </w:numPr>
        <w:spacing w:line="360" w:lineRule="auto"/>
        <w:ind w:firstLine="720"/>
        <w:contextualSpacing/>
        <w:jc w:val="left"/>
      </w:pPr>
      <w:r>
        <w:tab/>
      </w:r>
      <w:r w:rsidR="00580B8E">
        <w:t xml:space="preserve">PPL Electric proposes to </w:t>
      </w:r>
      <w:r w:rsidR="00CA2309">
        <w:t>implement</w:t>
      </w:r>
      <w:r w:rsidR="00580B8E">
        <w:t xml:space="preserve"> its DSP II Program procurement process generally using the same approach used </w:t>
      </w:r>
      <w:r w:rsidR="00CA2309">
        <w:t xml:space="preserve">in </w:t>
      </w:r>
      <w:r w:rsidR="00580B8E">
        <w:t xml:space="preserve">the DSP I Program and the CBP.  (PPL Electric St. 1, p. 16).  </w:t>
      </w:r>
      <w:r w:rsidR="00CA2309">
        <w:t>The terms include:</w:t>
      </w:r>
    </w:p>
    <w:p w:rsidR="00284D23" w:rsidRDefault="00284D23" w:rsidP="00284D23">
      <w:pPr>
        <w:pStyle w:val="ListNumber"/>
        <w:numPr>
          <w:ilvl w:val="0"/>
          <w:numId w:val="0"/>
        </w:numPr>
        <w:spacing w:line="360" w:lineRule="auto"/>
        <w:ind w:firstLine="720"/>
        <w:contextualSpacing/>
        <w:jc w:val="left"/>
      </w:pPr>
    </w:p>
    <w:p w:rsidR="00CA2309" w:rsidRDefault="00284D23" w:rsidP="00284D23">
      <w:pPr>
        <w:pStyle w:val="ListNumber"/>
        <w:numPr>
          <w:ilvl w:val="0"/>
          <w:numId w:val="0"/>
        </w:numPr>
        <w:tabs>
          <w:tab w:val="clear" w:pos="1170"/>
        </w:tabs>
        <w:spacing w:line="240" w:lineRule="auto"/>
        <w:ind w:left="2160" w:right="1440" w:hanging="720"/>
        <w:jc w:val="left"/>
      </w:pPr>
      <w:r>
        <w:t>(1)</w:t>
      </w:r>
      <w:r>
        <w:tab/>
      </w:r>
      <w:r w:rsidR="00CA2309">
        <w:t>H</w:t>
      </w:r>
      <w:r w:rsidR="00580B8E">
        <w:t>olding solicitations pursuant to a Request for Proposal (“RFP”) process to obtain the Default Service products from compet</w:t>
      </w:r>
      <w:r w:rsidR="00CA2309">
        <w:t>itive wholesale power suppliers;</w:t>
      </w:r>
    </w:p>
    <w:p w:rsidR="00284D23" w:rsidRDefault="00284D23" w:rsidP="00284D23">
      <w:pPr>
        <w:pStyle w:val="ListNumber"/>
        <w:numPr>
          <w:ilvl w:val="0"/>
          <w:numId w:val="0"/>
        </w:numPr>
        <w:tabs>
          <w:tab w:val="clear" w:pos="1170"/>
        </w:tabs>
        <w:spacing w:line="240" w:lineRule="auto"/>
        <w:ind w:left="2160" w:right="1440" w:hanging="720"/>
        <w:jc w:val="left"/>
      </w:pPr>
    </w:p>
    <w:p w:rsidR="00CA2309" w:rsidRDefault="00CA2309" w:rsidP="00284D23">
      <w:pPr>
        <w:pStyle w:val="ListNumber"/>
        <w:numPr>
          <w:ilvl w:val="0"/>
          <w:numId w:val="0"/>
        </w:numPr>
        <w:tabs>
          <w:tab w:val="clear" w:pos="1170"/>
        </w:tabs>
        <w:spacing w:line="240" w:lineRule="auto"/>
        <w:ind w:left="2160" w:right="1440" w:hanging="720"/>
        <w:jc w:val="left"/>
      </w:pPr>
      <w:r>
        <w:t>(2)</w:t>
      </w:r>
      <w:r w:rsidR="00284D23">
        <w:tab/>
      </w:r>
      <w:r w:rsidR="00580B8E">
        <w:t xml:space="preserve">All winning suppliers will be required to execute a standard Supply Master Agreement (“SMA”).  </w:t>
      </w:r>
    </w:p>
    <w:p w:rsidR="00284D23" w:rsidRDefault="00284D23" w:rsidP="00284D23">
      <w:pPr>
        <w:pStyle w:val="ListNumber"/>
        <w:numPr>
          <w:ilvl w:val="0"/>
          <w:numId w:val="0"/>
        </w:numPr>
        <w:tabs>
          <w:tab w:val="clear" w:pos="1170"/>
        </w:tabs>
        <w:spacing w:line="240" w:lineRule="auto"/>
        <w:ind w:left="2160" w:right="1440" w:hanging="720"/>
        <w:jc w:val="left"/>
      </w:pPr>
    </w:p>
    <w:p w:rsidR="00580B8E" w:rsidRDefault="00CA2309" w:rsidP="00284D23">
      <w:pPr>
        <w:pStyle w:val="ListNumber"/>
        <w:numPr>
          <w:ilvl w:val="0"/>
          <w:numId w:val="0"/>
        </w:numPr>
        <w:tabs>
          <w:tab w:val="clear" w:pos="1170"/>
        </w:tabs>
        <w:spacing w:line="240" w:lineRule="auto"/>
        <w:ind w:left="2160" w:right="1440" w:hanging="720"/>
        <w:jc w:val="left"/>
      </w:pPr>
      <w:r>
        <w:t>(3)</w:t>
      </w:r>
      <w:r>
        <w:tab/>
      </w:r>
      <w:r w:rsidR="00580B8E">
        <w:t>The RFP and the SMA are based upon documents previously used in the DSP I Program, and the prior CBP Program, and incorporate considerable experience obtained in these other procurement proceedings.  These documents detail a transparent, well-defined and objective procurement process for PPL Electric’s DSP II Program.  (PPL Electric Ex. 1, pp. 33-35).</w:t>
      </w:r>
    </w:p>
    <w:p w:rsidR="00284D23" w:rsidRDefault="00284D23" w:rsidP="00284D23">
      <w:pPr>
        <w:pStyle w:val="ListNumber"/>
        <w:numPr>
          <w:ilvl w:val="0"/>
          <w:numId w:val="0"/>
        </w:numPr>
        <w:tabs>
          <w:tab w:val="clear" w:pos="1170"/>
        </w:tabs>
        <w:spacing w:line="240" w:lineRule="auto"/>
        <w:ind w:left="2160" w:right="1440" w:hanging="720"/>
        <w:jc w:val="left"/>
      </w:pPr>
    </w:p>
    <w:p w:rsidR="00580B8E" w:rsidRDefault="00CA2309" w:rsidP="00284D23">
      <w:pPr>
        <w:pStyle w:val="ListNumber"/>
        <w:numPr>
          <w:ilvl w:val="0"/>
          <w:numId w:val="0"/>
        </w:numPr>
        <w:spacing w:line="240" w:lineRule="auto"/>
        <w:ind w:left="1440" w:right="1440" w:firstLine="720"/>
        <w:contextualSpacing/>
        <w:jc w:val="left"/>
      </w:pPr>
      <w:r>
        <w:t>T</w:t>
      </w:r>
      <w:r w:rsidR="00580B8E">
        <w:t>he RFP</w:t>
      </w:r>
      <w:r>
        <w:t xml:space="preserve"> provides that </w:t>
      </w:r>
      <w:r w:rsidR="00580B8E">
        <w:t>the results for each solicitation will be presented to the Commission within one business day of the bid proposal due date for that solicitation.  (PPL Electric St. 1, p. 17).  After receiving Commission approval of the solicitation results, PPL Electric will then execute transaction confirmations with the winning suppliers.  The prices in the resulting wholesale supply agreements will form the basis of the rates charged to each of the customer classes.  This is the same process used in the DSP I Program.</w:t>
      </w:r>
    </w:p>
    <w:p w:rsidR="00284D23" w:rsidRDefault="00284D23" w:rsidP="00284D23">
      <w:pPr>
        <w:pStyle w:val="ListNumber"/>
        <w:numPr>
          <w:ilvl w:val="0"/>
          <w:numId w:val="0"/>
        </w:numPr>
        <w:spacing w:line="240" w:lineRule="auto"/>
        <w:ind w:left="1440" w:right="1440" w:firstLine="720"/>
        <w:contextualSpacing/>
        <w:jc w:val="left"/>
      </w:pPr>
    </w:p>
    <w:p w:rsidR="00580B8E" w:rsidRDefault="00580B8E" w:rsidP="00284D23">
      <w:pPr>
        <w:pStyle w:val="ListNumber"/>
        <w:numPr>
          <w:ilvl w:val="0"/>
          <w:numId w:val="0"/>
        </w:numPr>
        <w:spacing w:line="240" w:lineRule="auto"/>
        <w:ind w:left="1440" w:right="1440" w:firstLine="720"/>
        <w:contextualSpacing/>
        <w:jc w:val="left"/>
      </w:pPr>
      <w:r>
        <w:t>Each solicitation will be designed to procure a pro rata portion of the estimated Default Service load for each customer class.  The portion of total Default Service supply included in each solicitation has been established so that, over the course of the DSP II Program, each solicitation will procure a specific number of tranches of supply based on product quantity percentage.  (PPL Electric St. 1, p. 18; PPL Electric Exs. JC-4A, JC-4B; PPL Electric Ex. 1, Appendix B, p. 10).</w:t>
      </w:r>
    </w:p>
    <w:p w:rsidR="00284D23" w:rsidRDefault="00284D23" w:rsidP="00284D23">
      <w:pPr>
        <w:pStyle w:val="ListNumber"/>
        <w:numPr>
          <w:ilvl w:val="0"/>
          <w:numId w:val="0"/>
        </w:numPr>
        <w:spacing w:line="240" w:lineRule="auto"/>
        <w:ind w:left="1440" w:right="1440" w:firstLine="720"/>
        <w:contextualSpacing/>
        <w:jc w:val="left"/>
      </w:pPr>
    </w:p>
    <w:p w:rsidR="00580B8E" w:rsidRDefault="00580B8E" w:rsidP="00284D23">
      <w:pPr>
        <w:pStyle w:val="ListNumber"/>
        <w:numPr>
          <w:ilvl w:val="0"/>
          <w:numId w:val="0"/>
        </w:numPr>
        <w:spacing w:line="240" w:lineRule="auto"/>
        <w:ind w:left="1440" w:right="1440" w:firstLine="720"/>
        <w:contextualSpacing/>
        <w:jc w:val="left"/>
      </w:pPr>
      <w:r>
        <w:lastRenderedPageBreak/>
        <w:t>For both the Residential and Small C&amp;I Customer Classes, each tranche will be a fixed percentage of the customer class’ Default Service load.  The RFP tranche percentages are estimated to produce approximately 100 MW of peak load per tranche based on current PPL Electric forecasts and the customer class’ 2012-2013 projected peak load contribution with PJM, including both default and shopping load.  The actual MW size of each tranche will depend on the Company’s actual Default Service load at the time of delivery.  Supply must be load following.  (PPL Electric Ex. 1, Appendix B, p. 9; PPL Electric St. 1, p. 18).</w:t>
      </w:r>
    </w:p>
    <w:p w:rsidR="00284D23" w:rsidRDefault="00284D23" w:rsidP="00284D23">
      <w:pPr>
        <w:pStyle w:val="ListNumber"/>
        <w:numPr>
          <w:ilvl w:val="0"/>
          <w:numId w:val="0"/>
        </w:numPr>
        <w:spacing w:line="240" w:lineRule="auto"/>
        <w:ind w:left="1440" w:right="1440" w:firstLine="720"/>
        <w:contextualSpacing/>
        <w:jc w:val="left"/>
      </w:pPr>
    </w:p>
    <w:p w:rsidR="00580B8E" w:rsidRDefault="00580B8E" w:rsidP="00284D23">
      <w:pPr>
        <w:pStyle w:val="ListNumber"/>
        <w:numPr>
          <w:ilvl w:val="0"/>
          <w:numId w:val="0"/>
        </w:numPr>
        <w:spacing w:line="240" w:lineRule="auto"/>
        <w:ind w:left="1440" w:right="1440" w:firstLine="720"/>
        <w:contextualSpacing/>
        <w:jc w:val="left"/>
      </w:pPr>
      <w:r>
        <w:t>As has been required under the CBP and DSP I Program, PPL Electric proposes that suppliers selected to serve any portion of PPL Electric’s Default Service load be required to post performance assurance.  Such assurance is required to enable PPL Electric to recover costs arising from a supplier default.  Depending upon its credit rating, a supplier will be extended an unsecured credit amount, and the required performance assurance will be a calculated amount in excess of any unsecured credit.  The Company proposes that the performance assurance will be recalculated every business day based upon forward prices for energy and capacity to be delivered under the contract.  (PPL Electric St. 1, p. 20).</w:t>
      </w:r>
    </w:p>
    <w:p w:rsidR="00284D23" w:rsidRDefault="00284D23" w:rsidP="00284D23">
      <w:pPr>
        <w:pStyle w:val="ListNumber"/>
        <w:numPr>
          <w:ilvl w:val="0"/>
          <w:numId w:val="0"/>
        </w:numPr>
        <w:spacing w:line="240" w:lineRule="auto"/>
        <w:ind w:left="1440" w:right="1440" w:firstLine="720"/>
        <w:contextualSpacing/>
        <w:jc w:val="left"/>
      </w:pPr>
    </w:p>
    <w:p w:rsidR="00580B8E" w:rsidRDefault="00580B8E" w:rsidP="00284D23">
      <w:pPr>
        <w:pStyle w:val="ListNumber"/>
        <w:numPr>
          <w:ilvl w:val="0"/>
          <w:numId w:val="0"/>
        </w:numPr>
        <w:spacing w:line="240" w:lineRule="auto"/>
        <w:ind w:left="1440" w:right="1440" w:firstLine="720"/>
        <w:contextualSpacing/>
        <w:jc w:val="left"/>
      </w:pPr>
      <w:r>
        <w:t>Included with the Company’s Petition was the proposed SMA and proposed RFP Process and Rules (“RFP Rules”).  (PPL Electric Ex. 1, Appendices A and B).  The SMA is based upon the supply master agreements approved by the Commission in the DSP I Program proceeding.  (PPL Electric St. 1, p. 21).  The Company has updated the SMA and the revisions are both ministerial and substantive.  Because the Company will be procuring fewer product types, the Company has eliminated the multiple SMAs used in the DSP I Program, and will undertake all procurements pursuant to a single form of SMA.  Other substantive changes include, inter alia, including TOU load, updating the credit sections, adding a TOU exhibit, removing the “Sample PJM Invoice” Exhibit, and updating the “Transaction Confirmation Example” Exhibit.  The RFP Rules are also similar to the rules approved by the Commission in the DSP I Program proceeding.  The RFP also has been updated to reflect changes between the DSP I Program and the DSP II Program.  (PPL Electric St. 1, pp.</w:t>
      </w:r>
      <w:r w:rsidR="00284D23">
        <w:t> </w:t>
      </w:r>
      <w:r>
        <w:t>21-22).</w:t>
      </w:r>
    </w:p>
    <w:p w:rsidR="00CA2309" w:rsidRDefault="00CA2309" w:rsidP="001F1974">
      <w:pPr>
        <w:pStyle w:val="ListNumber"/>
        <w:numPr>
          <w:ilvl w:val="0"/>
          <w:numId w:val="0"/>
        </w:numPr>
        <w:ind w:firstLine="720"/>
        <w:jc w:val="both"/>
      </w:pPr>
      <w:r>
        <w:t>PPL Electric MB at 92-94.</w:t>
      </w:r>
    </w:p>
    <w:p w:rsidR="00CA2309" w:rsidRDefault="00CA2309" w:rsidP="001F1974">
      <w:pPr>
        <w:pStyle w:val="ListNumber"/>
        <w:numPr>
          <w:ilvl w:val="0"/>
          <w:numId w:val="0"/>
        </w:numPr>
        <w:spacing w:line="360" w:lineRule="auto"/>
        <w:ind w:firstLine="720"/>
        <w:contextualSpacing/>
        <w:jc w:val="left"/>
      </w:pPr>
    </w:p>
    <w:p w:rsidR="00580B8E" w:rsidRDefault="00767179" w:rsidP="001F1974">
      <w:pPr>
        <w:pStyle w:val="ListNumber"/>
        <w:numPr>
          <w:ilvl w:val="0"/>
          <w:numId w:val="0"/>
        </w:numPr>
        <w:spacing w:line="360" w:lineRule="auto"/>
        <w:ind w:firstLine="720"/>
        <w:contextualSpacing/>
        <w:jc w:val="left"/>
      </w:pPr>
      <w:r>
        <w:lastRenderedPageBreak/>
        <w:tab/>
      </w:r>
      <w:r w:rsidR="00CA2309">
        <w:t>T</w:t>
      </w:r>
      <w:r w:rsidR="00580B8E">
        <w:t>he majority of the provision of the SMA and the RFP rules are uncontested</w:t>
      </w:r>
      <w:r w:rsidR="00CA2309">
        <w:t xml:space="preserve"> but Constellation and FES recommend a few changes.  Constellation argues for the</w:t>
      </w:r>
      <w:r w:rsidR="00810C08">
        <w:t>s</w:t>
      </w:r>
      <w:r w:rsidR="00CA2309">
        <w:t>e changes in order to encourage the most robust participation in the DSP</w:t>
      </w:r>
      <w:r w:rsidR="00C9112A">
        <w:t>'</w:t>
      </w:r>
      <w:r w:rsidR="00CA2309">
        <w:t>s RFPs:</w:t>
      </w:r>
    </w:p>
    <w:p w:rsidR="00767179" w:rsidRDefault="00767179" w:rsidP="001F1974">
      <w:pPr>
        <w:pStyle w:val="ListNumber"/>
        <w:numPr>
          <w:ilvl w:val="0"/>
          <w:numId w:val="0"/>
        </w:numPr>
        <w:spacing w:line="360" w:lineRule="auto"/>
        <w:ind w:firstLine="720"/>
        <w:contextualSpacing/>
        <w:jc w:val="left"/>
      </w:pPr>
    </w:p>
    <w:p w:rsidR="00C9112A" w:rsidRDefault="00441692" w:rsidP="00441692">
      <w:pPr>
        <w:pStyle w:val="ListNumber"/>
        <w:numPr>
          <w:ilvl w:val="0"/>
          <w:numId w:val="0"/>
        </w:numPr>
        <w:tabs>
          <w:tab w:val="clear" w:pos="1170"/>
        </w:tabs>
        <w:spacing w:line="240" w:lineRule="auto"/>
        <w:ind w:left="2160" w:right="1440" w:hanging="720"/>
        <w:jc w:val="left"/>
      </w:pPr>
      <w:r>
        <w:t>(1)</w:t>
      </w:r>
      <w:r>
        <w:tab/>
      </w:r>
      <w:r w:rsidR="00C9112A">
        <w:t xml:space="preserve">inclusion of other EDCs' more appropriate unsecured credit thresholds or, at a minimum, the thresholds used in the SMA previously approved for use by PPL Electric in its 2011-2013 Default Service Plan; </w:t>
      </w:r>
    </w:p>
    <w:p w:rsidR="00441692" w:rsidRDefault="00441692" w:rsidP="00441692">
      <w:pPr>
        <w:pStyle w:val="ListNumber"/>
        <w:numPr>
          <w:ilvl w:val="0"/>
          <w:numId w:val="0"/>
        </w:numPr>
        <w:tabs>
          <w:tab w:val="clear" w:pos="1170"/>
        </w:tabs>
        <w:spacing w:line="240" w:lineRule="auto"/>
        <w:ind w:left="2160" w:right="1440" w:hanging="720"/>
        <w:jc w:val="left"/>
      </w:pPr>
    </w:p>
    <w:p w:rsidR="00897676" w:rsidRDefault="00441692" w:rsidP="00441692">
      <w:pPr>
        <w:pStyle w:val="ListNumber"/>
        <w:numPr>
          <w:ilvl w:val="0"/>
          <w:numId w:val="0"/>
        </w:numPr>
        <w:tabs>
          <w:tab w:val="clear" w:pos="1170"/>
        </w:tabs>
        <w:spacing w:line="240" w:lineRule="auto"/>
        <w:ind w:left="2160" w:right="1440" w:hanging="720"/>
        <w:jc w:val="left"/>
      </w:pPr>
      <w:r>
        <w:t>(2)</w:t>
      </w:r>
      <w:r>
        <w:tab/>
      </w:r>
      <w:r w:rsidR="00C9112A">
        <w:t xml:space="preserve">provision for weekly settlements in order to reflect and operate in concert with PJM Interconnection, LLC's weekly settlement process; </w:t>
      </w:r>
    </w:p>
    <w:p w:rsidR="00441692" w:rsidRDefault="00441692" w:rsidP="00441692">
      <w:pPr>
        <w:pStyle w:val="ListNumber"/>
        <w:numPr>
          <w:ilvl w:val="0"/>
          <w:numId w:val="0"/>
        </w:numPr>
        <w:tabs>
          <w:tab w:val="clear" w:pos="1170"/>
        </w:tabs>
        <w:spacing w:line="240" w:lineRule="auto"/>
        <w:ind w:left="2160" w:right="1440" w:hanging="720"/>
        <w:jc w:val="left"/>
      </w:pPr>
    </w:p>
    <w:p w:rsidR="00C9112A" w:rsidRDefault="00441692" w:rsidP="00441692">
      <w:pPr>
        <w:pStyle w:val="ListNumber"/>
        <w:numPr>
          <w:ilvl w:val="0"/>
          <w:numId w:val="0"/>
        </w:numPr>
        <w:tabs>
          <w:tab w:val="clear" w:pos="1170"/>
        </w:tabs>
        <w:spacing w:line="240" w:lineRule="auto"/>
        <w:ind w:left="2160" w:right="1440" w:hanging="720"/>
        <w:jc w:val="left"/>
      </w:pPr>
      <w:r>
        <w:t>(3)</w:t>
      </w:r>
      <w:r>
        <w:tab/>
      </w:r>
      <w:r w:rsidR="00897676">
        <w:t xml:space="preserve">change from one month to two weeks as the settlement period in the SMA; </w:t>
      </w:r>
      <w:r w:rsidR="00C9112A">
        <w:t xml:space="preserve">and </w:t>
      </w:r>
    </w:p>
    <w:p w:rsidR="00441692" w:rsidRDefault="00441692" w:rsidP="00441692">
      <w:pPr>
        <w:pStyle w:val="ListNumber"/>
        <w:numPr>
          <w:ilvl w:val="0"/>
          <w:numId w:val="0"/>
        </w:numPr>
        <w:tabs>
          <w:tab w:val="clear" w:pos="1170"/>
        </w:tabs>
        <w:spacing w:line="240" w:lineRule="auto"/>
        <w:ind w:left="2160" w:right="1440" w:hanging="720"/>
        <w:jc w:val="left"/>
      </w:pPr>
    </w:p>
    <w:p w:rsidR="00C9112A" w:rsidRDefault="00C9112A" w:rsidP="00441692">
      <w:pPr>
        <w:pStyle w:val="ListNumber"/>
        <w:numPr>
          <w:ilvl w:val="0"/>
          <w:numId w:val="0"/>
        </w:numPr>
        <w:tabs>
          <w:tab w:val="clear" w:pos="1170"/>
        </w:tabs>
        <w:spacing w:line="240" w:lineRule="auto"/>
        <w:ind w:left="2160" w:right="1440" w:hanging="720"/>
        <w:jc w:val="left"/>
      </w:pPr>
      <w:r>
        <w:t>(</w:t>
      </w:r>
      <w:r w:rsidR="00897676">
        <w:t>4</w:t>
      </w:r>
      <w:r w:rsidR="00441692">
        <w:t>)</w:t>
      </w:r>
      <w:r w:rsidR="00441692">
        <w:tab/>
      </w:r>
      <w:proofErr w:type="gramStart"/>
      <w:r>
        <w:t>allow</w:t>
      </w:r>
      <w:r w:rsidR="00B319A3">
        <w:t>ance</w:t>
      </w:r>
      <w:proofErr w:type="gramEnd"/>
      <w:r w:rsidR="00B319A3">
        <w:t xml:space="preserve"> of three business days rather than t</w:t>
      </w:r>
      <w:r w:rsidR="007C33D4">
        <w:t>w</w:t>
      </w:r>
      <w:r w:rsidR="00B319A3">
        <w:t>o for</w:t>
      </w:r>
      <w:r>
        <w:t xml:space="preserve"> a DS supplier to replace a letter of credit.  </w:t>
      </w:r>
    </w:p>
    <w:p w:rsidR="00CA2309" w:rsidRDefault="00C9112A" w:rsidP="00810C08">
      <w:pPr>
        <w:pStyle w:val="ListNumber"/>
        <w:numPr>
          <w:ilvl w:val="0"/>
          <w:numId w:val="0"/>
        </w:numPr>
        <w:jc w:val="left"/>
      </w:pPr>
      <w:r>
        <w:t>JT. Suppliers MB at 13.</w:t>
      </w:r>
      <w:r w:rsidR="00FF18D0">
        <w:t xml:space="preserve">  </w:t>
      </w:r>
    </w:p>
    <w:p w:rsidR="00C9112A" w:rsidRDefault="00C9112A" w:rsidP="00441692">
      <w:pPr>
        <w:pStyle w:val="ListNumber"/>
        <w:numPr>
          <w:ilvl w:val="0"/>
          <w:numId w:val="0"/>
        </w:numPr>
        <w:spacing w:line="360" w:lineRule="auto"/>
        <w:ind w:firstLine="720"/>
        <w:jc w:val="both"/>
      </w:pPr>
    </w:p>
    <w:p w:rsidR="00C9112A" w:rsidRDefault="00810C08" w:rsidP="00441692">
      <w:pPr>
        <w:pStyle w:val="ListNumber"/>
        <w:numPr>
          <w:ilvl w:val="0"/>
          <w:numId w:val="0"/>
        </w:numPr>
        <w:spacing w:line="360" w:lineRule="auto"/>
        <w:ind w:firstLine="720"/>
        <w:jc w:val="left"/>
      </w:pPr>
      <w:r>
        <w:tab/>
      </w:r>
      <w:r w:rsidR="00C9112A">
        <w:t xml:space="preserve">The Company agreed to the third issue listed above, and it is no longer an issue.  Jt. Suppliers RB at 11.  </w:t>
      </w:r>
    </w:p>
    <w:p w:rsidR="00441692" w:rsidRDefault="00441692" w:rsidP="00441692">
      <w:pPr>
        <w:pStyle w:val="ListNumber"/>
        <w:numPr>
          <w:ilvl w:val="0"/>
          <w:numId w:val="0"/>
        </w:numPr>
        <w:spacing w:line="360" w:lineRule="auto"/>
        <w:ind w:firstLine="720"/>
        <w:jc w:val="both"/>
      </w:pPr>
    </w:p>
    <w:p w:rsidR="00B57712" w:rsidRPr="00011E36" w:rsidRDefault="00011E36" w:rsidP="00011E36">
      <w:pPr>
        <w:pStyle w:val="BodyText2"/>
        <w:spacing w:after="0" w:line="360" w:lineRule="auto"/>
        <w:ind w:left="2160"/>
        <w:jc w:val="left"/>
      </w:pPr>
      <w:r>
        <w:rPr>
          <w:b/>
        </w:rPr>
        <w:t>i.</w:t>
      </w:r>
      <w:r>
        <w:rPr>
          <w:b/>
        </w:rPr>
        <w:tab/>
      </w:r>
      <w:r w:rsidR="00580B8E" w:rsidRPr="00011E36">
        <w:rPr>
          <w:b/>
        </w:rPr>
        <w:t>Unrecovered Credit.</w:t>
      </w:r>
      <w:r w:rsidR="00FF18D0">
        <w:rPr>
          <w:b/>
        </w:rPr>
        <w:fldChar w:fldCharType="begin"/>
      </w:r>
      <w:r w:rsidR="00FF18D0">
        <w:instrText xml:space="preserve"> TC "</w:instrText>
      </w:r>
      <w:bookmarkStart w:id="80" w:name="_Toc340670024"/>
      <w:r w:rsidR="00FF18D0" w:rsidRPr="009B7B20">
        <w:rPr>
          <w:b/>
        </w:rPr>
        <w:instrText>i.</w:instrText>
      </w:r>
      <w:r w:rsidR="00FF18D0" w:rsidRPr="009B7B20">
        <w:rPr>
          <w:b/>
        </w:rPr>
        <w:tab/>
        <w:instrText>Unrecovered Credit.</w:instrText>
      </w:r>
      <w:bookmarkEnd w:id="80"/>
      <w:r w:rsidR="00FF18D0">
        <w:instrText xml:space="preserve">" \f C \l "5" </w:instrText>
      </w:r>
      <w:r w:rsidR="00FF18D0">
        <w:rPr>
          <w:b/>
        </w:rPr>
        <w:fldChar w:fldCharType="end"/>
      </w:r>
      <w:r w:rsidR="00580B8E" w:rsidRPr="00011E36">
        <w:t xml:space="preserve">  </w:t>
      </w:r>
    </w:p>
    <w:p w:rsidR="00441692" w:rsidRDefault="00441692" w:rsidP="00441692">
      <w:pPr>
        <w:pStyle w:val="BodyText2"/>
        <w:spacing w:after="0" w:line="360" w:lineRule="auto"/>
      </w:pPr>
    </w:p>
    <w:p w:rsidR="00580B8E" w:rsidRDefault="00B57712" w:rsidP="00441692">
      <w:pPr>
        <w:pStyle w:val="BodyText2"/>
        <w:spacing w:after="0" w:line="360" w:lineRule="auto"/>
        <w:ind w:left="144"/>
        <w:jc w:val="left"/>
      </w:pPr>
      <w:r>
        <w:tab/>
      </w:r>
      <w:r>
        <w:tab/>
      </w:r>
      <w:r w:rsidR="00580B8E">
        <w:t>As part of the DSP II Program, PPL Electric revised its unsecured credit amounts.  The revisions are shown at page 29 of Constellation Statement No. 1.  The largest change was to reduce the unsecured credit for suppliers rated A- or above from $75 million to $50 million.  Smaller reductions were also included for suppliers with lower credit ratings.  Constellation proposes that the SMA be revised to include higher unsecured credit thresholds t</w:t>
      </w:r>
      <w:r w:rsidR="002D1175">
        <w:t xml:space="preserve">han the Company has proposed.  </w:t>
      </w:r>
      <w:r w:rsidR="00580B8E">
        <w:t>Constellation S</w:t>
      </w:r>
      <w:r w:rsidR="002D1175">
        <w:t>mt. 1, at</w:t>
      </w:r>
      <w:r w:rsidR="00580B8E">
        <w:t xml:space="preserve"> 28-29.  Constellation supports substantially increasing the unsecured credit limits above those contained in the DSP I Program, up to $125 million for</w:t>
      </w:r>
      <w:r w:rsidR="002D1175">
        <w:t xml:space="preserve"> the highest rated suppliers.  </w:t>
      </w:r>
      <w:proofErr w:type="gramStart"/>
      <w:r w:rsidR="00580B8E">
        <w:t>Constellation S</w:t>
      </w:r>
      <w:r w:rsidR="002D1175">
        <w:t>mt. 1, at</w:t>
      </w:r>
      <w:r w:rsidR="00580B8E">
        <w:t xml:space="preserve"> 29.</w:t>
      </w:r>
      <w:proofErr w:type="gramEnd"/>
      <w:r w:rsidR="00580B8E">
        <w:t xml:space="preserve">  Constellation contends that potential wholesale suppliers might choose not to participate in PPL Electric’s procurements because other utilities have higher unsecured credit limits.  </w:t>
      </w:r>
      <w:proofErr w:type="gramStart"/>
      <w:r w:rsidR="00580B8E">
        <w:t>Constellation S</w:t>
      </w:r>
      <w:r w:rsidR="002D1175">
        <w:t>m</w:t>
      </w:r>
      <w:r w:rsidR="00580B8E">
        <w:t>t. 1,</w:t>
      </w:r>
      <w:r w:rsidR="002D1175">
        <w:t xml:space="preserve"> at</w:t>
      </w:r>
      <w:r w:rsidR="00580B8E">
        <w:t>.</w:t>
      </w:r>
      <w:proofErr w:type="gramEnd"/>
      <w:r w:rsidR="00580B8E">
        <w:t xml:space="preserve"> 30.</w:t>
      </w:r>
    </w:p>
    <w:p w:rsidR="007E5D1E" w:rsidRDefault="007E5D1E" w:rsidP="00441692">
      <w:pPr>
        <w:pStyle w:val="BodyText2"/>
        <w:spacing w:after="0" w:line="360" w:lineRule="auto"/>
        <w:ind w:left="144"/>
        <w:jc w:val="left"/>
      </w:pPr>
    </w:p>
    <w:p w:rsidR="007E5D1E" w:rsidRDefault="00767179" w:rsidP="00441692">
      <w:pPr>
        <w:pStyle w:val="ListNumber"/>
        <w:numPr>
          <w:ilvl w:val="0"/>
          <w:numId w:val="0"/>
        </w:numPr>
        <w:spacing w:line="360" w:lineRule="auto"/>
        <w:ind w:left="144" w:firstLine="720"/>
        <w:jc w:val="left"/>
      </w:pPr>
      <w:r>
        <w:tab/>
      </w:r>
      <w:r w:rsidR="007E5D1E">
        <w:t>The Joint Suppliers argue that the unsecured credit thresholds used by PPL Electric are too restrictive to encourage maximum competition, thus impairing the acquisition of generation supply at the least cost.  They recommend that the Commission require the Company to revise its SMAs to include the credit thresholds used by West Penn Power Company in its current default service procurements, or at least the levels used in the DSP I SM</w:t>
      </w:r>
      <w:r w:rsidR="00441692">
        <w:t xml:space="preserve">As.  Jt. Suppliers MB at 15.  </w:t>
      </w:r>
    </w:p>
    <w:p w:rsidR="007E5D1E" w:rsidRDefault="007E5D1E" w:rsidP="00441692">
      <w:pPr>
        <w:pStyle w:val="ListNumber"/>
        <w:numPr>
          <w:ilvl w:val="0"/>
          <w:numId w:val="0"/>
        </w:numPr>
        <w:spacing w:line="360" w:lineRule="auto"/>
        <w:ind w:left="144" w:firstLine="720"/>
        <w:jc w:val="left"/>
      </w:pPr>
    </w:p>
    <w:p w:rsidR="007E5D1E" w:rsidRDefault="00767179" w:rsidP="00441692">
      <w:pPr>
        <w:pStyle w:val="ListNumber"/>
        <w:numPr>
          <w:ilvl w:val="0"/>
          <w:numId w:val="0"/>
        </w:numPr>
        <w:spacing w:line="360" w:lineRule="auto"/>
        <w:ind w:firstLine="720"/>
        <w:jc w:val="left"/>
      </w:pPr>
      <w:r>
        <w:tab/>
      </w:r>
      <w:r w:rsidR="007E5D1E">
        <w:t xml:space="preserve">FES supports Constellation's recommendation that PPL Electric's performance assurance requirements should be in line with West Penn Power, or at a minimum, maintain the levels of PPL Electric's 2011-2013 SMA.  FES RB at 24.  </w:t>
      </w:r>
    </w:p>
    <w:p w:rsidR="007E5D1E" w:rsidRDefault="007E5D1E" w:rsidP="001F1974">
      <w:pPr>
        <w:pStyle w:val="ListNumber"/>
        <w:numPr>
          <w:ilvl w:val="0"/>
          <w:numId w:val="0"/>
        </w:numPr>
        <w:spacing w:line="360" w:lineRule="auto"/>
        <w:ind w:firstLine="720"/>
        <w:contextualSpacing/>
        <w:jc w:val="left"/>
      </w:pPr>
    </w:p>
    <w:p w:rsidR="007E5D1E" w:rsidRDefault="00B319A3" w:rsidP="001F1974">
      <w:pPr>
        <w:pStyle w:val="BodyText2"/>
        <w:spacing w:after="0" w:line="360" w:lineRule="auto"/>
        <w:contextualSpacing/>
        <w:jc w:val="left"/>
      </w:pPr>
      <w:r>
        <w:tab/>
      </w:r>
      <w:r w:rsidR="00767179">
        <w:tab/>
      </w:r>
      <w:r w:rsidR="00580B8E">
        <w:t xml:space="preserve">PPL Electric </w:t>
      </w:r>
      <w:r w:rsidR="007E5D1E">
        <w:t xml:space="preserve">states that it has </w:t>
      </w:r>
      <w:r w:rsidR="00580B8E">
        <w:t xml:space="preserve">reviewed various agreements issued by EDCs to determine what their credit thresholds are compared to those proposed by PPL Electric.  </w:t>
      </w:r>
      <w:r w:rsidR="00580B8E">
        <w:rPr>
          <w:i/>
        </w:rPr>
        <w:t>See</w:t>
      </w:r>
      <w:r w:rsidR="00580B8E">
        <w:t xml:space="preserve"> Ex. RGY-1R.  As seen in that Exhibit, the Company’s unsecured credit amounts are reasonably aligned with all of the companies reviewed (including Constellation’s affiliate PECO).  </w:t>
      </w:r>
      <w:r w:rsidR="007E5D1E">
        <w:t>It does not explain what "reasonably aligned" means, however, and the Joint Suppliers point out that, of the companies PPL Electric lists, only one – the only one not in PJM or in Pennsylvania – is lower.  Contrary to the Company's claims, this</w:t>
      </w:r>
      <w:r w:rsidR="00580B8E">
        <w:t xml:space="preserve"> evidence </w:t>
      </w:r>
      <w:r w:rsidR="007E5D1E">
        <w:t xml:space="preserve">does not </w:t>
      </w:r>
      <w:r w:rsidR="00580B8E">
        <w:t xml:space="preserve">demonstrates that the unsecured credit limits set forth in the DSP II SMA are consistent with similar agreements and should not result in a reduction in bidder interest. </w:t>
      </w:r>
      <w:r w:rsidR="007E5D1E">
        <w:t xml:space="preserve"> The Company argues:</w:t>
      </w:r>
    </w:p>
    <w:p w:rsidR="00441692" w:rsidRDefault="00441692" w:rsidP="00441692">
      <w:pPr>
        <w:pStyle w:val="BodyText2"/>
        <w:spacing w:after="0" w:line="360" w:lineRule="auto"/>
        <w:contextualSpacing/>
        <w:jc w:val="left"/>
      </w:pPr>
    </w:p>
    <w:p w:rsidR="00580B8E" w:rsidRDefault="00580B8E" w:rsidP="001F1974">
      <w:pPr>
        <w:pStyle w:val="BodyText2"/>
        <w:spacing w:after="0" w:line="240" w:lineRule="auto"/>
        <w:ind w:left="1440" w:right="1440"/>
        <w:jc w:val="left"/>
      </w:pPr>
      <w:r>
        <w:t xml:space="preserve"> Furthermore, unsecured credit represents a risk to default service customers in the event of supplier default, because in the event the supplier refuses or is unable to pay in the event of default, any additional cost to obtain supply would be charged in the default service price to customers.  </w:t>
      </w:r>
      <w:proofErr w:type="gramStart"/>
      <w:r>
        <w:t>(PPL Electric St. 1-R, p. 21).</w:t>
      </w:r>
      <w:proofErr w:type="gramEnd"/>
      <w:r>
        <w:t xml:space="preserve">  Therefore, it is in the interest of default service customers to moderate that risk by holding the unsecured credit amount to a lower level.  Constellation’s proposed modification to the unsecured credit levels should be rejected.</w:t>
      </w:r>
    </w:p>
    <w:p w:rsidR="007E5D1E" w:rsidRDefault="007E5D1E" w:rsidP="001F1974">
      <w:pPr>
        <w:pStyle w:val="BodyText2"/>
        <w:spacing w:after="0"/>
        <w:jc w:val="left"/>
        <w:rPr>
          <w:color w:val="000000"/>
        </w:rPr>
      </w:pPr>
      <w:proofErr w:type="gramStart"/>
      <w:r w:rsidRPr="007E5D1E">
        <w:rPr>
          <w:color w:val="000000"/>
        </w:rPr>
        <w:t xml:space="preserve">PPL Electric MB at </w:t>
      </w:r>
      <w:r w:rsidR="00767179">
        <w:rPr>
          <w:color w:val="000000"/>
        </w:rPr>
        <w:t>95.</w:t>
      </w:r>
      <w:proofErr w:type="gramEnd"/>
    </w:p>
    <w:p w:rsidR="00441692" w:rsidRPr="007E5D1E" w:rsidRDefault="00441692" w:rsidP="00441692">
      <w:pPr>
        <w:pStyle w:val="BodyText2"/>
        <w:spacing w:after="0" w:line="360" w:lineRule="auto"/>
        <w:jc w:val="left"/>
        <w:rPr>
          <w:color w:val="000000"/>
        </w:rPr>
      </w:pPr>
    </w:p>
    <w:p w:rsidR="007E5D1E" w:rsidRDefault="007E5D1E" w:rsidP="00441692">
      <w:pPr>
        <w:pStyle w:val="BodyText2"/>
        <w:spacing w:after="0" w:line="360" w:lineRule="auto"/>
        <w:contextualSpacing/>
        <w:jc w:val="left"/>
        <w:rPr>
          <w:color w:val="000000"/>
        </w:rPr>
      </w:pPr>
      <w:r>
        <w:rPr>
          <w:color w:val="000000"/>
        </w:rPr>
        <w:lastRenderedPageBreak/>
        <w:tab/>
      </w:r>
      <w:r>
        <w:rPr>
          <w:color w:val="000000"/>
        </w:rPr>
        <w:tab/>
        <w:t xml:space="preserve">As a higher credit limit does not equal "unsecured credit," this argument is difficult to follow.  The Company did not </w:t>
      </w:r>
      <w:r w:rsidR="00B319A3">
        <w:rPr>
          <w:color w:val="000000"/>
        </w:rPr>
        <w:t>provide any evidence to support a finding that its existing DSP I credit limits were a problem, and therefore, the Company has not upheld its burden of proving that the new limits should be imposed.  Accordingly, the limits used in the DSP I should be maintained.</w:t>
      </w:r>
    </w:p>
    <w:p w:rsidR="00B57712" w:rsidRDefault="00B57712" w:rsidP="00441692">
      <w:pPr>
        <w:pStyle w:val="BodyText2"/>
        <w:spacing w:after="0" w:line="360" w:lineRule="auto"/>
        <w:rPr>
          <w:b/>
          <w:u w:val="single"/>
        </w:rPr>
      </w:pPr>
    </w:p>
    <w:p w:rsidR="00B319A3" w:rsidRDefault="00011E36" w:rsidP="00011E36">
      <w:pPr>
        <w:pStyle w:val="BodyText2"/>
        <w:spacing w:after="0" w:line="360" w:lineRule="auto"/>
        <w:ind w:left="2160"/>
        <w:jc w:val="left"/>
      </w:pPr>
      <w:r>
        <w:rPr>
          <w:b/>
        </w:rPr>
        <w:t>ii.</w:t>
      </w:r>
      <w:r>
        <w:rPr>
          <w:b/>
        </w:rPr>
        <w:tab/>
      </w:r>
      <w:r w:rsidR="00580B8E" w:rsidRPr="00011E36">
        <w:rPr>
          <w:b/>
        </w:rPr>
        <w:t>Monthly vs. Weekly Payment</w:t>
      </w:r>
      <w:r w:rsidR="00580B8E">
        <w:rPr>
          <w:b/>
          <w:u w:val="single"/>
        </w:rPr>
        <w:t>.</w:t>
      </w:r>
      <w:r w:rsidR="00FF18D0">
        <w:rPr>
          <w:b/>
          <w:u w:val="single"/>
        </w:rPr>
        <w:fldChar w:fldCharType="begin"/>
      </w:r>
      <w:r w:rsidR="00FF18D0">
        <w:instrText xml:space="preserve"> TC "</w:instrText>
      </w:r>
      <w:bookmarkStart w:id="81" w:name="_Toc340670025"/>
      <w:r w:rsidR="00FF18D0" w:rsidRPr="009B7B20">
        <w:rPr>
          <w:b/>
        </w:rPr>
        <w:instrText>ii.</w:instrText>
      </w:r>
      <w:r w:rsidR="00FF18D0" w:rsidRPr="009B7B20">
        <w:rPr>
          <w:b/>
        </w:rPr>
        <w:tab/>
        <w:instrText>Monthly vs. Weekly Payment</w:instrText>
      </w:r>
      <w:r w:rsidR="00FF18D0" w:rsidRPr="009B7B20">
        <w:rPr>
          <w:b/>
          <w:u w:val="single"/>
        </w:rPr>
        <w:instrText>.</w:instrText>
      </w:r>
      <w:bookmarkEnd w:id="81"/>
      <w:r w:rsidR="00FF18D0">
        <w:instrText xml:space="preserve">" \f C \l "5" </w:instrText>
      </w:r>
      <w:r w:rsidR="00FF18D0">
        <w:rPr>
          <w:b/>
          <w:u w:val="single"/>
        </w:rPr>
        <w:fldChar w:fldCharType="end"/>
      </w:r>
      <w:r w:rsidR="00580B8E">
        <w:t xml:space="preserve">  </w:t>
      </w:r>
    </w:p>
    <w:p w:rsidR="00441692" w:rsidRDefault="00441692" w:rsidP="00441692">
      <w:pPr>
        <w:pStyle w:val="BodyText2"/>
        <w:spacing w:after="0" w:line="360" w:lineRule="auto"/>
      </w:pPr>
    </w:p>
    <w:p w:rsidR="00897676" w:rsidRDefault="00897676" w:rsidP="00441692">
      <w:pPr>
        <w:pStyle w:val="BodyText2"/>
        <w:spacing w:after="0" w:line="360" w:lineRule="auto"/>
        <w:contextualSpacing/>
        <w:jc w:val="left"/>
      </w:pPr>
      <w:r>
        <w:tab/>
      </w:r>
      <w:r>
        <w:tab/>
      </w:r>
      <w:r w:rsidR="00580B8E">
        <w:t>PPL Electric currently pays suppliers on a monthly basis, and proposes to continue that payment p</w:t>
      </w:r>
      <w:r w:rsidR="007C33D4">
        <w:t xml:space="preserve">rocess in the DSP II Program.  </w:t>
      </w:r>
      <w:proofErr w:type="gramStart"/>
      <w:r w:rsidR="00580B8E">
        <w:t>PPL Electric St</w:t>
      </w:r>
      <w:r w:rsidR="007C33D4">
        <w:t>mt</w:t>
      </w:r>
      <w:r w:rsidR="00580B8E">
        <w:t>. 1-R</w:t>
      </w:r>
      <w:r w:rsidR="007C33D4">
        <w:t xml:space="preserve"> at</w:t>
      </w:r>
      <w:r w:rsidR="00580B8E">
        <w:t xml:space="preserve"> 25.</w:t>
      </w:r>
      <w:proofErr w:type="gramEnd"/>
      <w:r w:rsidR="00580B8E">
        <w:t xml:space="preserve">  Constellation requests the Company provide weekly settlements as opposed to monthly settlements.  Constellation St</w:t>
      </w:r>
      <w:r w:rsidR="007C33D4">
        <w:t>mt</w:t>
      </w:r>
      <w:r w:rsidR="00580B8E">
        <w:t>. 1</w:t>
      </w:r>
      <w:r w:rsidR="007C33D4">
        <w:t xml:space="preserve"> at</w:t>
      </w:r>
      <w:r w:rsidR="00580B8E">
        <w:t xml:space="preserve"> 32</w:t>
      </w:r>
      <w:r>
        <w:t>; Jt. Suppliers MB at 17:</w:t>
      </w:r>
    </w:p>
    <w:p w:rsidR="00441692" w:rsidRDefault="00441692" w:rsidP="00441692">
      <w:pPr>
        <w:pStyle w:val="BodyText2"/>
        <w:spacing w:after="0" w:line="360" w:lineRule="auto"/>
        <w:contextualSpacing/>
        <w:jc w:val="left"/>
      </w:pPr>
    </w:p>
    <w:p w:rsidR="00B57712" w:rsidRDefault="00897676" w:rsidP="001F1974">
      <w:pPr>
        <w:pStyle w:val="BodyText2"/>
        <w:spacing w:after="0" w:line="240" w:lineRule="auto"/>
        <w:ind w:left="1440" w:right="1440"/>
        <w:contextualSpacing/>
        <w:jc w:val="left"/>
      </w:pPr>
      <w:r>
        <w:tab/>
        <w:t>The Joint Suppliers note that</w:t>
      </w:r>
      <w:r w:rsidR="00580B8E">
        <w:t xml:space="preserve"> wholesale suppliers are required to make weekly settlements with PJM.  (Constellation St. 1, p. 33)</w:t>
      </w:r>
      <w:r>
        <w:t xml:space="preserve">, and therefore, </w:t>
      </w:r>
      <w:r w:rsidR="00580B8E">
        <w:t xml:space="preserve">moving to weekly settlements </w:t>
      </w:r>
      <w:r>
        <w:t xml:space="preserve">creates a </w:t>
      </w:r>
      <w:r w:rsidR="00580B8E">
        <w:t xml:space="preserve">higher likelihood for more competitive bids in the PPL Electric RFPs because the credit need incurred by suppliers will be reduced. </w:t>
      </w:r>
    </w:p>
    <w:p w:rsidR="00897676" w:rsidRDefault="00897676" w:rsidP="001F1974">
      <w:pPr>
        <w:pStyle w:val="BodyText2"/>
        <w:spacing w:after="0" w:line="360" w:lineRule="auto"/>
        <w:contextualSpacing/>
        <w:jc w:val="left"/>
      </w:pPr>
      <w:proofErr w:type="gramStart"/>
      <w:r>
        <w:t>Jt. Suppliers MB at 17.</w:t>
      </w:r>
      <w:proofErr w:type="gramEnd"/>
    </w:p>
    <w:p w:rsidR="00897676" w:rsidRDefault="00897676" w:rsidP="001F1974">
      <w:pPr>
        <w:pStyle w:val="BodyText2"/>
        <w:spacing w:after="0" w:line="360" w:lineRule="auto"/>
        <w:contextualSpacing/>
        <w:jc w:val="left"/>
      </w:pPr>
    </w:p>
    <w:p w:rsidR="00580B8E" w:rsidRDefault="00B57712" w:rsidP="001F1974">
      <w:pPr>
        <w:pStyle w:val="BodyText2"/>
        <w:spacing w:after="0" w:line="360" w:lineRule="auto"/>
        <w:contextualSpacing/>
        <w:jc w:val="left"/>
      </w:pPr>
      <w:r>
        <w:tab/>
      </w:r>
      <w:r>
        <w:tab/>
      </w:r>
      <w:r w:rsidR="00580B8E">
        <w:t xml:space="preserve">PPL Electric </w:t>
      </w:r>
      <w:r w:rsidR="00897676">
        <w:t>argues that it</w:t>
      </w:r>
      <w:r w:rsidR="00580B8E">
        <w:t xml:space="preserve"> has held twelve successful DSP I Program solicitations which included monthly settlement provisions</w:t>
      </w:r>
      <w:r w:rsidR="00897676">
        <w:t xml:space="preserve"> while </w:t>
      </w:r>
      <w:r w:rsidR="00580B8E">
        <w:t>PJM has invoiced</w:t>
      </w:r>
      <w:r w:rsidR="007C33D4">
        <w:t xml:space="preserve"> suppliers on a weekly basis.  </w:t>
      </w:r>
      <w:proofErr w:type="gramStart"/>
      <w:r w:rsidR="00580B8E">
        <w:t>PPL Electric St</w:t>
      </w:r>
      <w:r w:rsidR="007C33D4">
        <w:t>mt</w:t>
      </w:r>
      <w:r w:rsidR="00580B8E">
        <w:t>. 1-R</w:t>
      </w:r>
      <w:r w:rsidR="007C33D4">
        <w:t xml:space="preserve"> at</w:t>
      </w:r>
      <w:r w:rsidR="00580B8E">
        <w:t xml:space="preserve"> 25.</w:t>
      </w:r>
      <w:proofErr w:type="gramEnd"/>
      <w:r w:rsidR="00580B8E">
        <w:t xml:space="preserve">  There is no evidence that implementation of a monthly settlement process in the SMA has negatively impacted participation or the success of any solicitation.  Therefore, there is no reason to change from a monthly to a weekly settlement process.  </w:t>
      </w:r>
      <w:proofErr w:type="gramStart"/>
      <w:r w:rsidR="00897676">
        <w:t>PPL Elect</w:t>
      </w:r>
      <w:r w:rsidR="00767179">
        <w:t>ric MB at 98.</w:t>
      </w:r>
      <w:proofErr w:type="gramEnd"/>
    </w:p>
    <w:p w:rsidR="00B57712" w:rsidRDefault="00B57712" w:rsidP="001F1974">
      <w:pPr>
        <w:pStyle w:val="BodyText2"/>
        <w:spacing w:after="0" w:line="360" w:lineRule="auto"/>
        <w:contextualSpacing/>
        <w:jc w:val="left"/>
      </w:pPr>
    </w:p>
    <w:p w:rsidR="00897676" w:rsidRDefault="00897676" w:rsidP="00441692">
      <w:pPr>
        <w:pStyle w:val="BodyText2"/>
        <w:spacing w:after="0" w:line="360" w:lineRule="auto"/>
        <w:contextualSpacing/>
        <w:jc w:val="left"/>
      </w:pPr>
      <w:r>
        <w:tab/>
      </w:r>
      <w:r>
        <w:tab/>
      </w:r>
      <w:r w:rsidR="00580B8E">
        <w:t xml:space="preserve">Constellation further asserts that suppliers’ weekly settlements with PJM, and PPL Electric’s monthly payments to suppliers, creates a “credit need” that could be reduced by requiring PPL Electric to make weekly payments.  </w:t>
      </w:r>
      <w:r>
        <w:t>The Company responds:</w:t>
      </w:r>
    </w:p>
    <w:p w:rsidR="00441692" w:rsidRDefault="00441692" w:rsidP="001F1974">
      <w:pPr>
        <w:pStyle w:val="BodyText2"/>
        <w:spacing w:after="0" w:line="360" w:lineRule="auto"/>
        <w:contextualSpacing/>
      </w:pPr>
    </w:p>
    <w:p w:rsidR="00580B8E" w:rsidRDefault="00580B8E" w:rsidP="001F1974">
      <w:pPr>
        <w:pStyle w:val="BodyText2"/>
        <w:spacing w:after="0" w:line="240" w:lineRule="auto"/>
        <w:ind w:left="1440" w:right="1440"/>
        <w:contextualSpacing/>
        <w:jc w:val="left"/>
      </w:pPr>
      <w:r>
        <w:lastRenderedPageBreak/>
        <w:t xml:space="preserve">However, as PPL Electric witness Kleha explains, a change to a weekly settlement process will simply shift the Cash Working Capital responsibility from being borne by suppliers and included in their bid prices to being borne by PPL Electric and being charged to customers as an additional cost in Default Service rates.  </w:t>
      </w:r>
      <w:proofErr w:type="gramStart"/>
      <w:r>
        <w:t>(PPL Electric 5-R, p. 15-16).</w:t>
      </w:r>
      <w:proofErr w:type="gramEnd"/>
      <w:r>
        <w:t xml:space="preserve">  Thus, contrary to Constellation’s contention, there will be no net benefit to default service customers from a change to the payment terms.  Constellation’s proposal should be rejected.</w:t>
      </w:r>
    </w:p>
    <w:p w:rsidR="00897676" w:rsidRDefault="00897676" w:rsidP="00441692">
      <w:pPr>
        <w:pStyle w:val="BodyText2"/>
        <w:spacing w:after="0" w:line="240" w:lineRule="auto"/>
        <w:jc w:val="left"/>
      </w:pPr>
      <w:r>
        <w:t xml:space="preserve">PPL Electric MB at </w:t>
      </w:r>
      <w:r w:rsidR="00767179">
        <w:t>98-99.</w:t>
      </w:r>
    </w:p>
    <w:p w:rsidR="00441692" w:rsidRDefault="00441692" w:rsidP="00441692">
      <w:pPr>
        <w:pStyle w:val="BodyText2"/>
        <w:spacing w:after="0" w:line="360" w:lineRule="auto"/>
        <w:jc w:val="left"/>
      </w:pPr>
    </w:p>
    <w:p w:rsidR="00897676" w:rsidRDefault="00897676" w:rsidP="00441692">
      <w:pPr>
        <w:pStyle w:val="BodyText2"/>
        <w:spacing w:after="0" w:line="360" w:lineRule="auto"/>
        <w:jc w:val="left"/>
      </w:pPr>
      <w:r>
        <w:tab/>
      </w:r>
      <w:r>
        <w:tab/>
        <w:t>This cost-shifting move is not consistent with the requirements of the statute regarding the DSP plan and should be denied.</w:t>
      </w:r>
    </w:p>
    <w:p w:rsidR="00441692" w:rsidRPr="00897676" w:rsidRDefault="00441692" w:rsidP="00441692">
      <w:pPr>
        <w:pStyle w:val="BodyText2"/>
        <w:spacing w:after="0" w:line="360" w:lineRule="auto"/>
        <w:jc w:val="left"/>
      </w:pPr>
    </w:p>
    <w:p w:rsidR="00B57712" w:rsidRPr="00011E36" w:rsidRDefault="00011E36" w:rsidP="00011E36">
      <w:pPr>
        <w:pStyle w:val="BodyText2"/>
        <w:spacing w:after="0" w:line="360" w:lineRule="auto"/>
        <w:ind w:left="2160"/>
        <w:jc w:val="left"/>
        <w:rPr>
          <w:b/>
        </w:rPr>
      </w:pPr>
      <w:r>
        <w:rPr>
          <w:b/>
        </w:rPr>
        <w:t>iii.</w:t>
      </w:r>
      <w:r>
        <w:rPr>
          <w:b/>
        </w:rPr>
        <w:tab/>
      </w:r>
      <w:r w:rsidR="00580B8E" w:rsidRPr="00011E36">
        <w:rPr>
          <w:b/>
        </w:rPr>
        <w:t>Letter of Credit.</w:t>
      </w:r>
      <w:r w:rsidR="00FF18D0">
        <w:rPr>
          <w:b/>
        </w:rPr>
        <w:fldChar w:fldCharType="begin"/>
      </w:r>
      <w:r w:rsidR="00FF18D0">
        <w:instrText xml:space="preserve"> TC "</w:instrText>
      </w:r>
      <w:bookmarkStart w:id="82" w:name="_Toc340670026"/>
      <w:r w:rsidR="00FF18D0" w:rsidRPr="009B7B20">
        <w:rPr>
          <w:b/>
        </w:rPr>
        <w:instrText>iii.</w:instrText>
      </w:r>
      <w:r w:rsidR="00FF18D0" w:rsidRPr="009B7B20">
        <w:rPr>
          <w:b/>
        </w:rPr>
        <w:tab/>
        <w:instrText>Letter of Credit.</w:instrText>
      </w:r>
      <w:bookmarkEnd w:id="82"/>
      <w:r w:rsidR="00FF18D0">
        <w:instrText xml:space="preserve">" \f C \l "5" </w:instrText>
      </w:r>
      <w:r w:rsidR="00FF18D0">
        <w:rPr>
          <w:b/>
        </w:rPr>
        <w:fldChar w:fldCharType="end"/>
      </w:r>
    </w:p>
    <w:p w:rsidR="00441692" w:rsidRDefault="00441692" w:rsidP="00441692">
      <w:pPr>
        <w:pStyle w:val="BodyText2"/>
        <w:spacing w:after="0" w:line="360" w:lineRule="auto"/>
      </w:pPr>
    </w:p>
    <w:p w:rsidR="00580B8E" w:rsidRDefault="00767179" w:rsidP="00441692">
      <w:pPr>
        <w:pStyle w:val="BodyText2"/>
        <w:spacing w:after="0" w:line="360" w:lineRule="auto"/>
        <w:jc w:val="left"/>
      </w:pPr>
      <w:r>
        <w:tab/>
      </w:r>
      <w:r>
        <w:tab/>
      </w:r>
      <w:r w:rsidR="00580B8E">
        <w:t>Constellation has proposed two changes to Section 14.2(b) of the SMA, which concerns the provision of a Letter of Credit.  A Letter of Credit is a form of Performance Assurance given as security against default.  PPL Electric Ex. 1, Appendix A, page 15 – definition of Performance Assurance.  Constellation contends that it would be more reasonable to allow a supplier three Business Days rather than only two Business Days to replace a Letter of Credit.  The Company has reviewed the proposed change to Section 14.2(b) with regards to the number of days a supplier has to replace a Letter of Credit.  The current language in the SMA allows for two (2) business days, whereas Constellation has proposed three (3) business days.  This change is minor in nature and i</w:t>
      </w:r>
      <w:r w:rsidR="00B57712">
        <w:t xml:space="preserve">s not opposed by the Company.  </w:t>
      </w:r>
      <w:proofErr w:type="gramStart"/>
      <w:r w:rsidR="00580B8E">
        <w:t>PPL Electric S</w:t>
      </w:r>
      <w:r w:rsidR="00B57712">
        <w:t>tmt</w:t>
      </w:r>
      <w:r w:rsidR="00580B8E">
        <w:t>. 1-R</w:t>
      </w:r>
      <w:r w:rsidR="00B57712">
        <w:t xml:space="preserve"> at </w:t>
      </w:r>
      <w:r w:rsidR="00580B8E">
        <w:t>24</w:t>
      </w:r>
      <w:r w:rsidR="00B57712">
        <w:t>; PPL Electric MB at 99</w:t>
      </w:r>
      <w:r w:rsidR="00580B8E">
        <w:t>.</w:t>
      </w:r>
      <w:proofErr w:type="gramEnd"/>
    </w:p>
    <w:p w:rsidR="00B57712" w:rsidRDefault="00B57712" w:rsidP="00D67008">
      <w:pPr>
        <w:pStyle w:val="BodyText2"/>
        <w:spacing w:after="0" w:line="360" w:lineRule="auto"/>
        <w:jc w:val="left"/>
      </w:pPr>
    </w:p>
    <w:p w:rsidR="00B57712" w:rsidRDefault="00B57712" w:rsidP="00D67008">
      <w:pPr>
        <w:pStyle w:val="BodyText2"/>
        <w:spacing w:after="0" w:line="360" w:lineRule="auto"/>
        <w:jc w:val="left"/>
      </w:pPr>
      <w:r>
        <w:tab/>
      </w:r>
      <w:r>
        <w:tab/>
        <w:t>Accordingly, this change is recommended.</w:t>
      </w:r>
    </w:p>
    <w:p w:rsidR="00B57712" w:rsidRDefault="00B57712" w:rsidP="00D67008">
      <w:pPr>
        <w:pStyle w:val="BodyText2"/>
        <w:spacing w:after="0" w:line="360" w:lineRule="auto"/>
        <w:jc w:val="left"/>
      </w:pPr>
    </w:p>
    <w:p w:rsidR="00580B8E" w:rsidRDefault="00580B8E" w:rsidP="00D67008">
      <w:pPr>
        <w:pStyle w:val="Heading4"/>
        <w:keepNext/>
        <w:tabs>
          <w:tab w:val="clear" w:pos="3060"/>
        </w:tabs>
        <w:spacing w:after="0"/>
        <w:ind w:left="2160"/>
      </w:pPr>
      <w:bookmarkStart w:id="83" w:name="_Toc337196680"/>
      <w:r>
        <w:t>Third-Party Manager</w:t>
      </w:r>
      <w:bookmarkEnd w:id="83"/>
      <w:r w:rsidR="00FF18D0">
        <w:fldChar w:fldCharType="begin"/>
      </w:r>
      <w:r w:rsidR="00FF18D0">
        <w:instrText xml:space="preserve"> TC "</w:instrText>
      </w:r>
      <w:bookmarkStart w:id="84" w:name="_Toc340670027"/>
      <w:r w:rsidR="00FF18D0" w:rsidRPr="009B7B20">
        <w:instrText>Third-Party Manager</w:instrText>
      </w:r>
      <w:bookmarkEnd w:id="84"/>
      <w:r w:rsidR="00FF18D0">
        <w:instrText xml:space="preserve">" \f C \l "4" </w:instrText>
      </w:r>
      <w:r w:rsidR="00FF18D0">
        <w:fldChar w:fldCharType="end"/>
      </w:r>
    </w:p>
    <w:p w:rsidR="00441692" w:rsidRPr="00441692" w:rsidRDefault="00441692" w:rsidP="00D67008">
      <w:pPr>
        <w:pStyle w:val="BodyText2"/>
        <w:spacing w:after="0" w:line="360" w:lineRule="auto"/>
      </w:pPr>
    </w:p>
    <w:p w:rsidR="009D0DE4" w:rsidRDefault="00580B8E" w:rsidP="00D67008">
      <w:pPr>
        <w:pStyle w:val="BodyText2"/>
        <w:spacing w:after="0" w:line="360" w:lineRule="auto"/>
        <w:jc w:val="left"/>
      </w:pPr>
      <w:r>
        <w:tab/>
      </w:r>
      <w:r w:rsidR="00441692">
        <w:tab/>
      </w:r>
      <w:r>
        <w:t>The</w:t>
      </w:r>
      <w:r w:rsidR="009D0DE4">
        <w:t xml:space="preserve"> Company states that the</w:t>
      </w:r>
      <w:r>
        <w:t xml:space="preserve"> Default Service Policy Statement provides that the competitive bid solicitation process should be monitored by an independent evaluator to achieve a fair and transparent process for each solicitation.  52 Pa. Code § 69.1807(8)</w:t>
      </w:r>
      <w:r>
        <w:rPr>
          <w:rStyle w:val="FootnoteReference"/>
        </w:rPr>
        <w:t>.</w:t>
      </w:r>
      <w:r>
        <w:t xml:space="preserve">  Consistent with </w:t>
      </w:r>
      <w:r>
        <w:lastRenderedPageBreak/>
        <w:t xml:space="preserve">these requirements, PPL Electric has retained NERA as the independent third-party to administer each procurement, analyze the results of the solicitations for each customer class, select the supplier(s) that will provide services at the lowest cost and submit all necessary reports to the Commission.  </w:t>
      </w:r>
      <w:proofErr w:type="gramStart"/>
      <w:r>
        <w:t>PPL Electric St</w:t>
      </w:r>
      <w:r w:rsidR="007C33D4">
        <w:t>mt</w:t>
      </w:r>
      <w:r>
        <w:t>. 1</w:t>
      </w:r>
      <w:r w:rsidR="007C33D4">
        <w:t xml:space="preserve"> at</w:t>
      </w:r>
      <w:r>
        <w:t xml:space="preserve"> 23.</w:t>
      </w:r>
      <w:proofErr w:type="gramEnd"/>
      <w:r>
        <w:t xml:space="preserve">  NERA has successfully administered the DSP I Program procurements to date, and based on this track record, the Company proposes to continue to retain NERA to administer the DSP II Program.  </w:t>
      </w:r>
    </w:p>
    <w:p w:rsidR="009D0DE4" w:rsidRDefault="009D0DE4" w:rsidP="00441692">
      <w:pPr>
        <w:pStyle w:val="BodyText2"/>
        <w:spacing w:after="0" w:line="360" w:lineRule="auto"/>
        <w:jc w:val="left"/>
      </w:pPr>
    </w:p>
    <w:p w:rsidR="00580B8E" w:rsidRDefault="009D0DE4" w:rsidP="00441692">
      <w:pPr>
        <w:pStyle w:val="BodyText2"/>
        <w:spacing w:after="0" w:line="360" w:lineRule="auto"/>
        <w:jc w:val="left"/>
      </w:pPr>
      <w:r>
        <w:tab/>
      </w:r>
      <w:r>
        <w:tab/>
        <w:t xml:space="preserve">No </w:t>
      </w:r>
      <w:r w:rsidR="00580B8E">
        <w:t>party has objected to the use of NERA as the third-party manager</w:t>
      </w:r>
      <w:r>
        <w:t>, and this proposal is recommended for approval</w:t>
      </w:r>
      <w:r w:rsidR="00580B8E">
        <w:t>.</w:t>
      </w:r>
    </w:p>
    <w:p w:rsidR="00441692" w:rsidRDefault="00441692" w:rsidP="00441692">
      <w:pPr>
        <w:pStyle w:val="BodyText2"/>
        <w:spacing w:after="0" w:line="360" w:lineRule="auto"/>
        <w:jc w:val="left"/>
      </w:pPr>
    </w:p>
    <w:p w:rsidR="00580B8E" w:rsidRDefault="00580B8E" w:rsidP="00011E36">
      <w:pPr>
        <w:pStyle w:val="Heading4"/>
        <w:tabs>
          <w:tab w:val="clear" w:pos="3060"/>
        </w:tabs>
        <w:spacing w:after="0"/>
        <w:ind w:left="2160"/>
      </w:pPr>
      <w:bookmarkStart w:id="85" w:name="_Toc337196681"/>
      <w:r>
        <w:t>RTO Compliance and Consistency</w:t>
      </w:r>
      <w:bookmarkEnd w:id="85"/>
      <w:r w:rsidR="00FF18D0">
        <w:fldChar w:fldCharType="begin"/>
      </w:r>
      <w:r w:rsidR="00FF18D0">
        <w:instrText xml:space="preserve"> TC "</w:instrText>
      </w:r>
      <w:bookmarkStart w:id="86" w:name="_Toc340670028"/>
      <w:r w:rsidR="00FF18D0" w:rsidRPr="009B7B20">
        <w:instrText>RTO Compliance and Consistency</w:instrText>
      </w:r>
      <w:bookmarkEnd w:id="86"/>
      <w:r w:rsidR="00FF18D0">
        <w:instrText xml:space="preserve">" \f C \l "4" </w:instrText>
      </w:r>
      <w:r w:rsidR="00FF18D0">
        <w:fldChar w:fldCharType="end"/>
      </w:r>
    </w:p>
    <w:p w:rsidR="00441692" w:rsidRPr="00441692" w:rsidRDefault="00441692" w:rsidP="00441692">
      <w:pPr>
        <w:pStyle w:val="BodyText2"/>
        <w:spacing w:after="0" w:line="360" w:lineRule="auto"/>
      </w:pPr>
    </w:p>
    <w:p w:rsidR="00580B8E" w:rsidRDefault="00580B8E" w:rsidP="00441692">
      <w:pPr>
        <w:pStyle w:val="ListNumber"/>
        <w:numPr>
          <w:ilvl w:val="0"/>
          <w:numId w:val="0"/>
        </w:numPr>
        <w:spacing w:line="240" w:lineRule="auto"/>
        <w:ind w:left="1440" w:right="1440"/>
        <w:contextualSpacing/>
        <w:jc w:val="left"/>
      </w:pPr>
      <w:r>
        <w:t>52 Pa. Code § 54.185(d)(4) requires Default Service plans to include documentation that the program is consistent with the requirements regarding the generation, sale and transmission of electricity of the RTO in the control area where the Default Service provider is providing service.  PPL Electric’s DSP II Program fully meets this requirement.  In addition to proposing a plan that is in alignment with PJM’s planning period, the SMA and the RFP Rules require that both PPL Electric and any bidder in the procurement process must be in compliance with PJM requirements. (PPL Electric Ex. 1, Appendix A, p. 33; PPL Electric Ex. 1, Appendix B, p. 44).  For example, the SMA recognizes PJM authority and assures that each party is in compliance with PJM’s tariff, operating agreement, reliability agreement and business practices.  Additionally, Article 4 of the RFP Rules document requires that an applicant must certify that it is a member of PJM and qualified as a market buyer and market seller in good standing that is able to secure generation or otherwise obtain and deliver electricity in PJM through compliance with all applicable requirements of PJM to fulfill a full requirements obligation.  (PPL Electric Ex. 1, Appendix B, p. 21).  Moreover, an applicant must certify that it has been authorized by Federal Energy Regulatory Commission (“FERC”) to make sales of energy, capacity and ancillary services at market-based rates.  (PPL Electric Ex. 1, appendix B, p. 44).  No party has challenged the DSP II Program’s RTO compliance.  Therefore, the Company submits that the DSP II Program satisfies the requirements of 52 Pa. Code § 54.185(d</w:t>
      </w:r>
      <w:proofErr w:type="gramStart"/>
      <w:r>
        <w:t>)(</w:t>
      </w:r>
      <w:proofErr w:type="gramEnd"/>
      <w:r>
        <w:t>4).</w:t>
      </w:r>
    </w:p>
    <w:p w:rsidR="00CD6ABB" w:rsidRDefault="00CD6ABB" w:rsidP="00441692">
      <w:pPr>
        <w:pStyle w:val="Heading4"/>
        <w:numPr>
          <w:ilvl w:val="0"/>
          <w:numId w:val="0"/>
        </w:numPr>
        <w:spacing w:after="0" w:line="240" w:lineRule="auto"/>
      </w:pPr>
      <w:bookmarkStart w:id="87" w:name="_Toc337196682"/>
      <w:r w:rsidRPr="00CD6ABB">
        <w:rPr>
          <w:b w:val="0"/>
        </w:rPr>
        <w:t>PPL Electric MB at 101-102</w:t>
      </w:r>
      <w:r>
        <w:t>.</w:t>
      </w:r>
    </w:p>
    <w:p w:rsidR="00441692" w:rsidRPr="00441692" w:rsidRDefault="00441692" w:rsidP="00D67008">
      <w:pPr>
        <w:pStyle w:val="BodyText2"/>
        <w:spacing w:after="0" w:line="360" w:lineRule="auto"/>
      </w:pPr>
    </w:p>
    <w:p w:rsidR="00CD6ABB" w:rsidRDefault="00CD6ABB" w:rsidP="00D67008">
      <w:pPr>
        <w:pStyle w:val="BodyText2"/>
        <w:spacing w:after="0" w:line="360" w:lineRule="auto"/>
        <w:jc w:val="left"/>
      </w:pPr>
      <w:r>
        <w:tab/>
      </w:r>
      <w:r>
        <w:tab/>
        <w:t>This is recommended for approval.</w:t>
      </w:r>
    </w:p>
    <w:p w:rsidR="00441692" w:rsidRPr="00CD6ABB" w:rsidRDefault="00441692" w:rsidP="00D67008">
      <w:pPr>
        <w:pStyle w:val="BodyText2"/>
        <w:spacing w:after="0" w:line="360" w:lineRule="auto"/>
        <w:jc w:val="left"/>
      </w:pPr>
    </w:p>
    <w:p w:rsidR="00580B8E" w:rsidRDefault="00580B8E" w:rsidP="00D67008">
      <w:pPr>
        <w:pStyle w:val="Heading4"/>
        <w:tabs>
          <w:tab w:val="clear" w:pos="3060"/>
        </w:tabs>
        <w:spacing w:after="0"/>
        <w:ind w:left="2160"/>
      </w:pPr>
      <w:r>
        <w:t>Contingency Planning</w:t>
      </w:r>
      <w:bookmarkEnd w:id="87"/>
      <w:r w:rsidR="00FF18D0">
        <w:fldChar w:fldCharType="begin"/>
      </w:r>
      <w:r w:rsidR="00FF18D0">
        <w:instrText xml:space="preserve"> TC "</w:instrText>
      </w:r>
      <w:bookmarkStart w:id="88" w:name="_Toc340670029"/>
      <w:r w:rsidR="00FF18D0" w:rsidRPr="009B7B20">
        <w:instrText>Contingency Planning</w:instrText>
      </w:r>
      <w:bookmarkEnd w:id="88"/>
      <w:r w:rsidR="00FF18D0">
        <w:instrText xml:space="preserve">" \f C \l "4" </w:instrText>
      </w:r>
      <w:r w:rsidR="00FF18D0">
        <w:fldChar w:fldCharType="end"/>
      </w:r>
    </w:p>
    <w:p w:rsidR="00441692" w:rsidRPr="00441692" w:rsidRDefault="00441692" w:rsidP="00D67008">
      <w:pPr>
        <w:pStyle w:val="BodyText2"/>
        <w:spacing w:after="0" w:line="360" w:lineRule="auto"/>
      </w:pPr>
    </w:p>
    <w:p w:rsidR="00580B8E" w:rsidRDefault="00580B8E" w:rsidP="00441692">
      <w:pPr>
        <w:pStyle w:val="ListNumber"/>
        <w:numPr>
          <w:ilvl w:val="0"/>
          <w:numId w:val="0"/>
        </w:numPr>
        <w:spacing w:line="240" w:lineRule="auto"/>
        <w:ind w:left="1440" w:right="1440" w:firstLine="720"/>
        <w:contextualSpacing/>
        <w:jc w:val="left"/>
      </w:pPr>
      <w:r>
        <w:t>52 Pa. Code § 54.185(d)(5) requires that Default Service plans include contingency plans to ensure the reliable provision of Default Service if a wholesale generation supplier fails to meet its contractual obligations.  The DSP II Program meets these requirements.  If the Commission rejects all bids for a given product, in any solicitation, or if some tranches of a given product, in a particular solicitation do not receive bids, the Company will expeditiously seek guidance and approval from the Commission to address this short fall in procurement of Default Service supply.  (PPL Electric Ex. 1, p. 38).  However, to the extent that unfilled tranches remain at the commencement of delivery for a given product, the Company will obtain Default Service supply through the spot market administered by PJM.  (PPL Electric St. 1, p. 25).  Specifically, PPL Electric will supply the unserved load by purchasing energy and all other necessary services through the PJM-administered markets, including, but not limited to, the PJM energy, capacity, and ancillary services markets, any other service required by PJM to serve such unserved load, and any AEPS requirements.  (PPL Electric Ex. 1, p. 38).  PPL Electric proposes to recover all of the costs of such purchases from Default Service customers in the retail rates charged for the service for which the purchases are made.  (PPL Electric Ex. 1, p. 38).</w:t>
      </w:r>
    </w:p>
    <w:p w:rsidR="00441692" w:rsidRDefault="00441692" w:rsidP="00441692">
      <w:pPr>
        <w:pStyle w:val="ListNumber"/>
        <w:numPr>
          <w:ilvl w:val="0"/>
          <w:numId w:val="0"/>
        </w:numPr>
        <w:spacing w:line="240" w:lineRule="auto"/>
        <w:ind w:left="1440" w:right="1440" w:firstLine="720"/>
        <w:contextualSpacing/>
        <w:jc w:val="left"/>
      </w:pPr>
    </w:p>
    <w:p w:rsidR="00580B8E" w:rsidRDefault="00580B8E" w:rsidP="00441692">
      <w:pPr>
        <w:pStyle w:val="ListNumber"/>
        <w:numPr>
          <w:ilvl w:val="0"/>
          <w:numId w:val="0"/>
        </w:numPr>
        <w:spacing w:line="240" w:lineRule="auto"/>
        <w:ind w:left="1440" w:right="1440" w:firstLine="720"/>
        <w:contextualSpacing/>
        <w:jc w:val="left"/>
        <w:rPr>
          <w:i/>
        </w:rPr>
      </w:pPr>
      <w:r>
        <w:t xml:space="preserve">In the event a supplier defaults, PPL Electric will offer full requirements supply assignment to other winning bidders for the same product consistent with the step-up process described in the Default Service SMA.  (PPL Electric Ex. 1, Appendix A, pp. 24-25).  If this assignment is not successful, PPL Electric will offer full requirements supply assignment to all Default Service suppliers consistent with the Default Service SMA, even if a Default Service supplier does not serve tranches for that product.  These assignments will be offered at the original bid price in the event of </w:t>
      </w:r>
      <w:proofErr w:type="gramStart"/>
      <w:r>
        <w:t>default(s),</w:t>
      </w:r>
      <w:proofErr w:type="gramEnd"/>
      <w:r>
        <w:t xml:space="preserve"> or at the average price from the last successful bid for that product in the event of insufficient bids.  </w:t>
      </w:r>
      <w:r>
        <w:rPr>
          <w:i/>
        </w:rPr>
        <w:t>Id.</w:t>
      </w:r>
    </w:p>
    <w:p w:rsidR="00441692" w:rsidRDefault="00441692" w:rsidP="00441692">
      <w:pPr>
        <w:pStyle w:val="ListNumber"/>
        <w:numPr>
          <w:ilvl w:val="0"/>
          <w:numId w:val="0"/>
        </w:numPr>
        <w:spacing w:line="240" w:lineRule="auto"/>
        <w:ind w:left="1440" w:right="1440" w:firstLine="720"/>
        <w:contextualSpacing/>
        <w:jc w:val="left"/>
      </w:pPr>
    </w:p>
    <w:p w:rsidR="00CD6ABB" w:rsidRDefault="00580B8E" w:rsidP="00441692">
      <w:pPr>
        <w:pStyle w:val="ListNumber"/>
        <w:numPr>
          <w:ilvl w:val="0"/>
          <w:numId w:val="0"/>
        </w:numPr>
        <w:spacing w:line="240" w:lineRule="auto"/>
        <w:ind w:left="1440" w:right="1440" w:firstLine="720"/>
        <w:contextualSpacing/>
        <w:jc w:val="left"/>
      </w:pPr>
      <w:r>
        <w:t>No party has challenged the sufficiency of the DSP II Program’s contingency planning.  PPL Electric submits that its contingency plans be approved.</w:t>
      </w:r>
    </w:p>
    <w:p w:rsidR="00CD6ABB" w:rsidRDefault="00CD6ABB" w:rsidP="001F1974">
      <w:pPr>
        <w:pStyle w:val="ListNumber"/>
        <w:numPr>
          <w:ilvl w:val="0"/>
          <w:numId w:val="0"/>
        </w:numPr>
        <w:spacing w:line="240" w:lineRule="auto"/>
        <w:ind w:right="1440"/>
        <w:contextualSpacing/>
        <w:jc w:val="both"/>
      </w:pPr>
      <w:r>
        <w:t xml:space="preserve">PPL Electric MB at 103.  </w:t>
      </w:r>
    </w:p>
    <w:p w:rsidR="00CD6ABB" w:rsidRDefault="00CD6ABB" w:rsidP="00441692">
      <w:pPr>
        <w:pStyle w:val="ListNumber"/>
        <w:numPr>
          <w:ilvl w:val="0"/>
          <w:numId w:val="0"/>
        </w:numPr>
        <w:spacing w:line="360" w:lineRule="auto"/>
        <w:jc w:val="both"/>
      </w:pPr>
    </w:p>
    <w:p w:rsidR="00CD6ABB" w:rsidRDefault="00CD6ABB" w:rsidP="00441692">
      <w:pPr>
        <w:pStyle w:val="ListNumber"/>
        <w:numPr>
          <w:ilvl w:val="0"/>
          <w:numId w:val="0"/>
        </w:numPr>
        <w:spacing w:line="360" w:lineRule="auto"/>
        <w:jc w:val="both"/>
      </w:pPr>
      <w:r>
        <w:tab/>
      </w:r>
      <w:r>
        <w:tab/>
        <w:t>Th</w:t>
      </w:r>
      <w:r w:rsidR="00DF24D8">
        <w:t xml:space="preserve">e proposed contingency plan </w:t>
      </w:r>
      <w:r>
        <w:t>is recommended for approval.</w:t>
      </w:r>
    </w:p>
    <w:p w:rsidR="00CD6ABB" w:rsidRDefault="00CD6ABB" w:rsidP="00441692">
      <w:pPr>
        <w:pStyle w:val="ListNumber"/>
        <w:numPr>
          <w:ilvl w:val="0"/>
          <w:numId w:val="0"/>
        </w:numPr>
        <w:spacing w:line="360" w:lineRule="auto"/>
        <w:ind w:firstLine="720"/>
        <w:jc w:val="both"/>
      </w:pPr>
    </w:p>
    <w:p w:rsidR="00580B8E" w:rsidRDefault="00580B8E" w:rsidP="00011E36">
      <w:pPr>
        <w:pStyle w:val="Heading4"/>
        <w:tabs>
          <w:tab w:val="clear" w:pos="3060"/>
        </w:tabs>
        <w:spacing w:after="0" w:line="240" w:lineRule="auto"/>
        <w:ind w:left="2880"/>
        <w:jc w:val="left"/>
      </w:pPr>
      <w:bookmarkStart w:id="89" w:name="_Toc337196683"/>
      <w:r>
        <w:t>Additional Information to Wholesale Suppliers Regarding Shopping and Procurements</w:t>
      </w:r>
      <w:bookmarkEnd w:id="89"/>
      <w:r w:rsidR="00FF18D0">
        <w:fldChar w:fldCharType="begin"/>
      </w:r>
      <w:r w:rsidR="00FF18D0">
        <w:instrText xml:space="preserve"> TC "</w:instrText>
      </w:r>
      <w:bookmarkStart w:id="90" w:name="_Toc340670030"/>
      <w:r w:rsidR="00FF18D0" w:rsidRPr="009B7B20">
        <w:instrText>Additional Information to Wholesale Suppliers Regarding Shopping and Procurements</w:instrText>
      </w:r>
      <w:bookmarkEnd w:id="90"/>
      <w:r w:rsidR="00FF18D0">
        <w:instrText xml:space="preserve">" \f C \l "4" </w:instrText>
      </w:r>
      <w:r w:rsidR="00FF18D0">
        <w:fldChar w:fldCharType="end"/>
      </w:r>
    </w:p>
    <w:p w:rsidR="00441692" w:rsidRPr="00441692" w:rsidRDefault="00441692" w:rsidP="00441692">
      <w:pPr>
        <w:pStyle w:val="BodyText2"/>
        <w:spacing w:after="0"/>
      </w:pPr>
    </w:p>
    <w:p w:rsidR="00580B8E" w:rsidRDefault="00767179" w:rsidP="001F1974">
      <w:pPr>
        <w:pStyle w:val="BodyText2"/>
        <w:spacing w:after="0" w:line="360" w:lineRule="auto"/>
        <w:contextualSpacing/>
        <w:jc w:val="left"/>
      </w:pPr>
      <w:r>
        <w:tab/>
      </w:r>
      <w:r>
        <w:tab/>
      </w:r>
      <w:r w:rsidR="00580B8E">
        <w:t>Constellation requests that the Company provide additional information to wholesale suppliers regardi</w:t>
      </w:r>
      <w:r w:rsidR="007C33D4">
        <w:t xml:space="preserve">ng shopping and procurements.  </w:t>
      </w:r>
      <w:r w:rsidR="00580B8E">
        <w:t>Constellation St</w:t>
      </w:r>
      <w:r w:rsidR="007C33D4">
        <w:t>mt</w:t>
      </w:r>
      <w:r w:rsidR="00580B8E">
        <w:t>. 1</w:t>
      </w:r>
      <w:r w:rsidR="007C33D4">
        <w:t xml:space="preserve"> at</w:t>
      </w:r>
      <w:r w:rsidR="00580B8E">
        <w:t xml:space="preserve"> 38-39.  Specifically, Constellation requests that PPL Electric provide the following data: </w:t>
      </w:r>
    </w:p>
    <w:p w:rsidR="00441692" w:rsidRDefault="00441692" w:rsidP="001F1974">
      <w:pPr>
        <w:pStyle w:val="BodyText2"/>
        <w:spacing w:after="0" w:line="360" w:lineRule="auto"/>
        <w:contextualSpacing/>
        <w:jc w:val="left"/>
      </w:pPr>
    </w:p>
    <w:p w:rsidR="00580B8E" w:rsidRDefault="00580B8E" w:rsidP="00441692">
      <w:pPr>
        <w:pStyle w:val="ListBullet"/>
        <w:tabs>
          <w:tab w:val="clear" w:pos="360"/>
        </w:tabs>
        <w:spacing w:line="240" w:lineRule="auto"/>
        <w:ind w:left="2160" w:right="1440" w:hanging="720"/>
        <w:contextualSpacing w:val="0"/>
        <w:jc w:val="left"/>
      </w:pPr>
      <w:r>
        <w:t xml:space="preserve">Hourly shopping and non-shopping data by rate class; </w:t>
      </w:r>
    </w:p>
    <w:p w:rsidR="00441692" w:rsidRDefault="00441692" w:rsidP="00441692">
      <w:pPr>
        <w:pStyle w:val="ListBullet"/>
        <w:numPr>
          <w:ilvl w:val="0"/>
          <w:numId w:val="0"/>
        </w:numPr>
        <w:spacing w:line="240" w:lineRule="auto"/>
        <w:ind w:left="2160" w:right="1440" w:hanging="360"/>
        <w:contextualSpacing w:val="0"/>
        <w:jc w:val="left"/>
      </w:pPr>
    </w:p>
    <w:p w:rsidR="00580B8E" w:rsidRDefault="00580B8E" w:rsidP="00441692">
      <w:pPr>
        <w:pStyle w:val="ListBullet"/>
        <w:tabs>
          <w:tab w:val="clear" w:pos="360"/>
        </w:tabs>
        <w:spacing w:line="240" w:lineRule="auto"/>
        <w:ind w:left="2160" w:right="1440" w:hanging="720"/>
        <w:contextualSpacing w:val="0"/>
        <w:jc w:val="left"/>
      </w:pPr>
      <w:r>
        <w:t xml:space="preserve">Aggregate historical hourly data specifically for those customers that choose PPL Electric’s TOU offering; </w:t>
      </w:r>
    </w:p>
    <w:p w:rsidR="00441692" w:rsidRDefault="00441692" w:rsidP="00441692">
      <w:pPr>
        <w:pStyle w:val="ListBullet"/>
        <w:numPr>
          <w:ilvl w:val="0"/>
          <w:numId w:val="0"/>
        </w:numPr>
        <w:spacing w:line="240" w:lineRule="auto"/>
        <w:ind w:left="2160" w:right="1440" w:hanging="360"/>
        <w:contextualSpacing w:val="0"/>
        <w:jc w:val="left"/>
      </w:pPr>
    </w:p>
    <w:p w:rsidR="00580B8E" w:rsidRDefault="00580B8E" w:rsidP="00441692">
      <w:pPr>
        <w:pStyle w:val="ListBullet"/>
        <w:tabs>
          <w:tab w:val="clear" w:pos="360"/>
        </w:tabs>
        <w:spacing w:line="240" w:lineRule="auto"/>
        <w:ind w:left="2160" w:right="1440" w:hanging="720"/>
        <w:contextualSpacing w:val="0"/>
        <w:jc w:val="left"/>
      </w:pPr>
      <w:r>
        <w:t>Daily eligible and non-shopping data for peak load contribution (“PLCs”) and network service peak load (“NSPL”) by rate class;</w:t>
      </w:r>
    </w:p>
    <w:p w:rsidR="00441692" w:rsidRDefault="00441692" w:rsidP="00441692">
      <w:pPr>
        <w:pStyle w:val="ListBullet"/>
        <w:numPr>
          <w:ilvl w:val="0"/>
          <w:numId w:val="0"/>
        </w:numPr>
        <w:spacing w:line="240" w:lineRule="auto"/>
        <w:ind w:left="2160" w:right="1440" w:hanging="360"/>
        <w:contextualSpacing w:val="0"/>
        <w:jc w:val="left"/>
      </w:pPr>
    </w:p>
    <w:p w:rsidR="00580B8E" w:rsidRDefault="00580B8E" w:rsidP="00441692">
      <w:pPr>
        <w:pStyle w:val="ListBullet"/>
        <w:tabs>
          <w:tab w:val="clear" w:pos="360"/>
        </w:tabs>
        <w:spacing w:line="240" w:lineRule="auto"/>
        <w:ind w:left="2160" w:right="1440" w:hanging="720"/>
        <w:contextualSpacing w:val="0"/>
        <w:jc w:val="left"/>
      </w:pPr>
      <w:r>
        <w:t xml:space="preserve">Daily shopping and non-shopping customer counts by rate class; </w:t>
      </w:r>
    </w:p>
    <w:p w:rsidR="00441692" w:rsidRDefault="00441692" w:rsidP="00011E36">
      <w:pPr>
        <w:pStyle w:val="ListBullet"/>
        <w:numPr>
          <w:ilvl w:val="0"/>
          <w:numId w:val="0"/>
        </w:numPr>
        <w:spacing w:line="240" w:lineRule="auto"/>
        <w:ind w:right="1440"/>
        <w:contextualSpacing w:val="0"/>
        <w:jc w:val="left"/>
      </w:pPr>
    </w:p>
    <w:p w:rsidR="00580B8E" w:rsidRDefault="00580B8E" w:rsidP="00441692">
      <w:pPr>
        <w:pStyle w:val="ListBullet"/>
        <w:tabs>
          <w:tab w:val="clear" w:pos="360"/>
        </w:tabs>
        <w:spacing w:line="240" w:lineRule="auto"/>
        <w:ind w:left="2160" w:right="1440" w:hanging="720"/>
        <w:contextualSpacing w:val="0"/>
        <w:jc w:val="left"/>
      </w:pPr>
      <w:r>
        <w:t xml:space="preserve">Hourly data prior to 2011 for customers classes that were reclassified as part of the 500 kW peak demand reclassification of Small and Large C&amp;I customers; </w:t>
      </w:r>
    </w:p>
    <w:p w:rsidR="00580B8E" w:rsidRDefault="00580B8E" w:rsidP="00441692">
      <w:pPr>
        <w:pStyle w:val="ListBullet"/>
        <w:tabs>
          <w:tab w:val="clear" w:pos="360"/>
        </w:tabs>
        <w:spacing w:line="240" w:lineRule="auto"/>
        <w:ind w:left="2160" w:right="1440" w:hanging="720"/>
        <w:contextualSpacing w:val="0"/>
        <w:jc w:val="left"/>
      </w:pPr>
      <w:r>
        <w:t>PPL Electric should provide to RFP bidders and DS Suppliers all of the same data that it provides to EGSs bidding in its Retail Opt-In Auction.</w:t>
      </w:r>
    </w:p>
    <w:p w:rsidR="00CD6ABB" w:rsidRDefault="00CD6ABB" w:rsidP="001F1974">
      <w:pPr>
        <w:pStyle w:val="ListNumber"/>
        <w:numPr>
          <w:ilvl w:val="0"/>
          <w:numId w:val="0"/>
        </w:numPr>
        <w:ind w:firstLine="720"/>
        <w:jc w:val="both"/>
      </w:pPr>
    </w:p>
    <w:p w:rsidR="00580B8E" w:rsidRDefault="00CD6ABB" w:rsidP="00441692">
      <w:pPr>
        <w:pStyle w:val="ListNumber"/>
        <w:numPr>
          <w:ilvl w:val="0"/>
          <w:numId w:val="0"/>
        </w:numPr>
        <w:spacing w:line="360" w:lineRule="auto"/>
        <w:contextualSpacing/>
        <w:jc w:val="left"/>
      </w:pPr>
      <w:r>
        <w:tab/>
      </w:r>
      <w:r w:rsidR="00767179">
        <w:tab/>
      </w:r>
      <w:r>
        <w:t>The Company argues that it can only provide some of this data, specifically daily shopping and non-shopping customer counts by rate class, to be issued in conjunction with already provided rate category and load data thr</w:t>
      </w:r>
      <w:r w:rsidR="00580B8E">
        <w:t xml:space="preserve">ough PPL Electric’s Default Service Procurement website. PPL Electric can also supply aggregate historical hourly data specifically for those customers that choose PPL Electric’s TOU default service rate option.  </w:t>
      </w:r>
      <w:r>
        <w:t>A</w:t>
      </w:r>
      <w:r w:rsidR="00580B8E">
        <w:t xml:space="preserve">ny additional data and information provided to bidders in the Retail Opt-in Auction will be issued through the PPL Electric Default Service Procurement website, and as such, will be made universally </w:t>
      </w:r>
      <w:r w:rsidR="00580B8E">
        <w:lastRenderedPageBreak/>
        <w:t xml:space="preserve">available to all external parties, regardless of participation in the auction.  </w:t>
      </w:r>
      <w:r>
        <w:t>PPL Electric MB at 103-104.</w:t>
      </w:r>
      <w:r w:rsidR="00580B8E">
        <w:t xml:space="preserve"> </w:t>
      </w:r>
    </w:p>
    <w:p w:rsidR="00767179" w:rsidRDefault="00767179" w:rsidP="001F1974">
      <w:pPr>
        <w:pStyle w:val="ListNumber"/>
        <w:numPr>
          <w:ilvl w:val="0"/>
          <w:numId w:val="0"/>
        </w:numPr>
        <w:spacing w:line="360" w:lineRule="auto"/>
        <w:contextualSpacing/>
        <w:jc w:val="both"/>
      </w:pPr>
    </w:p>
    <w:p w:rsidR="00F13E10" w:rsidRDefault="00767179" w:rsidP="00441692">
      <w:pPr>
        <w:pStyle w:val="ListNumber"/>
        <w:numPr>
          <w:ilvl w:val="0"/>
          <w:numId w:val="0"/>
        </w:numPr>
        <w:spacing w:line="360" w:lineRule="auto"/>
        <w:contextualSpacing/>
        <w:jc w:val="left"/>
      </w:pPr>
      <w:r>
        <w:tab/>
      </w:r>
      <w:r>
        <w:tab/>
      </w:r>
      <w:r w:rsidR="00CD6ABB">
        <w:t>However, the Company states that it does not currently compile</w:t>
      </w:r>
      <w:r w:rsidR="00580B8E">
        <w:t xml:space="preserve"> hourly shopping and non-shopping data by rate class, and daily eligible and non-shopping data </w:t>
      </w:r>
      <w:r w:rsidR="00CD6ABB">
        <w:t xml:space="preserve">for PLC and NSPL by rate class.  </w:t>
      </w:r>
      <w:r w:rsidR="00580B8E">
        <w:t>PPL Electric St</w:t>
      </w:r>
      <w:r w:rsidR="00CD6ABB">
        <w:t>mt</w:t>
      </w:r>
      <w:r w:rsidR="00580B8E">
        <w:t>. 1-R</w:t>
      </w:r>
      <w:r w:rsidR="00CD6ABB">
        <w:t xml:space="preserve">at </w:t>
      </w:r>
      <w:r w:rsidR="00580B8E">
        <w:t>33</w:t>
      </w:r>
      <w:r w:rsidR="00CD6ABB">
        <w:t>; PPL Electric MB at 104</w:t>
      </w:r>
      <w:r w:rsidR="00580B8E">
        <w:t xml:space="preserve">.  The data request is in addition to aggregate data already provided to all wholesale suppliers. </w:t>
      </w:r>
    </w:p>
    <w:p w:rsidR="00F13E10" w:rsidRDefault="00F13E10" w:rsidP="001F1974">
      <w:pPr>
        <w:pStyle w:val="ListNumber"/>
        <w:numPr>
          <w:ilvl w:val="0"/>
          <w:numId w:val="0"/>
        </w:numPr>
        <w:spacing w:line="360" w:lineRule="auto"/>
        <w:contextualSpacing/>
        <w:jc w:val="both"/>
      </w:pPr>
    </w:p>
    <w:p w:rsidR="00580B8E" w:rsidRDefault="00DF24D8" w:rsidP="00441692">
      <w:pPr>
        <w:pStyle w:val="ListNumber"/>
        <w:numPr>
          <w:ilvl w:val="0"/>
          <w:numId w:val="0"/>
        </w:numPr>
        <w:spacing w:line="360" w:lineRule="auto"/>
        <w:ind w:firstLine="720"/>
        <w:contextualSpacing/>
        <w:jc w:val="left"/>
      </w:pPr>
      <w:r>
        <w:tab/>
      </w:r>
      <w:r w:rsidR="00580B8E">
        <w:t>PPL Electric has committed to provide some of the additional data requested by Constellation in this proceeding</w:t>
      </w:r>
      <w:r w:rsidR="00F13E10">
        <w:t>, and the Joint Suppliers are satisfied with this</w:t>
      </w:r>
      <w:r w:rsidR="00580B8E">
        <w:t xml:space="preserve">.  </w:t>
      </w:r>
      <w:r w:rsidR="00F13E10">
        <w:t>Jt. Suppliers MB at 19.  Therefore, the Company should be directed to make the agreed-upon data available.</w:t>
      </w:r>
    </w:p>
    <w:p w:rsidR="00DD5958" w:rsidRPr="008E6652" w:rsidRDefault="00DD5958" w:rsidP="001F1974">
      <w:pPr>
        <w:contextualSpacing/>
        <w:jc w:val="left"/>
        <w:rPr>
          <w:b/>
        </w:rPr>
      </w:pPr>
    </w:p>
    <w:p w:rsidR="00672F6C" w:rsidRPr="00A356EC" w:rsidRDefault="00011E36" w:rsidP="001F1974">
      <w:pPr>
        <w:jc w:val="left"/>
        <w:rPr>
          <w:b/>
        </w:rPr>
      </w:pPr>
      <w:r>
        <w:rPr>
          <w:b/>
        </w:rPr>
        <w:t>C.</w:t>
      </w:r>
      <w:r>
        <w:rPr>
          <w:b/>
        </w:rPr>
        <w:tab/>
      </w:r>
      <w:r w:rsidR="00672F6C" w:rsidRPr="00A356EC">
        <w:rPr>
          <w:b/>
        </w:rPr>
        <w:t>Retail Market Enhancements</w:t>
      </w:r>
      <w:r w:rsidR="00FF18D0">
        <w:rPr>
          <w:b/>
        </w:rPr>
        <w:fldChar w:fldCharType="begin"/>
      </w:r>
      <w:r w:rsidR="00FF18D0">
        <w:instrText xml:space="preserve"> TC "</w:instrText>
      </w:r>
      <w:bookmarkStart w:id="91" w:name="_Toc340670031"/>
      <w:r w:rsidR="00FF18D0" w:rsidRPr="009B7B20">
        <w:rPr>
          <w:b/>
        </w:rPr>
        <w:instrText>C.</w:instrText>
      </w:r>
      <w:r w:rsidR="00FF18D0" w:rsidRPr="009B7B20">
        <w:rPr>
          <w:b/>
        </w:rPr>
        <w:tab/>
        <w:instrText>Retail Market Enhancements</w:instrText>
      </w:r>
      <w:bookmarkEnd w:id="91"/>
      <w:r w:rsidR="00FF18D0">
        <w:instrText xml:space="preserve">" \f C \l "2" </w:instrText>
      </w:r>
      <w:r w:rsidR="00FF18D0">
        <w:rPr>
          <w:b/>
        </w:rPr>
        <w:fldChar w:fldCharType="end"/>
      </w:r>
    </w:p>
    <w:p w:rsidR="00672F6C" w:rsidRDefault="00672F6C" w:rsidP="001F1974">
      <w:pPr>
        <w:jc w:val="left"/>
      </w:pPr>
    </w:p>
    <w:p w:rsidR="00305F5C" w:rsidRDefault="00305F5C" w:rsidP="001F1974">
      <w:pPr>
        <w:jc w:val="left"/>
      </w:pPr>
      <w:r>
        <w:tab/>
      </w:r>
      <w:r>
        <w:tab/>
        <w:t xml:space="preserve">The Commission's </w:t>
      </w:r>
      <w:r w:rsidRPr="00DF24D8">
        <w:rPr>
          <w:i/>
        </w:rPr>
        <w:t>IWP Order</w:t>
      </w:r>
      <w:r>
        <w:t xml:space="preserve"> directs PPL Electric to address the following:</w:t>
      </w:r>
    </w:p>
    <w:p w:rsidR="00305F5C" w:rsidRDefault="00305F5C" w:rsidP="001F1974">
      <w:pPr>
        <w:jc w:val="left"/>
      </w:pPr>
    </w:p>
    <w:p w:rsidR="00305F5C" w:rsidRDefault="00305F5C" w:rsidP="00441692">
      <w:pPr>
        <w:spacing w:line="240" w:lineRule="auto"/>
        <w:ind w:left="2160" w:right="1440" w:hanging="720"/>
        <w:jc w:val="left"/>
      </w:pPr>
      <w:r>
        <w:t>1.</w:t>
      </w:r>
      <w:r>
        <w:tab/>
        <w:t>Three separate consumer education mailings in late 2012 and early 2013;</w:t>
      </w:r>
    </w:p>
    <w:p w:rsidR="00441692" w:rsidRDefault="00441692" w:rsidP="00441692">
      <w:pPr>
        <w:spacing w:line="240" w:lineRule="auto"/>
        <w:ind w:left="2160" w:right="1440" w:hanging="720"/>
        <w:jc w:val="left"/>
      </w:pPr>
    </w:p>
    <w:p w:rsidR="00305F5C" w:rsidRDefault="00305F5C" w:rsidP="00441692">
      <w:pPr>
        <w:spacing w:line="240" w:lineRule="auto"/>
        <w:ind w:left="2160" w:right="1440" w:hanging="720"/>
        <w:jc w:val="left"/>
      </w:pPr>
      <w:r>
        <w:t>2.</w:t>
      </w:r>
      <w:r>
        <w:tab/>
        <w:t>A new/Moving Customer program to encourage shopping, to be implemented in late 2012 under the auspices of the Commission's Office of Competitive markets Oversight (OCMO);</w:t>
      </w:r>
    </w:p>
    <w:p w:rsidR="00441692" w:rsidRDefault="00441692" w:rsidP="00441692">
      <w:pPr>
        <w:spacing w:line="240" w:lineRule="auto"/>
        <w:ind w:left="2160" w:right="1440" w:hanging="720"/>
        <w:jc w:val="left"/>
      </w:pPr>
    </w:p>
    <w:p w:rsidR="00305F5C" w:rsidRDefault="00305F5C" w:rsidP="00441692">
      <w:pPr>
        <w:spacing w:line="240" w:lineRule="auto"/>
        <w:ind w:left="2160" w:right="1440" w:hanging="720"/>
        <w:jc w:val="left"/>
      </w:pPr>
      <w:r>
        <w:t>3.</w:t>
      </w:r>
      <w:r>
        <w:tab/>
        <w:t xml:space="preserve">A Retail/Opt-in Auction Program; and </w:t>
      </w:r>
    </w:p>
    <w:p w:rsidR="00441692" w:rsidRDefault="00441692" w:rsidP="00441692">
      <w:pPr>
        <w:spacing w:line="240" w:lineRule="auto"/>
        <w:ind w:left="2160" w:right="1440" w:hanging="720"/>
        <w:jc w:val="left"/>
      </w:pPr>
    </w:p>
    <w:p w:rsidR="00305F5C" w:rsidRDefault="00305F5C" w:rsidP="00441692">
      <w:pPr>
        <w:spacing w:line="240" w:lineRule="auto"/>
        <w:ind w:left="2160" w:right="1440" w:hanging="720"/>
        <w:jc w:val="left"/>
      </w:pPr>
      <w:r>
        <w:t>4.</w:t>
      </w:r>
      <w:r>
        <w:tab/>
        <w:t>A Standard Offer Referral Program.</w:t>
      </w:r>
    </w:p>
    <w:p w:rsidR="00305F5C" w:rsidRDefault="00305F5C" w:rsidP="001F1974">
      <w:pPr>
        <w:jc w:val="left"/>
      </w:pPr>
    </w:p>
    <w:p w:rsidR="00934947" w:rsidRDefault="00934947" w:rsidP="001F1974">
      <w:pPr>
        <w:jc w:val="left"/>
      </w:pPr>
      <w:r>
        <w:tab/>
      </w:r>
      <w:r>
        <w:tab/>
        <w:t xml:space="preserve">The timing is designed to prevent confusion among customers.  OCA supports the overall proposed timing of these initiatives. The Company's explanation of the proposed timing, which will minimize any confusion between the programs, is a reasonable approach, especially with the knowledge that the Company needs to upgrade its customer information and billing system.  OCA MB at 57-58.  </w:t>
      </w:r>
    </w:p>
    <w:p w:rsidR="00934947" w:rsidRDefault="00934947" w:rsidP="001F1974">
      <w:pPr>
        <w:jc w:val="left"/>
      </w:pPr>
    </w:p>
    <w:p w:rsidR="00011E36" w:rsidRDefault="00011E36" w:rsidP="001F1974">
      <w:pPr>
        <w:spacing w:line="240" w:lineRule="auto"/>
        <w:contextualSpacing/>
        <w:jc w:val="left"/>
      </w:pPr>
      <w:r>
        <w:br w:type="page"/>
      </w:r>
    </w:p>
    <w:p w:rsidR="00934947" w:rsidRDefault="00934947" w:rsidP="001F1974">
      <w:pPr>
        <w:spacing w:line="240" w:lineRule="auto"/>
        <w:contextualSpacing/>
        <w:jc w:val="left"/>
      </w:pPr>
      <w:r>
        <w:lastRenderedPageBreak/>
        <w:tab/>
      </w:r>
      <w:r>
        <w:tab/>
        <w:t>Timing is important, as OCA witness Alexander states:</w:t>
      </w:r>
    </w:p>
    <w:p w:rsidR="00011E36" w:rsidRDefault="00011E36" w:rsidP="00011E36">
      <w:pPr>
        <w:contextualSpacing/>
        <w:jc w:val="left"/>
      </w:pPr>
    </w:p>
    <w:p w:rsidR="00934947" w:rsidRDefault="00934947" w:rsidP="001F1974">
      <w:pPr>
        <w:spacing w:line="240" w:lineRule="auto"/>
        <w:ind w:left="1440" w:right="1440"/>
        <w:contextualSpacing/>
        <w:jc w:val="left"/>
      </w:pPr>
      <w:r>
        <w:t>[T]he Referral Program [should] be implemented after the Opt-In Auction to avoid customer confusion about the differences in the price discounts, length of contract, the overlapping customer education campaigns, and the nature of the customer commitment associated with both programs.</w:t>
      </w:r>
    </w:p>
    <w:p w:rsidR="00934947" w:rsidRPr="00D7377B" w:rsidRDefault="00934947" w:rsidP="001F1974">
      <w:pPr>
        <w:jc w:val="left"/>
      </w:pPr>
      <w:proofErr w:type="gramStart"/>
      <w:r>
        <w:t>OCA Stmt. 2-R at 11-12; OCA MB at 59.</w:t>
      </w:r>
      <w:proofErr w:type="gramEnd"/>
      <w:r>
        <w:t xml:space="preserve"> </w:t>
      </w:r>
    </w:p>
    <w:p w:rsidR="00934947" w:rsidRDefault="00934947" w:rsidP="001F1974">
      <w:pPr>
        <w:jc w:val="left"/>
      </w:pPr>
    </w:p>
    <w:p w:rsidR="0088641D" w:rsidRDefault="0088641D" w:rsidP="001F1974">
      <w:pPr>
        <w:jc w:val="left"/>
      </w:pPr>
      <w:r>
        <w:tab/>
      </w:r>
      <w:r>
        <w:tab/>
        <w:t>OCA notes that the positions it espouses are limited to the effects on residential customers and that it takes no position on commercial customers.  It supports the programs in general as a means of providing opportunities for ratepayers to engage in the competitive retail market for electricity but recommends several modifications.</w:t>
      </w:r>
    </w:p>
    <w:p w:rsidR="00E16119" w:rsidRDefault="00E16119" w:rsidP="001F1974">
      <w:pPr>
        <w:jc w:val="left"/>
      </w:pPr>
    </w:p>
    <w:p w:rsidR="00E16119" w:rsidRDefault="00E16119" w:rsidP="00011E36">
      <w:pPr>
        <w:ind w:left="720" w:firstLine="720"/>
        <w:jc w:val="left"/>
      </w:pPr>
      <w:r>
        <w:t>OCA recommends the following modifications to the Retail Opt-In Auction:</w:t>
      </w:r>
    </w:p>
    <w:p w:rsidR="00441692" w:rsidRDefault="00441692" w:rsidP="001F1974">
      <w:pPr>
        <w:jc w:val="left"/>
      </w:pPr>
    </w:p>
    <w:p w:rsidR="00E16119" w:rsidRDefault="00E16119" w:rsidP="001F1974">
      <w:pPr>
        <w:spacing w:line="240" w:lineRule="auto"/>
        <w:ind w:left="1440" w:right="1440"/>
        <w:contextualSpacing/>
        <w:jc w:val="left"/>
      </w:pPr>
      <w:r>
        <w:t>No more than 20% of the total, default residential customers should be allowed to enroll in the program;</w:t>
      </w:r>
    </w:p>
    <w:p w:rsidR="00E16119" w:rsidRDefault="00E16119" w:rsidP="001F1974">
      <w:pPr>
        <w:spacing w:line="240" w:lineRule="auto"/>
        <w:ind w:left="1440" w:right="1440"/>
        <w:contextualSpacing/>
        <w:jc w:val="left"/>
      </w:pPr>
    </w:p>
    <w:p w:rsidR="00E16119" w:rsidRDefault="00E16119" w:rsidP="001F1974">
      <w:pPr>
        <w:spacing w:line="240" w:lineRule="auto"/>
        <w:ind w:left="1440" w:right="1440"/>
        <w:contextualSpacing/>
        <w:jc w:val="left"/>
      </w:pPr>
      <w:r>
        <w:t>PPL's proposal for a 6-month contract terms may be adopted if PPL's proposal for biannual changes in its Price to Compare (PTC) is also adopted and assuming that more robust savings for participating customers can be realized; if not, then a 12-month term should be adopted;</w:t>
      </w:r>
    </w:p>
    <w:p w:rsidR="00E16119" w:rsidRDefault="00E16119" w:rsidP="001F1974">
      <w:pPr>
        <w:spacing w:line="240" w:lineRule="auto"/>
        <w:ind w:left="1440" w:right="1440"/>
        <w:contextualSpacing/>
        <w:jc w:val="left"/>
      </w:pPr>
    </w:p>
    <w:p w:rsidR="00E16119" w:rsidRDefault="00E16119" w:rsidP="001F1974">
      <w:pPr>
        <w:spacing w:line="240" w:lineRule="auto"/>
        <w:ind w:left="1440" w:right="1440"/>
        <w:contextualSpacing/>
        <w:jc w:val="left"/>
      </w:pPr>
      <w:r>
        <w:t>Customers should be offered a price that is guaranteed to be lower than the PTC for the entire contract term;</w:t>
      </w:r>
    </w:p>
    <w:p w:rsidR="00E16119" w:rsidRDefault="00E16119" w:rsidP="001F1974">
      <w:pPr>
        <w:spacing w:line="240" w:lineRule="auto"/>
        <w:ind w:left="1440" w:right="1440"/>
        <w:contextualSpacing/>
        <w:jc w:val="left"/>
      </w:pPr>
    </w:p>
    <w:p w:rsidR="00E16119" w:rsidRDefault="00E16119" w:rsidP="001F1974">
      <w:pPr>
        <w:spacing w:line="240" w:lineRule="auto"/>
        <w:ind w:left="1440" w:right="1440"/>
        <w:contextualSpacing/>
        <w:jc w:val="left"/>
      </w:pPr>
      <w:r>
        <w:t>Contrary to proposals by RESA, all terms and conditions, including price, should be provided to customers prior to their opting into the program;</w:t>
      </w:r>
    </w:p>
    <w:p w:rsidR="00E16119" w:rsidRDefault="00E16119" w:rsidP="001F1974">
      <w:pPr>
        <w:spacing w:line="240" w:lineRule="auto"/>
        <w:ind w:left="1440" w:right="1440"/>
        <w:contextualSpacing/>
        <w:jc w:val="left"/>
      </w:pPr>
    </w:p>
    <w:p w:rsidR="00E16119" w:rsidRDefault="00E16119" w:rsidP="001F1974">
      <w:pPr>
        <w:spacing w:line="240" w:lineRule="auto"/>
        <w:ind w:left="1440" w:right="1440"/>
        <w:contextualSpacing/>
        <w:jc w:val="left"/>
      </w:pPr>
      <w:r>
        <w:t xml:space="preserve">Enrolled customers who do not affirmatively select an option for continued service at the end of the program, should remain with their EGS on a fixed price month-to-month contract;  </w:t>
      </w:r>
    </w:p>
    <w:p w:rsidR="00E16119" w:rsidRDefault="00E16119" w:rsidP="001F1974">
      <w:pPr>
        <w:spacing w:line="240" w:lineRule="auto"/>
        <w:ind w:left="1440" w:right="1440"/>
        <w:contextualSpacing/>
        <w:jc w:val="left"/>
      </w:pPr>
    </w:p>
    <w:p w:rsidR="00E16119" w:rsidRDefault="00E16119" w:rsidP="001F1974">
      <w:pPr>
        <w:spacing w:line="240" w:lineRule="auto"/>
        <w:ind w:left="1440" w:right="1440"/>
        <w:contextualSpacing/>
        <w:jc w:val="left"/>
      </w:pPr>
      <w:r>
        <w:t>EGSs that agree to participate in the auction should pay for all of the costs of implementing the Opt-In Program.</w:t>
      </w:r>
    </w:p>
    <w:p w:rsidR="00E16119" w:rsidRDefault="00E16119" w:rsidP="001F1974">
      <w:pPr>
        <w:spacing w:line="240" w:lineRule="auto"/>
        <w:ind w:right="1440"/>
        <w:contextualSpacing/>
        <w:jc w:val="left"/>
      </w:pPr>
      <w:proofErr w:type="gramStart"/>
      <w:r>
        <w:t>OCA MB at 34</w:t>
      </w:r>
      <w:r w:rsidR="00C3691B">
        <w:t>.</w:t>
      </w:r>
      <w:proofErr w:type="gramEnd"/>
    </w:p>
    <w:p w:rsidR="00E16119" w:rsidRDefault="00E16119" w:rsidP="00441692">
      <w:pPr>
        <w:contextualSpacing/>
        <w:jc w:val="left"/>
      </w:pPr>
    </w:p>
    <w:p w:rsidR="00E16119" w:rsidRDefault="00E16119" w:rsidP="00011E36">
      <w:pPr>
        <w:jc w:val="left"/>
      </w:pPr>
      <w:r>
        <w:lastRenderedPageBreak/>
        <w:tab/>
      </w:r>
      <w:r>
        <w:tab/>
        <w:t xml:space="preserve">OCA recommends adopting the Company's proposal to include all customers in the auction.  While the program is targeted at non-shopping customers, shopping customers who inquire should be allowed to participate as well.  OCA does not believe that PPL Electric should have a duty to withhold information from customers who </w:t>
      </w:r>
      <w:proofErr w:type="gramStart"/>
      <w:r>
        <w:t>inquire,</w:t>
      </w:r>
      <w:proofErr w:type="gramEnd"/>
      <w:r>
        <w:t xml:space="preserve"> whether or not the inquiring customer is already shopping.  OCA MB at 38-39.</w:t>
      </w:r>
    </w:p>
    <w:p w:rsidR="00E16119" w:rsidRDefault="00E16119" w:rsidP="00011E36">
      <w:pPr>
        <w:jc w:val="left"/>
      </w:pPr>
    </w:p>
    <w:p w:rsidR="00934947" w:rsidRDefault="00934947" w:rsidP="00011E36">
      <w:pPr>
        <w:jc w:val="left"/>
      </w:pPr>
      <w:r>
        <w:tab/>
      </w:r>
      <w:r>
        <w:tab/>
        <w:t>RESA disagrees and recommends a quicker approach.  These are discussed below, in the context of the programs.</w:t>
      </w:r>
    </w:p>
    <w:p w:rsidR="00934947" w:rsidRDefault="00934947" w:rsidP="00011E36">
      <w:pPr>
        <w:jc w:val="left"/>
      </w:pPr>
    </w:p>
    <w:p w:rsidR="00305F5C" w:rsidRDefault="00305F5C" w:rsidP="00011E36">
      <w:pPr>
        <w:ind w:left="720"/>
        <w:jc w:val="left"/>
      </w:pPr>
      <w:r w:rsidRPr="00525062">
        <w:rPr>
          <w:b/>
        </w:rPr>
        <w:t>1.</w:t>
      </w:r>
      <w:r>
        <w:tab/>
      </w:r>
      <w:r w:rsidR="00525062">
        <w:rPr>
          <w:b/>
        </w:rPr>
        <w:t>S</w:t>
      </w:r>
      <w:r w:rsidRPr="00525062">
        <w:rPr>
          <w:b/>
        </w:rPr>
        <w:t>eparate consumer education mailings</w:t>
      </w:r>
      <w:r w:rsidR="00FF18D0">
        <w:rPr>
          <w:b/>
        </w:rPr>
        <w:fldChar w:fldCharType="begin"/>
      </w:r>
      <w:r w:rsidR="00FF18D0">
        <w:instrText xml:space="preserve"> TC "</w:instrText>
      </w:r>
      <w:bookmarkStart w:id="92" w:name="_Toc340670032"/>
      <w:r w:rsidR="00FF18D0" w:rsidRPr="009B7B20">
        <w:rPr>
          <w:b/>
        </w:rPr>
        <w:instrText>1.</w:instrText>
      </w:r>
      <w:r w:rsidR="00FF18D0" w:rsidRPr="009B7B20">
        <w:tab/>
      </w:r>
      <w:r w:rsidR="00FF18D0" w:rsidRPr="009B7B20">
        <w:rPr>
          <w:b/>
        </w:rPr>
        <w:instrText>Separate consumer education mailings</w:instrText>
      </w:r>
      <w:bookmarkEnd w:id="92"/>
      <w:r w:rsidR="00FF18D0">
        <w:instrText xml:space="preserve">" \f C \l "3" </w:instrText>
      </w:r>
      <w:r w:rsidR="00FF18D0">
        <w:rPr>
          <w:b/>
        </w:rPr>
        <w:fldChar w:fldCharType="end"/>
      </w:r>
      <w:r w:rsidRPr="00525062">
        <w:rPr>
          <w:b/>
        </w:rPr>
        <w:t xml:space="preserve"> </w:t>
      </w:r>
    </w:p>
    <w:p w:rsidR="00305F5C" w:rsidRDefault="00305F5C" w:rsidP="00011E36">
      <w:pPr>
        <w:jc w:val="left"/>
      </w:pPr>
    </w:p>
    <w:p w:rsidR="00525062" w:rsidRDefault="00525062" w:rsidP="00011E36">
      <w:pPr>
        <w:jc w:val="left"/>
      </w:pPr>
      <w:r>
        <w:tab/>
      </w:r>
      <w:r>
        <w:tab/>
        <w:t xml:space="preserve">The Company proposes to undertake a customer referral mailing to all residential default service customers in mid-2013.  </w:t>
      </w:r>
      <w:proofErr w:type="gramStart"/>
      <w:r>
        <w:t>PPL Electric Stmt. 4 at 19; PPL Electric MB at 108.</w:t>
      </w:r>
      <w:proofErr w:type="gramEnd"/>
      <w:r>
        <w:t xml:space="preserve">  </w:t>
      </w:r>
      <w:r w:rsidR="005F2982">
        <w:t>The timing is contingent upon approval of the timing of the Opt-In Program and the Standard Offer Program.</w:t>
      </w:r>
      <w:r>
        <w:t xml:space="preserve"> </w:t>
      </w:r>
    </w:p>
    <w:p w:rsidR="005F2982" w:rsidRDefault="005F2982" w:rsidP="00011E36">
      <w:pPr>
        <w:jc w:val="left"/>
      </w:pPr>
    </w:p>
    <w:p w:rsidR="005F2982" w:rsidRDefault="005F2982" w:rsidP="001F1974">
      <w:pPr>
        <w:jc w:val="left"/>
      </w:pPr>
      <w:r>
        <w:tab/>
      </w:r>
      <w:r>
        <w:tab/>
      </w:r>
      <w:r w:rsidR="005C6E15">
        <w:t xml:space="preserve">Under the proposal, any EGS wishing to participate would submit a standard 5" x 8" sized offering to residential customers.  The Company would include a cover letter describing the contents of the mailing, and the total cost of that mailing would be divided evenly among participating EGSs.  The estimated minimum cost is $500,000.  </w:t>
      </w:r>
      <w:proofErr w:type="gramStart"/>
      <w:r w:rsidR="005C6E15">
        <w:t>PPL Electric Stmt.4 at 20; PPL Electric MB at 109.</w:t>
      </w:r>
      <w:proofErr w:type="gramEnd"/>
      <w:r w:rsidR="005C6E15">
        <w:t xml:space="preserve">  </w:t>
      </w:r>
    </w:p>
    <w:p w:rsidR="00293755" w:rsidRDefault="00293755" w:rsidP="001F1974">
      <w:pPr>
        <w:jc w:val="left"/>
      </w:pPr>
    </w:p>
    <w:p w:rsidR="00934947" w:rsidRDefault="00293755" w:rsidP="001F1974">
      <w:pPr>
        <w:jc w:val="left"/>
      </w:pPr>
      <w:r>
        <w:tab/>
      </w:r>
      <w:r>
        <w:tab/>
        <w:t xml:space="preserve">RESA recommends merging the Customer Referral Mailing with the last of the consumer education letters required by the RMI Order on Consumer Education Mailings entered June 21, 2012, and a mailing date of no later than March 1, 2013 regardless of the timing of the other programs.  This has the advantage of reducing the cost to the EGSs, who would only have to pay the cost of their inserts and any incremental postage.  RESA Stmt. 2 at 16-17; RESA MB at </w:t>
      </w:r>
      <w:r w:rsidR="00F32843">
        <w:t>58-59.</w:t>
      </w:r>
      <w:r>
        <w:t xml:space="preserve">  </w:t>
      </w:r>
      <w:r w:rsidR="00934947">
        <w:t>OCA does not object to this if the incremental costs are paid for by the participating EGSs.  OCA Stmt. 2-R at 7; OCA MB at 59-60.</w:t>
      </w:r>
      <w:r w:rsidR="00A3253A">
        <w:t xml:space="preserve">  PPL Electric does not object to this if its schedule for implementing the Opt-In Auction and Standard Referral Program is approved.  </w:t>
      </w:r>
      <w:proofErr w:type="gramStart"/>
      <w:r w:rsidR="00A3253A">
        <w:t>PPL Electric MB at 110.</w:t>
      </w:r>
      <w:proofErr w:type="gramEnd"/>
    </w:p>
    <w:p w:rsidR="00F32843" w:rsidRPr="00D7377B" w:rsidRDefault="00F32843" w:rsidP="001F1974">
      <w:pPr>
        <w:jc w:val="left"/>
      </w:pPr>
    </w:p>
    <w:p w:rsidR="00F32843" w:rsidRDefault="00F32843" w:rsidP="001F1974">
      <w:pPr>
        <w:jc w:val="left"/>
      </w:pPr>
      <w:r>
        <w:rPr>
          <w:b/>
        </w:rPr>
        <w:tab/>
      </w:r>
      <w:r>
        <w:rPr>
          <w:b/>
        </w:rPr>
        <w:tab/>
      </w:r>
      <w:r w:rsidR="00934947">
        <w:t>RESA also recommends that the Company perform a separate referral mailing for small commercial and industrial customers</w:t>
      </w:r>
      <w:r w:rsidR="00A3253A">
        <w:t xml:space="preserve"> (</w:t>
      </w:r>
      <w:r w:rsidR="007C33D4">
        <w:t>S</w:t>
      </w:r>
      <w:r w:rsidR="00A3253A">
        <w:t>mall C&amp;I)</w:t>
      </w:r>
      <w:r w:rsidR="00934947">
        <w:t xml:space="preserve">.  </w:t>
      </w:r>
      <w:proofErr w:type="gramStart"/>
      <w:r w:rsidR="00934947">
        <w:t>RESA MB at 59.</w:t>
      </w:r>
      <w:proofErr w:type="gramEnd"/>
      <w:r w:rsidR="00934947">
        <w:t xml:space="preserve"> </w:t>
      </w:r>
      <w:r w:rsidR="00A3253A">
        <w:t xml:space="preserve"> The Company does not object so long as the </w:t>
      </w:r>
      <w:r w:rsidR="007C33D4">
        <w:t>S</w:t>
      </w:r>
      <w:r w:rsidR="00A3253A">
        <w:t xml:space="preserve">mall C&amp;I mailing is separate from the residential mailing.  </w:t>
      </w:r>
    </w:p>
    <w:p w:rsidR="00A3253A" w:rsidRDefault="00A3253A" w:rsidP="001F1974">
      <w:pPr>
        <w:jc w:val="left"/>
      </w:pPr>
    </w:p>
    <w:p w:rsidR="00A3253A" w:rsidRDefault="00A3253A" w:rsidP="001F1974">
      <w:pPr>
        <w:jc w:val="left"/>
      </w:pPr>
      <w:r>
        <w:tab/>
      </w:r>
      <w:r>
        <w:tab/>
        <w:t xml:space="preserve">PPL Electric does not object to the cost-sharing concept provided that the merged mailing concept is also approved.  </w:t>
      </w:r>
      <w:proofErr w:type="gramStart"/>
      <w:r>
        <w:t>PPL Electric MB at 110.</w:t>
      </w:r>
      <w:proofErr w:type="gramEnd"/>
      <w:r>
        <w:t xml:space="preserve">  If the Customer Referral Mailing is a stand-alone mailing, the Company does not agree that the costs should be recovered as "consumer education," and it does not agree to share any portion of the costs.  </w:t>
      </w:r>
      <w:proofErr w:type="gramStart"/>
      <w:r>
        <w:t>PPL Electric MB at 111.</w:t>
      </w:r>
      <w:proofErr w:type="gramEnd"/>
      <w:r>
        <w:t xml:space="preserve">  </w:t>
      </w:r>
    </w:p>
    <w:p w:rsidR="00E809A6" w:rsidRDefault="00E809A6" w:rsidP="001F1974">
      <w:pPr>
        <w:jc w:val="left"/>
      </w:pPr>
    </w:p>
    <w:p w:rsidR="00E809A6" w:rsidRDefault="000F01E4" w:rsidP="001F1974">
      <w:pPr>
        <w:pStyle w:val="BodyText2"/>
        <w:spacing w:after="0" w:line="360" w:lineRule="auto"/>
        <w:contextualSpacing/>
        <w:jc w:val="left"/>
      </w:pPr>
      <w:r>
        <w:tab/>
      </w:r>
      <w:r>
        <w:tab/>
      </w:r>
      <w:r w:rsidR="00E809A6">
        <w:t xml:space="preserve">OCA proposes that PPL Electric provide further “education” to customers participating in the Opt-In Program by providing a third notice, in addition to the two notices required from EGSs, prior to the end of the Opt-In contract term.  </w:t>
      </w:r>
      <w:proofErr w:type="gramStart"/>
      <w:r w:rsidR="00E809A6">
        <w:t>OCA MB</w:t>
      </w:r>
      <w:r>
        <w:t xml:space="preserve"> at </w:t>
      </w:r>
      <w:r w:rsidR="00E809A6">
        <w:t>49.</w:t>
      </w:r>
      <w:proofErr w:type="gramEnd"/>
      <w:r w:rsidR="00E809A6">
        <w:t xml:space="preserve">  </w:t>
      </w:r>
      <w:r>
        <w:t>The Company emphasizes that</w:t>
      </w:r>
      <w:r w:rsidR="00E809A6">
        <w:t xml:space="preserve"> in no event should PPL Electric bear this cost.  </w:t>
      </w:r>
      <w:r>
        <w:t>"</w:t>
      </w:r>
      <w:r w:rsidR="00E809A6">
        <w:t xml:space="preserve">PPL Electric is concerned that the more “education,” “notices,” mailings, promotions and other requirements layered upon the market enhancement programs, the more expensive they become.  </w:t>
      </w:r>
      <w:proofErr w:type="gramStart"/>
      <w:r w:rsidR="00E809A6">
        <w:t>(PPL Electric St. 4-R, pp. 29-30).</w:t>
      </w:r>
      <w:proofErr w:type="gramEnd"/>
      <w:r w:rsidR="00E809A6">
        <w:t xml:space="preserve">  PPL Electric does not support additional program requirements not envisioned by the </w:t>
      </w:r>
      <w:r w:rsidR="00E809A6">
        <w:rPr>
          <w:i/>
        </w:rPr>
        <w:t>RMI-IWP Final Order.</w:t>
      </w:r>
      <w:r>
        <w:t xml:space="preserve">" </w:t>
      </w:r>
      <w:proofErr w:type="gramStart"/>
      <w:r w:rsidR="00E809A6">
        <w:t>PPL Electric RB at 64</w:t>
      </w:r>
      <w:r>
        <w:t>.</w:t>
      </w:r>
      <w:proofErr w:type="gramEnd"/>
    </w:p>
    <w:p w:rsidR="00E809A6" w:rsidRDefault="00E809A6" w:rsidP="001F1974">
      <w:pPr>
        <w:jc w:val="left"/>
      </w:pPr>
    </w:p>
    <w:p w:rsidR="00305F5C" w:rsidRDefault="00441692" w:rsidP="00011E36">
      <w:pPr>
        <w:ind w:left="720"/>
        <w:jc w:val="left"/>
        <w:rPr>
          <w:b/>
        </w:rPr>
      </w:pPr>
      <w:r>
        <w:rPr>
          <w:b/>
        </w:rPr>
        <w:t>2.</w:t>
      </w:r>
      <w:r>
        <w:rPr>
          <w:b/>
        </w:rPr>
        <w:tab/>
        <w:t>New/Moving Customer program</w:t>
      </w:r>
      <w:r w:rsidR="00FF18D0">
        <w:rPr>
          <w:b/>
        </w:rPr>
        <w:fldChar w:fldCharType="begin"/>
      </w:r>
      <w:r w:rsidR="00FF18D0">
        <w:instrText xml:space="preserve"> TC "</w:instrText>
      </w:r>
      <w:bookmarkStart w:id="93" w:name="_Toc340670033"/>
      <w:r w:rsidR="00FF18D0" w:rsidRPr="009B7B20">
        <w:rPr>
          <w:b/>
        </w:rPr>
        <w:instrText>2.</w:instrText>
      </w:r>
      <w:r w:rsidR="00FF18D0" w:rsidRPr="009B7B20">
        <w:rPr>
          <w:b/>
        </w:rPr>
        <w:tab/>
        <w:instrText>New/Moving Customer program</w:instrText>
      </w:r>
      <w:bookmarkEnd w:id="93"/>
      <w:r w:rsidR="00FF18D0">
        <w:instrText xml:space="preserve">" \f C \l "3" </w:instrText>
      </w:r>
      <w:r w:rsidR="00FF18D0">
        <w:rPr>
          <w:b/>
        </w:rPr>
        <w:fldChar w:fldCharType="end"/>
      </w:r>
    </w:p>
    <w:p w:rsidR="00305F5C" w:rsidRDefault="00305F5C" w:rsidP="001F1974">
      <w:pPr>
        <w:jc w:val="left"/>
      </w:pPr>
    </w:p>
    <w:p w:rsidR="00BC6B8A" w:rsidRDefault="00305F5C" w:rsidP="001F1974">
      <w:pPr>
        <w:jc w:val="left"/>
      </w:pPr>
      <w:r>
        <w:tab/>
      </w:r>
      <w:r>
        <w:tab/>
      </w:r>
      <w:r w:rsidR="00782161">
        <w:t xml:space="preserve">This customer referral program is meant to present consumers with information about competitive alternatives every time they contact the EDC.  </w:t>
      </w:r>
      <w:r w:rsidR="00BC6B8A">
        <w:t xml:space="preserve">The program is to be restricted to those customers calling to initiate service or calling to move service within an EDC's service territory.  The Commission states that it does not intend to place the EDCs in the position of providing information about various EGS product offerings to customers through their call centers, but they should be able to provide general information about Pennsylvania's electric retail market and direct the customer to PAPowerswitch.com.  This should not have a significant impact on EDC call center activities and therefore, whatever incremental costs are associated with the program should be recovered via the normal EDC call center cost recovery mechanism.  </w:t>
      </w:r>
    </w:p>
    <w:p w:rsidR="00BC6B8A" w:rsidRDefault="00BC6B8A" w:rsidP="001F1974">
      <w:pPr>
        <w:jc w:val="left"/>
      </w:pPr>
    </w:p>
    <w:p w:rsidR="0018563A" w:rsidRDefault="00BC6B8A" w:rsidP="001F1974">
      <w:pPr>
        <w:jc w:val="left"/>
      </w:pPr>
      <w:r>
        <w:tab/>
      </w:r>
      <w:r>
        <w:tab/>
        <w:t xml:space="preserve">The expectation in the </w:t>
      </w:r>
      <w:r w:rsidRPr="007C33D4">
        <w:rPr>
          <w:i/>
        </w:rPr>
        <w:t>IWP Order</w:t>
      </w:r>
      <w:r>
        <w:t xml:space="preserve"> was that this program will be merged with the Standard Offer Customer Referral Program</w:t>
      </w:r>
      <w:r w:rsidR="0018563A">
        <w:t xml:space="preserve">.  </w:t>
      </w:r>
      <w:proofErr w:type="gramStart"/>
      <w:r w:rsidR="0018563A" w:rsidRPr="007C33D4">
        <w:rPr>
          <w:i/>
        </w:rPr>
        <w:t>IWP Order</w:t>
      </w:r>
      <w:r w:rsidR="0018563A">
        <w:t xml:space="preserve"> at 20.</w:t>
      </w:r>
      <w:proofErr w:type="gramEnd"/>
    </w:p>
    <w:p w:rsidR="0018563A" w:rsidRDefault="0018563A" w:rsidP="001F1974">
      <w:pPr>
        <w:jc w:val="left"/>
      </w:pPr>
    </w:p>
    <w:p w:rsidR="00305F5C" w:rsidRDefault="0018563A" w:rsidP="001F1974">
      <w:pPr>
        <w:jc w:val="left"/>
      </w:pPr>
      <w:r>
        <w:tab/>
      </w:r>
      <w:r>
        <w:tab/>
        <w:t xml:space="preserve">The Company has not included details of its implementation of the New and Moving Customer Program in this filing because the Commission's timeline for implementation preceded the expected date of a final Commission Order in this proceeding.  The Company anticipated starting the program by the end of September 2012.  </w:t>
      </w:r>
      <w:proofErr w:type="gramStart"/>
      <w:r>
        <w:t>PPL Electric MB at 107.</w:t>
      </w:r>
      <w:proofErr w:type="gramEnd"/>
      <w:r>
        <w:t xml:space="preserve">  As this occurred after the hearings, there is no evidence to indicate whether this goal was met.</w:t>
      </w:r>
      <w:r w:rsidR="00BC6B8A">
        <w:t xml:space="preserve"> </w:t>
      </w:r>
    </w:p>
    <w:p w:rsidR="0018563A" w:rsidRDefault="0018563A" w:rsidP="001F1974">
      <w:pPr>
        <w:jc w:val="left"/>
      </w:pPr>
    </w:p>
    <w:p w:rsidR="0018563A" w:rsidRDefault="0018563A" w:rsidP="00011E36">
      <w:pPr>
        <w:jc w:val="left"/>
      </w:pPr>
      <w:r>
        <w:tab/>
      </w:r>
      <w:r>
        <w:tab/>
        <w:t xml:space="preserve">RESA </w:t>
      </w:r>
      <w:r w:rsidR="002B7931">
        <w:t xml:space="preserve">contends that this plan to rely on call center scripts which were developed in the RMI Working </w:t>
      </w:r>
      <w:proofErr w:type="gramStart"/>
      <w:r w:rsidR="002B7931">
        <w:t>Group,</w:t>
      </w:r>
      <w:proofErr w:type="gramEnd"/>
      <w:r w:rsidR="002B7931">
        <w:t xml:space="preserve"> is not consistent with the Commission's proposal in the </w:t>
      </w:r>
      <w:r w:rsidR="002B7931" w:rsidRPr="007C33D4">
        <w:rPr>
          <w:i/>
        </w:rPr>
        <w:t>IWP Order</w:t>
      </w:r>
      <w:r w:rsidR="002B7931">
        <w:t xml:space="preserve">, which directs that the program elements be incorporated in the New and Moving Customer Referral, which will ultimately be incorporated into the Standard Offer Referral Program.  RESA </w:t>
      </w:r>
      <w:r>
        <w:t xml:space="preserve">criticizes the </w:t>
      </w:r>
      <w:r w:rsidR="002B7931">
        <w:t xml:space="preserve">Company's inability to immediately implement </w:t>
      </w:r>
      <w:r>
        <w:t xml:space="preserve">a "day-one switch" capability that allows the customer to initiate service with an EGS directly through the Company's Customer Service Representative (CSR), with a transfer to an EGS representative.  </w:t>
      </w:r>
      <w:r w:rsidR="002B7931">
        <w:t xml:space="preserve">RESA MB at 55-56.  </w:t>
      </w:r>
      <w:r>
        <w:t xml:space="preserve">The Company intends to </w:t>
      </w:r>
      <w:r w:rsidR="00525062">
        <w:t>complete the system modifications necessary to do this in support of the Standard Offer Referral Program, but the present capability is limited to transferring the call to the EGS' customer service center.  PPL Electric MB at 107-108.</w:t>
      </w:r>
    </w:p>
    <w:p w:rsidR="00525062" w:rsidRDefault="00525062" w:rsidP="00011E36">
      <w:pPr>
        <w:jc w:val="left"/>
      </w:pPr>
    </w:p>
    <w:p w:rsidR="002B7931" w:rsidRDefault="002B7931" w:rsidP="00011E36">
      <w:pPr>
        <w:jc w:val="left"/>
      </w:pPr>
      <w:r>
        <w:tab/>
      </w:r>
      <w:r>
        <w:tab/>
        <w:t xml:space="preserve">RESA states: </w:t>
      </w:r>
    </w:p>
    <w:p w:rsidR="00441692" w:rsidRDefault="00441692" w:rsidP="00011E36">
      <w:pPr>
        <w:jc w:val="left"/>
      </w:pPr>
    </w:p>
    <w:p w:rsidR="007B6DAF" w:rsidRDefault="007B6DAF" w:rsidP="001F1974">
      <w:pPr>
        <w:spacing w:line="240" w:lineRule="auto"/>
        <w:ind w:left="1440" w:right="1440"/>
        <w:contextualSpacing/>
        <w:jc w:val="left"/>
      </w:pPr>
      <w:r>
        <w:t>In order to be on an equal footing with bundled utility service, EGS service must be available immediately for new and moving customers who identify the EGS from which they would like to take service.  Forcing customers who know they want service from a specific EGS to take commodity service from the monopoly delivery company – even for a single billing cycle – should be anathema to any entity that claims to support competition.</w:t>
      </w:r>
    </w:p>
    <w:p w:rsidR="00441692" w:rsidRDefault="00441692" w:rsidP="001F1974">
      <w:pPr>
        <w:spacing w:line="240" w:lineRule="auto"/>
        <w:ind w:left="1440" w:right="1440"/>
        <w:contextualSpacing/>
        <w:jc w:val="left"/>
      </w:pPr>
    </w:p>
    <w:p w:rsidR="007B6DAF" w:rsidRDefault="007B6DAF" w:rsidP="001F1974">
      <w:pPr>
        <w:spacing w:line="240" w:lineRule="auto"/>
        <w:ind w:left="1440" w:right="1440"/>
        <w:contextualSpacing/>
        <w:jc w:val="left"/>
      </w:pPr>
      <w:r>
        <w:tab/>
        <w:t xml:space="preserve">Accordingly, RESA recommends that the Commission include within this default service plan a provision that requires PPL to design this "day-one switch" capability for implementation as soon as practicable after the proposed retail enhancements are in </w:t>
      </w:r>
      <w:r>
        <w:lastRenderedPageBreak/>
        <w:t>place.  Building this functionality now (which based on the experience of ConEdison's new and moving customer referral program should be relatively straightforward) will set the stage for a more complete new and moving customer program later, which would be available even to customers who may not yet know which EGS with which they would like to begin service.  If PPL can implement the Commission's envisioned "new/move" interim program without interfering with any of the steps discussed above, then RESA, of course, supports taking that step.</w:t>
      </w:r>
    </w:p>
    <w:p w:rsidR="002B7931" w:rsidRDefault="007B6DAF" w:rsidP="001F1974">
      <w:pPr>
        <w:spacing w:line="240" w:lineRule="auto"/>
        <w:contextualSpacing/>
        <w:jc w:val="left"/>
      </w:pPr>
      <w:r>
        <w:t xml:space="preserve">RESA MB at 56-57.  </w:t>
      </w:r>
    </w:p>
    <w:p w:rsidR="00525062" w:rsidRDefault="00525062" w:rsidP="001F1974">
      <w:pPr>
        <w:jc w:val="left"/>
      </w:pPr>
    </w:p>
    <w:p w:rsidR="007B6DAF" w:rsidRDefault="007B6DAF" w:rsidP="001F1974">
      <w:pPr>
        <w:jc w:val="left"/>
      </w:pPr>
      <w:r>
        <w:tab/>
      </w:r>
      <w:r>
        <w:tab/>
        <w:t xml:space="preserve">The Company points out that </w:t>
      </w:r>
      <w:r w:rsidR="00E5527D">
        <w:t xml:space="preserve">the Commission has addressed the RESA position in the DSP plan the </w:t>
      </w:r>
      <w:r w:rsidR="00E5527D" w:rsidRPr="007C33D4">
        <w:rPr>
          <w:i/>
        </w:rPr>
        <w:t>FirstEnergy</w:t>
      </w:r>
      <w:r w:rsidR="007C33D4" w:rsidRPr="007C33D4">
        <w:rPr>
          <w:i/>
        </w:rPr>
        <w:t xml:space="preserve"> Order</w:t>
      </w:r>
      <w:r w:rsidR="00E5527D">
        <w:t xml:space="preserve">, and that the Commission supports the approach taken by the Company here.  </w:t>
      </w:r>
      <w:proofErr w:type="gramStart"/>
      <w:r w:rsidR="00E5527D">
        <w:t>PPL Electric RB at 59.</w:t>
      </w:r>
      <w:proofErr w:type="gramEnd"/>
    </w:p>
    <w:p w:rsidR="00E5527D" w:rsidRDefault="00E5527D" w:rsidP="001F1974">
      <w:pPr>
        <w:jc w:val="left"/>
      </w:pPr>
    </w:p>
    <w:p w:rsidR="00C06489" w:rsidRDefault="00E5527D" w:rsidP="001F1974">
      <w:pPr>
        <w:jc w:val="left"/>
      </w:pPr>
      <w:r>
        <w:tab/>
      </w:r>
      <w:r>
        <w:tab/>
        <w:t xml:space="preserve">PPL Electric cites two reasons to refrain from implementing the "day-one switch" in its New and Moving Customer program.  First, the Company does not want to sign a customer for service absent a standard offer.  </w:t>
      </w:r>
      <w:r w:rsidR="00C06489">
        <w:t>The Company does not serve as a clearinghouse or advisor to customer</w:t>
      </w:r>
      <w:r w:rsidR="00DF24D8">
        <w:t>s</w:t>
      </w:r>
      <w:r w:rsidR="00C06489">
        <w:t xml:space="preserve"> regarding multiple EGS pricing options, and only in the context of a Standard Offer Referral Program can the Company include the "day-one switch."  </w:t>
      </w:r>
      <w:proofErr w:type="gramStart"/>
      <w:r w:rsidR="00C06489">
        <w:t>PPL Electric RB at 60.</w:t>
      </w:r>
      <w:proofErr w:type="gramEnd"/>
    </w:p>
    <w:p w:rsidR="00C06489" w:rsidRDefault="00C06489" w:rsidP="001F1974">
      <w:pPr>
        <w:jc w:val="left"/>
      </w:pPr>
    </w:p>
    <w:p w:rsidR="00C06489" w:rsidRDefault="00C06489" w:rsidP="001F1974">
      <w:pPr>
        <w:jc w:val="left"/>
      </w:pPr>
      <w:r>
        <w:tab/>
      </w:r>
      <w:r>
        <w:tab/>
        <w:t>Second, the Company explains:</w:t>
      </w:r>
    </w:p>
    <w:p w:rsidR="00441692" w:rsidRDefault="00441692" w:rsidP="001F1974">
      <w:pPr>
        <w:jc w:val="left"/>
      </w:pPr>
    </w:p>
    <w:p w:rsidR="00E5527D" w:rsidRDefault="00C06489" w:rsidP="001F1974">
      <w:pPr>
        <w:spacing w:line="240" w:lineRule="auto"/>
        <w:ind w:left="1440" w:right="1440"/>
        <w:jc w:val="left"/>
      </w:pPr>
      <w:r>
        <w:t>From an enrollment perspective, the Company must develop and be able to process an outbound 814 enrollment transaction which will allow the Company to enroll participating customers with an EGS and inform the EGS of this new customer relationship.  The Company will also have to create service representative, web, and IVR functionality to enroll customers, assign EGS (if none is chosen), and create the outbound 814.</w:t>
      </w:r>
      <w:r w:rsidR="00FF18D0">
        <w:t xml:space="preserve">  </w:t>
      </w:r>
    </w:p>
    <w:p w:rsidR="0088641D" w:rsidRDefault="00C06489" w:rsidP="001F1974">
      <w:pPr>
        <w:jc w:val="left"/>
      </w:pPr>
      <w:proofErr w:type="gramStart"/>
      <w:r>
        <w:t>PPL Electric Stmt. 4 at 31.</w:t>
      </w:r>
      <w:proofErr w:type="gramEnd"/>
      <w:r>
        <w:t xml:space="preserve">  </w:t>
      </w:r>
    </w:p>
    <w:p w:rsidR="0088641D" w:rsidRDefault="0088641D" w:rsidP="001F1974">
      <w:pPr>
        <w:jc w:val="left"/>
      </w:pPr>
    </w:p>
    <w:p w:rsidR="00C06489" w:rsidRPr="00305F5C" w:rsidRDefault="0088641D" w:rsidP="001F1974">
      <w:pPr>
        <w:jc w:val="left"/>
      </w:pPr>
      <w:r>
        <w:tab/>
      </w:r>
      <w:r>
        <w:tab/>
      </w:r>
      <w:r w:rsidR="00C06489">
        <w:t xml:space="preserve">The Company needs time to make the necessary technological changes to its systems to implement this process.  </w:t>
      </w:r>
      <w:proofErr w:type="gramStart"/>
      <w:r w:rsidR="00C06489">
        <w:t>PPL Electric RB at 61.</w:t>
      </w:r>
      <w:proofErr w:type="gramEnd"/>
    </w:p>
    <w:p w:rsidR="00305F5C" w:rsidRDefault="00305F5C" w:rsidP="001F1974">
      <w:pPr>
        <w:jc w:val="left"/>
      </w:pPr>
    </w:p>
    <w:p w:rsidR="00011E36" w:rsidRDefault="00011E36" w:rsidP="001F1974">
      <w:pPr>
        <w:jc w:val="left"/>
      </w:pPr>
      <w:r>
        <w:br w:type="page"/>
      </w:r>
    </w:p>
    <w:p w:rsidR="00DD5958" w:rsidRPr="00555158" w:rsidRDefault="00555158" w:rsidP="00011E36">
      <w:pPr>
        <w:ind w:left="720"/>
        <w:jc w:val="left"/>
        <w:rPr>
          <w:b/>
        </w:rPr>
      </w:pPr>
      <w:r>
        <w:rPr>
          <w:b/>
        </w:rPr>
        <w:lastRenderedPageBreak/>
        <w:t>3.</w:t>
      </w:r>
      <w:r>
        <w:rPr>
          <w:b/>
        </w:rPr>
        <w:tab/>
      </w:r>
      <w:r w:rsidR="001B1FF6" w:rsidRPr="00555158">
        <w:rPr>
          <w:b/>
        </w:rPr>
        <w:t>Retail Opt-In Auction</w:t>
      </w:r>
      <w:r w:rsidR="00FF18D0">
        <w:rPr>
          <w:b/>
        </w:rPr>
        <w:fldChar w:fldCharType="begin"/>
      </w:r>
      <w:r w:rsidR="00FF18D0">
        <w:instrText xml:space="preserve"> TC "</w:instrText>
      </w:r>
      <w:bookmarkStart w:id="94" w:name="_Toc340670034"/>
      <w:r w:rsidR="00FF18D0" w:rsidRPr="009B7B20">
        <w:rPr>
          <w:b/>
        </w:rPr>
        <w:instrText>3.</w:instrText>
      </w:r>
      <w:r w:rsidR="00FF18D0" w:rsidRPr="009B7B20">
        <w:rPr>
          <w:b/>
        </w:rPr>
        <w:tab/>
        <w:instrText>Retail Opt-In Auction</w:instrText>
      </w:r>
      <w:bookmarkEnd w:id="94"/>
      <w:r w:rsidR="00FF18D0">
        <w:instrText xml:space="preserve">" \f C \l "3" </w:instrText>
      </w:r>
      <w:r w:rsidR="00FF18D0">
        <w:rPr>
          <w:b/>
        </w:rPr>
        <w:fldChar w:fldCharType="end"/>
      </w:r>
    </w:p>
    <w:p w:rsidR="00555158" w:rsidRDefault="00555158" w:rsidP="001F1974">
      <w:pPr>
        <w:jc w:val="left"/>
      </w:pPr>
    </w:p>
    <w:p w:rsidR="00505E94" w:rsidRPr="00505E94" w:rsidRDefault="00011E36" w:rsidP="00011E36">
      <w:pPr>
        <w:ind w:left="1440"/>
        <w:jc w:val="left"/>
        <w:rPr>
          <w:b/>
        </w:rPr>
      </w:pPr>
      <w:r>
        <w:t>a.</w:t>
      </w:r>
      <w:r>
        <w:tab/>
      </w:r>
      <w:r w:rsidR="00505E94">
        <w:rPr>
          <w:b/>
        </w:rPr>
        <w:t>Description</w:t>
      </w:r>
      <w:r w:rsidR="00FF18D0">
        <w:rPr>
          <w:b/>
        </w:rPr>
        <w:fldChar w:fldCharType="begin"/>
      </w:r>
      <w:r w:rsidR="00FF18D0">
        <w:instrText xml:space="preserve"> TC "</w:instrText>
      </w:r>
      <w:bookmarkStart w:id="95" w:name="_Toc340670035"/>
      <w:r w:rsidR="00FF18D0" w:rsidRPr="009B7B20">
        <w:instrText>a.</w:instrText>
      </w:r>
      <w:r w:rsidR="00FF18D0" w:rsidRPr="009B7B20">
        <w:tab/>
      </w:r>
      <w:r w:rsidR="00FF18D0" w:rsidRPr="009B7B20">
        <w:rPr>
          <w:b/>
        </w:rPr>
        <w:instrText>Description</w:instrText>
      </w:r>
      <w:bookmarkEnd w:id="95"/>
      <w:r w:rsidR="00FF18D0">
        <w:instrText xml:space="preserve">" \f C \l "4" </w:instrText>
      </w:r>
      <w:r w:rsidR="00FF18D0">
        <w:rPr>
          <w:b/>
        </w:rPr>
        <w:fldChar w:fldCharType="end"/>
      </w:r>
    </w:p>
    <w:p w:rsidR="00505E94" w:rsidRDefault="00505E94" w:rsidP="001F1974">
      <w:pPr>
        <w:jc w:val="left"/>
      </w:pPr>
    </w:p>
    <w:p w:rsidR="00765028" w:rsidRDefault="00555158" w:rsidP="001F1974">
      <w:pPr>
        <w:jc w:val="left"/>
      </w:pPr>
      <w:r>
        <w:tab/>
      </w:r>
      <w:r>
        <w:tab/>
        <w:t xml:space="preserve">The Commission has stated that "properly-structured Retail Opt-in Auctions may provide benefits to customers and enhance the competitive retail environment."  </w:t>
      </w:r>
      <w:proofErr w:type="gramStart"/>
      <w:r w:rsidRPr="00DF24D8">
        <w:rPr>
          <w:i/>
        </w:rPr>
        <w:t>IWP Order</w:t>
      </w:r>
      <w:r>
        <w:t xml:space="preserve"> at 36.</w:t>
      </w:r>
      <w:proofErr w:type="gramEnd"/>
      <w:r>
        <w:t xml:space="preserve">  PPL Electric's proposal is for participating EGSs to of</w:t>
      </w:r>
      <w:r w:rsidR="00765028">
        <w:t>fer residential customers a 6-</w:t>
      </w:r>
      <w:r>
        <w:t xml:space="preserve">month, fixed-price product at a minimum 5% discount off PPL Electric's December 1, 2013 PTC.  Customers participating in the auction would </w:t>
      </w:r>
      <w:r w:rsidR="00765028">
        <w:t xml:space="preserve">receive a $50 cash payment from the EGS who acquires the customer's account, after participating for three consecutive billing cycles. The Company proposes limiting participation by non-shopping customers to 50% of the total number of default customers as of October 31, 2013.  Shopping customers will not be targeted but will be permitted to participate.  </w:t>
      </w:r>
    </w:p>
    <w:p w:rsidR="00765028" w:rsidRDefault="00765028" w:rsidP="001F1974">
      <w:pPr>
        <w:jc w:val="left"/>
      </w:pPr>
    </w:p>
    <w:p w:rsidR="00765028" w:rsidRDefault="00765028" w:rsidP="001F1974">
      <w:pPr>
        <w:jc w:val="left"/>
      </w:pPr>
      <w:r>
        <w:tab/>
      </w:r>
      <w:r>
        <w:tab/>
        <w:t xml:space="preserve">Implementation will be preceded by two mailings.  The first is set for November 2013, to inform customers about the auction.  The second would follow the auction and would include the resulting price and instructions to customers on how to participate during a 30-day window.  Customers will be assigned to participating EGSs randomly, first-come, first-served, until the 50% cap is reached or the enrollment period ends.  </w:t>
      </w:r>
    </w:p>
    <w:p w:rsidR="00765028" w:rsidRDefault="00765028" w:rsidP="001F1974">
      <w:pPr>
        <w:jc w:val="left"/>
      </w:pPr>
    </w:p>
    <w:p w:rsidR="00E01680" w:rsidRDefault="00765028" w:rsidP="001F1974">
      <w:pPr>
        <w:jc w:val="left"/>
      </w:pPr>
      <w:r>
        <w:tab/>
      </w:r>
      <w:r>
        <w:tab/>
        <w:t>EGSs would be required to acknowledge responsibility to make the $50 payment</w:t>
      </w:r>
      <w:r w:rsidR="000F01E4">
        <w:t>,</w:t>
      </w:r>
      <w:r>
        <w:t xml:space="preserve"> and the rate charged by each EGS is set for six months.  Customers may leave at any time without penalty, but those still taking service from the EGS at the end of the 6-month period would stay with the EGS and not return to default service.  </w:t>
      </w:r>
      <w:r w:rsidR="005A6D33">
        <w:t xml:space="preserve">The auction itself would be held as soon as the December 1, 2013 PTC is known, and will be conducted using a sealed-bid auction format, consistent with the </w:t>
      </w:r>
      <w:r w:rsidR="005A6D33" w:rsidRPr="007C33D4">
        <w:rPr>
          <w:i/>
        </w:rPr>
        <w:t>IWP Order</w:t>
      </w:r>
      <w:r w:rsidR="005A6D33">
        <w:t xml:space="preserve">.  </w:t>
      </w:r>
    </w:p>
    <w:p w:rsidR="00E01680" w:rsidRDefault="00E01680" w:rsidP="001F1974">
      <w:pPr>
        <w:jc w:val="left"/>
      </w:pPr>
    </w:p>
    <w:p w:rsidR="00E01680" w:rsidRDefault="00E01680" w:rsidP="001F1974">
      <w:pPr>
        <w:jc w:val="left"/>
      </w:pPr>
      <w:r>
        <w:tab/>
      </w:r>
      <w:r>
        <w:tab/>
        <w:t>Winning bidders will be selected in order fr</w:t>
      </w:r>
      <w:r w:rsidR="000F01E4">
        <w:t>o</w:t>
      </w:r>
      <w:r>
        <w:t xml:space="preserve">m the highest discount to the PTC followed by the next highest discount and continuing until all ten tranches are filled.  The auction price offered to customers would be set by the last selected qualifying bid, subject to the minimum 5% discount off the PTC.  If there are insufficient qualifying bids to take the ten </w:t>
      </w:r>
      <w:r>
        <w:lastRenderedPageBreak/>
        <w:t>tranches (10% of the customers each), with the maximum of 50% to any supplier, any remaining tranches will be offered to the qualifying bidders.  If only two bidders are winning, they would be given the option of not participating further, and if either backs out, the auction would be canceled.  PPL Electric MB at 113-114.</w:t>
      </w:r>
    </w:p>
    <w:p w:rsidR="00E01680" w:rsidRDefault="00E01680" w:rsidP="001F1974">
      <w:pPr>
        <w:jc w:val="left"/>
      </w:pPr>
    </w:p>
    <w:p w:rsidR="0088641D" w:rsidRDefault="00E01680" w:rsidP="001F1974">
      <w:pPr>
        <w:jc w:val="left"/>
      </w:pPr>
      <w:r>
        <w:tab/>
      </w:r>
      <w:r>
        <w:tab/>
        <w:t>Following the service of the Company's direct testimony, the Commission issued its decision in the FirstEnergy default service provider case, which indicates a preference for an aggregation program.</w:t>
      </w:r>
      <w:r w:rsidR="0088641D">
        <w:t xml:space="preserve">  The Company explains its flexibility:</w:t>
      </w:r>
    </w:p>
    <w:p w:rsidR="0088641D" w:rsidRDefault="0088641D" w:rsidP="001F1974">
      <w:pPr>
        <w:jc w:val="left"/>
      </w:pPr>
    </w:p>
    <w:p w:rsidR="0088641D" w:rsidRDefault="0088641D" w:rsidP="008F547E">
      <w:pPr>
        <w:pStyle w:val="BodyText2"/>
        <w:spacing w:after="0" w:line="240" w:lineRule="auto"/>
        <w:ind w:left="1440" w:right="1440"/>
        <w:jc w:val="left"/>
      </w:pPr>
      <w:r>
        <w:t xml:space="preserve">Subsequent to the submission of the Company’s direct testimony describing its Opt-In Auction Program proposal, the Commission issued the </w:t>
      </w:r>
      <w:r>
        <w:rPr>
          <w:i/>
        </w:rPr>
        <w:t>FirstEnergy Order</w:t>
      </w:r>
      <w:r>
        <w:t xml:space="preserve">.  In that order, the Commission eliminated the use of an auction process and instead adopted what PPL Electric witness Krall described in surrebuttal as an aggregation program.  Mr. Krall explained how, with small modifications, the Company’s basic structure of a retail Opt-In Auction Program could be modified to </w:t>
      </w:r>
      <w:proofErr w:type="gramStart"/>
      <w:r>
        <w:t>a retail</w:t>
      </w:r>
      <w:proofErr w:type="gramEnd"/>
      <w:r>
        <w:t xml:space="preserve"> Opt-In Aggregation Program.  </w:t>
      </w:r>
      <w:proofErr w:type="gramStart"/>
      <w:r>
        <w:t>(PPL Electric St. 4-SR, pp. 6-11).</w:t>
      </w:r>
      <w:proofErr w:type="gramEnd"/>
      <w:r>
        <w:t xml:space="preserve">  </w:t>
      </w:r>
    </w:p>
    <w:p w:rsidR="008F547E" w:rsidRDefault="008F547E" w:rsidP="008F547E">
      <w:pPr>
        <w:pStyle w:val="BodyText2"/>
        <w:spacing w:after="0" w:line="240" w:lineRule="auto"/>
        <w:ind w:left="1440" w:right="1440"/>
        <w:jc w:val="left"/>
      </w:pPr>
    </w:p>
    <w:p w:rsidR="0088641D" w:rsidRDefault="0088641D" w:rsidP="008F547E">
      <w:pPr>
        <w:pStyle w:val="BodyText2"/>
        <w:spacing w:after="0" w:line="240" w:lineRule="auto"/>
        <w:ind w:left="1440" w:right="1440"/>
        <w:jc w:val="left"/>
      </w:pPr>
      <w:r>
        <w:t xml:space="preserve">From the perspective of a customer participating in the program, there would only need to be two modifications.  First, the price that customers would pay would be a 5% discount from the Company’s December 1, 2013 PTC, instead of a minimum 5% discount with the actual price determined by auction results.  </w:t>
      </w:r>
      <w:proofErr w:type="gramStart"/>
      <w:r>
        <w:t>(PPL Electric St. 4-SR, p. 9).</w:t>
      </w:r>
      <w:proofErr w:type="gramEnd"/>
      <w:r>
        <w:t xml:space="preserve">  The second modification is that customers would only be sent a single letter advising them of the terms of the program and providing instructions on how they may elect to participate.  </w:t>
      </w:r>
      <w:proofErr w:type="gramStart"/>
      <w:r>
        <w:t>(PPL Electric St. 4-SR, pp. 9-10).</w:t>
      </w:r>
      <w:proofErr w:type="gramEnd"/>
      <w:r>
        <w:t xml:space="preserve">  </w:t>
      </w:r>
    </w:p>
    <w:p w:rsidR="008F547E" w:rsidRDefault="008F547E" w:rsidP="008F547E">
      <w:pPr>
        <w:pStyle w:val="BodyText2"/>
        <w:spacing w:after="0" w:line="240" w:lineRule="auto"/>
        <w:ind w:left="1440" w:right="1440"/>
        <w:jc w:val="left"/>
      </w:pPr>
    </w:p>
    <w:p w:rsidR="0088641D" w:rsidRDefault="0088641D" w:rsidP="008F547E">
      <w:pPr>
        <w:pStyle w:val="BodyText2"/>
        <w:spacing w:after="0" w:line="240" w:lineRule="auto"/>
        <w:ind w:left="1440" w:right="1440"/>
        <w:jc w:val="left"/>
      </w:pPr>
      <w:r>
        <w:t xml:space="preserve">From the EGS perspective, with elimination of an auction, the Company would propose to solicit participation from all licensed EGSs authorized to serve residential customers.  A minimum of two participating EGSs would have to agree to participate in order to comply with the 50% participation cap established by the </w:t>
      </w:r>
      <w:r>
        <w:rPr>
          <w:i/>
        </w:rPr>
        <w:t>RMI-IWP Final Order</w:t>
      </w:r>
      <w:r>
        <w:t xml:space="preserve">.  </w:t>
      </w:r>
      <w:proofErr w:type="gramStart"/>
      <w:r>
        <w:t>(PPL Electric St. 4-SR, p. 8).</w:t>
      </w:r>
      <w:proofErr w:type="gramEnd"/>
      <w:r>
        <w:t xml:space="preserve">  Based upon the number of customers electing to participate, tranches of load would be divided evenly among participating EGSs with customers randomly assigned.  </w:t>
      </w:r>
      <w:proofErr w:type="gramStart"/>
      <w:r>
        <w:t>(PPL Electric St. 4-SR, p. 8).</w:t>
      </w:r>
      <w:proofErr w:type="gramEnd"/>
      <w:r>
        <w:t xml:space="preserve">  EGSs would compensate the Company on a pro rata basis for the cost the Company incurs in marketing and conducting the aggregation.  However, because no auction would be conducted and only a single mailing would be sent to customers, the cost of the program </w:t>
      </w:r>
      <w:r>
        <w:lastRenderedPageBreak/>
        <w:t xml:space="preserve">would be substantially reduced.  (See Section III.C.6 for further explanation of the issue of cost recovery of an Opt-In Aggregation Program).  </w:t>
      </w:r>
    </w:p>
    <w:p w:rsidR="0088641D" w:rsidRDefault="0088641D" w:rsidP="008F547E">
      <w:pPr>
        <w:pStyle w:val="BodyText2"/>
        <w:spacing w:after="0" w:line="240" w:lineRule="auto"/>
        <w:jc w:val="left"/>
      </w:pPr>
      <w:r>
        <w:t>PPL Electric MB at 114-115.</w:t>
      </w:r>
    </w:p>
    <w:p w:rsidR="008F547E" w:rsidRDefault="008F547E" w:rsidP="008F547E">
      <w:pPr>
        <w:pStyle w:val="BodyText2"/>
        <w:spacing w:after="0" w:line="360" w:lineRule="auto"/>
        <w:jc w:val="left"/>
      </w:pPr>
    </w:p>
    <w:p w:rsidR="0088641D" w:rsidRDefault="00BD137A" w:rsidP="007C33D4">
      <w:pPr>
        <w:pStyle w:val="BodyText2"/>
        <w:spacing w:after="0" w:line="360" w:lineRule="auto"/>
        <w:contextualSpacing/>
        <w:jc w:val="left"/>
      </w:pPr>
      <w:r>
        <w:tab/>
      </w:r>
      <w:r>
        <w:tab/>
        <w:t xml:space="preserve">The elements of the program include </w:t>
      </w:r>
      <w:r w:rsidR="00B440FB">
        <w:t xml:space="preserve">(1) </w:t>
      </w:r>
      <w:r>
        <w:t xml:space="preserve">length of time, </w:t>
      </w:r>
      <w:r w:rsidR="00B440FB">
        <w:t>(2) limitation on number of participants, (</w:t>
      </w:r>
      <w:r w:rsidR="001F1111">
        <w:t>a</w:t>
      </w:r>
      <w:r w:rsidR="00B440FB">
        <w:t>)</w:t>
      </w:r>
      <w:r w:rsidR="001F1111">
        <w:t xml:space="preserve"> residential customers, (b)</w:t>
      </w:r>
      <w:r w:rsidR="00B440FB">
        <w:t xml:space="preserve"> whether to include small C&amp;I customers,</w:t>
      </w:r>
      <w:r w:rsidR="001F1111">
        <w:t xml:space="preserve"> (3</w:t>
      </w:r>
      <w:r w:rsidR="00245884">
        <w:t>)</w:t>
      </w:r>
      <w:r w:rsidR="00B440FB">
        <w:t xml:space="preserve"> price, </w:t>
      </w:r>
      <w:r w:rsidR="001F1111">
        <w:t>(4</w:t>
      </w:r>
      <w:r w:rsidR="00245884">
        <w:t xml:space="preserve">) </w:t>
      </w:r>
      <w:r w:rsidR="00B440FB">
        <w:t xml:space="preserve">terms and conditions disclosure, </w:t>
      </w:r>
      <w:r w:rsidR="00245884">
        <w:t>(</w:t>
      </w:r>
      <w:r w:rsidR="001F1111">
        <w:t>5</w:t>
      </w:r>
      <w:r w:rsidR="00B440FB">
        <w:t xml:space="preserve">) supplier participation load cap, </w:t>
      </w:r>
      <w:r w:rsidR="00245884">
        <w:t>(</w:t>
      </w:r>
      <w:r w:rsidR="001F1111">
        <w:t>6</w:t>
      </w:r>
      <w:r w:rsidR="00B440FB">
        <w:t xml:space="preserve">) customer options upon expiration of program and notice requirements, </w:t>
      </w:r>
      <w:r w:rsidR="00245884">
        <w:t>(</w:t>
      </w:r>
      <w:r w:rsidR="001F1111">
        <w:t>7</w:t>
      </w:r>
      <w:r w:rsidR="00B440FB">
        <w:t xml:space="preserve">) the structure of the opt-in program, and </w:t>
      </w:r>
      <w:r w:rsidR="00245884">
        <w:t>(</w:t>
      </w:r>
      <w:r w:rsidR="001F1111">
        <w:t>8</w:t>
      </w:r>
      <w:r w:rsidR="00B440FB">
        <w:t>) low-income customer participation.</w:t>
      </w:r>
    </w:p>
    <w:p w:rsidR="00C3691B" w:rsidRDefault="00C3691B" w:rsidP="001F1974">
      <w:pPr>
        <w:jc w:val="left"/>
        <w:rPr>
          <w:b/>
        </w:rPr>
      </w:pPr>
    </w:p>
    <w:p w:rsidR="00BD137A" w:rsidRPr="00A356EC" w:rsidRDefault="00011E36" w:rsidP="00011E36">
      <w:pPr>
        <w:ind w:left="2160"/>
        <w:jc w:val="left"/>
        <w:rPr>
          <w:b/>
        </w:rPr>
      </w:pPr>
      <w:r>
        <w:rPr>
          <w:b/>
        </w:rPr>
        <w:t>b.</w:t>
      </w:r>
      <w:r>
        <w:rPr>
          <w:b/>
        </w:rPr>
        <w:tab/>
      </w:r>
      <w:r w:rsidR="00BD137A" w:rsidRPr="00A356EC">
        <w:rPr>
          <w:b/>
        </w:rPr>
        <w:t>Length of time of program</w:t>
      </w:r>
      <w:r w:rsidR="00FF18D0">
        <w:rPr>
          <w:b/>
        </w:rPr>
        <w:fldChar w:fldCharType="begin"/>
      </w:r>
      <w:r w:rsidR="00FF18D0">
        <w:instrText xml:space="preserve"> TC "</w:instrText>
      </w:r>
      <w:bookmarkStart w:id="96" w:name="_Toc340670036"/>
      <w:r w:rsidR="00FF18D0" w:rsidRPr="009B7B20">
        <w:rPr>
          <w:b/>
        </w:rPr>
        <w:instrText>b.</w:instrText>
      </w:r>
      <w:r w:rsidR="00FF18D0" w:rsidRPr="009B7B20">
        <w:rPr>
          <w:b/>
        </w:rPr>
        <w:tab/>
        <w:instrText>Length of time of program</w:instrText>
      </w:r>
      <w:bookmarkEnd w:id="96"/>
      <w:r w:rsidR="00FF18D0">
        <w:instrText xml:space="preserve">" \f C \l "4" </w:instrText>
      </w:r>
      <w:r w:rsidR="00FF18D0">
        <w:rPr>
          <w:b/>
        </w:rPr>
        <w:fldChar w:fldCharType="end"/>
      </w:r>
    </w:p>
    <w:p w:rsidR="00BD137A" w:rsidRDefault="00BD137A" w:rsidP="001F1974">
      <w:pPr>
        <w:jc w:val="left"/>
      </w:pPr>
    </w:p>
    <w:p w:rsidR="00003210" w:rsidRDefault="00003210" w:rsidP="001F1974">
      <w:pPr>
        <w:jc w:val="left"/>
      </w:pPr>
      <w:r>
        <w:tab/>
      </w:r>
      <w:r>
        <w:tab/>
        <w:t xml:space="preserve">PPL Electric's proposal is for participating EGSs to offer residential customers a 6-month, fixed-price product at a minimum 5% discount off PPL Electric's December 1, 2013 PTC.  Customers participating in the auction would receive a $50 cash payment from the EGS who acquires the customer's account, after participating for three consecutive billing cycles. The Company proposes limiting participation by non-shopping customers to 50% of the total number of default customers as of October 31, 2013.  Shopping customers will not be targeted but will be permitted to participate.  </w:t>
      </w:r>
    </w:p>
    <w:p w:rsidR="00003210" w:rsidRDefault="00003210" w:rsidP="001F1974">
      <w:pPr>
        <w:jc w:val="left"/>
      </w:pPr>
    </w:p>
    <w:p w:rsidR="00D35C34" w:rsidRDefault="00BD137A" w:rsidP="001F1974">
      <w:pPr>
        <w:jc w:val="left"/>
      </w:pPr>
      <w:r>
        <w:tab/>
      </w:r>
      <w:r>
        <w:tab/>
        <w:t xml:space="preserve">OCA states that it normally recommends 12 months for a program such as this, but that the six month program would be acceptable if the Company's proposal for biannual changes in its PTC is also adopted.  </w:t>
      </w:r>
      <w:proofErr w:type="gramStart"/>
      <w:r>
        <w:t>OCA MB at 41.</w:t>
      </w:r>
      <w:proofErr w:type="gramEnd"/>
      <w:r w:rsidR="00D35C34">
        <w:t xml:space="preserve">  </w:t>
      </w:r>
      <w:r w:rsidR="00FA4CA7">
        <w:t>OCA further recommends that regardless of term length the savings to participating customers must be guaranteed, that is, if the PTC changes during the term of the contract, the supplier rate also must change to pres</w:t>
      </w:r>
      <w:r w:rsidR="007C33D4">
        <w:t xml:space="preserve">erve the percentage discount.  </w:t>
      </w:r>
      <w:r w:rsidR="00FA4CA7">
        <w:t>OCA St. 2</w:t>
      </w:r>
      <w:r w:rsidR="007C33D4">
        <w:t xml:space="preserve"> at</w:t>
      </w:r>
      <w:r w:rsidR="00FA4CA7">
        <w:t xml:space="preserve"> 11-12.  However, EGS parties have indicated unwillingness to offer a 12-month term if</w:t>
      </w:r>
      <w:r w:rsidR="007C33D4">
        <w:t xml:space="preserve"> they must guarantee savings.  </w:t>
      </w:r>
      <w:proofErr w:type="gramStart"/>
      <w:r w:rsidR="00FA4CA7">
        <w:t>PPL Electric Ex. DAK-1R; PPL Electric St</w:t>
      </w:r>
      <w:r w:rsidR="007C33D4">
        <w:t>mt</w:t>
      </w:r>
      <w:r w:rsidR="00FA4CA7">
        <w:t>. 4-R</w:t>
      </w:r>
      <w:r w:rsidR="007C33D4">
        <w:t xml:space="preserve"> at</w:t>
      </w:r>
      <w:r w:rsidR="00FA4CA7">
        <w:t xml:space="preserve"> 26.</w:t>
      </w:r>
      <w:proofErr w:type="gramEnd"/>
      <w:r w:rsidR="00FA4CA7">
        <w:t xml:space="preserve">  </w:t>
      </w:r>
    </w:p>
    <w:p w:rsidR="00D35C34" w:rsidRDefault="00D35C34" w:rsidP="001F1974">
      <w:pPr>
        <w:jc w:val="left"/>
      </w:pPr>
    </w:p>
    <w:p w:rsidR="00D35C34" w:rsidRDefault="00971CC5" w:rsidP="001F1974">
      <w:pPr>
        <w:pStyle w:val="BodyText2"/>
        <w:spacing w:after="0" w:line="360" w:lineRule="auto"/>
        <w:jc w:val="left"/>
      </w:pPr>
      <w:r>
        <w:tab/>
      </w:r>
      <w:r w:rsidR="00C3691B">
        <w:tab/>
      </w:r>
      <w:r>
        <w:t xml:space="preserve">FES and </w:t>
      </w:r>
      <w:r w:rsidR="00D35C34">
        <w:t>D</w:t>
      </w:r>
      <w:r w:rsidR="007C33D4">
        <w:t>R</w:t>
      </w:r>
      <w:r w:rsidR="00D35C34">
        <w:t xml:space="preserve">/IGS have recommended that the </w:t>
      </w:r>
      <w:r w:rsidR="00DF24D8">
        <w:t>R</w:t>
      </w:r>
      <w:r w:rsidR="00D35C34">
        <w:t xml:space="preserve">etail Opt-In Program term be for </w:t>
      </w:r>
      <w:r>
        <w:t>12 months rather than 6 months.</w:t>
      </w:r>
    </w:p>
    <w:p w:rsidR="00003210" w:rsidRDefault="00003210" w:rsidP="001F1974">
      <w:pPr>
        <w:pStyle w:val="BodyText2"/>
        <w:spacing w:after="0" w:line="360" w:lineRule="auto"/>
        <w:contextualSpacing/>
        <w:jc w:val="left"/>
      </w:pPr>
    </w:p>
    <w:p w:rsidR="00003210" w:rsidRDefault="00003210" w:rsidP="001F1974">
      <w:pPr>
        <w:pStyle w:val="BodyText2"/>
        <w:spacing w:after="0" w:line="360" w:lineRule="auto"/>
        <w:contextualSpacing/>
        <w:jc w:val="left"/>
      </w:pPr>
      <w:r>
        <w:tab/>
      </w:r>
      <w:r>
        <w:tab/>
        <w:t xml:space="preserve">FES asserts that a 12-month contract term for the Opt-In Program will extend “the availability of a favorable program price to 12 months.”  </w:t>
      </w:r>
      <w:proofErr w:type="gramStart"/>
      <w:r>
        <w:t>FES MB</w:t>
      </w:r>
      <w:r w:rsidR="007C33D4">
        <w:t xml:space="preserve"> at</w:t>
      </w:r>
      <w:r>
        <w:t xml:space="preserve"> 46.</w:t>
      </w:r>
      <w:proofErr w:type="gramEnd"/>
      <w:r>
        <w:t xml:space="preserve">  FES states that if the Commission Orders in the FirstEnergy and PECO DSP cases apply to this proceeding, then the question of contract length has been settled.  In those two cases, the product approved was for 12 months, with a $50 bonus, a 4-month guaranteed 5% off the PTC at the time of enrollment, and an EGS provided fixed-price product for the remaining 8 months.  FES recommends two refinements:  (1) that the 8-month fixed price </w:t>
      </w:r>
      <w:proofErr w:type="gramStart"/>
      <w:r>
        <w:t>be</w:t>
      </w:r>
      <w:proofErr w:type="gramEnd"/>
      <w:r>
        <w:t xml:space="preserve"> uniform among all participating EGSs, and (2) that the fixed priced product be established and made known to customers before they decide whether to participate in the Opt-In Program.  These two additions will ensure that customers cannot blame the EDC, the Commission, or the competitive retail market for what can be perceived as an injustice if some customers do not fare as well as others.  The second improvement will serve to avoid "bait and switch" offers.  FES MB at 44-45.</w:t>
      </w:r>
    </w:p>
    <w:p w:rsidR="00003210" w:rsidRDefault="00003210" w:rsidP="001F1974">
      <w:pPr>
        <w:pStyle w:val="BodyText2"/>
        <w:spacing w:after="0" w:line="360" w:lineRule="auto"/>
        <w:contextualSpacing/>
        <w:jc w:val="left"/>
      </w:pPr>
    </w:p>
    <w:p w:rsidR="00003210" w:rsidRDefault="00003210" w:rsidP="001F1974">
      <w:pPr>
        <w:pStyle w:val="BodyText2"/>
        <w:spacing w:after="0" w:line="360" w:lineRule="auto"/>
        <w:contextualSpacing/>
        <w:jc w:val="left"/>
      </w:pPr>
      <w:r>
        <w:tab/>
      </w:r>
      <w:r>
        <w:tab/>
        <w:t xml:space="preserve">If the </w:t>
      </w:r>
      <w:r w:rsidRPr="007C33D4">
        <w:rPr>
          <w:i/>
        </w:rPr>
        <w:t>IWP Order</w:t>
      </w:r>
      <w:r>
        <w:t xml:space="preserve"> is the operative authority, then FES objects to the 6-month proposed time period for the program.  FES argues that the longer time period will offer a longer opportunity for price stability and therefore, maximum customer participation in the program.  In response to the Company's concern that the PTC might change during the program, FES responds that the customers are free to leave at any time.  </w:t>
      </w:r>
      <w:proofErr w:type="gramStart"/>
      <w:r>
        <w:t>FES MB at 45.</w:t>
      </w:r>
      <w:proofErr w:type="gramEnd"/>
      <w:r>
        <w:t xml:space="preserve">  </w:t>
      </w:r>
    </w:p>
    <w:p w:rsidR="00971CC5" w:rsidRDefault="00971CC5" w:rsidP="001F1974">
      <w:pPr>
        <w:pStyle w:val="BodyText2"/>
        <w:spacing w:after="0" w:line="360" w:lineRule="auto"/>
        <w:contextualSpacing/>
        <w:jc w:val="left"/>
      </w:pPr>
    </w:p>
    <w:p w:rsidR="00971CC5" w:rsidRDefault="00971CC5" w:rsidP="001F1974">
      <w:pPr>
        <w:pStyle w:val="BodyText2"/>
        <w:spacing w:after="0" w:line="360" w:lineRule="auto"/>
        <w:contextualSpacing/>
        <w:jc w:val="left"/>
      </w:pPr>
      <w:r>
        <w:tab/>
      </w:r>
      <w:r>
        <w:tab/>
        <w:t>The Company responds:</w:t>
      </w:r>
    </w:p>
    <w:p w:rsidR="00971CC5" w:rsidRDefault="00971CC5" w:rsidP="001F1974">
      <w:pPr>
        <w:pStyle w:val="BodyText2"/>
        <w:spacing w:after="0" w:line="360" w:lineRule="auto"/>
        <w:contextualSpacing/>
        <w:jc w:val="left"/>
      </w:pPr>
    </w:p>
    <w:p w:rsidR="00971CC5" w:rsidRDefault="00971CC5" w:rsidP="001F1974">
      <w:pPr>
        <w:pStyle w:val="BodyText2"/>
        <w:spacing w:after="0" w:line="240" w:lineRule="auto"/>
        <w:ind w:left="1440" w:right="1440"/>
        <w:jc w:val="left"/>
      </w:pPr>
      <w:r>
        <w:t xml:space="preserve">The difficulty with FES’ contention is in defining a “favorable program price.”  PPL Electric’s proposal, with a 5% discount off the PTC for a 6-month term that overlaps PPL </w:t>
      </w:r>
      <w:proofErr w:type="gramStart"/>
      <w:r>
        <w:t>Electric’s  semi</w:t>
      </w:r>
      <w:proofErr w:type="gramEnd"/>
      <w:r>
        <w:t xml:space="preserve">-annual PTC changes, definitely provides participating customers with a favorable price vs. the PTC.  However, a 5% discount off the current PTC is not necessarily a favorable price if market prices or the PTC falls after 6 months.  PPL Electric believes its shorter term contract, as originally envisioned by the </w:t>
      </w:r>
      <w:r>
        <w:rPr>
          <w:i/>
        </w:rPr>
        <w:t>RMI-IWP Final Order</w:t>
      </w:r>
      <w:r>
        <w:t xml:space="preserve">, provides better assurance of favorable pricing.  For this reasons, PPL Electric encourages adoption of its proposed Opt </w:t>
      </w:r>
      <w:proofErr w:type="gramStart"/>
      <w:r>
        <w:t>In</w:t>
      </w:r>
      <w:proofErr w:type="gramEnd"/>
      <w:r>
        <w:t xml:space="preserve"> Program term.</w:t>
      </w:r>
    </w:p>
    <w:p w:rsidR="00971CC5" w:rsidRDefault="00971CC5" w:rsidP="001F1974">
      <w:pPr>
        <w:pStyle w:val="BodyText2"/>
        <w:spacing w:after="0"/>
        <w:jc w:val="left"/>
      </w:pPr>
      <w:r>
        <w:t>PPL Electric RB at 64-65.</w:t>
      </w:r>
    </w:p>
    <w:p w:rsidR="008F547E" w:rsidRDefault="008F547E" w:rsidP="008F547E">
      <w:pPr>
        <w:pStyle w:val="BodyText2"/>
        <w:spacing w:after="0" w:line="360" w:lineRule="auto"/>
        <w:jc w:val="left"/>
      </w:pPr>
    </w:p>
    <w:p w:rsidR="00367E6D" w:rsidRDefault="00971CC5" w:rsidP="008F547E">
      <w:pPr>
        <w:pStyle w:val="BodyText2"/>
        <w:spacing w:after="0" w:line="360" w:lineRule="auto"/>
        <w:jc w:val="left"/>
      </w:pPr>
      <w:r>
        <w:tab/>
      </w:r>
      <w:r>
        <w:tab/>
      </w:r>
      <w:r w:rsidR="00D35C34">
        <w:t>D</w:t>
      </w:r>
      <w:r w:rsidR="004C0091">
        <w:t>R</w:t>
      </w:r>
      <w:r w:rsidR="00D35C34">
        <w:t>/IGS asserts that a 6-month contract term is too short, as it gives suppliers little time to recover their $50 bonus payment</w:t>
      </w:r>
      <w:r w:rsidR="00367E6D">
        <w:t>:</w:t>
      </w:r>
    </w:p>
    <w:p w:rsidR="008F547E" w:rsidRDefault="008F547E" w:rsidP="008F547E">
      <w:pPr>
        <w:pStyle w:val="BodyText2"/>
        <w:spacing w:after="0" w:line="360" w:lineRule="auto"/>
        <w:jc w:val="left"/>
      </w:pPr>
    </w:p>
    <w:p w:rsidR="00367E6D" w:rsidRDefault="00367E6D" w:rsidP="001F1974">
      <w:pPr>
        <w:pStyle w:val="BodyText2"/>
        <w:spacing w:after="0" w:line="240" w:lineRule="auto"/>
        <w:ind w:left="1440" w:right="1440"/>
        <w:jc w:val="left"/>
      </w:pPr>
      <w:r>
        <w:tab/>
        <w:t>The EGS Parties view appears to have the support of the Commission, at least in terms of the total length of the product.  As discussed above, the Commission modified the product in both recently decided DSP cases, to a one year product with two fixed price components:  1) a four (4) month component at a five percent (5%) discount off the PTC at the time of the offer, and an eight (8) month component without a specified price.  The Commission retained the fifty dollar ($50) bonus payment but required that a customer remain on the service for the entire four (4) month segment in order to receive it.  Perhaps the most dramatic change is the elimination of the auction process.  Customers will be assigned to suppliers that are qualified, i.e., licensed in the service territory,</w:t>
      </w:r>
      <w:r w:rsidR="006E0462">
        <w:t xml:space="preserve"> and willing to participate.  </w:t>
      </w:r>
      <w:proofErr w:type="gramStart"/>
      <w:r w:rsidR="006E0462">
        <w:t>(D</w:t>
      </w:r>
      <w:r>
        <w:t xml:space="preserve">ominion/IGS St. No. 1-R, pp. </w:t>
      </w:r>
      <w:r w:rsidR="006E0462">
        <w:t>2: 1-3:10).</w:t>
      </w:r>
      <w:proofErr w:type="gramEnd"/>
      <w:r w:rsidR="006E0462">
        <w:t xml:space="preserve">  While this process will certainly allow for broader supplier participation and more supplier diversity, it comes with some additional concerns as well.  Those concerns related to the financial ability of suppliers to meet their obligation to pay each customer the fifty dollar ($50) bonus payment, and the need for transparency in the pricing, particularly for the eight (8) month period, since it appears that there will be no regulation of the price of that offering.  The market discipline that transparency brings should aid greatly in making sure that the prices are not out of the range of the market. </w:t>
      </w:r>
      <w:r>
        <w:t xml:space="preserve"> </w:t>
      </w:r>
    </w:p>
    <w:p w:rsidR="008F547E" w:rsidRDefault="008F547E" w:rsidP="001F1974">
      <w:pPr>
        <w:pStyle w:val="BodyText2"/>
        <w:spacing w:after="0" w:line="240" w:lineRule="auto"/>
        <w:ind w:left="1440" w:right="1440"/>
        <w:jc w:val="left"/>
      </w:pPr>
    </w:p>
    <w:p w:rsidR="006E0462" w:rsidRDefault="006E0462" w:rsidP="001F1974">
      <w:pPr>
        <w:pStyle w:val="BodyText2"/>
        <w:spacing w:after="0" w:line="240" w:lineRule="auto"/>
        <w:ind w:left="1440" w:right="1440"/>
        <w:jc w:val="left"/>
      </w:pPr>
      <w:r>
        <w:tab/>
        <w:t xml:space="preserve">As discussed above, with the inclusion of some additional safeguards, the EGS Parties are happy to accept the Commission's modifications.  The Commission should require suppliers to post additional security up to the total amount of the fifty dollar ($50) bonus payments, and should require the posting of an EGS's eight (8) month price on the PaPowerSwitch.com website and should require that customers be provided with the price at the time they are enrolled.  </w:t>
      </w:r>
      <w:proofErr w:type="gramStart"/>
      <w:r>
        <w:t>(Dominion/IGS St. No. 1-R, p. 4:4-20).</w:t>
      </w:r>
      <w:proofErr w:type="gramEnd"/>
      <w:r>
        <w:t xml:space="preserve">  With these modifications, the product and program design should be approved as modified in the </w:t>
      </w:r>
      <w:r>
        <w:rPr>
          <w:i/>
        </w:rPr>
        <w:t>FE Order.</w:t>
      </w:r>
    </w:p>
    <w:p w:rsidR="006E0462" w:rsidRDefault="006E0462" w:rsidP="00011E36">
      <w:pPr>
        <w:pStyle w:val="BodyText2"/>
        <w:spacing w:after="0" w:line="240" w:lineRule="auto"/>
        <w:jc w:val="left"/>
      </w:pPr>
      <w:r>
        <w:t>D</w:t>
      </w:r>
      <w:r w:rsidR="004C0091">
        <w:t>R</w:t>
      </w:r>
      <w:r>
        <w:t>/IGS MB at 17-18.</w:t>
      </w:r>
    </w:p>
    <w:p w:rsidR="00011E36" w:rsidRPr="006E0462" w:rsidRDefault="00011E36" w:rsidP="001F1974">
      <w:pPr>
        <w:pStyle w:val="BodyText2"/>
        <w:spacing w:after="0" w:line="360" w:lineRule="auto"/>
        <w:jc w:val="left"/>
      </w:pPr>
    </w:p>
    <w:p w:rsidR="00D35C34" w:rsidRDefault="006E0462" w:rsidP="001F1974">
      <w:pPr>
        <w:pStyle w:val="BodyText2"/>
        <w:spacing w:after="0" w:line="360" w:lineRule="auto"/>
        <w:jc w:val="left"/>
      </w:pPr>
      <w:r>
        <w:tab/>
      </w:r>
      <w:r>
        <w:tab/>
        <w:t xml:space="preserve">The Company points out that </w:t>
      </w:r>
      <w:r w:rsidR="00D35C34">
        <w:t xml:space="preserve">many EGSs currently offer discounts in excess of 5% off the PTC (see FES Ex. TCB-4), and must obtain customers through their own advertising efforts.  The Opt-In Program will provide an opportunity for EGSs to sign up large numbers of </w:t>
      </w:r>
      <w:r w:rsidR="00D35C34">
        <w:lastRenderedPageBreak/>
        <w:t>customers without advertising.  D</w:t>
      </w:r>
      <w:r w:rsidR="004C0091">
        <w:t>R</w:t>
      </w:r>
      <w:r w:rsidR="00D35C34">
        <w:t xml:space="preserve">/IGS has provided no evidence that a 5% discount and $50 bonus payment, even for a 6-month term, would result in financial loss.  </w:t>
      </w:r>
      <w:proofErr w:type="gramStart"/>
      <w:r w:rsidR="009748AD">
        <w:t>PPL Electric MB at 64.</w:t>
      </w:r>
      <w:proofErr w:type="gramEnd"/>
      <w:r w:rsidR="009748AD">
        <w:t xml:space="preserve">  The stated "concern" is </w:t>
      </w:r>
      <w:proofErr w:type="gramStart"/>
      <w:r w:rsidR="009748AD">
        <w:t>in</w:t>
      </w:r>
      <w:r w:rsidR="00D35C34">
        <w:t>sufficient  to</w:t>
      </w:r>
      <w:proofErr w:type="gramEnd"/>
      <w:r w:rsidR="00D35C34">
        <w:t xml:space="preserve"> support this asserted reason for longer contract terms.</w:t>
      </w:r>
    </w:p>
    <w:p w:rsidR="008F547E" w:rsidRDefault="008F547E" w:rsidP="001F1974">
      <w:pPr>
        <w:pStyle w:val="BodyText2"/>
        <w:spacing w:after="0" w:line="360" w:lineRule="auto"/>
        <w:jc w:val="left"/>
      </w:pPr>
    </w:p>
    <w:p w:rsidR="00D35C34" w:rsidRDefault="009748AD" w:rsidP="001F1974">
      <w:pPr>
        <w:pStyle w:val="BodyText2"/>
        <w:spacing w:after="0" w:line="360" w:lineRule="auto"/>
        <w:jc w:val="left"/>
      </w:pPr>
      <w:r>
        <w:tab/>
      </w:r>
      <w:r>
        <w:tab/>
        <w:t xml:space="preserve">In response to the </w:t>
      </w:r>
      <w:r w:rsidR="00D35C34">
        <w:t>D</w:t>
      </w:r>
      <w:r w:rsidR="007C33D4">
        <w:t>R</w:t>
      </w:r>
      <w:r w:rsidR="00D35C34">
        <w:t>/IGS</w:t>
      </w:r>
      <w:r>
        <w:t xml:space="preserve"> </w:t>
      </w:r>
      <w:r w:rsidR="00D35C34">
        <w:t>propos</w:t>
      </w:r>
      <w:r>
        <w:t>al</w:t>
      </w:r>
      <w:r w:rsidR="00D35C34">
        <w:t xml:space="preserve"> that EGSs participating in the Opt </w:t>
      </w:r>
      <w:proofErr w:type="gramStart"/>
      <w:r w:rsidR="00D35C34">
        <w:t>In</w:t>
      </w:r>
      <w:proofErr w:type="gramEnd"/>
      <w:r w:rsidR="00D35C34">
        <w:t xml:space="preserve"> Program should post a cash deposit or bond to secure the $50 bonus payment</w:t>
      </w:r>
      <w:r>
        <w:t>, the Company points out that t</w:t>
      </w:r>
      <w:r w:rsidR="00D35C34">
        <w:t xml:space="preserve">he </w:t>
      </w:r>
      <w:r w:rsidR="00D35C34">
        <w:rPr>
          <w:i/>
        </w:rPr>
        <w:t>RMI-IWP Final Order</w:t>
      </w:r>
      <w:r w:rsidR="00D35C34">
        <w:t xml:space="preserve"> did not mandate any security for the bonus payment.  PPL Electric opposes any such requirement if the Company is to hold the security.  The Company believes that its involvement in the relationship between an EGS and its customers</w:t>
      </w:r>
      <w:r>
        <w:t xml:space="preserve"> should be kept to a minimum.  </w:t>
      </w:r>
      <w:r w:rsidR="00D35C34">
        <w:t>Tr. 77-78</w:t>
      </w:r>
      <w:r>
        <w:t xml:space="preserve">; </w:t>
      </w:r>
      <w:r w:rsidR="00D35C34">
        <w:t>PPL Electric RB at 64-65</w:t>
      </w:r>
      <w:r>
        <w:t>.</w:t>
      </w:r>
    </w:p>
    <w:p w:rsidR="00D35C34" w:rsidRDefault="00D35C34" w:rsidP="001F1974">
      <w:pPr>
        <w:jc w:val="left"/>
      </w:pPr>
    </w:p>
    <w:p w:rsidR="009748AD" w:rsidRDefault="009748AD" w:rsidP="001F1974">
      <w:pPr>
        <w:jc w:val="left"/>
      </w:pPr>
      <w:r>
        <w:tab/>
      </w:r>
      <w:r>
        <w:tab/>
        <w:t xml:space="preserve">The idea that any participating EGS would be either unable to perform its duties under the program terms or should be subjected to filing security because of a doubt is somewhat alarming.  Common sense should prevent any financially struggling EGS from agreeing to terms that it is not capable of performing.  </w:t>
      </w:r>
    </w:p>
    <w:p w:rsidR="00D35C34" w:rsidRDefault="00D35C34" w:rsidP="001F1974">
      <w:pPr>
        <w:jc w:val="left"/>
      </w:pPr>
    </w:p>
    <w:p w:rsidR="00D35C34" w:rsidRDefault="00D35C34" w:rsidP="001F1974">
      <w:pPr>
        <w:jc w:val="left"/>
      </w:pPr>
      <w:r>
        <w:tab/>
      </w:r>
      <w:r>
        <w:tab/>
        <w:t>Accordingly, t</w:t>
      </w:r>
      <w:r w:rsidR="00FA4CA7">
        <w:t xml:space="preserve">he Company continues to support a 6-month contract term.  The Company’s proposal of a 6-month term is consistent with the guideline established by the Commission’s </w:t>
      </w:r>
      <w:r w:rsidR="00FA4CA7">
        <w:rPr>
          <w:i/>
        </w:rPr>
        <w:t>RMI-IWP Final Order</w:t>
      </w:r>
      <w:r w:rsidR="00FA4CA7">
        <w:t xml:space="preserve">.  As described in the Commission’s order, the Commission indicated, among other things, that a 6-month term would likely get consumers into the market sooner and that the use of fixed price product across a longer term would increase the risk that intervening PTC changes during the term of the product would lead to a loss of savings.  </w:t>
      </w:r>
      <w:proofErr w:type="gramStart"/>
      <w:r w:rsidR="00FA4CA7">
        <w:t>(</w:t>
      </w:r>
      <w:r w:rsidR="00FA4CA7">
        <w:rPr>
          <w:i/>
        </w:rPr>
        <w:t>RMI-IWP Order</w:t>
      </w:r>
      <w:r w:rsidR="00FA4CA7">
        <w:t xml:space="preserve"> at p. 50).</w:t>
      </w:r>
      <w:proofErr w:type="gramEnd"/>
      <w:r w:rsidR="00FA4CA7">
        <w:t xml:space="preserve">  </w:t>
      </w:r>
    </w:p>
    <w:p w:rsidR="00D35C34" w:rsidRDefault="00D35C34" w:rsidP="001F1974">
      <w:pPr>
        <w:jc w:val="left"/>
      </w:pPr>
    </w:p>
    <w:p w:rsidR="00D35C34" w:rsidRDefault="00D35C34" w:rsidP="001F1974">
      <w:pPr>
        <w:jc w:val="left"/>
      </w:pPr>
      <w:r>
        <w:tab/>
      </w:r>
      <w:r>
        <w:tab/>
        <w:t>The Company's</w:t>
      </w:r>
      <w:r w:rsidR="00FA4CA7">
        <w:t xml:space="preserve"> 6-month term</w:t>
      </w:r>
      <w:r>
        <w:t xml:space="preserve"> recommendation, combined</w:t>
      </w:r>
      <w:r w:rsidR="00FA4CA7">
        <w:t xml:space="preserve"> with its proposed schedule for implementing the auction and changing the PTC on a semi-annual basis, would effectively assure that participants would achieve five months of certain savings off the PTC.  </w:t>
      </w:r>
      <w:proofErr w:type="gramStart"/>
      <w:r w:rsidR="00FA4CA7">
        <w:t>(PPL Electric St. 4-R, p. 25).</w:t>
      </w:r>
      <w:proofErr w:type="gramEnd"/>
      <w:r w:rsidR="00FA4CA7">
        <w:t xml:space="preserve">  While this is not the 12-month guarantee that OCA proposes, it does provide a level of certainty for a reasonable period of time. </w:t>
      </w:r>
    </w:p>
    <w:p w:rsidR="00D35C34" w:rsidRDefault="00D35C34" w:rsidP="001F1974">
      <w:pPr>
        <w:jc w:val="left"/>
      </w:pPr>
    </w:p>
    <w:p w:rsidR="00D35C34" w:rsidRDefault="00D35C34" w:rsidP="001F1974">
      <w:pPr>
        <w:jc w:val="left"/>
      </w:pPr>
      <w:r>
        <w:lastRenderedPageBreak/>
        <w:tab/>
      </w:r>
      <w:r>
        <w:tab/>
        <w:t>In addition t</w:t>
      </w:r>
      <w:r w:rsidR="00FA4CA7">
        <w:t xml:space="preserve">he Company </w:t>
      </w:r>
      <w:r>
        <w:t xml:space="preserve">expresses </w:t>
      </w:r>
      <w:r w:rsidR="00FA4CA7">
        <w:t>concern</w:t>
      </w:r>
      <w:r>
        <w:t xml:space="preserve"> that a requirement that customers</w:t>
      </w:r>
      <w:r w:rsidR="00FA4CA7">
        <w:t xml:space="preserve"> enter into a one-year term contract </w:t>
      </w:r>
      <w:r>
        <w:t xml:space="preserve">is too long </w:t>
      </w:r>
      <w:r w:rsidR="00FA4CA7">
        <w:t>for what is intended to be an i</w:t>
      </w:r>
      <w:r>
        <w:t>ntroduction to shopping:</w:t>
      </w:r>
      <w:r w:rsidR="00FA4CA7">
        <w:t xml:space="preserve">  </w:t>
      </w:r>
    </w:p>
    <w:p w:rsidR="008F547E" w:rsidRDefault="008F547E" w:rsidP="001F1974">
      <w:pPr>
        <w:jc w:val="left"/>
      </w:pPr>
    </w:p>
    <w:p w:rsidR="00FA4CA7" w:rsidRDefault="00FA4CA7" w:rsidP="001F1974">
      <w:pPr>
        <w:spacing w:line="240" w:lineRule="auto"/>
        <w:ind w:left="1440" w:right="1440"/>
        <w:contextualSpacing/>
        <w:jc w:val="left"/>
      </w:pPr>
      <w:r>
        <w:t xml:space="preserve">Thus, the Company’s 6-month term, combined with its proposed implementation date and semi-annual PTC changes, can be viewed as </w:t>
      </w:r>
      <w:proofErr w:type="gramStart"/>
      <w:r>
        <w:t>effecting</w:t>
      </w:r>
      <w:proofErr w:type="gramEnd"/>
      <w:r>
        <w:t xml:space="preserve"> a compromise between the OCA and the EGS positions; customers effectively receive a savings guarantee for at least five months, but EGSs are not required to change their prices under the program to match PTC changes.  </w:t>
      </w:r>
    </w:p>
    <w:p w:rsidR="008F547E" w:rsidRDefault="008F547E" w:rsidP="001F1974">
      <w:pPr>
        <w:spacing w:line="240" w:lineRule="auto"/>
        <w:ind w:left="1440" w:right="1440"/>
        <w:contextualSpacing/>
        <w:jc w:val="left"/>
      </w:pPr>
    </w:p>
    <w:p w:rsidR="00FA4CA7" w:rsidRDefault="00C3691B" w:rsidP="001F1974">
      <w:pPr>
        <w:pStyle w:val="BodyText2"/>
        <w:spacing w:after="0" w:line="240" w:lineRule="auto"/>
        <w:ind w:left="1440" w:right="1440"/>
        <w:jc w:val="left"/>
      </w:pPr>
      <w:r>
        <w:tab/>
      </w:r>
      <w:r w:rsidR="00FA4CA7">
        <w:t xml:space="preserve">The Company notes that under the Opt-In Aggregation Program adopted in the </w:t>
      </w:r>
      <w:r w:rsidR="00FA4CA7">
        <w:rPr>
          <w:i/>
        </w:rPr>
        <w:t>FirstEnergy Order</w:t>
      </w:r>
      <w:r w:rsidR="00FA4CA7">
        <w:t xml:space="preserve">, customers would receive a 5% discount off of the PTC for a period of 4 months, and then would receive an unspecified fixed price for an additional 8-month term.  </w:t>
      </w:r>
      <w:proofErr w:type="gramStart"/>
      <w:r w:rsidR="00FA4CA7">
        <w:t>(</w:t>
      </w:r>
      <w:r w:rsidR="00FA4CA7">
        <w:rPr>
          <w:i/>
        </w:rPr>
        <w:t>FirstEnergy Order</w:t>
      </w:r>
      <w:r w:rsidR="00FA4CA7">
        <w:t>, p. 108).</w:t>
      </w:r>
      <w:proofErr w:type="gramEnd"/>
      <w:r w:rsidR="00FA4CA7">
        <w:t xml:space="preserve">  The Company respectfully is concerned that an opt-in program that does not have standardized price terms among all participating EGS for the length of the contract may result in customer confusion and dissatisfaction and, ultimately, be harmful to shopping.  As explained by PPL Electric witness Krall in surrebuttal, if, for example, a customer becomes aware that EGS “A” offered a 4% discount after the initial 4-month term, but they were randomly assigned to EGS “B”, which offered only a 2% discount after the 4-month term, then PPL Electric, EGSs and the Commission likely will deal with criticisms, possibly complaints about assignments and negative impressions of the shopping experience.  </w:t>
      </w:r>
      <w:proofErr w:type="gramStart"/>
      <w:r w:rsidR="00FA4CA7">
        <w:t>(PPL Electric St. 4-SR, p. 11).</w:t>
      </w:r>
      <w:proofErr w:type="gramEnd"/>
      <w:r w:rsidR="00FA4CA7">
        <w:t xml:space="preserve">  Similar to the explanation above with respect to price guarantees, PPL Electric believes that an aggregation approach that establishes a 6-month term with a stated discount of 5% would produce a more positive shopping experience than a 5% discount for 4 months followed by a non-standard price among EGSs for a remaining 8-month period.  </w:t>
      </w:r>
      <w:proofErr w:type="gramStart"/>
      <w:r w:rsidR="00FA4CA7">
        <w:t>(PPL Electric St. 4-SR, p. 11).</w:t>
      </w:r>
      <w:proofErr w:type="gramEnd"/>
      <w:r w:rsidR="00FA4CA7">
        <w:t xml:space="preserve">  </w:t>
      </w:r>
    </w:p>
    <w:p w:rsidR="00FA4CA7" w:rsidRDefault="00D35C34" w:rsidP="001F1974">
      <w:pPr>
        <w:pStyle w:val="BodyText2"/>
        <w:spacing w:after="0" w:line="360" w:lineRule="auto"/>
        <w:contextualSpacing/>
        <w:jc w:val="left"/>
      </w:pPr>
      <w:r>
        <w:t>PPL Electric MB at 116-117.</w:t>
      </w:r>
    </w:p>
    <w:p w:rsidR="009748AD" w:rsidRDefault="009748AD" w:rsidP="001F1974">
      <w:pPr>
        <w:pStyle w:val="BodyText2"/>
        <w:spacing w:after="0" w:line="360" w:lineRule="auto"/>
        <w:contextualSpacing/>
        <w:jc w:val="left"/>
      </w:pPr>
    </w:p>
    <w:p w:rsidR="00054C74" w:rsidRDefault="009748AD" w:rsidP="001F1974">
      <w:pPr>
        <w:pStyle w:val="BodyText2"/>
        <w:spacing w:after="0" w:line="360" w:lineRule="auto"/>
        <w:contextualSpacing/>
        <w:jc w:val="left"/>
      </w:pPr>
      <w:r>
        <w:tab/>
      </w:r>
      <w:r>
        <w:tab/>
      </w:r>
      <w:r w:rsidR="00F2710F">
        <w:t xml:space="preserve">There is no requirement in the law that all programs offered by the Commonwealth's EDCs be identical.  </w:t>
      </w:r>
      <w:r w:rsidR="00054C74">
        <w:t xml:space="preserve">The program proposed by the Company is a reasonable one.  The six-month length in this EDC's 29-county territory provides the entire market the opportunity to compare the results of a six-month program to the results of the 12-month </w:t>
      </w:r>
      <w:r w:rsidR="00054C74">
        <w:lastRenderedPageBreak/>
        <w:t>program to be offered by the FirstEnergy</w:t>
      </w:r>
      <w:r w:rsidR="00F2710F">
        <w:t xml:space="preserve"> companies and PECO for what could be invaluable guidance in future initiatives.  Accordingly, I recommend approval of the six-month plan.</w:t>
      </w:r>
    </w:p>
    <w:p w:rsidR="00F2710F" w:rsidRDefault="00F2710F" w:rsidP="001F1974">
      <w:pPr>
        <w:pStyle w:val="BodyText2"/>
        <w:spacing w:after="0" w:line="360" w:lineRule="auto"/>
        <w:jc w:val="left"/>
      </w:pPr>
    </w:p>
    <w:p w:rsidR="00BD137A" w:rsidRPr="00FF18D0" w:rsidRDefault="00011E36" w:rsidP="00011E36">
      <w:pPr>
        <w:ind w:left="1440"/>
        <w:jc w:val="left"/>
        <w:rPr>
          <w:b/>
        </w:rPr>
      </w:pPr>
      <w:r w:rsidRPr="00FF18D0">
        <w:rPr>
          <w:b/>
        </w:rPr>
        <w:t>c</w:t>
      </w:r>
      <w:r w:rsidR="009748AD" w:rsidRPr="00FF18D0">
        <w:rPr>
          <w:b/>
        </w:rPr>
        <w:t>.</w:t>
      </w:r>
      <w:r w:rsidR="009748AD" w:rsidRPr="00FF18D0">
        <w:rPr>
          <w:b/>
        </w:rPr>
        <w:tab/>
        <w:t xml:space="preserve">Limitation </w:t>
      </w:r>
      <w:r w:rsidR="00BD137A" w:rsidRPr="00FF18D0">
        <w:rPr>
          <w:b/>
        </w:rPr>
        <w:t>of participants</w:t>
      </w:r>
      <w:r w:rsidR="00FF18D0">
        <w:rPr>
          <w:b/>
        </w:rPr>
        <w:fldChar w:fldCharType="begin"/>
      </w:r>
      <w:r w:rsidR="00FF18D0">
        <w:instrText xml:space="preserve"> TC "</w:instrText>
      </w:r>
      <w:bookmarkStart w:id="97" w:name="_Toc340670037"/>
      <w:r w:rsidR="00FF18D0" w:rsidRPr="009B7B20">
        <w:rPr>
          <w:b/>
        </w:rPr>
        <w:instrText>c.</w:instrText>
      </w:r>
      <w:r w:rsidR="00FF18D0" w:rsidRPr="009B7B20">
        <w:rPr>
          <w:b/>
        </w:rPr>
        <w:tab/>
        <w:instrText>Limitation of participants</w:instrText>
      </w:r>
      <w:bookmarkEnd w:id="97"/>
      <w:r w:rsidR="00FF18D0">
        <w:instrText xml:space="preserve">" \f C \l "4" </w:instrText>
      </w:r>
      <w:r w:rsidR="00FF18D0">
        <w:rPr>
          <w:b/>
        </w:rPr>
        <w:fldChar w:fldCharType="end"/>
      </w:r>
    </w:p>
    <w:p w:rsidR="00BD137A" w:rsidRDefault="00BD137A" w:rsidP="001F1974">
      <w:pPr>
        <w:jc w:val="left"/>
      </w:pPr>
    </w:p>
    <w:p w:rsidR="00B75B0C" w:rsidRDefault="00B75B0C" w:rsidP="001F1974">
      <w:pPr>
        <w:jc w:val="left"/>
      </w:pPr>
      <w:r>
        <w:tab/>
      </w:r>
      <w:r>
        <w:tab/>
        <w:t>PPL Electric proposes to offer participation to all residential customers, with a limit on participation by non-shopping customers capped at 50% of the number of default service customers as of October 31, 2013, which is estimated to be approximately 360,000 residential customers. The program will be marketed to default service customers, but shopping customers who "make an affirmative request" will be permitted to participate without first moving to default service.  PPL Electric MB at 111-112.</w:t>
      </w:r>
      <w:r w:rsidR="007A0744">
        <w:t xml:space="preserve">  The Company has not included small C&amp;I customers in its plan.</w:t>
      </w:r>
    </w:p>
    <w:p w:rsidR="00C3691B" w:rsidRDefault="00C3691B" w:rsidP="001F1974">
      <w:pPr>
        <w:jc w:val="left"/>
      </w:pPr>
    </w:p>
    <w:p w:rsidR="00B75B0C" w:rsidRPr="00EA1508" w:rsidRDefault="00011E36" w:rsidP="00011E36">
      <w:pPr>
        <w:ind w:left="2160"/>
        <w:jc w:val="left"/>
        <w:rPr>
          <w:b/>
        </w:rPr>
      </w:pPr>
      <w:r>
        <w:rPr>
          <w:b/>
        </w:rPr>
        <w:t>i</w:t>
      </w:r>
      <w:r w:rsidR="00EA1508" w:rsidRPr="00EA1508">
        <w:rPr>
          <w:b/>
        </w:rPr>
        <w:t>.</w:t>
      </w:r>
      <w:r w:rsidR="00EA1508" w:rsidRPr="00EA1508">
        <w:rPr>
          <w:b/>
        </w:rPr>
        <w:tab/>
        <w:t>Residential customers</w:t>
      </w:r>
      <w:r w:rsidR="00FF18D0">
        <w:rPr>
          <w:b/>
        </w:rPr>
        <w:fldChar w:fldCharType="begin"/>
      </w:r>
      <w:r w:rsidR="00FF18D0">
        <w:instrText xml:space="preserve"> TC "</w:instrText>
      </w:r>
      <w:bookmarkStart w:id="98" w:name="_Toc340670038"/>
      <w:r w:rsidR="00FF18D0" w:rsidRPr="009B7B20">
        <w:rPr>
          <w:b/>
        </w:rPr>
        <w:instrText>i.</w:instrText>
      </w:r>
      <w:r w:rsidR="00FF18D0" w:rsidRPr="009B7B20">
        <w:rPr>
          <w:b/>
        </w:rPr>
        <w:tab/>
        <w:instrText>Residential customers</w:instrText>
      </w:r>
      <w:bookmarkEnd w:id="98"/>
      <w:r w:rsidR="00FF18D0">
        <w:instrText xml:space="preserve">" \f C \l "5" </w:instrText>
      </w:r>
      <w:r w:rsidR="00FF18D0">
        <w:rPr>
          <w:b/>
        </w:rPr>
        <w:fldChar w:fldCharType="end"/>
      </w:r>
    </w:p>
    <w:p w:rsidR="00EA1508" w:rsidRDefault="00EA1508" w:rsidP="001F1974">
      <w:pPr>
        <w:jc w:val="left"/>
      </w:pPr>
    </w:p>
    <w:p w:rsidR="00BD137A" w:rsidRDefault="00BD137A" w:rsidP="001F1974">
      <w:pPr>
        <w:jc w:val="left"/>
      </w:pPr>
      <w:r>
        <w:tab/>
      </w:r>
      <w:r>
        <w:tab/>
        <w:t xml:space="preserve">OCA recommends limiting the </w:t>
      </w:r>
      <w:r w:rsidR="00DF24D8">
        <w:t>Opt-I</w:t>
      </w:r>
      <w:r>
        <w:t xml:space="preserve">n </w:t>
      </w:r>
      <w:r w:rsidR="00DF24D8">
        <w:t>P</w:t>
      </w:r>
      <w:r>
        <w:t xml:space="preserve">rogram to 20% of non-shopping customers.  </w:t>
      </w:r>
      <w:proofErr w:type="gramStart"/>
      <w:r>
        <w:t>OCA MB at 39.</w:t>
      </w:r>
      <w:proofErr w:type="gramEnd"/>
      <w:r>
        <w:t xml:space="preserve">  OCA agrees that all default service customers should be informed about the program, but recommends that the maximum number of customers authorized to enroll in the program be limited to no more than 20% of the total number of eligible customers.  The intent is to mitigate the increased volumetric risk and therefore higher prices for providing default service.  </w:t>
      </w:r>
      <w:proofErr w:type="gramStart"/>
      <w:r>
        <w:t>OCA Stmt. 1 at 20; OCA MB at 44.</w:t>
      </w:r>
      <w:proofErr w:type="gramEnd"/>
      <w:r>
        <w:t xml:space="preserve">  </w:t>
      </w:r>
    </w:p>
    <w:p w:rsidR="00BD137A" w:rsidRDefault="00BD137A" w:rsidP="00011E36">
      <w:pPr>
        <w:jc w:val="left"/>
      </w:pPr>
    </w:p>
    <w:p w:rsidR="00BD137A" w:rsidRDefault="00BD137A" w:rsidP="001F1974">
      <w:pPr>
        <w:jc w:val="left"/>
      </w:pPr>
      <w:r>
        <w:tab/>
      </w:r>
      <w:r>
        <w:tab/>
        <w:t xml:space="preserve">OCA witness Hahn recommends another measure to reduce volumetric risk is to set aside a portion of the initial default service solicitations but leave them unfilled at the beginning of the DSP.  The </w:t>
      </w:r>
      <w:proofErr w:type="gramStart"/>
      <w:r>
        <w:t>size</w:t>
      </w:r>
      <w:proofErr w:type="gramEnd"/>
      <w:r>
        <w:t xml:space="preserve"> of the default service tranches can be adjusted based upon the number of retail opt-in auction trances are filled.  This is to maintain the megawatts expected to be supplied by each default service supplier at the level in the original default service solicitation but each supplier's percentage of load served changes.  Tranches not filled would be supplied by additional spot purchases or by additional default service solicitations.  </w:t>
      </w:r>
      <w:proofErr w:type="gramStart"/>
      <w:r>
        <w:t>OCA Stmt. 1 at 20; OCA MB at 46.</w:t>
      </w:r>
      <w:proofErr w:type="gramEnd"/>
      <w:r>
        <w:tab/>
      </w:r>
    </w:p>
    <w:p w:rsidR="007A0744" w:rsidRDefault="007A0744" w:rsidP="001F1974">
      <w:pPr>
        <w:contextualSpacing/>
        <w:jc w:val="left"/>
      </w:pPr>
    </w:p>
    <w:p w:rsidR="007A0744" w:rsidRDefault="004F3190" w:rsidP="001F1974">
      <w:pPr>
        <w:pStyle w:val="BodyText2"/>
        <w:spacing w:after="0" w:line="360" w:lineRule="auto"/>
        <w:contextualSpacing/>
        <w:jc w:val="left"/>
      </w:pPr>
      <w:r>
        <w:lastRenderedPageBreak/>
        <w:tab/>
      </w:r>
      <w:r>
        <w:tab/>
      </w:r>
      <w:r w:rsidR="007A0744">
        <w:t>OCA expresses concerns about possible effects upon default supplier bids, and argues that the relatively high level of residential shopping in PPL Electric service territory did not justify a program that could involve 50% of remaini</w:t>
      </w:r>
      <w:r>
        <w:t xml:space="preserve">ng default service customers.  </w:t>
      </w:r>
      <w:proofErr w:type="gramStart"/>
      <w:r w:rsidR="007A0744">
        <w:t>OCA St</w:t>
      </w:r>
      <w:r>
        <w:t>mt</w:t>
      </w:r>
      <w:r w:rsidR="007A0744">
        <w:t>. 1</w:t>
      </w:r>
      <w:r>
        <w:t xml:space="preserve"> at</w:t>
      </w:r>
      <w:r w:rsidR="007A0744">
        <w:t xml:space="preserve"> 20; OCA St</w:t>
      </w:r>
      <w:r>
        <w:t>mt</w:t>
      </w:r>
      <w:r w:rsidR="007A0744">
        <w:t>. 2</w:t>
      </w:r>
      <w:r>
        <w:t xml:space="preserve"> at</w:t>
      </w:r>
      <w:r w:rsidR="007A0744">
        <w:t xml:space="preserve"> 11.</w:t>
      </w:r>
      <w:proofErr w:type="gramEnd"/>
      <w:r w:rsidR="007A0744">
        <w:t xml:space="preserve">  </w:t>
      </w:r>
      <w:r>
        <w:t>The Company points out that t</w:t>
      </w:r>
      <w:r w:rsidR="007A0744">
        <w:t xml:space="preserve">he Commission </w:t>
      </w:r>
      <w:r>
        <w:t xml:space="preserve">has already dispensed with this argument </w:t>
      </w:r>
      <w:r w:rsidR="007A0744">
        <w:t xml:space="preserve">in the </w:t>
      </w:r>
      <w:r w:rsidR="007A0744">
        <w:rPr>
          <w:i/>
        </w:rPr>
        <w:t>RMI-IWP Final Order</w:t>
      </w:r>
      <w:r w:rsidR="007A0744">
        <w:t xml:space="preserve">, </w:t>
      </w:r>
      <w:r>
        <w:t>and has maintained</w:t>
      </w:r>
      <w:r w:rsidR="007A0744">
        <w:t xml:space="preserve"> the 50% participant cap.  Furthermore, </w:t>
      </w:r>
      <w:r>
        <w:t xml:space="preserve">it is unfair to place </w:t>
      </w:r>
      <w:r w:rsidR="007A0744">
        <w:t xml:space="preserve">the Company in the position of having to tell customers </w:t>
      </w:r>
      <w:r w:rsidR="00DF24D8">
        <w:t>who wish to participate in</w:t>
      </w:r>
      <w:r w:rsidR="007A0744">
        <w:t xml:space="preserve"> the program that their choice was made too late and that the program is closed.  This is more likely to occur where the part</w:t>
      </w:r>
      <w:r>
        <w:t xml:space="preserve">icipation cap is set too low.  </w:t>
      </w:r>
      <w:r w:rsidR="007A0744">
        <w:t>PPL Electric S</w:t>
      </w:r>
      <w:r>
        <w:t>tmt. 4-R at</w:t>
      </w:r>
      <w:r w:rsidR="007A0744">
        <w:t xml:space="preserve"> 28-29.</w:t>
      </w:r>
      <w:r w:rsidR="00FF18D0">
        <w:t xml:space="preserve">  </w:t>
      </w:r>
      <w:r>
        <w:t>T</w:t>
      </w:r>
      <w:r w:rsidR="007A0744">
        <w:t>he Company support</w:t>
      </w:r>
      <w:r>
        <w:t>s</w:t>
      </w:r>
      <w:r w:rsidR="007A0744">
        <w:t xml:space="preserve"> having no participation cap, because the Company believes that complicated rules may actually reinforce reasons underlying customers’ reluctance to shop.  </w:t>
      </w:r>
      <w:proofErr w:type="gramStart"/>
      <w:r w:rsidR="007A0744">
        <w:t>PPL Electric St</w:t>
      </w:r>
      <w:r>
        <w:t>mt</w:t>
      </w:r>
      <w:r w:rsidR="007A0744">
        <w:t>. 4-R</w:t>
      </w:r>
      <w:r>
        <w:t xml:space="preserve"> at </w:t>
      </w:r>
      <w:r w:rsidR="007A0744">
        <w:t>29</w:t>
      </w:r>
      <w:r>
        <w:t>; PPL Electric MB at 118.</w:t>
      </w:r>
      <w:proofErr w:type="gramEnd"/>
      <w:r w:rsidR="00FF18D0">
        <w:t xml:space="preserve">  </w:t>
      </w:r>
    </w:p>
    <w:p w:rsidR="00ED38D7" w:rsidRDefault="00ED38D7" w:rsidP="008F547E">
      <w:pPr>
        <w:pStyle w:val="BodyText2"/>
        <w:spacing w:after="0" w:line="360" w:lineRule="auto"/>
        <w:contextualSpacing/>
        <w:jc w:val="left"/>
      </w:pPr>
    </w:p>
    <w:p w:rsidR="00ED38D7" w:rsidRDefault="00ED38D7" w:rsidP="008F547E">
      <w:pPr>
        <w:pStyle w:val="BodyText2"/>
        <w:spacing w:after="0" w:line="360" w:lineRule="auto"/>
        <w:contextualSpacing/>
        <w:jc w:val="left"/>
      </w:pPr>
      <w:r>
        <w:tab/>
      </w:r>
      <w:r>
        <w:tab/>
        <w:t>RESA states that it is willing to accept a 50% customer participation cap.  RESA RB at 32-33.</w:t>
      </w:r>
    </w:p>
    <w:p w:rsidR="004F3190" w:rsidRDefault="004F3190" w:rsidP="008F547E">
      <w:pPr>
        <w:pStyle w:val="BodyText2"/>
        <w:spacing w:after="0" w:line="360" w:lineRule="auto"/>
        <w:contextualSpacing/>
        <w:jc w:val="left"/>
      </w:pPr>
    </w:p>
    <w:p w:rsidR="004F3190" w:rsidRDefault="004F3190" w:rsidP="008F547E">
      <w:pPr>
        <w:pStyle w:val="BodyText2"/>
        <w:spacing w:after="0" w:line="360" w:lineRule="auto"/>
        <w:contextualSpacing/>
        <w:jc w:val="left"/>
      </w:pPr>
      <w:r>
        <w:tab/>
      </w:r>
      <w:r>
        <w:tab/>
        <w:t>The 50% participation cap is reasonable and is recommended here.</w:t>
      </w:r>
    </w:p>
    <w:p w:rsidR="008F547E" w:rsidRDefault="008F547E" w:rsidP="008F547E">
      <w:pPr>
        <w:pStyle w:val="BodyText2"/>
        <w:spacing w:after="0" w:line="360" w:lineRule="auto"/>
        <w:contextualSpacing/>
        <w:jc w:val="left"/>
      </w:pPr>
    </w:p>
    <w:p w:rsidR="007A0744" w:rsidRDefault="004F3190" w:rsidP="008F547E">
      <w:pPr>
        <w:contextualSpacing/>
        <w:jc w:val="left"/>
      </w:pPr>
      <w:r>
        <w:tab/>
      </w:r>
      <w:r>
        <w:tab/>
        <w:t>The proposed plan markets to default service customers but would permit participation by customers already shopping if they make an affirmative inquiry.</w:t>
      </w:r>
    </w:p>
    <w:p w:rsidR="00B75B0C" w:rsidRDefault="00B75B0C" w:rsidP="008F547E">
      <w:pPr>
        <w:contextualSpacing/>
        <w:jc w:val="left"/>
      </w:pPr>
    </w:p>
    <w:p w:rsidR="00963643" w:rsidRDefault="00963643" w:rsidP="008F547E">
      <w:pPr>
        <w:pStyle w:val="BodyText2"/>
        <w:spacing w:after="0" w:line="360" w:lineRule="auto"/>
        <w:contextualSpacing/>
        <w:jc w:val="left"/>
      </w:pPr>
      <w:r>
        <w:tab/>
      </w:r>
      <w:r>
        <w:tab/>
      </w:r>
      <w:r w:rsidR="00FA4CA7">
        <w:t xml:space="preserve">RESA </w:t>
      </w:r>
      <w:r>
        <w:t xml:space="preserve">argues </w:t>
      </w:r>
      <w:r w:rsidR="00FA4CA7">
        <w:t>that customers who are receiving service from an EGS should be prohibited from partici</w:t>
      </w:r>
      <w:r>
        <w:t xml:space="preserve">pating in the Opt-In Program.  </w:t>
      </w:r>
      <w:proofErr w:type="gramStart"/>
      <w:r w:rsidR="00FA4CA7">
        <w:t>RESA St</w:t>
      </w:r>
      <w:r w:rsidR="00FB4831">
        <w:t>mt</w:t>
      </w:r>
      <w:r w:rsidR="00FA4CA7">
        <w:t>. 2</w:t>
      </w:r>
      <w:r w:rsidR="00FB4831">
        <w:t xml:space="preserve"> at</w:t>
      </w:r>
      <w:r w:rsidR="00FA4CA7">
        <w:t xml:space="preserve"> 28</w:t>
      </w:r>
      <w:r>
        <w:t>; RESA MB at 64</w:t>
      </w:r>
      <w:r w:rsidR="00FA4CA7">
        <w:t>.</w:t>
      </w:r>
      <w:proofErr w:type="gramEnd"/>
      <w:r w:rsidR="00FA4CA7">
        <w:t xml:space="preserve">  </w:t>
      </w:r>
      <w:r>
        <w:t>RESA states:</w:t>
      </w:r>
    </w:p>
    <w:p w:rsidR="008F547E" w:rsidRDefault="008F547E" w:rsidP="008F547E">
      <w:pPr>
        <w:pStyle w:val="BodyText2"/>
        <w:spacing w:after="0" w:line="360" w:lineRule="auto"/>
        <w:contextualSpacing/>
        <w:jc w:val="left"/>
      </w:pPr>
    </w:p>
    <w:p w:rsidR="00963643" w:rsidRDefault="00963643" w:rsidP="001F1974">
      <w:pPr>
        <w:pStyle w:val="BodyText2"/>
        <w:spacing w:after="0" w:line="240" w:lineRule="auto"/>
        <w:ind w:left="1440" w:right="1440"/>
        <w:jc w:val="left"/>
      </w:pPr>
      <w:r>
        <w:t xml:space="preserve">The primary intent of the retail opt-in auction/aggregation and other RMEs is to introduce default service customers to competitive alternatives.  Accordingly, only default service customers should be eligible for the retail opt-in auction/aggregation.  Many EGSs that are already service mass market customers have invested significant financial resources in attracting these customers.  These EGSs should not face the risk of losing that investment as a result of an [sic] retail opt-in auction/aggregation program whose stated intent is to encourage default service customers to shop.  It is not enough to simply limit </w:t>
      </w:r>
      <w:r>
        <w:lastRenderedPageBreak/>
        <w:t xml:space="preserve">education and marketing about the program to default service customers.  The EDCs, in developing messaging about the program, call center scripts and other materials </w:t>
      </w:r>
      <w:r w:rsidR="001175A5">
        <w:t>and protocols, should inform customers that they are not eligible for the opt-in auction/aggregation if they are already being served by an EGS.  This limitation is also important from a customer perspective.  Some EGSs impose early termination fees on customers who cancel their contract early.  Limiting eligibility to non-shopping customers will eliminate the risk that existing shopping customers will be subject to such penalties from their existing supplier should they chose [sic] to enroll in the opt-in auction/aggregation.</w:t>
      </w:r>
    </w:p>
    <w:p w:rsidR="001175A5" w:rsidRDefault="001175A5" w:rsidP="001F1974">
      <w:pPr>
        <w:pStyle w:val="BodyText2"/>
        <w:spacing w:after="0" w:line="360" w:lineRule="auto"/>
        <w:contextualSpacing/>
        <w:jc w:val="left"/>
      </w:pPr>
      <w:proofErr w:type="gramStart"/>
      <w:r>
        <w:t>RESA MB at 65 (footnotes omitted).</w:t>
      </w:r>
      <w:proofErr w:type="gramEnd"/>
    </w:p>
    <w:p w:rsidR="00963643" w:rsidRDefault="00963643" w:rsidP="001F1974">
      <w:pPr>
        <w:pStyle w:val="BodyText2"/>
        <w:spacing w:after="0" w:line="360" w:lineRule="auto"/>
        <w:contextualSpacing/>
        <w:jc w:val="left"/>
      </w:pPr>
    </w:p>
    <w:p w:rsidR="00AE4966" w:rsidRDefault="001175A5" w:rsidP="001F1974">
      <w:pPr>
        <w:pStyle w:val="BodyText2"/>
        <w:spacing w:after="0" w:line="360" w:lineRule="auto"/>
        <w:contextualSpacing/>
        <w:jc w:val="left"/>
      </w:pPr>
      <w:r>
        <w:tab/>
      </w:r>
      <w:r>
        <w:tab/>
        <w:t xml:space="preserve">PPL Electric protests that </w:t>
      </w:r>
      <w:r w:rsidR="00FA4CA7">
        <w:t>RESA would let PPL Electric bear the brunt of customer criticisms, and possibly even complaints to the Commission, when shopping customers call to ask about the Opt-In Program and are t</w:t>
      </w:r>
      <w:r w:rsidR="00FB4831">
        <w:t xml:space="preserve">old that they are ineligible.  </w:t>
      </w:r>
      <w:proofErr w:type="gramStart"/>
      <w:r w:rsidR="00FA4CA7">
        <w:t>PPL Electric St</w:t>
      </w:r>
      <w:r w:rsidR="00FB4831">
        <w:t>mt</w:t>
      </w:r>
      <w:r w:rsidR="00FA4CA7">
        <w:t>. 4-R</w:t>
      </w:r>
      <w:r w:rsidR="00FB4831">
        <w:t xml:space="preserve"> at</w:t>
      </w:r>
      <w:r w:rsidR="00FA4CA7">
        <w:t xml:space="preserve"> 27.</w:t>
      </w:r>
      <w:proofErr w:type="gramEnd"/>
      <w:r w:rsidR="00FA4CA7">
        <w:t xml:space="preserve">  This is not a fair approach</w:t>
      </w:r>
      <w:r>
        <w:t xml:space="preserve"> to the Company, which responds by pointing out that</w:t>
      </w:r>
      <w:r w:rsidR="00FA4CA7">
        <w:t xml:space="preserve"> the Commission has already considered this issue in the </w:t>
      </w:r>
      <w:r w:rsidR="00FA4CA7">
        <w:rPr>
          <w:i/>
        </w:rPr>
        <w:t>RMI-IWP Final Order</w:t>
      </w:r>
      <w:r w:rsidR="00FA4CA7">
        <w:t xml:space="preserve">, and concluded that while an Opt-In Program should not be marketed to shopping </w:t>
      </w:r>
      <w:proofErr w:type="gramStart"/>
      <w:r w:rsidR="00FA4CA7">
        <w:t>customers,</w:t>
      </w:r>
      <w:proofErr w:type="gramEnd"/>
      <w:r w:rsidR="00FA4CA7">
        <w:t xml:space="preserve"> those customers should be permitted to participate if they affirmatively m</w:t>
      </w:r>
      <w:r w:rsidR="00FB4831">
        <w:t xml:space="preserve">ake a request to the utility.  </w:t>
      </w:r>
      <w:r w:rsidR="00FA4CA7">
        <w:rPr>
          <w:i/>
        </w:rPr>
        <w:t>RMI-IWP Final Order</w:t>
      </w:r>
      <w:r w:rsidR="00FB4831">
        <w:t xml:space="preserve"> at </w:t>
      </w:r>
      <w:r w:rsidR="00FA4CA7">
        <w:t xml:space="preserve">41-42.  </w:t>
      </w:r>
      <w:r>
        <w:t>PPL Electric MB at 117-118.</w:t>
      </w:r>
    </w:p>
    <w:p w:rsidR="00E824D5" w:rsidRDefault="00E824D5" w:rsidP="001F1974">
      <w:pPr>
        <w:pStyle w:val="BodyText2"/>
        <w:spacing w:after="0" w:line="360" w:lineRule="auto"/>
        <w:contextualSpacing/>
        <w:jc w:val="left"/>
      </w:pPr>
    </w:p>
    <w:p w:rsidR="00E824D5" w:rsidRDefault="00E824D5" w:rsidP="001F1974">
      <w:pPr>
        <w:pStyle w:val="BodyText2"/>
        <w:spacing w:after="0" w:line="360" w:lineRule="auto"/>
        <w:contextualSpacing/>
        <w:jc w:val="left"/>
      </w:pPr>
      <w:r>
        <w:tab/>
      </w:r>
      <w:r>
        <w:tab/>
        <w:t xml:space="preserve">In addition, PPL Electric points out that the program specifically provides for a cap of 50% on non-shopping customers only.  If any shopping customers make an affirmative request to be included in the Opt-In Program, they will not impact the non-shopping customer cap.  </w:t>
      </w:r>
      <w:proofErr w:type="gramStart"/>
      <w:r>
        <w:t>PPL Electric St</w:t>
      </w:r>
      <w:r w:rsidR="00FB4831">
        <w:t>mt</w:t>
      </w:r>
      <w:r>
        <w:t>. 4</w:t>
      </w:r>
      <w:r w:rsidR="00FB4831">
        <w:t xml:space="preserve"> at</w:t>
      </w:r>
      <w:r>
        <w:t xml:space="preserve"> 21; PPL Electric RB at 66.</w:t>
      </w:r>
      <w:proofErr w:type="gramEnd"/>
    </w:p>
    <w:p w:rsidR="001175A5" w:rsidRDefault="001175A5" w:rsidP="001F1974">
      <w:pPr>
        <w:pStyle w:val="BodyText2"/>
        <w:spacing w:after="0" w:line="360" w:lineRule="auto"/>
        <w:contextualSpacing/>
        <w:jc w:val="left"/>
      </w:pPr>
    </w:p>
    <w:p w:rsidR="001175A5" w:rsidRDefault="001175A5" w:rsidP="001F1974">
      <w:pPr>
        <w:pStyle w:val="BodyText2"/>
        <w:spacing w:after="0" w:line="360" w:lineRule="auto"/>
        <w:contextualSpacing/>
        <w:jc w:val="left"/>
      </w:pPr>
      <w:r>
        <w:tab/>
      </w:r>
      <w:r>
        <w:tab/>
        <w:t xml:space="preserve">RESA's reasoning is not consistent with its stated belief that a robust competitive market is in everyone's best interest.  After all, the competition in the market is not just between the default service provider and the </w:t>
      </w:r>
      <w:proofErr w:type="gramStart"/>
      <w:r>
        <w:t>EGSs,</w:t>
      </w:r>
      <w:proofErr w:type="gramEnd"/>
      <w:r>
        <w:t xml:space="preserve"> it is among the EGSs as well.  If the shopping customer has an EGS who has already provided a better deal than the opt-in auction/aggregation can provide, then it stands to reason that that customer will not participate in the auction/aggregation.  There is no bar to any EGS providing an even better deal to its customers</w:t>
      </w:r>
      <w:r w:rsidR="00EA1508">
        <w:t xml:space="preserve"> independent of the Commission-driven programs</w:t>
      </w:r>
      <w:r>
        <w:t xml:space="preserve">.  </w:t>
      </w:r>
    </w:p>
    <w:p w:rsidR="00ED38D7" w:rsidRDefault="00ED38D7" w:rsidP="00D67008">
      <w:pPr>
        <w:pStyle w:val="BodyText2"/>
        <w:spacing w:after="0" w:line="360" w:lineRule="auto"/>
        <w:contextualSpacing/>
        <w:jc w:val="left"/>
      </w:pPr>
    </w:p>
    <w:p w:rsidR="009736D2" w:rsidRDefault="00011E36" w:rsidP="00D67008">
      <w:pPr>
        <w:pStyle w:val="BodyText2"/>
        <w:spacing w:after="0" w:line="360" w:lineRule="auto"/>
        <w:ind w:left="2160"/>
        <w:contextualSpacing/>
        <w:jc w:val="left"/>
        <w:rPr>
          <w:b/>
        </w:rPr>
      </w:pPr>
      <w:r>
        <w:rPr>
          <w:b/>
        </w:rPr>
        <w:lastRenderedPageBreak/>
        <w:t>ii</w:t>
      </w:r>
      <w:r w:rsidR="00EA1508" w:rsidRPr="00EA1508">
        <w:rPr>
          <w:b/>
        </w:rPr>
        <w:t>.</w:t>
      </w:r>
      <w:r w:rsidR="00EA1508" w:rsidRPr="00EA1508">
        <w:rPr>
          <w:b/>
        </w:rPr>
        <w:tab/>
      </w:r>
      <w:r w:rsidR="009736D2" w:rsidRPr="00EA1508">
        <w:rPr>
          <w:b/>
        </w:rPr>
        <w:t>Small C&amp;I</w:t>
      </w:r>
      <w:r w:rsidR="00EA1508" w:rsidRPr="00EA1508">
        <w:rPr>
          <w:b/>
        </w:rPr>
        <w:t xml:space="preserve"> Customers</w:t>
      </w:r>
      <w:r w:rsidR="00FF18D0">
        <w:rPr>
          <w:b/>
        </w:rPr>
        <w:fldChar w:fldCharType="begin"/>
      </w:r>
      <w:r w:rsidR="00FF18D0">
        <w:instrText xml:space="preserve"> TC "</w:instrText>
      </w:r>
      <w:bookmarkStart w:id="99" w:name="_Toc340670039"/>
      <w:r w:rsidR="00FF18D0" w:rsidRPr="009B7B20">
        <w:rPr>
          <w:b/>
        </w:rPr>
        <w:instrText>ii.</w:instrText>
      </w:r>
      <w:r w:rsidR="00FF18D0" w:rsidRPr="009B7B20">
        <w:rPr>
          <w:b/>
        </w:rPr>
        <w:tab/>
        <w:instrText>Small C&amp;I Customers</w:instrText>
      </w:r>
      <w:bookmarkEnd w:id="99"/>
      <w:r w:rsidR="00FF18D0">
        <w:instrText xml:space="preserve">" \f C \l "5" </w:instrText>
      </w:r>
      <w:r w:rsidR="00FF18D0">
        <w:rPr>
          <w:b/>
        </w:rPr>
        <w:fldChar w:fldCharType="end"/>
      </w:r>
    </w:p>
    <w:p w:rsidR="00ED38D7" w:rsidRPr="00EA1508" w:rsidRDefault="00ED38D7" w:rsidP="00D67008">
      <w:pPr>
        <w:pStyle w:val="BodyText2"/>
        <w:spacing w:after="0" w:line="360" w:lineRule="auto"/>
        <w:contextualSpacing/>
        <w:jc w:val="left"/>
        <w:rPr>
          <w:b/>
        </w:rPr>
      </w:pPr>
    </w:p>
    <w:p w:rsidR="00881A79" w:rsidRDefault="009736D2" w:rsidP="00D67008">
      <w:pPr>
        <w:pStyle w:val="BodyText2"/>
        <w:spacing w:after="0" w:line="360" w:lineRule="auto"/>
        <w:jc w:val="left"/>
      </w:pPr>
      <w:r>
        <w:tab/>
      </w:r>
      <w:r w:rsidR="00881A79">
        <w:tab/>
        <w:t xml:space="preserve">The proposed plan does not include making Small </w:t>
      </w:r>
      <w:proofErr w:type="gramStart"/>
      <w:r w:rsidR="00881A79">
        <w:t>C&amp;I</w:t>
      </w:r>
      <w:proofErr w:type="gramEnd"/>
      <w:r w:rsidR="00881A79">
        <w:t xml:space="preserve"> customers eligible for the </w:t>
      </w:r>
      <w:r w:rsidR="00655BC5">
        <w:t>O</w:t>
      </w:r>
      <w:r w:rsidR="00881A79">
        <w:t>pt-</w:t>
      </w:r>
      <w:r w:rsidR="00655BC5">
        <w:t>I</w:t>
      </w:r>
      <w:r w:rsidR="00881A79">
        <w:t xml:space="preserve">n </w:t>
      </w:r>
      <w:r w:rsidR="00655BC5">
        <w:t>P</w:t>
      </w:r>
      <w:r w:rsidR="00881A79">
        <w:t>rogram.</w:t>
      </w:r>
    </w:p>
    <w:p w:rsidR="008F547E" w:rsidRDefault="008F547E" w:rsidP="00D67008">
      <w:pPr>
        <w:pStyle w:val="BodyText2"/>
        <w:spacing w:after="0" w:line="360" w:lineRule="auto"/>
        <w:jc w:val="left"/>
      </w:pPr>
    </w:p>
    <w:p w:rsidR="009736D2" w:rsidRDefault="00881A79" w:rsidP="001F1974">
      <w:pPr>
        <w:pStyle w:val="BodyText2"/>
        <w:spacing w:after="0" w:line="240" w:lineRule="auto"/>
        <w:ind w:left="1440" w:right="1440"/>
        <w:contextualSpacing/>
        <w:jc w:val="left"/>
      </w:pPr>
      <w:r>
        <w:tab/>
      </w:r>
      <w:r w:rsidR="009736D2">
        <w:t xml:space="preserve">The Commission concluded in the </w:t>
      </w:r>
      <w:r w:rsidR="009736D2">
        <w:rPr>
          <w:i/>
        </w:rPr>
        <w:t>RMI-IWP Final Order</w:t>
      </w:r>
      <w:r w:rsidR="009736D2">
        <w:t xml:space="preserve"> that Small C&amp;I customers should not participate in the Opt-In Auction, and </w:t>
      </w:r>
      <w:r w:rsidR="00245884">
        <w:t xml:space="preserve">the Company notes that </w:t>
      </w:r>
      <w:r w:rsidR="009736D2">
        <w:t xml:space="preserve">no new arguments have been presented here to justify a change in that recommendation.  </w:t>
      </w:r>
      <w:r w:rsidR="00245884">
        <w:t xml:space="preserve">In contrast, </w:t>
      </w:r>
      <w:r w:rsidR="009736D2">
        <w:t xml:space="preserve">PPL Electric notes that in the Opt-In Aggregation Program adopted by the Commission in the </w:t>
      </w:r>
      <w:r w:rsidR="009736D2">
        <w:rPr>
          <w:i/>
        </w:rPr>
        <w:t>FirstEnergy Order</w:t>
      </w:r>
      <w:r w:rsidR="009736D2">
        <w:t xml:space="preserve">, Small C&amp;I customers were permitted to participate in the program.  However, in making this modification to the </w:t>
      </w:r>
      <w:r w:rsidR="009736D2">
        <w:rPr>
          <w:i/>
        </w:rPr>
        <w:t>RMI-IWP Final Order</w:t>
      </w:r>
      <w:r w:rsidR="009736D2">
        <w:t xml:space="preserve">, the Commission emphasized the relatively low level of current shopping by small commercial customers in the FirstEnergy Companies’ service areas.  </w:t>
      </w:r>
      <w:proofErr w:type="gramStart"/>
      <w:r w:rsidR="009736D2">
        <w:t>(</w:t>
      </w:r>
      <w:r w:rsidR="009736D2">
        <w:rPr>
          <w:i/>
        </w:rPr>
        <w:t>FirstEnergy Order</w:t>
      </w:r>
      <w:r w:rsidR="009736D2">
        <w:t xml:space="preserve"> at </w:t>
      </w:r>
      <w:r w:rsidR="000B50FF">
        <w:t>pp. 103</w:t>
      </w:r>
      <w:r w:rsidR="009736D2">
        <w:t>-04).</w:t>
      </w:r>
      <w:proofErr w:type="gramEnd"/>
      <w:r w:rsidR="009736D2">
        <w:t xml:space="preserve">  However, data in this case demonstrates that there is much more robust shopping by small business customers in PPL Electric’s service territory.  For example, OSBA Ex. 1Ec-S1 shows that over 51% of PPL Electric’s commercial customers and 89.6% of their load is shopping as compared to around 30% of customers and 60% of load shopping in the FirstEnergy Companies’ service areas.  Even among PPL Electric’s very small (under 25 kW) business customers, over 43% of customers and over 64% of load is shopping.  </w:t>
      </w:r>
      <w:proofErr w:type="gramStart"/>
      <w:r w:rsidR="009736D2">
        <w:t>(RESA Ex. CHK-4; Tr. 320).</w:t>
      </w:r>
      <w:proofErr w:type="gramEnd"/>
      <w:r w:rsidR="009736D2">
        <w:t xml:space="preserve">  Therefore, the reasons relied upon by the Commission to allow Small C&amp;I customers to participate in the Opt-In Program in the FirstEnergy Order are not present in PPL Electric’s service territory.</w:t>
      </w:r>
      <w:r w:rsidR="009736D2">
        <w:rPr>
          <w:rStyle w:val="FootnoteReference"/>
        </w:rPr>
        <w:footnoteReference w:id="39"/>
      </w:r>
      <w:r w:rsidR="009736D2">
        <w:t xml:space="preserve">  For the foregoing reasons, the Opt-In Program should not be expanded to include Small C&amp;I customers. </w:t>
      </w:r>
    </w:p>
    <w:p w:rsidR="009736D2" w:rsidRDefault="00245884" w:rsidP="00D67008">
      <w:pPr>
        <w:pStyle w:val="BodyText2"/>
        <w:spacing w:after="0" w:line="240" w:lineRule="auto"/>
        <w:jc w:val="left"/>
      </w:pPr>
      <w:r>
        <w:t>PPL Electric MB at 119-120.</w:t>
      </w:r>
    </w:p>
    <w:p w:rsidR="008F547E" w:rsidRDefault="008F547E" w:rsidP="00D67008">
      <w:pPr>
        <w:pStyle w:val="BodyText2"/>
        <w:spacing w:after="0" w:line="360" w:lineRule="auto"/>
        <w:jc w:val="left"/>
      </w:pPr>
    </w:p>
    <w:p w:rsidR="00AE4966" w:rsidRDefault="00245884" w:rsidP="00D67008">
      <w:pPr>
        <w:pStyle w:val="BodyText2"/>
        <w:spacing w:after="0" w:line="360" w:lineRule="auto"/>
        <w:jc w:val="left"/>
      </w:pPr>
      <w:r>
        <w:tab/>
      </w:r>
      <w:r>
        <w:tab/>
      </w:r>
      <w:r w:rsidR="00AE4966">
        <w:t>RESA asserts that small business customers are not shopping on the PPL Electric system.  RESA speculates that there are very small business customers who are not shopping and that PPL Electric’s statistics on small business customer shopping is distorted by larger small business customers who are shopping.</w:t>
      </w:r>
      <w:r>
        <w:t xml:space="preserve">  </w:t>
      </w:r>
      <w:proofErr w:type="gramStart"/>
      <w:r w:rsidR="00AE4966">
        <w:t>RESA MB</w:t>
      </w:r>
      <w:r>
        <w:t xml:space="preserve"> at</w:t>
      </w:r>
      <w:r w:rsidR="00AE4966">
        <w:t xml:space="preserve"> 68.</w:t>
      </w:r>
      <w:proofErr w:type="gramEnd"/>
      <w:r w:rsidR="00AE4966">
        <w:t xml:space="preserve">  </w:t>
      </w:r>
      <w:r>
        <w:t>However, t</w:t>
      </w:r>
      <w:r w:rsidR="00AE4966">
        <w:t>he record</w:t>
      </w:r>
      <w:r>
        <w:t xml:space="preserve"> shows that</w:t>
      </w:r>
      <w:r w:rsidR="00AE4966">
        <w:t xml:space="preserve"> over </w:t>
      </w:r>
      <w:r w:rsidR="00AE4966">
        <w:lastRenderedPageBreak/>
        <w:t xml:space="preserve">64% of the peak load capacity of non-residential customers </w:t>
      </w:r>
      <w:proofErr w:type="gramStart"/>
      <w:r w:rsidR="00AE4966">
        <w:t>u</w:t>
      </w:r>
      <w:r>
        <w:t>nder</w:t>
      </w:r>
      <w:proofErr w:type="gramEnd"/>
      <w:r>
        <w:t xml:space="preserve"> 25 kW is served by EGSs.  </w:t>
      </w:r>
      <w:proofErr w:type="gramStart"/>
      <w:r w:rsidR="00AE4966">
        <w:t>Tr. 320-21.</w:t>
      </w:r>
      <w:proofErr w:type="gramEnd"/>
      <w:r w:rsidR="00AE4966">
        <w:t xml:space="preserve">  Small business customers are shopping on the PPL Electric system.</w:t>
      </w:r>
    </w:p>
    <w:p w:rsidR="008F547E" w:rsidRDefault="008F547E" w:rsidP="001F1974">
      <w:pPr>
        <w:pStyle w:val="BodyText2"/>
        <w:spacing w:after="0" w:line="360" w:lineRule="auto"/>
        <w:jc w:val="left"/>
      </w:pPr>
    </w:p>
    <w:p w:rsidR="00245884" w:rsidRDefault="00245884" w:rsidP="001F1974">
      <w:pPr>
        <w:pStyle w:val="BodyText2"/>
        <w:spacing w:after="0" w:line="360" w:lineRule="auto"/>
        <w:jc w:val="left"/>
      </w:pPr>
      <w:r>
        <w:tab/>
      </w:r>
      <w:r>
        <w:tab/>
        <w:t>The Company distinguishes the FirstEnergy case:</w:t>
      </w:r>
    </w:p>
    <w:p w:rsidR="008F547E" w:rsidRDefault="008F547E" w:rsidP="001F1974">
      <w:pPr>
        <w:pStyle w:val="BodyText2"/>
        <w:spacing w:after="0" w:line="360" w:lineRule="auto"/>
        <w:jc w:val="left"/>
      </w:pPr>
    </w:p>
    <w:p w:rsidR="00AE4966" w:rsidRDefault="00AE4966" w:rsidP="001F1974">
      <w:pPr>
        <w:pStyle w:val="BodyText2"/>
        <w:spacing w:after="0" w:line="240" w:lineRule="auto"/>
        <w:ind w:left="1440" w:right="1440"/>
        <w:contextualSpacing/>
        <w:jc w:val="left"/>
      </w:pPr>
      <w:r>
        <w:t xml:space="preserve">PPL Electric is aware that in the </w:t>
      </w:r>
      <w:r>
        <w:rPr>
          <w:i/>
        </w:rPr>
        <w:t>FirstEnergy Order</w:t>
      </w:r>
      <w:r>
        <w:t xml:space="preserve"> and the </w:t>
      </w:r>
      <w:r>
        <w:rPr>
          <w:i/>
        </w:rPr>
        <w:t>PECO DSP II Order</w:t>
      </w:r>
      <w:r>
        <w:t xml:space="preserve">, the Commission included small business customers in the Opt-In Program.  This decision appears to have been based substantially upon the relatively low amount of shopping by the small business customers in those service areas.  For PPL Electric, nearly 90% of all commercial </w:t>
      </w:r>
      <w:proofErr w:type="gramStart"/>
      <w:r>
        <w:t>load</w:t>
      </w:r>
      <w:proofErr w:type="gramEnd"/>
      <w:r>
        <w:t xml:space="preserve"> is shopping, whereas only about 60%-65% of commercial load is shopping on the FirstEnergy and PECO systems.  </w:t>
      </w:r>
      <w:proofErr w:type="gramStart"/>
      <w:r>
        <w:t>(OSBA Ex. IEc-S1).</w:t>
      </w:r>
      <w:proofErr w:type="gramEnd"/>
      <w:r>
        <w:t xml:space="preserve">  PPL Electric’s small business customers are much more active shoppers.  Therefore, PPL Electric continues to believe that the additional cost of expanding the Opt-In Program to include small business customers is not necessary.</w:t>
      </w:r>
    </w:p>
    <w:p w:rsidR="008F547E" w:rsidRDefault="008F547E" w:rsidP="001F1974">
      <w:pPr>
        <w:pStyle w:val="BodyText2"/>
        <w:spacing w:after="0" w:line="240" w:lineRule="auto"/>
        <w:ind w:left="1440" w:right="1440"/>
        <w:contextualSpacing/>
        <w:jc w:val="left"/>
      </w:pPr>
    </w:p>
    <w:p w:rsidR="00AE4966" w:rsidRDefault="00AE4966" w:rsidP="001F1974">
      <w:pPr>
        <w:pStyle w:val="BodyText2"/>
        <w:spacing w:after="0" w:line="240" w:lineRule="auto"/>
        <w:ind w:left="1440" w:right="1440"/>
        <w:contextualSpacing/>
        <w:jc w:val="left"/>
      </w:pPr>
      <w:r>
        <w:t xml:space="preserve">In conclusion, PPL Electric recommends that the Commission adopt the program design of either its Opt-In Auction Program or its Opt-In Aggregation Program.  </w:t>
      </w:r>
    </w:p>
    <w:p w:rsidR="00AE4966" w:rsidRDefault="00AE4966" w:rsidP="001F1974">
      <w:pPr>
        <w:pStyle w:val="BodyText2"/>
        <w:spacing w:after="0" w:line="360" w:lineRule="auto"/>
        <w:contextualSpacing/>
        <w:jc w:val="left"/>
      </w:pPr>
      <w:r>
        <w:t>PPL Electric RB at 66-67.</w:t>
      </w:r>
    </w:p>
    <w:p w:rsidR="00245884" w:rsidRDefault="00245884" w:rsidP="001F1974">
      <w:pPr>
        <w:pStyle w:val="BodyText2"/>
        <w:spacing w:after="0" w:line="360" w:lineRule="auto"/>
        <w:contextualSpacing/>
        <w:jc w:val="left"/>
      </w:pPr>
    </w:p>
    <w:p w:rsidR="00245884" w:rsidRDefault="00245884" w:rsidP="00D67008">
      <w:pPr>
        <w:pStyle w:val="BodyText2"/>
        <w:spacing w:after="0" w:line="360" w:lineRule="auto"/>
        <w:contextualSpacing/>
        <w:jc w:val="left"/>
      </w:pPr>
      <w:r>
        <w:tab/>
      </w:r>
      <w:r>
        <w:tab/>
        <w:t xml:space="preserve">As it appears that the small C&amp;I market is already robust, the cost of extending this program to </w:t>
      </w:r>
      <w:r w:rsidR="00FB4831">
        <w:t>Sm</w:t>
      </w:r>
      <w:r>
        <w:t>all C&amp;I customers would be unjustified.</w:t>
      </w:r>
    </w:p>
    <w:p w:rsidR="00245884" w:rsidRDefault="00245884" w:rsidP="00D67008">
      <w:pPr>
        <w:pStyle w:val="BodyText2"/>
        <w:spacing w:after="0" w:line="360" w:lineRule="auto"/>
        <w:contextualSpacing/>
        <w:jc w:val="left"/>
      </w:pPr>
    </w:p>
    <w:p w:rsidR="009736D2" w:rsidRPr="00A356EC" w:rsidRDefault="00225E14" w:rsidP="00D67008">
      <w:pPr>
        <w:ind w:left="1440"/>
        <w:jc w:val="left"/>
        <w:rPr>
          <w:b/>
        </w:rPr>
      </w:pPr>
      <w:r>
        <w:rPr>
          <w:b/>
        </w:rPr>
        <w:t>d</w:t>
      </w:r>
      <w:r w:rsidR="001F1111">
        <w:rPr>
          <w:b/>
        </w:rPr>
        <w:t>.</w:t>
      </w:r>
      <w:r w:rsidR="001F1111">
        <w:rPr>
          <w:b/>
        </w:rPr>
        <w:tab/>
      </w:r>
      <w:r w:rsidR="009736D2" w:rsidRPr="00A356EC">
        <w:rPr>
          <w:b/>
        </w:rPr>
        <w:t>Price</w:t>
      </w:r>
      <w:r w:rsidR="00FF18D0">
        <w:rPr>
          <w:b/>
        </w:rPr>
        <w:fldChar w:fldCharType="begin"/>
      </w:r>
      <w:r w:rsidR="00FF18D0">
        <w:instrText xml:space="preserve"> TC "</w:instrText>
      </w:r>
      <w:bookmarkStart w:id="100" w:name="_Toc340670040"/>
      <w:r w:rsidR="00FF18D0" w:rsidRPr="009B7B20">
        <w:rPr>
          <w:b/>
        </w:rPr>
        <w:instrText>d.</w:instrText>
      </w:r>
      <w:r w:rsidR="00FF18D0" w:rsidRPr="009B7B20">
        <w:rPr>
          <w:b/>
        </w:rPr>
        <w:tab/>
        <w:instrText>Price</w:instrText>
      </w:r>
      <w:bookmarkEnd w:id="100"/>
      <w:r w:rsidR="00FF18D0">
        <w:instrText xml:space="preserve">" \f C \l "4" </w:instrText>
      </w:r>
      <w:r w:rsidR="00FF18D0">
        <w:rPr>
          <w:b/>
        </w:rPr>
        <w:fldChar w:fldCharType="end"/>
      </w:r>
    </w:p>
    <w:p w:rsidR="009736D2" w:rsidRDefault="009736D2" w:rsidP="00D67008">
      <w:pPr>
        <w:jc w:val="left"/>
      </w:pPr>
    </w:p>
    <w:p w:rsidR="009736D2" w:rsidRDefault="009736D2" w:rsidP="00D67008">
      <w:pPr>
        <w:jc w:val="left"/>
      </w:pPr>
      <w:r>
        <w:tab/>
      </w:r>
      <w:r>
        <w:tab/>
        <w:t>The Company is recommending that the EGSs offer a 6-month, fixed-price product at a minimum 5% discount off the PTC on December 1, 2013, and that participating customers receive a $50 cash bonus after receiving generation service from the EGS who acquires the customer in the auction after three billing cycles.  PPL Stmt. 4 at 20-21.</w:t>
      </w:r>
    </w:p>
    <w:p w:rsidR="009736D2" w:rsidRDefault="009736D2" w:rsidP="001F1974">
      <w:pPr>
        <w:jc w:val="left"/>
      </w:pPr>
    </w:p>
    <w:p w:rsidR="009736D2" w:rsidRDefault="009736D2" w:rsidP="001F1974">
      <w:pPr>
        <w:jc w:val="left"/>
      </w:pPr>
      <w:r>
        <w:tab/>
      </w:r>
      <w:r>
        <w:tab/>
        <w:t xml:space="preserve">OCA proposes continuing the guaranteed savings off the PTC for the entire term of the contract.  </w:t>
      </w:r>
      <w:proofErr w:type="gramStart"/>
      <w:r>
        <w:t>OCA Stmt. 2-R at 5; OCA MB at 41.</w:t>
      </w:r>
      <w:proofErr w:type="gramEnd"/>
      <w:r>
        <w:t xml:space="preserve">  OCA witness Alexander defends this by expressing her concern that customers may learn about the pricing impact after the differential </w:t>
      </w:r>
      <w:r>
        <w:lastRenderedPageBreak/>
        <w:t xml:space="preserve">has been in effect and that this may leave those customers with a negative opinion about the competitive market.  </w:t>
      </w:r>
      <w:proofErr w:type="gramStart"/>
      <w:r>
        <w:t>OCA Stmt. 2-SR at 5; OCA MB at 42.</w:t>
      </w:r>
      <w:proofErr w:type="gramEnd"/>
      <w:r>
        <w:t xml:space="preserve">  The proposal is to ensure that customers have a positive experience and that actual savings that appear to be promised to engage the customer to enroll in the program are, in fact, delivered for the entire contract term.  </w:t>
      </w:r>
      <w:proofErr w:type="gramStart"/>
      <w:r>
        <w:t>OCA MB at 42.</w:t>
      </w:r>
      <w:proofErr w:type="gramEnd"/>
    </w:p>
    <w:p w:rsidR="004D473A" w:rsidRDefault="004D473A" w:rsidP="001F1974">
      <w:pPr>
        <w:jc w:val="left"/>
      </w:pPr>
    </w:p>
    <w:p w:rsidR="004D473A" w:rsidRDefault="004D473A" w:rsidP="001F1974">
      <w:pPr>
        <w:jc w:val="left"/>
      </w:pPr>
      <w:r>
        <w:tab/>
      </w:r>
      <w:r>
        <w:tab/>
        <w:t>The recommendation is to approve the Company proposal.</w:t>
      </w:r>
    </w:p>
    <w:p w:rsidR="009736D2" w:rsidRDefault="009736D2" w:rsidP="001F1974">
      <w:pPr>
        <w:jc w:val="left"/>
      </w:pPr>
    </w:p>
    <w:p w:rsidR="009736D2" w:rsidRPr="00A356EC" w:rsidRDefault="00225E14" w:rsidP="00225E14">
      <w:pPr>
        <w:ind w:left="1440"/>
        <w:jc w:val="left"/>
        <w:rPr>
          <w:b/>
        </w:rPr>
      </w:pPr>
      <w:r>
        <w:rPr>
          <w:b/>
        </w:rPr>
        <w:t>e</w:t>
      </w:r>
      <w:r w:rsidR="00A05DD1">
        <w:rPr>
          <w:b/>
        </w:rPr>
        <w:t>.</w:t>
      </w:r>
      <w:r w:rsidR="00A05DD1">
        <w:rPr>
          <w:b/>
        </w:rPr>
        <w:tab/>
      </w:r>
      <w:r w:rsidR="009736D2" w:rsidRPr="00A356EC">
        <w:rPr>
          <w:b/>
        </w:rPr>
        <w:t>Terms and Conditions disclosure</w:t>
      </w:r>
      <w:r w:rsidR="00FF18D0">
        <w:rPr>
          <w:b/>
        </w:rPr>
        <w:fldChar w:fldCharType="begin"/>
      </w:r>
      <w:r w:rsidR="00FF18D0">
        <w:instrText xml:space="preserve"> TC "</w:instrText>
      </w:r>
      <w:bookmarkStart w:id="101" w:name="_Toc340670041"/>
      <w:r w:rsidR="00FF18D0" w:rsidRPr="009B7B20">
        <w:rPr>
          <w:b/>
        </w:rPr>
        <w:instrText>e.</w:instrText>
      </w:r>
      <w:r w:rsidR="00FF18D0" w:rsidRPr="009B7B20">
        <w:rPr>
          <w:b/>
        </w:rPr>
        <w:tab/>
        <w:instrText>Terms and Conditions disclosure</w:instrText>
      </w:r>
      <w:bookmarkEnd w:id="101"/>
      <w:r w:rsidR="00FF18D0">
        <w:instrText xml:space="preserve">" \f C \l "4" </w:instrText>
      </w:r>
      <w:r w:rsidR="00FF18D0">
        <w:rPr>
          <w:b/>
        </w:rPr>
        <w:fldChar w:fldCharType="end"/>
      </w:r>
    </w:p>
    <w:p w:rsidR="009736D2" w:rsidRDefault="009736D2" w:rsidP="001F1974">
      <w:pPr>
        <w:jc w:val="left"/>
      </w:pPr>
    </w:p>
    <w:p w:rsidR="009A2752" w:rsidRDefault="009A2752" w:rsidP="001F1974">
      <w:pPr>
        <w:pStyle w:val="BodyText2"/>
        <w:spacing w:after="0" w:line="360" w:lineRule="auto"/>
        <w:jc w:val="left"/>
      </w:pPr>
      <w:r>
        <w:tab/>
      </w:r>
      <w:r>
        <w:tab/>
        <w:t xml:space="preserve">Finally, RESA proposes that the structure of the auction process set forth in the </w:t>
      </w:r>
      <w:r>
        <w:rPr>
          <w:i/>
        </w:rPr>
        <w:t>RMI-IWP Final Order</w:t>
      </w:r>
      <w:r>
        <w:t xml:space="preserve"> be revised substantially.</w:t>
      </w:r>
      <w:r>
        <w:rPr>
          <w:rStyle w:val="FootnoteReference"/>
        </w:rPr>
        <w:footnoteReference w:id="40"/>
      </w:r>
      <w:r>
        <w:t xml:space="preserve">  RESA proposes that customers be enrolled prior to the auction being undertaken.  RESA further proposes additional mailings, information gathering and “aggressive promotion by the Commission and PPL Electric” prior to the auction.  RESA Stmt. 2 at 22-24.  Alternatively, RESA proposes that the Company’s initial mailing include an opportunity for customers to indicate an expression of interest.  </w:t>
      </w:r>
      <w:proofErr w:type="gramStart"/>
      <w:r>
        <w:t>RESA Stmt. 2 at 23.</w:t>
      </w:r>
      <w:proofErr w:type="gramEnd"/>
      <w:r>
        <w:t xml:space="preserve">  RESA’s proposals were already addressed and rejected by the Commission.  </w:t>
      </w:r>
      <w:r>
        <w:rPr>
          <w:i/>
        </w:rPr>
        <w:t>RMI-IWP Final Order</w:t>
      </w:r>
      <w:r w:rsidR="00FB4831">
        <w:t xml:space="preserve"> at </w:t>
      </w:r>
      <w:r>
        <w:t>9-13, 51-56.  The Company further observes that RESA’s proposals for additional promotion and mailings add complexity and cost that directly benefit EGSs’ interests, but which RESA proposes be recovered from customers.</w:t>
      </w:r>
      <w:r w:rsidR="00FF18D0">
        <w:t xml:space="preserve">  </w:t>
      </w:r>
      <w:r>
        <w:t xml:space="preserve">The Company opposes these recommendations. </w:t>
      </w:r>
      <w:proofErr w:type="gramStart"/>
      <w:r>
        <w:t>PPL Electric Stmt. 4-R at 33; PPL Electric MB at 121.</w:t>
      </w:r>
      <w:proofErr w:type="gramEnd"/>
    </w:p>
    <w:p w:rsidR="009A2752" w:rsidRDefault="009A2752" w:rsidP="001F1974">
      <w:pPr>
        <w:jc w:val="left"/>
      </w:pPr>
    </w:p>
    <w:p w:rsidR="009736D2" w:rsidRDefault="009736D2" w:rsidP="001F1974">
      <w:pPr>
        <w:jc w:val="left"/>
      </w:pPr>
      <w:r>
        <w:tab/>
      </w:r>
      <w:r>
        <w:tab/>
        <w:t xml:space="preserve">OCA recommends disclosing the key terms and conditions of service, including price, prior to enrolling the customer in the program.  It opposes RESA's suggestion that customers be asked to enroll before knowing the price, material terms and conditions, or identity of the EGS that will become their generation supplier.  </w:t>
      </w:r>
      <w:proofErr w:type="gramStart"/>
      <w:r>
        <w:t>OCA Stmt. 2-R at 8-9; OCA MB at 43.</w:t>
      </w:r>
      <w:proofErr w:type="gramEnd"/>
    </w:p>
    <w:p w:rsidR="00A05DD1" w:rsidRDefault="00A05DD1" w:rsidP="001F1974">
      <w:pPr>
        <w:jc w:val="left"/>
      </w:pPr>
    </w:p>
    <w:p w:rsidR="00A05DD1" w:rsidRDefault="00A05DD1" w:rsidP="001F1974">
      <w:pPr>
        <w:jc w:val="left"/>
      </w:pPr>
      <w:r>
        <w:lastRenderedPageBreak/>
        <w:tab/>
      </w:r>
      <w:r>
        <w:tab/>
        <w:t>It is not reasonable to expect customers to enter a contract without first knowing the terms.  All material terms and conditions should be given to the customer prior to asking the customer to accept them.</w:t>
      </w:r>
    </w:p>
    <w:p w:rsidR="00BD137A" w:rsidRDefault="00BD137A" w:rsidP="001F1974">
      <w:pPr>
        <w:jc w:val="left"/>
      </w:pPr>
    </w:p>
    <w:p w:rsidR="00BD137A" w:rsidRPr="00A356EC" w:rsidRDefault="00225E14" w:rsidP="00225E14">
      <w:pPr>
        <w:ind w:left="1440"/>
        <w:jc w:val="left"/>
        <w:rPr>
          <w:b/>
        </w:rPr>
      </w:pPr>
      <w:r>
        <w:rPr>
          <w:b/>
        </w:rPr>
        <w:t>f</w:t>
      </w:r>
      <w:r w:rsidR="00A05DD1">
        <w:rPr>
          <w:b/>
        </w:rPr>
        <w:t>.</w:t>
      </w:r>
      <w:r w:rsidR="00A05DD1">
        <w:rPr>
          <w:b/>
        </w:rPr>
        <w:tab/>
      </w:r>
      <w:r w:rsidR="00BD137A" w:rsidRPr="00A356EC">
        <w:rPr>
          <w:b/>
        </w:rPr>
        <w:t>Supplier Participation Load Cap</w:t>
      </w:r>
      <w:r w:rsidR="00FF18D0">
        <w:rPr>
          <w:b/>
        </w:rPr>
        <w:fldChar w:fldCharType="begin"/>
      </w:r>
      <w:r w:rsidR="00FF18D0">
        <w:instrText xml:space="preserve"> TC "</w:instrText>
      </w:r>
      <w:bookmarkStart w:id="102" w:name="_Toc340670042"/>
      <w:r w:rsidR="00FF18D0" w:rsidRPr="009B7B20">
        <w:rPr>
          <w:b/>
        </w:rPr>
        <w:instrText>f.</w:instrText>
      </w:r>
      <w:r w:rsidR="00FF18D0" w:rsidRPr="009B7B20">
        <w:rPr>
          <w:b/>
        </w:rPr>
        <w:tab/>
        <w:instrText>Supplier Participation Load Cap</w:instrText>
      </w:r>
      <w:bookmarkEnd w:id="102"/>
      <w:r w:rsidR="00FF18D0">
        <w:instrText xml:space="preserve">" \f C \l "4" </w:instrText>
      </w:r>
      <w:r w:rsidR="00FF18D0">
        <w:rPr>
          <w:b/>
        </w:rPr>
        <w:fldChar w:fldCharType="end"/>
      </w:r>
    </w:p>
    <w:p w:rsidR="00BD137A" w:rsidRDefault="00BD137A" w:rsidP="001F1974">
      <w:pPr>
        <w:jc w:val="left"/>
      </w:pPr>
    </w:p>
    <w:p w:rsidR="00BD137A" w:rsidRDefault="00BD137A" w:rsidP="001F1974">
      <w:pPr>
        <w:jc w:val="left"/>
      </w:pPr>
      <w:r>
        <w:tab/>
      </w:r>
      <w:r>
        <w:tab/>
        <w:t xml:space="preserve">The </w:t>
      </w:r>
      <w:r w:rsidRPr="00BD7119">
        <w:rPr>
          <w:i/>
        </w:rPr>
        <w:t>IWP Order</w:t>
      </w:r>
      <w:r>
        <w:t xml:space="preserve"> at 63 provides that an EGS participation in the Opt-In Auction Program may not serve more than 50% of the customer class default service accounts for each EDC territory.  PPL Electric's program complies with this requirement, and the OCA does not object.  </w:t>
      </w:r>
      <w:proofErr w:type="gramStart"/>
      <w:r>
        <w:t>OCA MB at 48.</w:t>
      </w:r>
      <w:proofErr w:type="gramEnd"/>
    </w:p>
    <w:p w:rsidR="00C32716" w:rsidRDefault="00C32716" w:rsidP="001F1974">
      <w:pPr>
        <w:jc w:val="left"/>
      </w:pPr>
    </w:p>
    <w:p w:rsidR="00C32716" w:rsidRDefault="00C32716" w:rsidP="001F1974">
      <w:pPr>
        <w:jc w:val="left"/>
      </w:pPr>
      <w:r>
        <w:tab/>
      </w:r>
      <w:r>
        <w:tab/>
        <w:t>RESA recommends that there be at least four successful EGS bidders in any auction or aggregation in order "to ensure participation by a diverse number of suppliers each bringing their won individual strengths and business models to the auction/aggregation for the benefit of retail end users."  RESA MB at 70-71.  RESA explains:</w:t>
      </w:r>
    </w:p>
    <w:p w:rsidR="00C32716" w:rsidRDefault="00C32716" w:rsidP="001F1974">
      <w:pPr>
        <w:jc w:val="left"/>
      </w:pPr>
    </w:p>
    <w:p w:rsidR="00C32716" w:rsidRDefault="00C32716" w:rsidP="001F1974">
      <w:pPr>
        <w:spacing w:line="240" w:lineRule="auto"/>
        <w:ind w:left="1440" w:right="1440"/>
        <w:contextualSpacing/>
        <w:jc w:val="left"/>
      </w:pPr>
      <w:r>
        <w:tab/>
        <w:t xml:space="preserve">PPL concerns about having a minimum number of winning bidders/participants are not justified.  PPL expressed concern that:  (a) it might not find four EGSs interested in participating in the auction; and (b) adding a requirement of a minimum of four winning bidders/participants complicates the process of selecting the winning bidders.  While RESA believes that it is much less likely that there will be less than four participants in any aggregation program, as the Commission has ordered it in FE and PECO, RESA nonetheless believes that it would be reasonable to set a minimum participation requirement of four EGSs. </w:t>
      </w:r>
    </w:p>
    <w:p w:rsidR="008F547E" w:rsidRDefault="008F547E" w:rsidP="001F1974">
      <w:pPr>
        <w:spacing w:line="240" w:lineRule="auto"/>
        <w:ind w:left="1440" w:right="1440"/>
        <w:contextualSpacing/>
        <w:jc w:val="left"/>
      </w:pPr>
    </w:p>
    <w:p w:rsidR="00C32716" w:rsidRDefault="00C32716" w:rsidP="001F1974">
      <w:pPr>
        <w:spacing w:line="240" w:lineRule="auto"/>
        <w:ind w:left="1440" w:right="1440"/>
        <w:contextualSpacing/>
        <w:jc w:val="left"/>
      </w:pPr>
      <w:r>
        <w:tab/>
        <w:t>The goal of RESA's recommendation is to enhance supplier diversity, and thus enhance the long term competitiveness of the market.  Specifically, if implemented, this recommendation has the potential to increase the number of suppliers achieving sustainable scale, and increase their ability to offer more diverse products and services to their customers.</w:t>
      </w:r>
    </w:p>
    <w:p w:rsidR="00C32716" w:rsidRDefault="00C32716" w:rsidP="001F1974">
      <w:pPr>
        <w:jc w:val="left"/>
      </w:pPr>
      <w:proofErr w:type="gramStart"/>
      <w:r>
        <w:t>RESA MB at 71 (footnotes omitted).</w:t>
      </w:r>
      <w:proofErr w:type="gramEnd"/>
      <w:r>
        <w:t xml:space="preserve">  </w:t>
      </w:r>
    </w:p>
    <w:p w:rsidR="00C32716" w:rsidRDefault="00C32716" w:rsidP="001F1974">
      <w:pPr>
        <w:jc w:val="left"/>
      </w:pPr>
    </w:p>
    <w:p w:rsidR="00D0755A" w:rsidRDefault="00D0755A" w:rsidP="001F1974">
      <w:pPr>
        <w:pStyle w:val="BodyText2"/>
        <w:spacing w:after="0" w:line="360" w:lineRule="auto"/>
        <w:contextualSpacing/>
        <w:jc w:val="left"/>
      </w:pPr>
      <w:r>
        <w:tab/>
      </w:r>
      <w:r>
        <w:tab/>
        <w:t>FES recommends that there be no limit on t</w:t>
      </w:r>
      <w:r w:rsidR="00FB4831">
        <w:t xml:space="preserve">he number of winning bidders.  </w:t>
      </w:r>
      <w:proofErr w:type="gramStart"/>
      <w:r>
        <w:t>FES St</w:t>
      </w:r>
      <w:r w:rsidR="00FB4831">
        <w:t>mt</w:t>
      </w:r>
      <w:r>
        <w:t>. 1</w:t>
      </w:r>
      <w:r w:rsidR="00FB4831">
        <w:t xml:space="preserve"> at</w:t>
      </w:r>
      <w:r>
        <w:t xml:space="preserve"> 17.</w:t>
      </w:r>
      <w:proofErr w:type="gramEnd"/>
      <w:r>
        <w:t xml:space="preserve">  The Company points out that the requirement that no bidder can win all tranches </w:t>
      </w:r>
      <w:r>
        <w:lastRenderedPageBreak/>
        <w:t xml:space="preserve">will encourage EGS participation, as there is assurance that a single entity cannot dominate.  Neither RESA’s nor FES’s recommendations on bidder participation limits was adopted by the Commission in the </w:t>
      </w:r>
      <w:r>
        <w:rPr>
          <w:i/>
        </w:rPr>
        <w:t>RMI-IWP Final Order.</w:t>
      </w:r>
      <w:r>
        <w:t xml:space="preserve">  </w:t>
      </w:r>
      <w:proofErr w:type="gramStart"/>
      <w:r>
        <w:t>PPL Electric MB at 120.</w:t>
      </w:r>
      <w:proofErr w:type="gramEnd"/>
    </w:p>
    <w:p w:rsidR="00D0755A" w:rsidRDefault="00D0755A" w:rsidP="001F1974">
      <w:pPr>
        <w:pStyle w:val="BodyText2"/>
        <w:spacing w:after="0" w:line="360" w:lineRule="auto"/>
        <w:contextualSpacing/>
        <w:jc w:val="left"/>
      </w:pPr>
    </w:p>
    <w:p w:rsidR="00D0755A" w:rsidRDefault="00D0755A" w:rsidP="001F1974">
      <w:pPr>
        <w:pStyle w:val="BodyText2"/>
        <w:spacing w:after="0" w:line="360" w:lineRule="auto"/>
        <w:contextualSpacing/>
        <w:jc w:val="left"/>
      </w:pPr>
      <w:r>
        <w:tab/>
      </w:r>
      <w:r>
        <w:tab/>
        <w:t>The Company opposes the RESA proposal that if the Opt-In process generates less than a 10% response rate, then PPL Electric should undertake</w:t>
      </w:r>
      <w:r w:rsidR="00FB4831">
        <w:t xml:space="preserve"> a second enrollment process.  </w:t>
      </w:r>
      <w:proofErr w:type="gramStart"/>
      <w:r>
        <w:t>RESA MB</w:t>
      </w:r>
      <w:r w:rsidR="00FB4831">
        <w:t xml:space="preserve"> at</w:t>
      </w:r>
      <w:r>
        <w:t xml:space="preserve"> 6</w:t>
      </w:r>
      <w:r w:rsidR="00FB4831">
        <w:t>4</w:t>
      </w:r>
      <w:r>
        <w:t>.</w:t>
      </w:r>
      <w:proofErr w:type="gramEnd"/>
      <w:r>
        <w:t xml:space="preserve">  The Company cautions that the cost of mailings is substantial, and repeating the process is an inefficient use of financial resources, whether it is EGSs or customers who must bear that cost.</w:t>
      </w:r>
      <w:r>
        <w:rPr>
          <w:rStyle w:val="FootnoteReference"/>
        </w:rPr>
        <w:footnoteReference w:id="41"/>
      </w:r>
      <w:r>
        <w:t xml:space="preserve">  PPL Electric further notes that the Commission will be provided a report following the conc</w:t>
      </w:r>
      <w:r w:rsidR="00FB4831">
        <w:t xml:space="preserve">lusion of the Opt-In process.  </w:t>
      </w:r>
      <w:proofErr w:type="gramStart"/>
      <w:r>
        <w:rPr>
          <w:i/>
        </w:rPr>
        <w:t>RMI-IWP Final Order</w:t>
      </w:r>
      <w:r w:rsidR="00FB4831">
        <w:t xml:space="preserve"> at</w:t>
      </w:r>
      <w:r>
        <w:t xml:space="preserve"> 83.</w:t>
      </w:r>
      <w:proofErr w:type="gramEnd"/>
      <w:r>
        <w:t xml:space="preserve">  At that time, the Commission can decide, based upon a review of results from PPL Electric’s program and similar programs throughout the state, whether the program has been successful or whether something else should be done.</w:t>
      </w:r>
      <w:r>
        <w:rPr>
          <w:rStyle w:val="FootnoteReference"/>
        </w:rPr>
        <w:footnoteReference w:id="42"/>
      </w:r>
      <w:r>
        <w:t xml:space="preserve">  PPL Electric RB at 65-66.</w:t>
      </w:r>
    </w:p>
    <w:p w:rsidR="00D0755A" w:rsidRDefault="00D0755A" w:rsidP="001F1974">
      <w:pPr>
        <w:contextualSpacing/>
        <w:jc w:val="left"/>
      </w:pPr>
    </w:p>
    <w:p w:rsidR="00C32716" w:rsidRDefault="00C32716" w:rsidP="001F1974">
      <w:pPr>
        <w:jc w:val="left"/>
      </w:pPr>
      <w:r>
        <w:tab/>
      </w:r>
      <w:r>
        <w:tab/>
        <w:t>RESA's goals are consistent with the goals of the Retail Markets Enhancement programs.  It is recommended that there be a minimum of four bidders in order for the auction or aggregation to occur.</w:t>
      </w:r>
      <w:r w:rsidR="00CE78EF">
        <w:t xml:space="preserve">  However, RESA’s proposal to trigger a second Opt-In Program mailing based upon an arbitrary participation rate should be rejected as cost prohibitive.</w:t>
      </w:r>
    </w:p>
    <w:p w:rsidR="00BD137A" w:rsidRDefault="00BD137A" w:rsidP="001F1974">
      <w:pPr>
        <w:jc w:val="left"/>
      </w:pPr>
    </w:p>
    <w:p w:rsidR="00BD137A" w:rsidRPr="00A356EC" w:rsidRDefault="00225E14" w:rsidP="00225E14">
      <w:pPr>
        <w:spacing w:line="240" w:lineRule="auto"/>
        <w:ind w:left="1440"/>
        <w:jc w:val="left"/>
        <w:rPr>
          <w:b/>
        </w:rPr>
      </w:pPr>
      <w:r>
        <w:rPr>
          <w:b/>
        </w:rPr>
        <w:t>g</w:t>
      </w:r>
      <w:r w:rsidR="00D0755A">
        <w:rPr>
          <w:b/>
        </w:rPr>
        <w:t>.</w:t>
      </w:r>
      <w:r w:rsidR="00D0755A">
        <w:rPr>
          <w:b/>
        </w:rPr>
        <w:tab/>
      </w:r>
      <w:r w:rsidR="00BD137A" w:rsidRPr="00A356EC">
        <w:rPr>
          <w:b/>
        </w:rPr>
        <w:t>Customer Options on Product Expiration and Notice Requirements</w:t>
      </w:r>
      <w:r w:rsidR="00FF18D0">
        <w:rPr>
          <w:b/>
        </w:rPr>
        <w:fldChar w:fldCharType="begin"/>
      </w:r>
      <w:r w:rsidR="00FF18D0">
        <w:instrText xml:space="preserve"> TC "</w:instrText>
      </w:r>
      <w:bookmarkStart w:id="103" w:name="_Toc340670043"/>
      <w:r w:rsidR="00FF18D0" w:rsidRPr="009B7B20">
        <w:rPr>
          <w:b/>
        </w:rPr>
        <w:instrText>g.</w:instrText>
      </w:r>
      <w:r w:rsidR="00FF18D0" w:rsidRPr="009B7B20">
        <w:rPr>
          <w:b/>
        </w:rPr>
        <w:tab/>
        <w:instrText>Customer Options on Product Expiration and Notice Requirements</w:instrText>
      </w:r>
      <w:bookmarkEnd w:id="103"/>
      <w:r w:rsidR="00FF18D0">
        <w:instrText xml:space="preserve">" \f C \l "4" </w:instrText>
      </w:r>
      <w:r w:rsidR="00FF18D0">
        <w:rPr>
          <w:b/>
        </w:rPr>
        <w:fldChar w:fldCharType="end"/>
      </w:r>
    </w:p>
    <w:p w:rsidR="00BD137A" w:rsidRDefault="00BD137A" w:rsidP="001F1974">
      <w:pPr>
        <w:jc w:val="left"/>
      </w:pPr>
    </w:p>
    <w:p w:rsidR="00D0755A" w:rsidRDefault="00BD137A" w:rsidP="001F1974">
      <w:pPr>
        <w:jc w:val="left"/>
      </w:pPr>
      <w:r>
        <w:tab/>
      </w:r>
      <w:r>
        <w:tab/>
        <w:t xml:space="preserve">The proposed program provides that a customer remain with the EGS at the end of the program period.  </w:t>
      </w:r>
      <w:proofErr w:type="gramStart"/>
      <w:r>
        <w:t>PPL Stmt. 4 at 23; 4-R at 23.</w:t>
      </w:r>
      <w:proofErr w:type="gramEnd"/>
      <w:r>
        <w:t xml:space="preserve">  </w:t>
      </w:r>
    </w:p>
    <w:p w:rsidR="00D0755A" w:rsidRDefault="00D0755A" w:rsidP="001F1974">
      <w:pPr>
        <w:jc w:val="left"/>
      </w:pPr>
    </w:p>
    <w:p w:rsidR="00BD137A" w:rsidRDefault="00D0755A" w:rsidP="001F1974">
      <w:pPr>
        <w:jc w:val="left"/>
      </w:pPr>
      <w:r>
        <w:tab/>
      </w:r>
      <w:r>
        <w:tab/>
      </w:r>
      <w:r w:rsidR="00BD137A">
        <w:t xml:space="preserve">OCA does not object but believes that there should be adequate notice to the customer of this fact, and that if the customer has not made an affirmative choice by the end of the program </w:t>
      </w:r>
      <w:proofErr w:type="gramStart"/>
      <w:r w:rsidR="00BD137A">
        <w:t>period, that</w:t>
      </w:r>
      <w:proofErr w:type="gramEnd"/>
      <w:r w:rsidR="00BD137A">
        <w:t xml:space="preserve"> the customer will be placed on a month-to-month contract at a fixed price.  </w:t>
      </w:r>
      <w:proofErr w:type="gramStart"/>
      <w:r w:rsidR="00BD137A">
        <w:t>OCA Stmt. 2 at 13-14; OCA MB at 48.</w:t>
      </w:r>
      <w:proofErr w:type="gramEnd"/>
      <w:r w:rsidR="00BD137A">
        <w:t xml:space="preserve">  </w:t>
      </w:r>
    </w:p>
    <w:p w:rsidR="00BD137A" w:rsidRDefault="00BD137A" w:rsidP="001F1974">
      <w:pPr>
        <w:jc w:val="left"/>
      </w:pPr>
    </w:p>
    <w:p w:rsidR="00BD137A" w:rsidRDefault="00BD137A" w:rsidP="001F1974">
      <w:pPr>
        <w:jc w:val="left"/>
      </w:pPr>
      <w:r>
        <w:lastRenderedPageBreak/>
        <w:tab/>
      </w:r>
      <w:r>
        <w:tab/>
        <w:t>The notice should be in the form of a preliminary notice to customers about the end of the auction term, including a summary of the customer's options at the end of that time.  OCA witness Alexander recommends that the notice inform customers of the following:</w:t>
      </w:r>
    </w:p>
    <w:p w:rsidR="00BD137A" w:rsidRDefault="00BD137A" w:rsidP="001F1974">
      <w:pPr>
        <w:jc w:val="left"/>
      </w:pPr>
    </w:p>
    <w:p w:rsidR="00BD137A" w:rsidRDefault="00BD137A" w:rsidP="001F1974">
      <w:pPr>
        <w:spacing w:line="240" w:lineRule="auto"/>
        <w:ind w:left="1440" w:right="1440"/>
        <w:jc w:val="left"/>
      </w:pPr>
      <w:r>
        <w:t>The Retail Opt-in Auction contract is about to come to an end;</w:t>
      </w:r>
    </w:p>
    <w:p w:rsidR="00BD137A" w:rsidRDefault="00BD137A" w:rsidP="001F1974">
      <w:pPr>
        <w:spacing w:line="240" w:lineRule="auto"/>
        <w:ind w:left="1440" w:right="1440"/>
        <w:jc w:val="left"/>
      </w:pPr>
    </w:p>
    <w:p w:rsidR="00BD137A" w:rsidRDefault="00BD137A" w:rsidP="001F1974">
      <w:pPr>
        <w:spacing w:line="240" w:lineRule="auto"/>
        <w:ind w:left="1440" w:right="1440"/>
        <w:jc w:val="left"/>
      </w:pPr>
      <w:r>
        <w:t>The customer has several options, alerting the customer to forthcoming notices from the EGS about the offers for continuing with the EGS at the end of the auction term;</w:t>
      </w:r>
    </w:p>
    <w:p w:rsidR="00BD137A" w:rsidRDefault="00BD137A" w:rsidP="001F1974">
      <w:pPr>
        <w:spacing w:line="240" w:lineRule="auto"/>
        <w:ind w:left="1440" w:right="1440"/>
        <w:jc w:val="left"/>
      </w:pPr>
    </w:p>
    <w:p w:rsidR="00BD137A" w:rsidRDefault="00BD137A" w:rsidP="001F1974">
      <w:pPr>
        <w:spacing w:line="240" w:lineRule="auto"/>
        <w:ind w:left="1440" w:right="1440"/>
        <w:jc w:val="left"/>
      </w:pPr>
      <w:r>
        <w:t xml:space="preserve">The customer has the right to select another EGS and referring the customer to the PaPowerSwitch and OCA websites for information on marketer offers and prices; </w:t>
      </w:r>
    </w:p>
    <w:p w:rsidR="008E34A7" w:rsidRDefault="008E34A7" w:rsidP="001F1974">
      <w:pPr>
        <w:spacing w:line="240" w:lineRule="auto"/>
        <w:ind w:left="1440" w:right="1440"/>
        <w:jc w:val="left"/>
      </w:pPr>
    </w:p>
    <w:p w:rsidR="00BD137A" w:rsidRDefault="00BD137A" w:rsidP="001F1974">
      <w:pPr>
        <w:spacing w:line="240" w:lineRule="auto"/>
        <w:ind w:left="1440" w:right="1440"/>
        <w:jc w:val="left"/>
      </w:pPr>
      <w:r>
        <w:t>The customer has the right to return to default service and how to compare offers to the PTC in effect at the end of the auction term; and</w:t>
      </w:r>
    </w:p>
    <w:p w:rsidR="008F547E" w:rsidRDefault="008F547E" w:rsidP="001F1974">
      <w:pPr>
        <w:spacing w:line="240" w:lineRule="auto"/>
        <w:ind w:left="1440" w:right="1440"/>
        <w:jc w:val="left"/>
      </w:pPr>
    </w:p>
    <w:p w:rsidR="00BD137A" w:rsidRDefault="00BD137A" w:rsidP="001F1974">
      <w:pPr>
        <w:spacing w:line="240" w:lineRule="auto"/>
        <w:ind w:left="1440" w:right="1440"/>
        <w:jc w:val="left"/>
      </w:pPr>
      <w:r>
        <w:t>If the customer takes no action, they will remain with their current EGS under a month-to-month contract that, at least under PPL's proposed terms and conditions, could result in a variable rate EGS contract that changes every month.</w:t>
      </w:r>
    </w:p>
    <w:p w:rsidR="00BD137A" w:rsidRDefault="00BD137A" w:rsidP="001F1974">
      <w:pPr>
        <w:jc w:val="left"/>
      </w:pPr>
      <w:proofErr w:type="gramStart"/>
      <w:r>
        <w:t>OCA Stmt. 2 at 12-13; OCA MB at 49.</w:t>
      </w:r>
      <w:proofErr w:type="gramEnd"/>
      <w:r>
        <w:tab/>
        <w:t xml:space="preserve"> </w:t>
      </w:r>
    </w:p>
    <w:p w:rsidR="00BD137A" w:rsidRDefault="00BD137A" w:rsidP="001F1974">
      <w:pPr>
        <w:jc w:val="left"/>
      </w:pPr>
    </w:p>
    <w:p w:rsidR="00BD137A" w:rsidRDefault="00BD137A" w:rsidP="001F1974">
      <w:pPr>
        <w:jc w:val="left"/>
      </w:pPr>
      <w:r>
        <w:tab/>
      </w:r>
      <w:r>
        <w:tab/>
        <w:t xml:space="preserve">OCA avers that this is a unique program because customers will have entered it based on PPL's notices and endorsement, thereby justifying additional safeguards.  These notices are an important aspect of consumer education and they will ensure that these consumers are fully informed of their options.  </w:t>
      </w:r>
      <w:proofErr w:type="gramStart"/>
      <w:r>
        <w:t>OCA MB at 50.</w:t>
      </w:r>
      <w:proofErr w:type="gramEnd"/>
    </w:p>
    <w:p w:rsidR="008E34A7" w:rsidRDefault="008E34A7" w:rsidP="001F1974">
      <w:pPr>
        <w:jc w:val="left"/>
      </w:pPr>
    </w:p>
    <w:p w:rsidR="0088641D" w:rsidRDefault="0088641D" w:rsidP="001F1974">
      <w:pPr>
        <w:pStyle w:val="BodyText2"/>
        <w:spacing w:after="0" w:line="240" w:lineRule="auto"/>
        <w:ind w:left="1440" w:right="1440"/>
        <w:jc w:val="left"/>
      </w:pPr>
      <w:r>
        <w:t xml:space="preserve">OCA proposes that PPL Electric be required to provide notice, in addition to the two notices EGSs are required by Commission regulation, to advise customers participating in the Opt-In Program of their rights and responsibilities at the end of the contract term.  OCA further argues that, absent an election by the customer, the EGS should be required to provide service under a fixed month-to-month contract.  </w:t>
      </w:r>
      <w:proofErr w:type="gramStart"/>
      <w:r>
        <w:t>(OCA St. 2, p. 13-14).</w:t>
      </w:r>
      <w:proofErr w:type="gramEnd"/>
      <w:r>
        <w:t xml:space="preserve">  CAUSE witness Krone argues further that confirmed low-income customers should be automatically returned to default service absent an affirmative election to shop at the end of the Opt-In Program term.  </w:t>
      </w:r>
      <w:proofErr w:type="gramStart"/>
      <w:r>
        <w:t>(CAUSE St. 1, p. 21).</w:t>
      </w:r>
      <w:proofErr w:type="gramEnd"/>
      <w:r>
        <w:t xml:space="preserve">  These are additional requirements that were not accepted in the </w:t>
      </w:r>
      <w:r>
        <w:rPr>
          <w:i/>
        </w:rPr>
        <w:t>RMI-IWP Final Order</w:t>
      </w:r>
      <w:r>
        <w:t xml:space="preserve"> (Order pp. 71-72) and they </w:t>
      </w:r>
      <w:r>
        <w:lastRenderedPageBreak/>
        <w:t xml:space="preserve">are not requirements that should be adopted here.  Adding additional notice requirements, or adding a requirement that the Company separately track low-income customers under the program and determine whether such customers have made an affirmative election to continue to shop, will only add costs to the program and should be rejected.  Furthermore, PPL Electric does not support treating customers participating in the Opt-In Program differently from other shopping customers just because this program might be their first experience with shopping.  Other first-time shoppers do not receive such added protections of additional notice or limitations on contract renewals, and PPL Electric does not believe it should be involved in the shopping relationship between a customers and an EGS.  </w:t>
      </w:r>
      <w:proofErr w:type="gramStart"/>
      <w:r>
        <w:t>(PPL Electric St. 4-R, pp. 29-30).</w:t>
      </w:r>
      <w:proofErr w:type="gramEnd"/>
      <w:r>
        <w:t xml:space="preserve">  OCA’s and CAUSE’s proposals should not be adopted.  </w:t>
      </w:r>
    </w:p>
    <w:p w:rsidR="00291D4F" w:rsidRDefault="00291D4F" w:rsidP="001F1974">
      <w:pPr>
        <w:pStyle w:val="BodyText2"/>
        <w:spacing w:after="0" w:line="360" w:lineRule="auto"/>
        <w:jc w:val="left"/>
      </w:pPr>
      <w:r>
        <w:t>PPL Electric MB at 118-119.</w:t>
      </w:r>
    </w:p>
    <w:p w:rsidR="008F547E" w:rsidRDefault="008F547E" w:rsidP="001F1974">
      <w:pPr>
        <w:pStyle w:val="BodyText2"/>
        <w:spacing w:after="0" w:line="360" w:lineRule="auto"/>
        <w:jc w:val="left"/>
      </w:pPr>
    </w:p>
    <w:p w:rsidR="00332C7C" w:rsidRDefault="00332C7C" w:rsidP="001F1974">
      <w:pPr>
        <w:pStyle w:val="BodyText2"/>
        <w:spacing w:after="0" w:line="360" w:lineRule="auto"/>
        <w:contextualSpacing/>
        <w:jc w:val="left"/>
      </w:pPr>
      <w:r>
        <w:tab/>
      </w:r>
      <w:r>
        <w:tab/>
        <w:t xml:space="preserve">FES avers that, absent any affirmative action, the customer, at the end of the Opt-In Program, should not be returned to default service.  </w:t>
      </w:r>
      <w:proofErr w:type="gramStart"/>
      <w:r>
        <w:t>FES Stmt. 1 at 3; FES MB at 54; FES RB at 31.</w:t>
      </w:r>
      <w:proofErr w:type="gramEnd"/>
    </w:p>
    <w:p w:rsidR="00332C7C" w:rsidRDefault="00332C7C" w:rsidP="001F1974">
      <w:pPr>
        <w:pStyle w:val="BodyText2"/>
        <w:spacing w:after="0" w:line="360" w:lineRule="auto"/>
        <w:contextualSpacing/>
        <w:jc w:val="left"/>
      </w:pPr>
    </w:p>
    <w:p w:rsidR="00291D4F" w:rsidRDefault="00CE78EF" w:rsidP="001F1974">
      <w:pPr>
        <w:pStyle w:val="BodyText2"/>
        <w:spacing w:after="0" w:line="360" w:lineRule="auto"/>
        <w:contextualSpacing/>
        <w:jc w:val="left"/>
      </w:pPr>
      <w:r>
        <w:tab/>
      </w:r>
      <w:r>
        <w:tab/>
        <w:t>The participating customers actively chose to participate in the auction/aggregation with full knowledge of the terms of the program.  They should remain with the EGS unless and until they affirmatively choose to move to another EGS or back to default service, consistent with the goals of the Retail Market Enhancements programs.</w:t>
      </w:r>
    </w:p>
    <w:p w:rsidR="009A2752" w:rsidRDefault="009A2752" w:rsidP="001F1974">
      <w:pPr>
        <w:pStyle w:val="BodyText2"/>
        <w:spacing w:after="0" w:line="360" w:lineRule="auto"/>
        <w:contextualSpacing/>
        <w:jc w:val="left"/>
        <w:rPr>
          <w:b/>
        </w:rPr>
      </w:pPr>
    </w:p>
    <w:p w:rsidR="00291D4F" w:rsidRDefault="00225E14" w:rsidP="00225E14">
      <w:pPr>
        <w:pStyle w:val="BodyText2"/>
        <w:spacing w:after="0" w:line="240" w:lineRule="auto"/>
        <w:ind w:left="2160" w:hanging="720"/>
        <w:contextualSpacing/>
        <w:jc w:val="left"/>
        <w:rPr>
          <w:b/>
        </w:rPr>
      </w:pPr>
      <w:r>
        <w:rPr>
          <w:b/>
        </w:rPr>
        <w:t>h</w:t>
      </w:r>
      <w:r w:rsidR="00CE78EF" w:rsidRPr="00CE78EF">
        <w:rPr>
          <w:b/>
        </w:rPr>
        <w:t>.</w:t>
      </w:r>
      <w:r w:rsidR="00CE78EF" w:rsidRPr="00CE78EF">
        <w:rPr>
          <w:b/>
        </w:rPr>
        <w:tab/>
      </w:r>
      <w:r w:rsidR="00291D4F">
        <w:rPr>
          <w:b/>
        </w:rPr>
        <w:t>Structure of Opt-In Auction – sealed bid format vs. descending price clock auction</w:t>
      </w:r>
      <w:r w:rsidR="00FF18D0">
        <w:rPr>
          <w:b/>
        </w:rPr>
        <w:fldChar w:fldCharType="begin"/>
      </w:r>
      <w:r w:rsidR="00FF18D0">
        <w:instrText xml:space="preserve"> TC "</w:instrText>
      </w:r>
      <w:bookmarkStart w:id="104" w:name="_Toc340670044"/>
      <w:r w:rsidR="00FF18D0" w:rsidRPr="009B7B20">
        <w:rPr>
          <w:b/>
        </w:rPr>
        <w:instrText>h.</w:instrText>
      </w:r>
      <w:r w:rsidR="00FF18D0" w:rsidRPr="009B7B20">
        <w:rPr>
          <w:b/>
        </w:rPr>
        <w:tab/>
        <w:instrText>Structure of Opt-In Auction – sealed bid format vs. descending price clock auction</w:instrText>
      </w:r>
      <w:bookmarkEnd w:id="104"/>
      <w:r w:rsidR="00FF18D0">
        <w:instrText xml:space="preserve">" \f C \l "4" </w:instrText>
      </w:r>
      <w:r w:rsidR="00FF18D0">
        <w:rPr>
          <w:b/>
        </w:rPr>
        <w:fldChar w:fldCharType="end"/>
      </w:r>
    </w:p>
    <w:p w:rsidR="008F547E" w:rsidRDefault="008F547E" w:rsidP="001F1974">
      <w:pPr>
        <w:pStyle w:val="BodyText2"/>
        <w:spacing w:after="0" w:line="360" w:lineRule="auto"/>
        <w:contextualSpacing/>
        <w:jc w:val="left"/>
      </w:pPr>
    </w:p>
    <w:p w:rsidR="00291D4F" w:rsidRDefault="00CE78EF" w:rsidP="001F1974">
      <w:pPr>
        <w:contextualSpacing/>
        <w:jc w:val="left"/>
      </w:pPr>
      <w:r>
        <w:tab/>
      </w:r>
      <w:r>
        <w:tab/>
        <w:t xml:space="preserve">The Company proposes a sealed bid format because it is less complex, less costly, and consistent with the type of process that the Company routinely uses to acquire full requirements default service.  </w:t>
      </w:r>
      <w:proofErr w:type="gramStart"/>
      <w:r>
        <w:t>PPL Electric Stmt. 4-R at 32.</w:t>
      </w:r>
      <w:proofErr w:type="gramEnd"/>
    </w:p>
    <w:p w:rsidR="00291D4F" w:rsidRDefault="00291D4F" w:rsidP="001F1974">
      <w:pPr>
        <w:jc w:val="left"/>
      </w:pPr>
    </w:p>
    <w:p w:rsidR="00D424EC" w:rsidRDefault="009A2752" w:rsidP="00D335AF">
      <w:pPr>
        <w:pStyle w:val="BodyText2"/>
        <w:spacing w:after="0" w:line="240" w:lineRule="auto"/>
        <w:ind w:left="1440" w:right="1440" w:firstLine="720"/>
        <w:contextualSpacing/>
        <w:jc w:val="left"/>
      </w:pPr>
      <w:r>
        <w:t xml:space="preserve">FES recommends the use of a declining clock auction instead of a sealed bid process for an Opt-In Auction program.  </w:t>
      </w:r>
      <w:proofErr w:type="gramStart"/>
      <w:r>
        <w:t>(FES St. 1, p. 18).</w:t>
      </w:r>
      <w:proofErr w:type="gramEnd"/>
      <w:r>
        <w:rPr>
          <w:rStyle w:val="FootnoteReference"/>
        </w:rPr>
        <w:footnoteReference w:id="43"/>
      </w:r>
      <w:r>
        <w:t xml:space="preserve">  FES contends that a declining clock structure would be more conducive to “head-to-head” competition and </w:t>
      </w:r>
      <w:r>
        <w:lastRenderedPageBreak/>
        <w:t xml:space="preserve">therefore more likely to lead to a price below the 5% discount threshold.  </w:t>
      </w:r>
      <w:proofErr w:type="gramStart"/>
      <w:r>
        <w:t>(FES St. 1, p. 19).</w:t>
      </w:r>
      <w:proofErr w:type="gramEnd"/>
      <w:r>
        <w:t xml:space="preserve">  The Company disagrees with FES’s recommendation.  Moreover, FES has produced no analysis to support a claim that a declining clock approach would significantly alter the resulting discount in an auction process.  </w:t>
      </w:r>
      <w:proofErr w:type="gramStart"/>
      <w:r>
        <w:t>(PPL Electric St. 4-R, pp. 31-32).</w:t>
      </w:r>
      <w:proofErr w:type="gramEnd"/>
      <w:r>
        <w:t xml:space="preserve">  FES’s proposal to adopt a declining clock option is not supported and should be rejected.  </w:t>
      </w:r>
    </w:p>
    <w:p w:rsidR="009A2752" w:rsidRDefault="009A2752" w:rsidP="00D424EC">
      <w:pPr>
        <w:pStyle w:val="BodyText2"/>
        <w:spacing w:after="0" w:line="240" w:lineRule="auto"/>
        <w:ind w:right="1440"/>
        <w:contextualSpacing/>
        <w:jc w:val="left"/>
      </w:pPr>
      <w:proofErr w:type="gramStart"/>
      <w:r>
        <w:t>PPL MB at 121.</w:t>
      </w:r>
      <w:proofErr w:type="gramEnd"/>
    </w:p>
    <w:p w:rsidR="00291D4F" w:rsidRDefault="00291D4F" w:rsidP="001F1974">
      <w:pPr>
        <w:jc w:val="left"/>
      </w:pPr>
    </w:p>
    <w:p w:rsidR="00291D4F" w:rsidRDefault="00291D4F" w:rsidP="001F1974">
      <w:pPr>
        <w:jc w:val="left"/>
      </w:pPr>
      <w:r>
        <w:tab/>
      </w:r>
      <w:r>
        <w:tab/>
        <w:t xml:space="preserve">While the OCA does not express a preference for one over the other, it does emphasize that regardless of the choice, the cost should be the responsibility of the EGSs participating in it.  </w:t>
      </w:r>
    </w:p>
    <w:p w:rsidR="00291D4F" w:rsidRDefault="00291D4F" w:rsidP="008F547E">
      <w:pPr>
        <w:pStyle w:val="BodyText2"/>
        <w:spacing w:after="0" w:line="360" w:lineRule="auto"/>
        <w:jc w:val="left"/>
      </w:pPr>
    </w:p>
    <w:p w:rsidR="00332C7C" w:rsidRDefault="00332C7C" w:rsidP="008F547E">
      <w:pPr>
        <w:pStyle w:val="BodyText2"/>
        <w:spacing w:after="0" w:line="360" w:lineRule="auto"/>
        <w:jc w:val="left"/>
      </w:pPr>
      <w:r>
        <w:tab/>
      </w:r>
      <w:r>
        <w:tab/>
        <w:t>The Company's method of carrying out either the Opt-In Auction or Aggregation is recommended for approval as reasonable.</w:t>
      </w:r>
    </w:p>
    <w:p w:rsidR="008F547E" w:rsidRDefault="008F547E" w:rsidP="008F547E">
      <w:pPr>
        <w:pStyle w:val="BodyText2"/>
        <w:spacing w:after="0" w:line="360" w:lineRule="auto"/>
        <w:jc w:val="left"/>
      </w:pPr>
    </w:p>
    <w:p w:rsidR="001B1FF6" w:rsidRPr="00291D4F" w:rsidRDefault="00225E14" w:rsidP="00225E14">
      <w:pPr>
        <w:ind w:left="1440"/>
        <w:jc w:val="left"/>
        <w:rPr>
          <w:b/>
        </w:rPr>
      </w:pPr>
      <w:r>
        <w:t>i</w:t>
      </w:r>
      <w:r w:rsidR="00332C7C">
        <w:t>.</w:t>
      </w:r>
      <w:r w:rsidR="00332C7C">
        <w:tab/>
      </w:r>
      <w:r w:rsidR="001B1FF6" w:rsidRPr="00291D4F">
        <w:rPr>
          <w:b/>
        </w:rPr>
        <w:t xml:space="preserve">Low Income Participation in Retail </w:t>
      </w:r>
      <w:r w:rsidR="00332C7C">
        <w:rPr>
          <w:b/>
        </w:rPr>
        <w:t xml:space="preserve">Market </w:t>
      </w:r>
      <w:r w:rsidR="001B1FF6" w:rsidRPr="00291D4F">
        <w:rPr>
          <w:b/>
        </w:rPr>
        <w:t>Enhancements</w:t>
      </w:r>
      <w:r w:rsidR="00FF18D0">
        <w:rPr>
          <w:b/>
        </w:rPr>
        <w:fldChar w:fldCharType="begin"/>
      </w:r>
      <w:r w:rsidR="00FF18D0">
        <w:instrText xml:space="preserve"> TC "</w:instrText>
      </w:r>
      <w:bookmarkStart w:id="105" w:name="_Toc340670045"/>
      <w:r w:rsidR="00FF18D0" w:rsidRPr="009B7B20">
        <w:instrText>i.</w:instrText>
      </w:r>
      <w:r w:rsidR="00FF18D0" w:rsidRPr="009B7B20">
        <w:tab/>
      </w:r>
      <w:r w:rsidR="00FF18D0" w:rsidRPr="009B7B20">
        <w:rPr>
          <w:b/>
        </w:rPr>
        <w:instrText>Low Income Participation in Retail Market Enhancements</w:instrText>
      </w:r>
      <w:bookmarkEnd w:id="105"/>
      <w:r w:rsidR="00FF18D0">
        <w:instrText xml:space="preserve">" \f C \l "4" </w:instrText>
      </w:r>
      <w:r w:rsidR="00FF18D0">
        <w:rPr>
          <w:b/>
        </w:rPr>
        <w:fldChar w:fldCharType="end"/>
      </w:r>
    </w:p>
    <w:p w:rsidR="001B1FF6" w:rsidRDefault="001B1FF6" w:rsidP="008F547E">
      <w:pPr>
        <w:jc w:val="left"/>
      </w:pPr>
    </w:p>
    <w:p w:rsidR="00AF209B" w:rsidRDefault="00AF209B" w:rsidP="008F547E">
      <w:pPr>
        <w:jc w:val="left"/>
      </w:pPr>
      <w:r>
        <w:t xml:space="preserve"> </w:t>
      </w:r>
      <w:r>
        <w:tab/>
      </w:r>
      <w:r>
        <w:tab/>
        <w:t xml:space="preserve">The Company characterizes its own position on CAP customer participation as one that has evolved during the course of the litigation.  It is "complicated."  </w:t>
      </w:r>
      <w:proofErr w:type="gramStart"/>
      <w:r>
        <w:t>PPL Electric MB at 137.</w:t>
      </w:r>
      <w:proofErr w:type="gramEnd"/>
      <w:r w:rsidR="00FF18D0">
        <w:t xml:space="preserve">  </w:t>
      </w:r>
      <w:r>
        <w:t xml:space="preserve">This is because there are policy considerations not related to shopping that are built into the OnTrack program, including ensuring that the program is cost-effective, as the non-CAP residential customers pay the difference between the CAP bill and the CAP customers' full bill.  When an OnTrack customer's full bill responsibility increases, the shortfall does as well.  And, if the CAP </w:t>
      </w:r>
      <w:proofErr w:type="gramStart"/>
      <w:r>
        <w:t>customer receive</w:t>
      </w:r>
      <w:proofErr w:type="gramEnd"/>
      <w:r>
        <w:t xml:space="preserve"> benefits not reflected in the determination of their payment, the amount paid by the non-CAP customers is unnecessarily higher.  Providing a program that is as fair as possible while providing bills that the CAP customers can pay is a challenging balancing act.  </w:t>
      </w:r>
      <w:proofErr w:type="gramStart"/>
      <w:r>
        <w:t>PPL Electric MB at 137.</w:t>
      </w:r>
      <w:proofErr w:type="gramEnd"/>
      <w:r>
        <w:t xml:space="preserve">  The Company explains:</w:t>
      </w:r>
    </w:p>
    <w:p w:rsidR="00AF209B" w:rsidRDefault="00AF209B" w:rsidP="001F1974">
      <w:pPr>
        <w:jc w:val="left"/>
      </w:pPr>
    </w:p>
    <w:p w:rsidR="00AF209B" w:rsidRDefault="00AF209B" w:rsidP="001F1974">
      <w:pPr>
        <w:spacing w:line="240" w:lineRule="auto"/>
        <w:ind w:left="1440" w:right="1440"/>
        <w:jc w:val="left"/>
      </w:pPr>
      <w:proofErr w:type="gramStart"/>
      <w:r>
        <w:t>Under these billing protocols, if an OnTrack customer's choice to shop results in either a $10 savings or a $10 increased costs compared to the PTC, there is no change to the customer's required OnTrack bill payment.</w:t>
      </w:r>
      <w:proofErr w:type="gramEnd"/>
      <w:r>
        <w:t xml:space="preserve">  The resulting savings or costs are passed through to or recovered from other residential customers that pay the universal service charge. </w:t>
      </w:r>
      <w:proofErr w:type="gramStart"/>
      <w:r>
        <w:t>(CAUSE Ex. SRK-2, Attachment 1, p. 2).</w:t>
      </w:r>
      <w:proofErr w:type="gramEnd"/>
      <w:r>
        <w:t xml:space="preserve"> If an OnTrack customer selects a supplier that has a price </w:t>
      </w:r>
      <w:r>
        <w:lastRenderedPageBreak/>
        <w:t xml:space="preserve">significantly above the PTC, then the OnTrack customer must pay that extra amount (above the $10 per month threshold) as part of their OnTrack bill.  If an OnTrack customer selects a supplier that has a price that produces a significant savings over the PTC, then OnTrack participants and residential customers paying the cost of the CAP Program through PPL Electric's universal service surcharge share the shopping savings by a ratio of 60% to the OnTrack participant and 40% to non-cap customers who pay the program's cost.  </w:t>
      </w:r>
      <w:proofErr w:type="gramStart"/>
      <w:r>
        <w:t>(CAUSE Ex. SRK-2, Attachment 1, p. 2).</w:t>
      </w:r>
      <w:proofErr w:type="gramEnd"/>
      <w:r>
        <w:t xml:space="preserve">  These protocols are designed to encourage efficient shopping by OnTrack customers by increasing their required payment if they take more expensive service from an EGS while allowing them to receive a share of savings from shopping, while providing a share of shopping savings to the non-CAP residential customers that pay the CAP shortfall.</w:t>
      </w:r>
    </w:p>
    <w:p w:rsidR="00AF209B" w:rsidRDefault="00AF209B" w:rsidP="001F1974">
      <w:pPr>
        <w:jc w:val="left"/>
      </w:pPr>
      <w:proofErr w:type="gramStart"/>
      <w:r>
        <w:t>PPL Electric MB at 138.</w:t>
      </w:r>
      <w:proofErr w:type="gramEnd"/>
    </w:p>
    <w:p w:rsidR="00AF209B" w:rsidRDefault="00AF209B" w:rsidP="001F1974">
      <w:pPr>
        <w:jc w:val="left"/>
      </w:pPr>
    </w:p>
    <w:p w:rsidR="00AF209B" w:rsidRDefault="00AF209B" w:rsidP="001F1974">
      <w:pPr>
        <w:jc w:val="left"/>
      </w:pPr>
      <w:r>
        <w:tab/>
      </w:r>
      <w:r>
        <w:tab/>
        <w:t>Because of the structure of the On-Track program and the discount already in place, a CAP customer would get a different experience from a non-CAP customer.  A description of the OnTrack program according to CAUSE witness Krone follows:</w:t>
      </w:r>
    </w:p>
    <w:p w:rsidR="00AF209B" w:rsidRDefault="00AF209B" w:rsidP="001F1974">
      <w:pPr>
        <w:jc w:val="left"/>
      </w:pPr>
    </w:p>
    <w:p w:rsidR="00AF209B" w:rsidRDefault="00AF209B" w:rsidP="001F1974">
      <w:pPr>
        <w:spacing w:line="240" w:lineRule="auto"/>
        <w:ind w:left="1440" w:right="1440"/>
        <w:contextualSpacing/>
        <w:jc w:val="left"/>
      </w:pPr>
      <w:r>
        <w:t xml:space="preserve">Generally, PPL's OnTrack program provides for a discounted bill for payment troubled, low-income ratepayers whose household incomes are at or below 150% of the federal poverty income guidelines and also provides the benefit of allowing these households to have their CAP program arrearages frozen and forgiven over time through payment of on-time, in-full CAP payments over a period of years.  PPL administers its OnTrack program through community based organizations which utilize PPL's computer system to set one of four different payment options or an "Agency Selected" payment amount.  The goal of this process is for the payment amount selected to most closely reflect the annualized average payment made by the customer within the prior 12 months.  </w:t>
      </w:r>
    </w:p>
    <w:p w:rsidR="00AF209B" w:rsidRDefault="00AF209B" w:rsidP="00D424EC">
      <w:pPr>
        <w:spacing w:line="240" w:lineRule="auto"/>
        <w:jc w:val="left"/>
      </w:pPr>
      <w:proofErr w:type="gramStart"/>
      <w:r>
        <w:t>CAUSE-PA Stmt. 1 at 9.</w:t>
      </w:r>
      <w:proofErr w:type="gramEnd"/>
    </w:p>
    <w:p w:rsidR="00AF209B" w:rsidRDefault="00AF209B" w:rsidP="001F1974">
      <w:pPr>
        <w:jc w:val="left"/>
      </w:pPr>
    </w:p>
    <w:p w:rsidR="00D424EC" w:rsidRDefault="00AF209B" w:rsidP="001F1974">
      <w:pPr>
        <w:spacing w:line="240" w:lineRule="auto"/>
        <w:ind w:left="1440" w:right="1440"/>
        <w:contextualSpacing/>
        <w:jc w:val="left"/>
      </w:pPr>
      <w:r>
        <w:t xml:space="preserve">Thus, at best, a CAP customer participating in the auction would see only 40% of the 5% savings within the program – or approximately 2% off the price to compare – and then only if their total consumption bill for any given month were to exceed $100 </w:t>
      </w:r>
      <w:r w:rsidR="00D424EC">
        <w:br w:type="page"/>
      </w:r>
    </w:p>
    <w:p w:rsidR="00AF209B" w:rsidRDefault="00AF209B" w:rsidP="001F1974">
      <w:pPr>
        <w:spacing w:line="240" w:lineRule="auto"/>
        <w:ind w:left="1440" w:right="1440"/>
        <w:contextualSpacing/>
        <w:jc w:val="left"/>
      </w:pPr>
      <w:r>
        <w:lastRenderedPageBreak/>
        <w:t>(</w:t>
      </w:r>
      <w:proofErr w:type="gramStart"/>
      <w:r>
        <w:t>non-electric</w:t>
      </w:r>
      <w:proofErr w:type="gramEnd"/>
      <w:r>
        <w:t xml:space="preserve"> heating) or $200 (electric heating).  This process creates only the illusion of 5% savings for the most vulnerable and least sophisticated customer.</w:t>
      </w:r>
    </w:p>
    <w:p w:rsidR="00AF209B" w:rsidRDefault="00AF209B" w:rsidP="001F1974">
      <w:pPr>
        <w:jc w:val="left"/>
      </w:pPr>
      <w:r>
        <w:t xml:space="preserve">CAUSE Stmt. 1 at 15; CAUSE MB at </w:t>
      </w:r>
    </w:p>
    <w:p w:rsidR="00AF209B" w:rsidRDefault="00AF209B" w:rsidP="001F1974">
      <w:pPr>
        <w:jc w:val="left"/>
      </w:pPr>
    </w:p>
    <w:p w:rsidR="00AF209B" w:rsidRDefault="00AF209B" w:rsidP="001F1974">
      <w:pPr>
        <w:jc w:val="left"/>
      </w:pPr>
      <w:r>
        <w:tab/>
      </w:r>
      <w:r>
        <w:tab/>
        <w:t xml:space="preserve">Even if the CAP customer's bill exceeds this amount, a CAP customer does not reap the entire amount of the savings from shopping.  As non-CAP customers pay the difference in the CAP customer's usage and the actual amount due, where there is a benefit from shopping, the savings are also shared with the non-CAP customers.  CAUSE Stmt. 1 at 15.  </w:t>
      </w:r>
    </w:p>
    <w:p w:rsidR="00AF209B" w:rsidRDefault="00AF209B" w:rsidP="001F1974">
      <w:pPr>
        <w:jc w:val="left"/>
      </w:pPr>
    </w:p>
    <w:p w:rsidR="00AF209B" w:rsidRDefault="00AF209B" w:rsidP="001F1974">
      <w:pPr>
        <w:jc w:val="left"/>
      </w:pPr>
      <w:r>
        <w:tab/>
      </w:r>
      <w:r>
        <w:tab/>
        <w:t xml:space="preserve">Although the computers can certainly carry out these calculations easily, it is not as easy to explain the system to the customers.  </w:t>
      </w:r>
    </w:p>
    <w:p w:rsidR="00AF209B" w:rsidRDefault="00AF209B" w:rsidP="001F1974">
      <w:pPr>
        <w:jc w:val="left"/>
      </w:pPr>
    </w:p>
    <w:p w:rsidR="00AF209B" w:rsidRDefault="00AF209B" w:rsidP="001F1974">
      <w:pPr>
        <w:spacing w:line="240" w:lineRule="auto"/>
        <w:ind w:left="1440" w:right="1440"/>
        <w:contextualSpacing/>
        <w:jc w:val="left"/>
      </w:pPr>
      <w:r>
        <w:t>. . . I do not believe that PPL (or any other entity) would be able to succinctly and accurately explain this to PPL's CAP customers.  PPL has proposed to send a mailing following the auction that will include the applicable "percent off" after it is determined by the auction.  PPL has not indicated that they will send a separate letter to its CAP customers explaining how their discount will be determined.  If the auction results in a discount of 5% less than the price to compare and PPL sends a letter to all of its CAP customers who are not being served by an EGS saying that they can opt-in and receive 5% less than the price to compare they will be affirmatively misleading these customers because under no circumstances will that be the case.  The CAP customer will either receive no benefit in a given month because the savings do not cross the threshold established by PPL or they will receive only 40% of the benefit (i.e., in my example 40% of the 5% off which is 2%) in those months where they do cross the applicable threshold.</w:t>
      </w:r>
    </w:p>
    <w:p w:rsidR="00AF209B" w:rsidRDefault="00AF209B" w:rsidP="001F1974">
      <w:pPr>
        <w:spacing w:line="240" w:lineRule="auto"/>
        <w:ind w:left="1440" w:right="1440"/>
        <w:contextualSpacing/>
        <w:jc w:val="left"/>
      </w:pPr>
    </w:p>
    <w:p w:rsidR="00AF209B" w:rsidRDefault="00AF209B" w:rsidP="001F1974">
      <w:pPr>
        <w:spacing w:line="240" w:lineRule="auto"/>
        <w:ind w:left="1440" w:right="1440"/>
        <w:contextualSpacing/>
        <w:jc w:val="left"/>
      </w:pPr>
      <w:r>
        <w:tab/>
        <w:t xml:space="preserve">The second reason that CAP customers should be excluded from the Opt-in Auction is what happens to these customers at the end of the auction period.  At the end of the auction term, CAP customers who do not affirmatively elect to switch back to default service would remain customers of the wining EGS to which they were assigned at a variable rate month-to-month contract or another contract agreed to by the CAP customer and the EGS.  It is very likely that the cost of service will increase significantly for these customers.  In fact, according to the information provided by PPL in discovery, </w:t>
      </w:r>
      <w:r w:rsidRPr="00D5694F">
        <w:rPr>
          <w:b/>
        </w:rPr>
        <w:t xml:space="preserve">more than 73% of its CAP customers who are currently being served by an EGS are being charged a higher </w:t>
      </w:r>
      <w:r w:rsidRPr="00D5694F">
        <w:rPr>
          <w:b/>
        </w:rPr>
        <w:lastRenderedPageBreak/>
        <w:t>price than PPL's price to compare.</w:t>
      </w:r>
      <w:r>
        <w:t xml:space="preserve">  Given that the Commission has already endorsed CAP participation in the Opt-in Auction </w:t>
      </w:r>
      <w:r w:rsidRPr="00D5694F">
        <w:rPr>
          <w:b/>
          <w:u w:val="single"/>
        </w:rPr>
        <w:t>only</w:t>
      </w:r>
      <w:r>
        <w:t xml:space="preserve"> if CAP customers can participate without being subjected to harm, I see no reason why, given the very real possibility of </w:t>
      </w:r>
      <w:proofErr w:type="gramStart"/>
      <w:r>
        <w:t>harm, that</w:t>
      </w:r>
      <w:proofErr w:type="gramEnd"/>
      <w:r>
        <w:t xml:space="preserve"> CAP customers should be among the customers eligible to participate.  </w:t>
      </w:r>
    </w:p>
    <w:p w:rsidR="00AF209B" w:rsidRDefault="00AF209B" w:rsidP="001F1974">
      <w:pPr>
        <w:contextualSpacing/>
        <w:jc w:val="left"/>
      </w:pPr>
      <w:r>
        <w:t>CAUSE-PA Stmt. 1 at 16 (emphasis in original</w:t>
      </w:r>
      <w:proofErr w:type="gramStart"/>
      <w:r>
        <w:t>)(</w:t>
      </w:r>
      <w:proofErr w:type="gramEnd"/>
      <w:r>
        <w:t>footnotes omitted).</w:t>
      </w:r>
    </w:p>
    <w:p w:rsidR="00AF209B" w:rsidRDefault="00AF209B" w:rsidP="001F1974">
      <w:pPr>
        <w:contextualSpacing/>
        <w:jc w:val="left"/>
      </w:pPr>
    </w:p>
    <w:p w:rsidR="00AF209B" w:rsidRDefault="00AF209B" w:rsidP="001F1974">
      <w:pPr>
        <w:contextualSpacing/>
        <w:jc w:val="left"/>
      </w:pPr>
      <w:r>
        <w:tab/>
      </w:r>
      <w:r>
        <w:tab/>
        <w:t xml:space="preserve">Because of these circumstances, CAUSE-PA has recommended that CAP customers not be allowed to participate in the Retail Opt-In Auction or Standard Referral Programs.  CAUSE Stmt. 1 at 14-19. </w:t>
      </w:r>
    </w:p>
    <w:p w:rsidR="00AF209B" w:rsidRDefault="00AF209B" w:rsidP="001F1974">
      <w:pPr>
        <w:jc w:val="left"/>
      </w:pPr>
    </w:p>
    <w:p w:rsidR="00AF209B" w:rsidRDefault="00AF209B" w:rsidP="001F1974">
      <w:pPr>
        <w:jc w:val="left"/>
      </w:pPr>
      <w:r>
        <w:tab/>
      </w:r>
      <w:r>
        <w:tab/>
        <w:t xml:space="preserve">CAUSE-PA witness Krone warned that OnTrack customers lured onto programs with promises of savings that are not realized, may face higher costs for service than they might otherwise pay while on default service.  This prediction is already a reality, as more than 73% of PPL Electric's CAP customers who are currently being served by an EGS are being charged a higher price than PPL's price to compare.  </w:t>
      </w:r>
      <w:proofErr w:type="gramStart"/>
      <w:r>
        <w:t>CAUSE Stmt. 1-SR at 6.</w:t>
      </w:r>
      <w:proofErr w:type="gramEnd"/>
      <w:r>
        <w:t xml:space="preserve">  </w:t>
      </w:r>
    </w:p>
    <w:p w:rsidR="00AF209B" w:rsidRDefault="00AF209B" w:rsidP="001F1974">
      <w:pPr>
        <w:jc w:val="left"/>
      </w:pPr>
    </w:p>
    <w:p w:rsidR="00D67008" w:rsidRDefault="00AF209B" w:rsidP="001F1974">
      <w:pPr>
        <w:spacing w:line="240" w:lineRule="auto"/>
        <w:ind w:left="1440" w:right="1440"/>
        <w:contextualSpacing/>
        <w:jc w:val="left"/>
      </w:pPr>
      <w:r>
        <w:t xml:space="preserve">The Commission recognizes the input provided thus far regarding the inclusion of CAP customers in the Retail Opt-in Auctions and has reviewed and discussed all information provided by the parties at great length.  Because CAP customer participation in electric competition currently varies from EDC to EDC, the Commission finds it difficult to make a statewide pronouncement regarding these customers' inclusion or exclusion in the auctions at this time.  The Commission notes that a Universal Service subgroup has been formed under the auspices of the Investigation and it is expected that those subgroup participants will discuss the issues surrounding CAP customer shopping at length and provide recommendations for future RMI initiatives, such as the long-term work plan anticipated to be released in the spring of 2012.  However, the Commission believes it cannot make a determination, at this time, regarding the eligibility of such customers to participate in the Retail Opt-in Auctions.  As such, the Commission believes the ability of CAP customer participation should be determined within each EDC's default service proceeding, through which the EDCs are presenting proposed Retail Opt-in Auction models.  We also note that we do see significant merit and agree with the comments </w:t>
      </w:r>
      <w:r w:rsidR="00D67008">
        <w:br w:type="page"/>
      </w:r>
    </w:p>
    <w:p w:rsidR="00AF209B" w:rsidRDefault="00AF209B" w:rsidP="001F1974">
      <w:pPr>
        <w:spacing w:line="240" w:lineRule="auto"/>
        <w:ind w:left="1440" w:right="1440"/>
        <w:contextualSpacing/>
        <w:jc w:val="left"/>
      </w:pPr>
      <w:proofErr w:type="gramStart"/>
      <w:r>
        <w:lastRenderedPageBreak/>
        <w:t>provided</w:t>
      </w:r>
      <w:proofErr w:type="gramEnd"/>
      <w:r>
        <w:t xml:space="preserve"> by [numerous parties] that CAP customers should not be subject to harm, i.e., loss of benefits, if they are deemed eligible to participate in the auctions.</w:t>
      </w:r>
    </w:p>
    <w:p w:rsidR="00AF209B" w:rsidRDefault="00AF209B" w:rsidP="001F1974">
      <w:pPr>
        <w:jc w:val="left"/>
      </w:pPr>
      <w:r w:rsidRPr="00BD7119">
        <w:rPr>
          <w:i/>
        </w:rPr>
        <w:t>IWP Order</w:t>
      </w:r>
      <w:r>
        <w:t xml:space="preserve"> at 31-32.</w:t>
      </w:r>
    </w:p>
    <w:p w:rsidR="008F547E" w:rsidRDefault="008F547E" w:rsidP="001F1974">
      <w:pPr>
        <w:jc w:val="left"/>
      </w:pPr>
    </w:p>
    <w:p w:rsidR="00AF209B" w:rsidRDefault="00AF209B" w:rsidP="001F1974">
      <w:pPr>
        <w:jc w:val="left"/>
      </w:pPr>
      <w:r>
        <w:tab/>
      </w:r>
      <w:r>
        <w:tab/>
      </w:r>
      <w:proofErr w:type="gramStart"/>
      <w:r>
        <w:t>CAUSE</w:t>
      </w:r>
      <w:proofErr w:type="gramEnd"/>
      <w:r>
        <w:t xml:space="preserve"> witness Krone testified that as of May 1, 2012, PPL Electric had 165,484 confirmed low-income customer but only 35,121 were OnTrack participants, or 21.2%.  Only 17% had received a LIHEAP grant.  He stated that it is crucial that market enhancements must be designed to protect all low-income customers who have little to no room in their monthly budgets for volatile energy prices.  </w:t>
      </w:r>
      <w:proofErr w:type="gramStart"/>
      <w:r>
        <w:t>CAUSE-PA Stmt. 1 at 11.</w:t>
      </w:r>
      <w:proofErr w:type="gramEnd"/>
    </w:p>
    <w:p w:rsidR="00AF209B" w:rsidRDefault="00AF209B" w:rsidP="001F1974">
      <w:pPr>
        <w:jc w:val="left"/>
      </w:pPr>
    </w:p>
    <w:p w:rsidR="00AF209B" w:rsidRDefault="00AF209B" w:rsidP="001F1974">
      <w:pPr>
        <w:jc w:val="left"/>
      </w:pPr>
      <w:r>
        <w:tab/>
      </w:r>
      <w:r>
        <w:tab/>
        <w:t xml:space="preserve">Addressing the needs of confirmed low-income who are not presently participating in the CAP programs is problematic.  However, </w:t>
      </w:r>
      <w:r w:rsidR="00332C7C">
        <w:t xml:space="preserve">CAUSE-PA avers that </w:t>
      </w:r>
      <w:r>
        <w:t xml:space="preserve">the Commission can address the needs of those who are participating in the EDC's CAP program and rule that they are ineligible to participate in the Retail Markets Enhancements programs.  </w:t>
      </w:r>
    </w:p>
    <w:p w:rsidR="00AF209B" w:rsidRDefault="00AF209B" w:rsidP="001F1974">
      <w:pPr>
        <w:jc w:val="left"/>
      </w:pPr>
    </w:p>
    <w:p w:rsidR="00AF209B" w:rsidRDefault="00AF209B" w:rsidP="001F1974">
      <w:pPr>
        <w:jc w:val="left"/>
      </w:pPr>
      <w:r>
        <w:tab/>
      </w:r>
      <w:r>
        <w:tab/>
        <w:t xml:space="preserve">According to CAUSE witness Krone, the issue is whether the participation of OnTrack participants in either of the proposed retail market enhancements </w:t>
      </w:r>
      <w:proofErr w:type="gramStart"/>
      <w:r>
        <w:t>subject</w:t>
      </w:r>
      <w:proofErr w:type="gramEnd"/>
      <w:r>
        <w:t xml:space="preserve"> them to harm, i.e., loss of benefits?  The answer is an unequivocal yes.  </w:t>
      </w:r>
    </w:p>
    <w:p w:rsidR="00AF209B" w:rsidRDefault="00AF209B" w:rsidP="001F1974">
      <w:pPr>
        <w:jc w:val="left"/>
      </w:pPr>
    </w:p>
    <w:p w:rsidR="00AF209B" w:rsidRDefault="00AF209B" w:rsidP="001F1974">
      <w:pPr>
        <w:jc w:val="left"/>
      </w:pPr>
      <w:r>
        <w:tab/>
      </w:r>
      <w:r>
        <w:tab/>
        <w:t xml:space="preserve">CAUSE witness Krone recommends transitioning all CAP customers back to default service, CAUSE-PA Stmt. 1 at 20, but that issue is not in front of the Commission at this time.  He recommends further that, in order to provide protection for the 130,000 low-income customers who are not on the CAP programs, customers </w:t>
      </w:r>
      <w:proofErr w:type="gramStart"/>
      <w:r>
        <w:t>be</w:t>
      </w:r>
      <w:proofErr w:type="gramEnd"/>
      <w:r>
        <w:t xml:space="preserve"> returned to default service at the end of the Opt-in Auction program.  CAUSE-PA Stmt. 1 at 20-21.  </w:t>
      </w:r>
    </w:p>
    <w:p w:rsidR="00AF209B" w:rsidRDefault="00AF209B" w:rsidP="001F1974">
      <w:pPr>
        <w:jc w:val="left"/>
      </w:pPr>
    </w:p>
    <w:p w:rsidR="00AF209B" w:rsidRDefault="00AF209B" w:rsidP="001F1974">
      <w:pPr>
        <w:jc w:val="left"/>
      </w:pPr>
      <w:r>
        <w:tab/>
      </w:r>
      <w:r>
        <w:tab/>
        <w:t>The Company notes that this is not one of the issues presented with the Petition, and therefore, CAUSE-PA, as the proponent, bears the burden of proof.  The Company points out that the statistic that 73% of shopping OnTrack customers are paying more than the PTC is based on a single point in time and is not, in and of itself, conclusive that these customers were paying more for service for the full term of their contracts, or that they will not have any savings from their shopping experience.  This issue is not ripe for review.  PPL Electric MB at 141-142.</w:t>
      </w:r>
    </w:p>
    <w:p w:rsidR="00AF209B" w:rsidRDefault="00AF209B" w:rsidP="001F1974">
      <w:pPr>
        <w:jc w:val="left"/>
      </w:pPr>
      <w:r>
        <w:lastRenderedPageBreak/>
        <w:t xml:space="preserve">  </w:t>
      </w:r>
    </w:p>
    <w:p w:rsidR="00AF209B" w:rsidRDefault="00AF209B" w:rsidP="001F1974">
      <w:pPr>
        <w:jc w:val="left"/>
      </w:pPr>
      <w:r>
        <w:tab/>
      </w:r>
      <w:r>
        <w:tab/>
        <w:t xml:space="preserve">For the same reasons, CAUSE-PA recommends making CAP customers ineligible for the Standard Offer Referral Program, specifically pointing out that CAP customers would not receive the 7% discount.  </w:t>
      </w:r>
    </w:p>
    <w:p w:rsidR="0096795F" w:rsidRDefault="0096795F" w:rsidP="001F1974">
      <w:pPr>
        <w:jc w:val="left"/>
      </w:pPr>
    </w:p>
    <w:p w:rsidR="00AF209B" w:rsidRDefault="00AF209B" w:rsidP="001F1974">
      <w:pPr>
        <w:jc w:val="left"/>
      </w:pPr>
      <w:r>
        <w:tab/>
      </w:r>
      <w:r>
        <w:tab/>
        <w:t>OCA recommends the following modifications to the proposed plan:</w:t>
      </w:r>
    </w:p>
    <w:p w:rsidR="00AF209B" w:rsidRDefault="00AF209B" w:rsidP="001F1974">
      <w:pPr>
        <w:jc w:val="left"/>
      </w:pPr>
    </w:p>
    <w:p w:rsidR="00AF209B" w:rsidRDefault="00AF209B" w:rsidP="001F1974">
      <w:pPr>
        <w:spacing w:line="240" w:lineRule="auto"/>
        <w:ind w:left="1440" w:right="1440"/>
        <w:jc w:val="left"/>
      </w:pPr>
      <w:r>
        <w:t>Customer calls regarding the Standard Offer Program should be limited to new or moving customers and customers who specifically request information about Choice:</w:t>
      </w:r>
    </w:p>
    <w:p w:rsidR="00AF209B" w:rsidRDefault="00AF209B" w:rsidP="001F1974">
      <w:pPr>
        <w:spacing w:line="240" w:lineRule="auto"/>
        <w:ind w:left="1440" w:right="1440"/>
        <w:jc w:val="left"/>
      </w:pPr>
    </w:p>
    <w:p w:rsidR="00AF209B" w:rsidRDefault="00AF209B" w:rsidP="001F1974">
      <w:pPr>
        <w:spacing w:line="240" w:lineRule="auto"/>
        <w:ind w:left="1440" w:right="1440"/>
        <w:jc w:val="left"/>
      </w:pPr>
      <w:r>
        <w:t>An "introductory period" of four months should be adopted;</w:t>
      </w:r>
    </w:p>
    <w:p w:rsidR="00AF209B" w:rsidRDefault="00AF209B" w:rsidP="001F1974">
      <w:pPr>
        <w:spacing w:line="240" w:lineRule="auto"/>
        <w:ind w:left="1440" w:right="1440"/>
        <w:jc w:val="left"/>
      </w:pPr>
    </w:p>
    <w:p w:rsidR="00AF209B" w:rsidRDefault="00AF209B" w:rsidP="001F1974">
      <w:pPr>
        <w:spacing w:line="240" w:lineRule="auto"/>
        <w:ind w:left="1440" w:right="1440"/>
        <w:jc w:val="left"/>
      </w:pPr>
      <w:r>
        <w:t>Whatever term is adopted, the program should guarantee the 7% discount off the PTC during the entire term;</w:t>
      </w:r>
    </w:p>
    <w:p w:rsidR="00AF209B" w:rsidRDefault="00AF209B" w:rsidP="001F1974">
      <w:pPr>
        <w:spacing w:line="240" w:lineRule="auto"/>
        <w:ind w:left="1440" w:right="1440"/>
        <w:jc w:val="left"/>
      </w:pPr>
    </w:p>
    <w:p w:rsidR="00AF209B" w:rsidRDefault="00AF209B" w:rsidP="001F1974">
      <w:pPr>
        <w:spacing w:line="240" w:lineRule="auto"/>
        <w:ind w:left="1440" w:right="1440"/>
        <w:jc w:val="left"/>
      </w:pPr>
      <w:r>
        <w:t xml:space="preserve">The default service customer should be returned to default service after the introductory offer period expires unless the customer affirmatively chooses otherwise; </w:t>
      </w:r>
    </w:p>
    <w:p w:rsidR="00AF209B" w:rsidRDefault="00AF209B" w:rsidP="001F1974">
      <w:pPr>
        <w:spacing w:line="240" w:lineRule="auto"/>
        <w:ind w:left="1440" w:right="1440"/>
        <w:jc w:val="left"/>
      </w:pPr>
    </w:p>
    <w:p w:rsidR="00AF209B" w:rsidRDefault="00AF209B" w:rsidP="001F1974">
      <w:pPr>
        <w:spacing w:line="240" w:lineRule="auto"/>
        <w:ind w:left="1440" w:right="1440"/>
        <w:jc w:val="left"/>
      </w:pPr>
      <w:r>
        <w:t>EGSs should pay the implementation and ongoing costs of PPL's referral program pursuant to the IWP Order.</w:t>
      </w:r>
    </w:p>
    <w:p w:rsidR="00AF209B" w:rsidRDefault="00AF209B" w:rsidP="001F1974">
      <w:pPr>
        <w:jc w:val="left"/>
      </w:pPr>
      <w:proofErr w:type="gramStart"/>
      <w:r>
        <w:t>OCA MB at 34.</w:t>
      </w:r>
      <w:proofErr w:type="gramEnd"/>
    </w:p>
    <w:p w:rsidR="00AF209B" w:rsidRDefault="00AF209B" w:rsidP="001F1974">
      <w:pPr>
        <w:jc w:val="left"/>
      </w:pPr>
    </w:p>
    <w:p w:rsidR="00AF209B" w:rsidRDefault="00AF209B" w:rsidP="001F1974">
      <w:pPr>
        <w:jc w:val="left"/>
      </w:pPr>
      <w:r>
        <w:tab/>
      </w:r>
      <w:r>
        <w:tab/>
        <w:t>RESA suggested that the Company's OnTrack program be replaced by a standard state-wide program designed to give a "portable" benefit to be applied equally whether the CAP customer is shopping or not shopping.  RESA Stmt. 2-R at 15-16.  As RESA has not carried its burden of proving that the present CAP program of this and the other EDCs should be replaced with a uniform CAP program throughout the state, this issue is denied.  As the Company has said, the issue of CAP customers shopping should be raised in the context of its Universal Service Plan filing.</w:t>
      </w:r>
      <w:r w:rsidR="00FF18D0">
        <w:t xml:space="preserve">  </w:t>
      </w:r>
    </w:p>
    <w:p w:rsidR="00AF209B" w:rsidRDefault="00AF209B" w:rsidP="001F1974">
      <w:pPr>
        <w:jc w:val="left"/>
      </w:pPr>
    </w:p>
    <w:p w:rsidR="00AF209B" w:rsidRDefault="00AF209B" w:rsidP="001F1974">
      <w:pPr>
        <w:jc w:val="left"/>
      </w:pPr>
      <w:r>
        <w:tab/>
      </w:r>
      <w:r>
        <w:tab/>
        <w:t xml:space="preserve">CAUSE-PA and OCA caused the Company to take a second look at its position, and at the time of briefing, PPL Electric expressed concern that OnTrack customers' shopping choices may be increasing costs to non-CAP residential customers who pay the cost of the program, or that those choices may be making it harder for the OnTrack customers to remain on </w:t>
      </w:r>
      <w:r>
        <w:lastRenderedPageBreak/>
        <w:t xml:space="preserve">the program.  However, the Company recommends examining these issues in the next Universal Service Plan filing or in the Commission's RMI Working Group on CAP customer shopping.  </w:t>
      </w:r>
      <w:proofErr w:type="gramStart"/>
      <w:r>
        <w:t>PPL Electric RB at 76.</w:t>
      </w:r>
      <w:proofErr w:type="gramEnd"/>
      <w:r>
        <w:t xml:space="preserve">  In the meantime, it recommends allowing OnTrack customers to participate in the market enhancements but will not market the programs to them (will not mail </w:t>
      </w:r>
      <w:proofErr w:type="gramStart"/>
      <w:r>
        <w:t>material,</w:t>
      </w:r>
      <w:proofErr w:type="gramEnd"/>
      <w:r>
        <w:t xml:space="preserve"> will not offer the Standard Offer Referral program over the telephone).  </w:t>
      </w:r>
      <w:proofErr w:type="gramStart"/>
      <w:r>
        <w:t>PPL Electric MB at 140, RB at 78.</w:t>
      </w:r>
      <w:proofErr w:type="gramEnd"/>
      <w:r>
        <w:t xml:space="preserve">  </w:t>
      </w:r>
    </w:p>
    <w:p w:rsidR="00AF209B" w:rsidRDefault="00AF209B" w:rsidP="001F1974">
      <w:pPr>
        <w:jc w:val="left"/>
      </w:pPr>
    </w:p>
    <w:p w:rsidR="00AF209B" w:rsidRDefault="00AF209B" w:rsidP="001F1974">
      <w:pPr>
        <w:jc w:val="left"/>
      </w:pPr>
      <w:r>
        <w:tab/>
      </w:r>
      <w:r>
        <w:tab/>
        <w:t>The Company does point out that the alternatives offered by CAUSE</w:t>
      </w:r>
      <w:r w:rsidR="0096795F">
        <w:t>-PA</w:t>
      </w:r>
      <w:r>
        <w:t xml:space="preserve"> and OCA by having the Company return only OnTrack customers to default service after the conclusion of the contracts under the Opt-In Auction and Standard Referral Program requires systems and processes to be modified to distinguish these customers from others, thereby incurring costs and time not already provided for in these programs.  Accordingly, the Company opposes these alternatives.  </w:t>
      </w:r>
      <w:proofErr w:type="gramStart"/>
      <w:r>
        <w:t>PPL Electric MB at 141.</w:t>
      </w:r>
      <w:proofErr w:type="gramEnd"/>
    </w:p>
    <w:p w:rsidR="00C47DF1" w:rsidRDefault="00C47DF1" w:rsidP="001F1974">
      <w:pPr>
        <w:jc w:val="left"/>
      </w:pPr>
    </w:p>
    <w:p w:rsidR="00D057A6" w:rsidRDefault="00E16119" w:rsidP="00225E14">
      <w:pPr>
        <w:jc w:val="left"/>
      </w:pPr>
      <w:r>
        <w:tab/>
      </w:r>
      <w:r>
        <w:tab/>
        <w:t xml:space="preserve">Pennsylvania utility customers are privileged to have strong, determined and vigilant advocates to protect their rights, especially the rights of the low-income citizens.  Through their diligence, the issues which impact the at-risk members of society have been brought to light </w:t>
      </w:r>
      <w:r w:rsidR="0096795F">
        <w:t xml:space="preserve">for </w:t>
      </w:r>
      <w:r>
        <w:t>examin</w:t>
      </w:r>
      <w:r w:rsidR="0096795F">
        <w:t>ation</w:t>
      </w:r>
      <w:r>
        <w:t>.  To this end, the Commission has established</w:t>
      </w:r>
      <w:r w:rsidR="0096795F">
        <w:t xml:space="preserve"> a</w:t>
      </w:r>
      <w:r>
        <w:t xml:space="preserve"> subcommittee of the RMI group to thoroughly investigate </w:t>
      </w:r>
      <w:r w:rsidR="0050290A">
        <w:t>whether additional protections should be implemented for this group of consumers.  Until the result of that investigation is known, the low-income customers of this utility should be treated like other customers and be permitted to participate in the program.</w:t>
      </w:r>
    </w:p>
    <w:p w:rsidR="009D6C90" w:rsidRDefault="009D6C90" w:rsidP="00D67008">
      <w:pPr>
        <w:jc w:val="left"/>
      </w:pPr>
    </w:p>
    <w:p w:rsidR="009D6C90" w:rsidRDefault="00555158" w:rsidP="00D67008">
      <w:pPr>
        <w:ind w:left="720"/>
        <w:jc w:val="left"/>
        <w:rPr>
          <w:b/>
        </w:rPr>
      </w:pPr>
      <w:r>
        <w:rPr>
          <w:b/>
        </w:rPr>
        <w:t>4.</w:t>
      </w:r>
      <w:r>
        <w:rPr>
          <w:b/>
        </w:rPr>
        <w:tab/>
      </w:r>
      <w:r w:rsidR="009D6C90">
        <w:rPr>
          <w:b/>
        </w:rPr>
        <w:t>Standard Offer Program Design</w:t>
      </w:r>
      <w:r w:rsidR="00FF18D0">
        <w:rPr>
          <w:b/>
        </w:rPr>
        <w:fldChar w:fldCharType="begin"/>
      </w:r>
      <w:r w:rsidR="00FF18D0">
        <w:instrText xml:space="preserve"> TC "</w:instrText>
      </w:r>
      <w:bookmarkStart w:id="106" w:name="_Toc340670046"/>
      <w:r w:rsidR="00FF18D0" w:rsidRPr="009B7B20">
        <w:rPr>
          <w:b/>
        </w:rPr>
        <w:instrText>4.</w:instrText>
      </w:r>
      <w:r w:rsidR="00FF18D0" w:rsidRPr="009B7B20">
        <w:rPr>
          <w:b/>
        </w:rPr>
        <w:tab/>
        <w:instrText>Standard Offer Program Design</w:instrText>
      </w:r>
      <w:bookmarkEnd w:id="106"/>
      <w:r w:rsidR="00FF18D0">
        <w:instrText xml:space="preserve">" \f C \l "3" </w:instrText>
      </w:r>
      <w:r w:rsidR="00FF18D0">
        <w:rPr>
          <w:b/>
        </w:rPr>
        <w:fldChar w:fldCharType="end"/>
      </w:r>
    </w:p>
    <w:p w:rsidR="009D6C90" w:rsidRDefault="009D6C90" w:rsidP="00D67008">
      <w:pPr>
        <w:jc w:val="left"/>
        <w:rPr>
          <w:b/>
        </w:rPr>
      </w:pPr>
    </w:p>
    <w:p w:rsidR="00E42C85" w:rsidRDefault="00225E14" w:rsidP="00D67008">
      <w:pPr>
        <w:ind w:left="1440"/>
        <w:jc w:val="left"/>
        <w:rPr>
          <w:b/>
        </w:rPr>
      </w:pPr>
      <w:r>
        <w:rPr>
          <w:b/>
        </w:rPr>
        <w:t>a</w:t>
      </w:r>
      <w:r w:rsidR="00B54F2B">
        <w:rPr>
          <w:b/>
        </w:rPr>
        <w:t>.</w:t>
      </w:r>
      <w:r w:rsidR="00B54F2B">
        <w:rPr>
          <w:b/>
        </w:rPr>
        <w:tab/>
        <w:t>Description</w:t>
      </w:r>
      <w:r w:rsidR="00FF18D0">
        <w:rPr>
          <w:b/>
        </w:rPr>
        <w:fldChar w:fldCharType="begin"/>
      </w:r>
      <w:r w:rsidR="00FF18D0">
        <w:instrText xml:space="preserve"> TC "</w:instrText>
      </w:r>
      <w:bookmarkStart w:id="107" w:name="_Toc340670047"/>
      <w:r w:rsidR="00FF18D0" w:rsidRPr="009B7B20">
        <w:rPr>
          <w:b/>
        </w:rPr>
        <w:instrText>a.</w:instrText>
      </w:r>
      <w:r w:rsidR="00FF18D0" w:rsidRPr="009B7B20">
        <w:rPr>
          <w:b/>
        </w:rPr>
        <w:tab/>
        <w:instrText>Description</w:instrText>
      </w:r>
      <w:bookmarkEnd w:id="107"/>
      <w:r w:rsidR="00FF18D0">
        <w:instrText xml:space="preserve">" \f C \l "4" </w:instrText>
      </w:r>
      <w:r w:rsidR="00FF18D0">
        <w:rPr>
          <w:b/>
        </w:rPr>
        <w:fldChar w:fldCharType="end"/>
      </w:r>
    </w:p>
    <w:p w:rsidR="00B54F2B" w:rsidRPr="00B54F2B" w:rsidRDefault="00B54F2B" w:rsidP="00D67008">
      <w:pPr>
        <w:jc w:val="left"/>
        <w:rPr>
          <w:b/>
        </w:rPr>
      </w:pPr>
    </w:p>
    <w:p w:rsidR="0050290A" w:rsidRDefault="00B54F2B" w:rsidP="00D67008">
      <w:pPr>
        <w:pStyle w:val="BodyText2"/>
        <w:spacing w:after="0" w:line="360" w:lineRule="auto"/>
        <w:contextualSpacing/>
        <w:jc w:val="left"/>
      </w:pPr>
      <w:r>
        <w:tab/>
      </w:r>
      <w:r>
        <w:tab/>
      </w:r>
      <w:r w:rsidR="00AC2D77">
        <w:t xml:space="preserve">The Company proposed to implement a Standard Offer Program which follows the specifications contained in the </w:t>
      </w:r>
      <w:r w:rsidR="00AC2D77">
        <w:rPr>
          <w:i/>
        </w:rPr>
        <w:t>RMI-IWP Final Order</w:t>
      </w:r>
      <w:r w:rsidR="00AC2D77">
        <w:t xml:space="preserve">.  </w:t>
      </w:r>
      <w:r w:rsidR="0050290A">
        <w:t>T</w:t>
      </w:r>
      <w:r w:rsidR="00AC2D77">
        <w:t xml:space="preserve">he Company proposes to initiate the Standard Offer Referral Program on an ongoing basis in mid-2014 after necessary programming changes have been made to the Company’s customer information and billing systems to </w:t>
      </w:r>
      <w:r w:rsidR="00AC2D77">
        <w:lastRenderedPageBreak/>
        <w:t xml:space="preserve">implement the program.  PPL Electric proposes that the program target residential customers on default service, but non-default customers who affirmatively request the program will be eligible to participate. </w:t>
      </w:r>
      <w:r w:rsidR="00D424EC">
        <w:t xml:space="preserve"> </w:t>
      </w:r>
      <w:r w:rsidR="00AC2D77">
        <w:t>PPL Electric S</w:t>
      </w:r>
      <w:r w:rsidR="00D424EC">
        <w:t>m</w:t>
      </w:r>
      <w:r w:rsidR="00AC2D77">
        <w:t xml:space="preserve">t. 4, </w:t>
      </w:r>
      <w:r w:rsidR="00D424EC">
        <w:t>at</w:t>
      </w:r>
      <w:r w:rsidR="00AC2D77">
        <w:t xml:space="preserve"> 25-26.  </w:t>
      </w:r>
      <w:proofErr w:type="gramStart"/>
      <w:r w:rsidR="0050290A">
        <w:t>PPL Electric MB at 122.</w:t>
      </w:r>
      <w:proofErr w:type="gramEnd"/>
    </w:p>
    <w:p w:rsidR="0050290A" w:rsidRDefault="0050290A" w:rsidP="001F1974">
      <w:pPr>
        <w:pStyle w:val="BodyText2"/>
        <w:spacing w:after="0" w:line="360" w:lineRule="auto"/>
        <w:contextualSpacing/>
        <w:jc w:val="left"/>
      </w:pPr>
    </w:p>
    <w:p w:rsidR="00AC2D77" w:rsidRDefault="0050290A" w:rsidP="001F1974">
      <w:pPr>
        <w:pStyle w:val="BodyText2"/>
        <w:spacing w:after="0" w:line="240" w:lineRule="auto"/>
        <w:ind w:left="1440" w:right="1440"/>
        <w:contextualSpacing/>
        <w:jc w:val="left"/>
      </w:pPr>
      <w:r>
        <w:tab/>
      </w:r>
      <w:r w:rsidR="00AC2D77">
        <w:t xml:space="preserve">The Program proposes to provide participants with a standard 7% discount off the then-current PTC for a term of six billing cycles.  In the event the PTC changes, any new offers by an EGS must change to reflect a 7% discount off the new PTC.  However, contracts entered into previously under the Standard Offer Referral Program would not be subject to a pricing change when the PTC changes.  </w:t>
      </w:r>
      <w:proofErr w:type="gramStart"/>
      <w:r w:rsidR="00AC2D77">
        <w:t>(PPL Electric St. 4, pp. 26-27).</w:t>
      </w:r>
      <w:proofErr w:type="gramEnd"/>
      <w:r w:rsidR="00AC2D77">
        <w:t xml:space="preserve">  A customer who elects the standard offer price may choose to receive service from a particular EGS that is then participating in the program, and customers who do not chose a specific EGS will be randomly assigned to an EGS.  </w:t>
      </w:r>
      <w:proofErr w:type="gramStart"/>
      <w:r w:rsidR="00AC2D77">
        <w:t>(PPL Electric St. 4, p. 27).</w:t>
      </w:r>
      <w:proofErr w:type="gramEnd"/>
      <w:r w:rsidR="00AC2D77">
        <w:t xml:space="preserve">  Customers may exit a standard offer contract at any time without penalty, either to select another EGS or to return to default service.  At the end of the term of the standard offer contract, customers will be notified of their options to renew consistent with their disclosure statement and the regulations an EGS must follow to provide notice.  </w:t>
      </w:r>
      <w:proofErr w:type="gramStart"/>
      <w:r w:rsidR="00AC2D77">
        <w:t>(PPL Electric St. 4, p. 27).</w:t>
      </w:r>
      <w:proofErr w:type="gramEnd"/>
      <w:r w:rsidR="00AC2D77">
        <w:t xml:space="preserve">  Absent an affirmative action by the customer to switch at the end of the contract term, the customer will remain with the chosen/assigned EGS on a month to month basis with no termination penalty or fee.  </w:t>
      </w:r>
      <w:proofErr w:type="gramStart"/>
      <w:r w:rsidR="00AC2D77">
        <w:t>(PPL Electric St. 4, pp. 26-28).</w:t>
      </w:r>
      <w:proofErr w:type="gramEnd"/>
      <w:r w:rsidR="00AC2D77">
        <w:t xml:space="preserve">  The program will be presented to shopping customers during contacts to the PPL Electric call center, other than in the event that the call concerns emergencies, terminations, or similar circumstances where it might be deemed inappropriate.  The Company also anticipates engaging customers through IVR functionality and website enrollment capability (PPL Electric St. 4, p. 27).  </w:t>
      </w:r>
    </w:p>
    <w:p w:rsidR="008F547E" w:rsidRDefault="008F547E" w:rsidP="001F1974">
      <w:pPr>
        <w:pStyle w:val="BodyText2"/>
        <w:spacing w:after="0" w:line="240" w:lineRule="auto"/>
        <w:ind w:left="1440" w:right="1440"/>
        <w:contextualSpacing/>
        <w:jc w:val="left"/>
      </w:pPr>
    </w:p>
    <w:p w:rsidR="00AC2D77" w:rsidRDefault="008E34A7" w:rsidP="001F1974">
      <w:pPr>
        <w:pStyle w:val="BodyText2"/>
        <w:spacing w:after="0" w:line="240" w:lineRule="auto"/>
        <w:ind w:left="1440" w:right="1440"/>
        <w:contextualSpacing/>
        <w:jc w:val="left"/>
      </w:pPr>
      <w:r>
        <w:tab/>
      </w:r>
      <w:r w:rsidR="00AC2D77">
        <w:t xml:space="preserve">PPL Electric also proposes a simple process for EGSs to participate.  The Company will solicit all EGSs serving residential customers in its service territory for their interest in serving customers under the program.  </w:t>
      </w:r>
      <w:proofErr w:type="gramStart"/>
      <w:r w:rsidR="00AC2D77">
        <w:t>(PPL Electric St. 4, p. 27).</w:t>
      </w:r>
      <w:proofErr w:type="gramEnd"/>
      <w:r w:rsidR="00AC2D77">
        <w:t xml:space="preserve">  Each participating EGS will be required to sign a one time Binding Program Agreement Form, which spells out the EGS’s basic responsibilities (Ex. DAK-2).  After executing the Binding Program Agreement Form, EGSs will have the opportunity to cho</w:t>
      </w:r>
      <w:r w:rsidR="00B54F2B">
        <w:t>o</w:t>
      </w:r>
      <w:r w:rsidR="00AC2D77">
        <w:t xml:space="preserve">se to participate or not on a month to month basis through a simple notification to PPL Electric.  </w:t>
      </w:r>
      <w:proofErr w:type="gramStart"/>
      <w:r w:rsidR="00AC2D77">
        <w:t>(PPL Electric St. 4, pp. 26-27).</w:t>
      </w:r>
      <w:proofErr w:type="gramEnd"/>
      <w:r w:rsidR="00AC2D77">
        <w:t xml:space="preserve">  When electing to participate in a month, EGSs will be indicating their willingness to provide a price for six billing cycles </w:t>
      </w:r>
      <w:r w:rsidR="00AC2D77">
        <w:lastRenderedPageBreak/>
        <w:t>that is equal to a 7% discount from the then-current PTC (PPL Electric St. 4, p. 29).  EGSs will be permitted to continue the enrollment of customers up to June 1, 2015, which is the end of the DSP II Program.</w:t>
      </w:r>
      <w:r w:rsidR="00AC2D77">
        <w:rPr>
          <w:rStyle w:val="FootnoteReference"/>
        </w:rPr>
        <w:footnoteReference w:id="44"/>
      </w:r>
    </w:p>
    <w:p w:rsidR="00AC2D77" w:rsidRDefault="00AC2D77" w:rsidP="008F547E">
      <w:pPr>
        <w:pStyle w:val="BodyText2"/>
        <w:spacing w:after="0" w:line="240" w:lineRule="auto"/>
        <w:jc w:val="left"/>
      </w:pPr>
      <w:r>
        <w:t>PPL Electric MB at 122-123.</w:t>
      </w:r>
    </w:p>
    <w:p w:rsidR="008F547E" w:rsidRDefault="008F547E" w:rsidP="008F547E">
      <w:pPr>
        <w:pStyle w:val="BodyText2"/>
        <w:spacing w:after="0" w:line="360" w:lineRule="auto"/>
        <w:jc w:val="left"/>
      </w:pPr>
    </w:p>
    <w:p w:rsidR="00AA669A" w:rsidRDefault="00225E14" w:rsidP="00225E14">
      <w:pPr>
        <w:ind w:left="1440"/>
        <w:jc w:val="left"/>
        <w:rPr>
          <w:b/>
        </w:rPr>
      </w:pPr>
      <w:r>
        <w:rPr>
          <w:b/>
        </w:rPr>
        <w:t>b</w:t>
      </w:r>
      <w:r w:rsidR="00B54F2B">
        <w:rPr>
          <w:b/>
        </w:rPr>
        <w:t>.</w:t>
      </w:r>
      <w:r w:rsidR="00B54F2B">
        <w:rPr>
          <w:b/>
        </w:rPr>
        <w:tab/>
      </w:r>
      <w:r w:rsidR="00AA669A">
        <w:rPr>
          <w:b/>
        </w:rPr>
        <w:t>Composition of product offer</w:t>
      </w:r>
      <w:r w:rsidR="00FF18D0">
        <w:rPr>
          <w:b/>
        </w:rPr>
        <w:fldChar w:fldCharType="begin"/>
      </w:r>
      <w:r w:rsidR="00FF18D0">
        <w:instrText xml:space="preserve"> TC "</w:instrText>
      </w:r>
      <w:bookmarkStart w:id="108" w:name="_Toc340670048"/>
      <w:r w:rsidR="00FF18D0" w:rsidRPr="009B7B20">
        <w:rPr>
          <w:b/>
        </w:rPr>
        <w:instrText>b.</w:instrText>
      </w:r>
      <w:r w:rsidR="00FF18D0" w:rsidRPr="009B7B20">
        <w:rPr>
          <w:b/>
        </w:rPr>
        <w:tab/>
        <w:instrText>Composition of product offer</w:instrText>
      </w:r>
      <w:bookmarkEnd w:id="108"/>
      <w:r w:rsidR="00FF18D0">
        <w:instrText xml:space="preserve">" \f C \l "4" </w:instrText>
      </w:r>
      <w:r w:rsidR="00FF18D0">
        <w:rPr>
          <w:b/>
        </w:rPr>
        <w:fldChar w:fldCharType="end"/>
      </w:r>
    </w:p>
    <w:p w:rsidR="00AA669A" w:rsidRDefault="00AA669A" w:rsidP="008F547E">
      <w:pPr>
        <w:jc w:val="left"/>
        <w:rPr>
          <w:b/>
        </w:rPr>
      </w:pPr>
    </w:p>
    <w:p w:rsidR="00AA669A" w:rsidRDefault="00AA669A" w:rsidP="008F547E">
      <w:pPr>
        <w:jc w:val="left"/>
      </w:pPr>
      <w:r>
        <w:tab/>
      </w:r>
      <w:r>
        <w:tab/>
        <w:t xml:space="preserve">The Standard Offer Program is proposed to be a six-month contract with a fixed 7% off the PTC at the time of customer enrollment.  </w:t>
      </w:r>
      <w:proofErr w:type="gramStart"/>
      <w:r>
        <w:t>PPL Stmt. 4 at 26.</w:t>
      </w:r>
      <w:proofErr w:type="gramEnd"/>
      <w:r>
        <w:t xml:space="preserve">  </w:t>
      </w:r>
    </w:p>
    <w:p w:rsidR="00AA669A" w:rsidRDefault="00AA669A" w:rsidP="008F547E">
      <w:pPr>
        <w:jc w:val="left"/>
      </w:pPr>
    </w:p>
    <w:p w:rsidR="00AA669A" w:rsidRDefault="00AA669A" w:rsidP="008F547E">
      <w:pPr>
        <w:jc w:val="left"/>
      </w:pPr>
      <w:r>
        <w:tab/>
      </w:r>
      <w:r>
        <w:tab/>
        <w:t xml:space="preserve">OCA points out that this creates the potential for customers to pay a higher price than the PTC during the program if the PTC is adjusted semi-annually.  To eliminate this possibility, OCA recommends that the Standard Offer Program contract guarantee the discount off the PTC during the entire term to guarantee savings during the program term for a risk-free shopping experience.  </w:t>
      </w:r>
      <w:proofErr w:type="gramStart"/>
      <w:r>
        <w:t>OCA MB at 53.</w:t>
      </w:r>
      <w:proofErr w:type="gramEnd"/>
    </w:p>
    <w:p w:rsidR="00AA669A" w:rsidRDefault="00AA669A" w:rsidP="001F1974">
      <w:pPr>
        <w:spacing w:line="240" w:lineRule="auto"/>
        <w:contextualSpacing/>
        <w:jc w:val="left"/>
      </w:pPr>
    </w:p>
    <w:p w:rsidR="00AA669A" w:rsidRDefault="00AA669A" w:rsidP="001F1974">
      <w:pPr>
        <w:spacing w:line="240" w:lineRule="auto"/>
        <w:ind w:left="1440" w:right="1440"/>
        <w:contextualSpacing/>
        <w:jc w:val="left"/>
      </w:pPr>
      <w:r>
        <w:tab/>
        <w:t xml:space="preserve">The OCA submits that proposals that do not ensure that savings that appear to be promised to customers are, in fact, delivered are not consistent with PPL's assessment of the overarching purpose of the retail market enhancements – to introduce default service customers to shopping in a positive way.  </w:t>
      </w:r>
      <w:proofErr w:type="gramStart"/>
      <w:r>
        <w:rPr>
          <w:i/>
        </w:rPr>
        <w:t>See</w:t>
      </w:r>
      <w:r>
        <w:t xml:space="preserve"> PPL Stmt. 4-R at 15.</w:t>
      </w:r>
      <w:proofErr w:type="gramEnd"/>
    </w:p>
    <w:p w:rsidR="00AA669A" w:rsidRPr="009D6C90" w:rsidRDefault="00AA669A" w:rsidP="001F1974">
      <w:pPr>
        <w:contextualSpacing/>
        <w:jc w:val="left"/>
      </w:pPr>
      <w:proofErr w:type="gramStart"/>
      <w:r>
        <w:t>OCA MB at 54.</w:t>
      </w:r>
      <w:proofErr w:type="gramEnd"/>
      <w:r>
        <w:tab/>
      </w:r>
    </w:p>
    <w:p w:rsidR="00AA669A" w:rsidRDefault="00AA669A" w:rsidP="001F1974">
      <w:pPr>
        <w:pStyle w:val="BodyText2"/>
        <w:spacing w:after="0" w:line="360" w:lineRule="auto"/>
        <w:contextualSpacing/>
        <w:jc w:val="left"/>
      </w:pPr>
    </w:p>
    <w:p w:rsidR="0050290A" w:rsidRDefault="005733A6" w:rsidP="001F1974">
      <w:pPr>
        <w:pStyle w:val="BodyText2"/>
        <w:spacing w:after="0" w:line="360" w:lineRule="auto"/>
        <w:contextualSpacing/>
        <w:jc w:val="left"/>
      </w:pPr>
      <w:r>
        <w:tab/>
      </w:r>
      <w:r>
        <w:tab/>
      </w:r>
      <w:r w:rsidR="00AC2D77">
        <w:t>D</w:t>
      </w:r>
      <w:r>
        <w:t>ominion</w:t>
      </w:r>
      <w:r w:rsidR="00AC2D77">
        <w:t>/IGS and FES recommend that the program term for the Standard Offer Referral Program be 12 months</w:t>
      </w:r>
      <w:r w:rsidR="00A36B62">
        <w:t xml:space="preserve">, </w:t>
      </w:r>
      <w:r>
        <w:t>Dominion/IGS MB at 9; FES MB at 54</w:t>
      </w:r>
      <w:r w:rsidR="00A36B62">
        <w:t>, while</w:t>
      </w:r>
      <w:r>
        <w:t xml:space="preserve"> </w:t>
      </w:r>
      <w:r w:rsidR="00A36B62">
        <w:t>OCA</w:t>
      </w:r>
      <w:r w:rsidR="00AC2D77">
        <w:t xml:space="preserve"> recommends a term of four months with a requirement that the 7% savings be guaranteed with relation to any PTC price changes occurring during the term of the contract DES/IGS S</w:t>
      </w:r>
      <w:r w:rsidR="00D424EC">
        <w:t>m</w:t>
      </w:r>
      <w:r w:rsidR="00AC2D77">
        <w:t xml:space="preserve">t. 1, </w:t>
      </w:r>
      <w:r w:rsidR="00D424EC">
        <w:t>at</w:t>
      </w:r>
      <w:r w:rsidR="00AC2D77">
        <w:t xml:space="preserve"> 12; FES </w:t>
      </w:r>
      <w:r>
        <w:t>MB at 54</w:t>
      </w:r>
      <w:r w:rsidR="00AC2D77">
        <w:t>; OCA S</w:t>
      </w:r>
      <w:r w:rsidR="00D424EC">
        <w:t>m</w:t>
      </w:r>
      <w:r w:rsidR="00AC2D77">
        <w:t>t. 2,</w:t>
      </w:r>
      <w:r w:rsidR="00D424EC">
        <w:t xml:space="preserve"> at</w:t>
      </w:r>
      <w:r w:rsidR="00AC2D77">
        <w:t xml:space="preserve"> 17.  </w:t>
      </w:r>
    </w:p>
    <w:p w:rsidR="00843DAF" w:rsidRDefault="00843DAF" w:rsidP="001F1974">
      <w:pPr>
        <w:pStyle w:val="BodyText2"/>
        <w:spacing w:after="0" w:line="360" w:lineRule="auto"/>
        <w:contextualSpacing/>
        <w:jc w:val="left"/>
      </w:pPr>
    </w:p>
    <w:p w:rsidR="00AC2D77" w:rsidRDefault="00843DAF" w:rsidP="00D67008">
      <w:pPr>
        <w:pStyle w:val="BodyText2"/>
        <w:spacing w:after="0" w:line="360" w:lineRule="auto"/>
        <w:contextualSpacing/>
        <w:jc w:val="left"/>
      </w:pPr>
      <w:r>
        <w:tab/>
      </w:r>
      <w:r>
        <w:tab/>
      </w:r>
      <w:r w:rsidR="00AC2D77">
        <w:t xml:space="preserve">The Company notes that in the </w:t>
      </w:r>
      <w:r w:rsidR="00AC2D77">
        <w:rPr>
          <w:i/>
        </w:rPr>
        <w:t>RMI-IWP Final Order</w:t>
      </w:r>
      <w:r w:rsidR="00AC2D77">
        <w:t xml:space="preserve">, the Commission established that the standard offer should be provided for a minimum of four months but </w:t>
      </w:r>
      <w:r>
        <w:t xml:space="preserve">no </w:t>
      </w:r>
      <w:r>
        <w:lastRenderedPageBreak/>
        <w:t>longer than</w:t>
      </w:r>
      <w:r w:rsidR="00AC2D77">
        <w:t xml:space="preserve"> one year</w:t>
      </w:r>
      <w:r>
        <w:t>.</w:t>
      </w:r>
      <w:r w:rsidR="00FF18D0">
        <w:t xml:space="preserve">  </w:t>
      </w:r>
      <w:proofErr w:type="gramStart"/>
      <w:r w:rsidRPr="0096795F">
        <w:rPr>
          <w:i/>
        </w:rPr>
        <w:t xml:space="preserve">IWP </w:t>
      </w:r>
      <w:r w:rsidR="00AC2D77" w:rsidRPr="0096795F">
        <w:rPr>
          <w:i/>
        </w:rPr>
        <w:t>Order</w:t>
      </w:r>
      <w:r>
        <w:t xml:space="preserve"> at</w:t>
      </w:r>
      <w:r w:rsidR="00AC2D77">
        <w:t xml:space="preserve"> 31.</w:t>
      </w:r>
      <w:proofErr w:type="gramEnd"/>
      <w:r w:rsidR="00AC2D77">
        <w:t xml:space="preserve">  </w:t>
      </w:r>
      <w:r w:rsidR="00A36B62">
        <w:t>However,</w:t>
      </w:r>
      <w:r w:rsidR="00AC2D77">
        <w:t xml:space="preserve"> various EGS parties would not support a guarantee of a 7% savings the term of the contract, as recomm</w:t>
      </w:r>
      <w:r w:rsidR="00BD7119">
        <w:t xml:space="preserve">ended by OCA witness Alexander </w:t>
      </w:r>
      <w:r w:rsidR="00AC2D77">
        <w:t>PPL St</w:t>
      </w:r>
      <w:r w:rsidR="00BD7119">
        <w:t>mt</w:t>
      </w:r>
      <w:r w:rsidR="00AC2D77">
        <w:t>. 4-R</w:t>
      </w:r>
      <w:r w:rsidR="00BD7119">
        <w:t xml:space="preserve"> at</w:t>
      </w:r>
      <w:r w:rsidR="00AC2D77">
        <w:t xml:space="preserve"> 36.  </w:t>
      </w:r>
    </w:p>
    <w:p w:rsidR="00AA669A" w:rsidRDefault="00AA669A" w:rsidP="00D67008">
      <w:pPr>
        <w:pStyle w:val="BodyText2"/>
        <w:spacing w:after="0" w:line="360" w:lineRule="auto"/>
        <w:contextualSpacing/>
        <w:jc w:val="left"/>
      </w:pPr>
    </w:p>
    <w:p w:rsidR="00A36B62" w:rsidRDefault="00A36B62" w:rsidP="00D67008">
      <w:pPr>
        <w:pStyle w:val="BodyText2"/>
        <w:spacing w:after="0" w:line="360" w:lineRule="auto"/>
        <w:jc w:val="left"/>
      </w:pPr>
      <w:r>
        <w:tab/>
      </w:r>
      <w:r>
        <w:tab/>
        <w:t>RESA explains:</w:t>
      </w:r>
    </w:p>
    <w:p w:rsidR="008F547E" w:rsidRDefault="008F547E" w:rsidP="00D67008">
      <w:pPr>
        <w:pStyle w:val="BodyText2"/>
        <w:spacing w:after="0" w:line="360" w:lineRule="auto"/>
        <w:jc w:val="left"/>
      </w:pPr>
    </w:p>
    <w:p w:rsidR="00A36B62" w:rsidRDefault="00A36B62" w:rsidP="001F1974">
      <w:pPr>
        <w:pStyle w:val="BodyText2"/>
        <w:spacing w:after="0" w:line="240" w:lineRule="auto"/>
        <w:ind w:left="1440" w:right="1440"/>
        <w:jc w:val="left"/>
      </w:pPr>
      <w:r>
        <w:tab/>
        <w:t>RESA has consistently taken the position that the standard offer referral program should be a true introductory program, with a discount provided for a four-month period, followed either by the EGS moving to a month-to-month variable rate or, as suggested by others, a fixed price for the remaining eight month of the initial term.  So, RESA advocates a 7% discount from the then-existing PTC for a four-month term – with a fixed rate for the remaining eight months.  This balances consumer value with a program in which EGSs will be willing to participate.  It is also a reasonable approach, especially considering that customers are not "locked in."  In response to market conditions – or for any reason – they can leave at any time without penalty.</w:t>
      </w:r>
    </w:p>
    <w:p w:rsidR="00A36B62" w:rsidRDefault="00A36B62" w:rsidP="008F547E">
      <w:pPr>
        <w:pStyle w:val="BodyText2"/>
        <w:spacing w:after="0" w:line="240" w:lineRule="auto"/>
        <w:jc w:val="left"/>
      </w:pPr>
      <w:proofErr w:type="gramStart"/>
      <w:r>
        <w:t>RESA MB at 74 (footnotes omitted).</w:t>
      </w:r>
      <w:proofErr w:type="gramEnd"/>
    </w:p>
    <w:p w:rsidR="008F547E" w:rsidRDefault="008F547E" w:rsidP="008F547E">
      <w:pPr>
        <w:pStyle w:val="BodyText2"/>
        <w:spacing w:after="0" w:line="360" w:lineRule="auto"/>
        <w:jc w:val="left"/>
      </w:pPr>
    </w:p>
    <w:p w:rsidR="00A36B62" w:rsidRDefault="0053657A" w:rsidP="008F547E">
      <w:pPr>
        <w:pStyle w:val="BodyText2"/>
        <w:spacing w:after="0" w:line="360" w:lineRule="auto"/>
        <w:contextualSpacing/>
        <w:jc w:val="left"/>
      </w:pPr>
      <w:r>
        <w:tab/>
      </w:r>
      <w:r>
        <w:tab/>
        <w:t xml:space="preserve">FES argues against the OCA position by pointing out that four months of the program, followed by a return to default service, will not create a positive experience with shopping to provide sufficient incentive for a customer to remain with the EGS.  </w:t>
      </w:r>
      <w:proofErr w:type="gramStart"/>
      <w:r>
        <w:t>FES MB at 55.</w:t>
      </w:r>
      <w:proofErr w:type="gramEnd"/>
    </w:p>
    <w:p w:rsidR="0053657A" w:rsidRDefault="0053657A" w:rsidP="008F547E">
      <w:pPr>
        <w:pStyle w:val="BodyText2"/>
        <w:spacing w:after="0" w:line="360" w:lineRule="auto"/>
        <w:contextualSpacing/>
        <w:jc w:val="left"/>
      </w:pPr>
    </w:p>
    <w:p w:rsidR="0053657A" w:rsidRDefault="0053657A" w:rsidP="008F547E">
      <w:pPr>
        <w:pStyle w:val="BodyText2"/>
        <w:spacing w:after="0" w:line="360" w:lineRule="auto"/>
        <w:contextualSpacing/>
        <w:jc w:val="left"/>
      </w:pPr>
      <w:r>
        <w:tab/>
      </w:r>
      <w:r>
        <w:tab/>
        <w:t>D</w:t>
      </w:r>
      <w:r w:rsidR="00BD7119">
        <w:t>R/IGS</w:t>
      </w:r>
      <w:r>
        <w:t xml:space="preserve"> points out that, under the PPL Electric plan, EGSs would have to begin sending the required end of term notices only a few months after the term began, which would be the best scenario for newly switched customers.  "Fortunately, the Commission appears to have adopted this logic and now supports the twelve (12) month product."  </w:t>
      </w:r>
      <w:proofErr w:type="gramStart"/>
      <w:r>
        <w:t>Dominion/IGS MB at 9.</w:t>
      </w:r>
      <w:proofErr w:type="gramEnd"/>
    </w:p>
    <w:p w:rsidR="00A36B62" w:rsidRDefault="00A36B62" w:rsidP="008F547E">
      <w:pPr>
        <w:pStyle w:val="BodyText2"/>
        <w:spacing w:after="0" w:line="360" w:lineRule="auto"/>
        <w:contextualSpacing/>
        <w:jc w:val="left"/>
      </w:pPr>
    </w:p>
    <w:p w:rsidR="00AC2D77" w:rsidRDefault="00BD7119" w:rsidP="008F547E">
      <w:pPr>
        <w:pStyle w:val="BodyText2"/>
        <w:spacing w:after="0" w:line="360" w:lineRule="auto"/>
        <w:contextualSpacing/>
        <w:jc w:val="left"/>
      </w:pPr>
      <w:r>
        <w:tab/>
      </w:r>
      <w:r>
        <w:tab/>
      </w:r>
      <w:r w:rsidR="00AC2D77">
        <w:t xml:space="preserve">The Company believes that its proposal represents a compromise of the concerns of EGSs and OCA, as explained by Company witness Krall:  </w:t>
      </w:r>
    </w:p>
    <w:p w:rsidR="008F547E" w:rsidRDefault="008F547E" w:rsidP="008F547E">
      <w:pPr>
        <w:pStyle w:val="BodyText2"/>
        <w:spacing w:after="0" w:line="360" w:lineRule="auto"/>
        <w:contextualSpacing/>
        <w:jc w:val="left"/>
      </w:pPr>
    </w:p>
    <w:p w:rsidR="00AC2D77" w:rsidRDefault="00AC2D77" w:rsidP="001F1974">
      <w:pPr>
        <w:pStyle w:val="BlockText"/>
        <w:spacing w:after="0" w:line="240" w:lineRule="auto"/>
        <w:contextualSpacing/>
        <w:jc w:val="left"/>
      </w:pPr>
      <w:r>
        <w:t xml:space="preserve">The Company believes that it is significant that its proposal falls between the proposal of the party most focused on consumer protections and the parties most focused on promoting the market.  The Company shares Ms. Alexander’s concern for customer confusion at the time of PTC changes and that is one of the reasons </w:t>
      </w:r>
      <w:r>
        <w:lastRenderedPageBreak/>
        <w:t xml:space="preserve">it has proposed a shorter term.  However, Ms. Alexander’s proposed 4 month term does not guarantee that this won’t happen.  It is her proposal of guaranteed savings, which was not adopted by the Order and which is not supported by EGSs, which achieves that end.  Furthermore, the Company observes that consumers are exposed in a number of settings to “buyer’s remorse” resulting from market movement after a purchase decision is made (for example, locking in rates on certificates of deposit, entering into a loan or mortgage, and purchasing any item that subsequently goes on sale) and sees no reason why extraordinary steps should be taken in regard to this program to shield what they already accept as reality in regard to other purchase decisions.  </w:t>
      </w:r>
    </w:p>
    <w:p w:rsidR="008F547E" w:rsidRDefault="008F547E" w:rsidP="001F1974">
      <w:pPr>
        <w:pStyle w:val="BlockText"/>
        <w:spacing w:after="0" w:line="240" w:lineRule="auto"/>
        <w:contextualSpacing/>
        <w:jc w:val="left"/>
      </w:pPr>
    </w:p>
    <w:p w:rsidR="00AC2D77" w:rsidRDefault="00AC2D77" w:rsidP="001F1974">
      <w:pPr>
        <w:pStyle w:val="BodyText"/>
        <w:spacing w:after="0" w:line="240" w:lineRule="auto"/>
        <w:ind w:left="1440" w:right="1440"/>
        <w:contextualSpacing/>
        <w:jc w:val="left"/>
      </w:pPr>
      <w:r>
        <w:t>The Company believes that the objective of the Standard Offer Referral Program is to introduce customers to shopping.  Customers should not be sheltered from the realities of the market (such as PTC changes), but should also not be locked into the possibility of several such changes during the term of what is intended to be an introductory program.  The Company believes that a six-month term accomplishes that objective in the following ways: (1) it is short enough so that, consistent with the Company’s proposal for 6-month PTC price changes, participants will experience only one such change; (2) it is a term that is consistent with non-introductory products the customer will find in the marketplace; (3) the customer is free to exit at any time, and; (4) it allows the customer to become familiar with seeing supplier charges on his bill, receiving communications from an EGS, and considering alternative options at the end of the term within a reasonable time frame.</w:t>
      </w:r>
    </w:p>
    <w:p w:rsidR="00AC2D77" w:rsidRDefault="00AC2D77" w:rsidP="001F1974">
      <w:pPr>
        <w:pStyle w:val="BodyText"/>
        <w:spacing w:after="0" w:line="240" w:lineRule="auto"/>
        <w:ind w:left="1440" w:right="1440"/>
        <w:contextualSpacing/>
        <w:jc w:val="left"/>
      </w:pPr>
    </w:p>
    <w:p w:rsidR="00AC2D77" w:rsidRDefault="00D424EC" w:rsidP="001F1974">
      <w:pPr>
        <w:pStyle w:val="BodyText"/>
        <w:spacing w:after="0"/>
        <w:contextualSpacing/>
        <w:jc w:val="left"/>
      </w:pPr>
      <w:r>
        <w:t>PPL Electric Smt. 4-R, at</w:t>
      </w:r>
      <w:r w:rsidR="00AC2D77">
        <w:t xml:space="preserve"> 37-38.  For the reasons explained by Mr. Krall, the Company believes its proposed term is reasonable and should be adopted.  </w:t>
      </w:r>
      <w:proofErr w:type="gramStart"/>
      <w:r w:rsidR="0053657A">
        <w:t>PPL Electric MB at 125.</w:t>
      </w:r>
      <w:proofErr w:type="gramEnd"/>
    </w:p>
    <w:p w:rsidR="009B6841" w:rsidRDefault="009B6841" w:rsidP="001F1974">
      <w:pPr>
        <w:pStyle w:val="BodyText"/>
        <w:spacing w:after="0"/>
        <w:contextualSpacing/>
        <w:jc w:val="left"/>
      </w:pPr>
    </w:p>
    <w:p w:rsidR="00843DAF" w:rsidRDefault="00843DAF" w:rsidP="001F1974">
      <w:pPr>
        <w:pStyle w:val="BodyText"/>
        <w:spacing w:after="0"/>
        <w:contextualSpacing/>
        <w:jc w:val="left"/>
      </w:pPr>
      <w:r>
        <w:tab/>
      </w:r>
      <w:r>
        <w:tab/>
        <w:t xml:space="preserve">The Commission was clear in its </w:t>
      </w:r>
      <w:r w:rsidRPr="00BD7119">
        <w:rPr>
          <w:i/>
        </w:rPr>
        <w:t>IWP Order</w:t>
      </w:r>
      <w:r>
        <w:t xml:space="preserve"> that the 7% reduction from the EDC's PTC should be for the term of the offer, whatever the offer is.  Therefore, </w:t>
      </w:r>
      <w:r w:rsidR="00620A6E">
        <w:t>the D</w:t>
      </w:r>
      <w:r w:rsidR="00BD7119">
        <w:t>R</w:t>
      </w:r>
      <w:r w:rsidR="00620A6E">
        <w:t xml:space="preserve">/IGA 7% for four months and a fixed term for the rest is not contemplated in the IWP Order and should not be approved here.  </w:t>
      </w:r>
      <w:proofErr w:type="gramStart"/>
      <w:r w:rsidR="00620A6E" w:rsidRPr="00BD7119">
        <w:rPr>
          <w:i/>
        </w:rPr>
        <w:t>IWP Order</w:t>
      </w:r>
      <w:r w:rsidR="00620A6E">
        <w:t xml:space="preserve"> at 31.</w:t>
      </w:r>
      <w:proofErr w:type="gramEnd"/>
      <w:r w:rsidR="00620A6E">
        <w:t xml:space="preserve">  Rather, the Company's six-month term is just the right length to provide a compromise among the parties while complying with the IWP Order and satisfying the concerns of the Commission expressed therein.  The Company's proposal is recommended for adoption.</w:t>
      </w:r>
    </w:p>
    <w:p w:rsidR="00843DAF" w:rsidRDefault="00843DAF" w:rsidP="001F1974">
      <w:pPr>
        <w:pStyle w:val="BodyText"/>
        <w:spacing w:after="0"/>
        <w:contextualSpacing/>
        <w:jc w:val="left"/>
      </w:pPr>
    </w:p>
    <w:p w:rsidR="00620A6E" w:rsidRDefault="00620A6E" w:rsidP="001F1974">
      <w:pPr>
        <w:pStyle w:val="BodyText2"/>
        <w:spacing w:after="0" w:line="360" w:lineRule="auto"/>
        <w:contextualSpacing/>
        <w:jc w:val="left"/>
      </w:pPr>
      <w:r>
        <w:lastRenderedPageBreak/>
        <w:tab/>
      </w:r>
      <w:r>
        <w:tab/>
        <w:t xml:space="preserve">Although </w:t>
      </w:r>
      <w:r w:rsidR="00AC2D77">
        <w:t xml:space="preserve">RESA </w:t>
      </w:r>
      <w:r>
        <w:t>prefers</w:t>
      </w:r>
      <w:r w:rsidR="00AC2D77">
        <w:t xml:space="preserve"> that shopping customers not be eligible for the standard offer referral program</w:t>
      </w:r>
      <w:r>
        <w:t>, RESA MB at 76, RESA does accept the position expressed in the IWP Order:</w:t>
      </w:r>
    </w:p>
    <w:p w:rsidR="006113E4" w:rsidRDefault="006113E4" w:rsidP="001F1974">
      <w:pPr>
        <w:pStyle w:val="BodyText2"/>
        <w:spacing w:after="0" w:line="360" w:lineRule="auto"/>
        <w:contextualSpacing/>
        <w:jc w:val="left"/>
      </w:pPr>
    </w:p>
    <w:p w:rsidR="00620A6E" w:rsidRDefault="00620A6E" w:rsidP="001F1974">
      <w:pPr>
        <w:pStyle w:val="BodyText2"/>
        <w:spacing w:after="0" w:line="240" w:lineRule="auto"/>
        <w:ind w:left="1440" w:right="1440"/>
        <w:jc w:val="left"/>
      </w:pPr>
      <w:r>
        <w:t xml:space="preserve">The standard offer will target/market residential default service customers; however, residential shopping customers will not be excluded if they specifically request to </w:t>
      </w:r>
      <w:proofErr w:type="gramStart"/>
      <w:r>
        <w:t>participate  At</w:t>
      </w:r>
      <w:proofErr w:type="gramEnd"/>
      <w:r>
        <w:t xml:space="preserve"> this time, CAP customers should be excluded from the Standard Offer Customer Referral Program and have deferred the details of addressing the provision of universal service within default service to the RMI's Universal Service subgroup.</w:t>
      </w:r>
    </w:p>
    <w:p w:rsidR="00620A6E" w:rsidRDefault="00620A6E" w:rsidP="006113E4">
      <w:pPr>
        <w:pStyle w:val="BodyText2"/>
        <w:spacing w:after="0" w:line="240" w:lineRule="auto"/>
        <w:jc w:val="left"/>
      </w:pPr>
      <w:proofErr w:type="gramStart"/>
      <w:r w:rsidRPr="00BD7119">
        <w:rPr>
          <w:i/>
        </w:rPr>
        <w:t>IWP Order</w:t>
      </w:r>
      <w:r>
        <w:t xml:space="preserve"> at 31.</w:t>
      </w:r>
      <w:proofErr w:type="gramEnd"/>
    </w:p>
    <w:p w:rsidR="006113E4" w:rsidRDefault="006113E4" w:rsidP="006113E4">
      <w:pPr>
        <w:pStyle w:val="BodyText2"/>
        <w:spacing w:after="0" w:line="360" w:lineRule="auto"/>
        <w:jc w:val="left"/>
      </w:pPr>
    </w:p>
    <w:p w:rsidR="00AC2D77" w:rsidRDefault="00620A6E" w:rsidP="006113E4">
      <w:pPr>
        <w:pStyle w:val="BodyText2"/>
        <w:spacing w:after="0" w:line="360" w:lineRule="auto"/>
        <w:jc w:val="left"/>
      </w:pPr>
      <w:r>
        <w:tab/>
      </w:r>
      <w:r>
        <w:tab/>
      </w:r>
      <w:r w:rsidR="00AC2D77">
        <w:t>PPL Electric supports allowing current shopping customers to participate in the Standard Offer Referral Program if they so request.  A shopping customer who goes through the effort to learn about the availability of the program should not be told that they are ineligible for a program that gives them a 7% discount off the current PTC, and that may be less than the price they are currently paying to an EGS.</w:t>
      </w:r>
      <w:r w:rsidR="00AC2D77">
        <w:rPr>
          <w:rStyle w:val="FootnoteReference"/>
        </w:rPr>
        <w:footnoteReference w:id="45"/>
      </w:r>
    </w:p>
    <w:p w:rsidR="006113E4" w:rsidRDefault="006113E4" w:rsidP="006113E4">
      <w:pPr>
        <w:pStyle w:val="BodyText2"/>
        <w:spacing w:after="0" w:line="360" w:lineRule="auto"/>
        <w:jc w:val="left"/>
      </w:pPr>
    </w:p>
    <w:p w:rsidR="00AC2D77" w:rsidRDefault="00AC2D77" w:rsidP="001F1974">
      <w:pPr>
        <w:pStyle w:val="BodyText2"/>
        <w:spacing w:after="0" w:line="240" w:lineRule="auto"/>
        <w:ind w:left="1440" w:right="1440"/>
        <w:contextualSpacing/>
        <w:jc w:val="left"/>
      </w:pPr>
      <w:r>
        <w:t xml:space="preserve">CAUSE recommends that confirmed low-income customers be returned to default service at the end of the term of the Standard Offer contract, absent an affirmative choice to remain with their EGS.  </w:t>
      </w:r>
      <w:proofErr w:type="gramStart"/>
      <w:r>
        <w:t>(CAUSE St. 1, p. 23).</w:t>
      </w:r>
      <w:proofErr w:type="gramEnd"/>
      <w:r>
        <w:t xml:space="preserve">  OCA recommends that </w:t>
      </w:r>
      <w:r>
        <w:rPr>
          <w:u w:val="single"/>
        </w:rPr>
        <w:t>any</w:t>
      </w:r>
      <w:r>
        <w:t xml:space="preserve"> participating customer who does not affirmatively select an EGS at the end of the Standard Offer contract be returned to default service.  </w:t>
      </w:r>
      <w:proofErr w:type="gramStart"/>
      <w:r>
        <w:t>(OCA St. 2, p. 18).</w:t>
      </w:r>
      <w:proofErr w:type="gramEnd"/>
      <w:r>
        <w:t xml:space="preserve">  As explained previously with respect to the Opt-In Program, these recommendations are contrary to the Commission’s recommendations in the </w:t>
      </w:r>
      <w:r>
        <w:rPr>
          <w:i/>
        </w:rPr>
        <w:t>RMI-IWP Final Order</w:t>
      </w:r>
      <w:r>
        <w:t xml:space="preserve"> (Order, page 32).  For the reasons explained in Section III.C.3. </w:t>
      </w:r>
      <w:proofErr w:type="gramStart"/>
      <w:r>
        <w:t>above</w:t>
      </w:r>
      <w:proofErr w:type="gramEnd"/>
      <w:r>
        <w:t xml:space="preserve">, the Company does not support special rules for customers participating in the Standard Offer Referral Program.  The Commission’s established rules related to shopping, including the notification of customer rights that are required to be provided by EGSs at the end of the contract term are sufficient.  Furthermore, with respect to CAUSE’s recommendation, the Company does not support establishing a separate process for tracking and changing </w:t>
      </w:r>
      <w:r>
        <w:lastRenderedPageBreak/>
        <w:t xml:space="preserve">low income customers back to default service at the end of a standard offer contract term.  </w:t>
      </w:r>
      <w:proofErr w:type="gramStart"/>
      <w:r>
        <w:t>(PPL Electric St. 4-R, pp. 41-42).</w:t>
      </w:r>
      <w:proofErr w:type="gramEnd"/>
    </w:p>
    <w:p w:rsidR="00AC2D77" w:rsidRDefault="00AC2D77" w:rsidP="001F1974">
      <w:pPr>
        <w:pStyle w:val="BodyText2"/>
        <w:spacing w:after="0" w:line="240" w:lineRule="auto"/>
        <w:ind w:left="1440" w:right="1440"/>
        <w:contextualSpacing/>
        <w:jc w:val="left"/>
      </w:pPr>
      <w:r>
        <w:t xml:space="preserve">As noted in the introduction to this section of the Brief, PPL Electric proposes that the Standard Offer Referral Program be presented to customers during any contacts to its call center, other than emergencies, terminations, and other circumstances where it might be deemed inappropriate.  This language closely follows the direction articulated in the </w:t>
      </w:r>
      <w:r>
        <w:rPr>
          <w:i/>
        </w:rPr>
        <w:t>RMI-IWP Final Order</w:t>
      </w:r>
      <w:r>
        <w:t xml:space="preserve"> (Order, p. 32).  OCA and CAUSE recommend that the program not be offered during calls regarding high bill concerns, and other service-related issues.  </w:t>
      </w:r>
      <w:proofErr w:type="gramStart"/>
      <w:r>
        <w:t>(OCA St. 2, p. 17; CAUSE St. 1, p. 23).</w:t>
      </w:r>
      <w:proofErr w:type="gramEnd"/>
      <w:r>
        <w:t xml:space="preserve">  The Company notes that the Commission’s </w:t>
      </w:r>
      <w:r>
        <w:rPr>
          <w:i/>
        </w:rPr>
        <w:t>RMI-IWP Final Order</w:t>
      </w:r>
      <w:r>
        <w:t xml:space="preserve"> specifically addressed the issue of contacts for high bill issues and directed that the standard offer program be presented “only and explicitly after the customer’s concerns were satisfied.”  </w:t>
      </w:r>
      <w:proofErr w:type="gramStart"/>
      <w:r>
        <w:t>(Order, p. 32.)</w:t>
      </w:r>
      <w:proofErr w:type="gramEnd"/>
      <w:r>
        <w:t xml:space="preserve">  Consistent with the foregoing, it is the Company’s intent to first identify the source of the customer’s high bill concern and then attempt to satisfy that concern before presenting the program.  Furthermore, the Company would only present the program in those circumstances that are relevant to the caller’s concerns, for example, if the caller seeks alternatives to reduce their bill or complains generally about the price of electricity (PPL Electric St. 4-R, p. 40).  The Company believes that its plans with respect to the types of calls that may be presented with the Standard Offer Referral Program are consistent with the Commission’s directives and should be adopted. </w:t>
      </w:r>
    </w:p>
    <w:p w:rsidR="00620A6E" w:rsidRDefault="00AA669A" w:rsidP="006113E4">
      <w:pPr>
        <w:pStyle w:val="BodyText2"/>
        <w:spacing w:after="0" w:line="240" w:lineRule="auto"/>
        <w:jc w:val="left"/>
      </w:pPr>
      <w:r>
        <w:t>PPL Electric MB at 126-127.</w:t>
      </w:r>
    </w:p>
    <w:p w:rsidR="00725719" w:rsidRDefault="00725719" w:rsidP="006113E4">
      <w:pPr>
        <w:jc w:val="left"/>
      </w:pPr>
    </w:p>
    <w:p w:rsidR="00C9248F" w:rsidRDefault="00225E14" w:rsidP="00225E14">
      <w:pPr>
        <w:ind w:left="1440"/>
        <w:jc w:val="left"/>
        <w:rPr>
          <w:b/>
        </w:rPr>
      </w:pPr>
      <w:r>
        <w:rPr>
          <w:b/>
        </w:rPr>
        <w:t>c</w:t>
      </w:r>
      <w:r w:rsidR="00B54F2B">
        <w:rPr>
          <w:b/>
        </w:rPr>
        <w:t>.</w:t>
      </w:r>
      <w:r w:rsidR="00B54F2B">
        <w:rPr>
          <w:b/>
        </w:rPr>
        <w:tab/>
      </w:r>
      <w:r w:rsidR="00C9248F">
        <w:rPr>
          <w:b/>
        </w:rPr>
        <w:t xml:space="preserve">Customer Options </w:t>
      </w:r>
      <w:proofErr w:type="gramStart"/>
      <w:r w:rsidR="00C9248F">
        <w:rPr>
          <w:b/>
        </w:rPr>
        <w:t>Upon</w:t>
      </w:r>
      <w:proofErr w:type="gramEnd"/>
      <w:r w:rsidR="00C9248F">
        <w:rPr>
          <w:b/>
        </w:rPr>
        <w:t xml:space="preserve"> Expiration</w:t>
      </w:r>
      <w:r w:rsidR="00FF18D0">
        <w:rPr>
          <w:b/>
        </w:rPr>
        <w:fldChar w:fldCharType="begin"/>
      </w:r>
      <w:r w:rsidR="00FF18D0">
        <w:instrText xml:space="preserve"> TC "</w:instrText>
      </w:r>
      <w:bookmarkStart w:id="109" w:name="_Toc340670049"/>
      <w:r w:rsidR="00FF18D0" w:rsidRPr="009B7B20">
        <w:rPr>
          <w:b/>
        </w:rPr>
        <w:instrText>c.</w:instrText>
      </w:r>
      <w:r w:rsidR="00FF18D0" w:rsidRPr="009B7B20">
        <w:rPr>
          <w:b/>
        </w:rPr>
        <w:tab/>
        <w:instrText>Customer Options Upon Expiration</w:instrText>
      </w:r>
      <w:bookmarkEnd w:id="109"/>
      <w:r w:rsidR="00FF18D0">
        <w:instrText xml:space="preserve">" \f C \l "4" </w:instrText>
      </w:r>
      <w:r w:rsidR="00FF18D0">
        <w:rPr>
          <w:b/>
        </w:rPr>
        <w:fldChar w:fldCharType="end"/>
      </w:r>
    </w:p>
    <w:p w:rsidR="00C9248F" w:rsidRDefault="00C9248F" w:rsidP="006113E4">
      <w:pPr>
        <w:jc w:val="left"/>
        <w:rPr>
          <w:b/>
        </w:rPr>
      </w:pPr>
    </w:p>
    <w:p w:rsidR="00C9248F" w:rsidRDefault="00C9248F" w:rsidP="006113E4">
      <w:pPr>
        <w:jc w:val="left"/>
      </w:pPr>
      <w:r>
        <w:tab/>
      </w:r>
      <w:r>
        <w:tab/>
        <w:t xml:space="preserve">As proposed, at the end of the Standard Offer Referral Program contract term, absent affirmative customer action, the customer will remain with the EGS on a month-to-month basis and shall not be subject to any termination fee or penalty.  </w:t>
      </w:r>
      <w:proofErr w:type="gramStart"/>
      <w:r>
        <w:t>PPL Stmt. 4-R at 41.</w:t>
      </w:r>
      <w:proofErr w:type="gramEnd"/>
      <w:r>
        <w:t xml:space="preserve">  </w:t>
      </w:r>
    </w:p>
    <w:p w:rsidR="00C9248F" w:rsidRDefault="00C9248F" w:rsidP="006113E4">
      <w:pPr>
        <w:jc w:val="left"/>
      </w:pPr>
    </w:p>
    <w:p w:rsidR="00140081" w:rsidRDefault="00C9248F" w:rsidP="006113E4">
      <w:pPr>
        <w:jc w:val="left"/>
      </w:pPr>
      <w:r>
        <w:tab/>
      </w:r>
      <w:r>
        <w:tab/>
        <w:t>OCA recommends returning any customer who d</w:t>
      </w:r>
      <w:r w:rsidR="0096795F">
        <w:t>oes not affirmatively choose an</w:t>
      </w:r>
      <w:r>
        <w:t xml:space="preserve"> EGS to default service.  OCA reasons that </w:t>
      </w:r>
      <w:r w:rsidR="00140081">
        <w:t>the purpose of the program is to expose the customer to the shopping experience with a guaranteed price reduction for the contract term:</w:t>
      </w:r>
    </w:p>
    <w:p w:rsidR="006113E4" w:rsidRDefault="006113E4" w:rsidP="006113E4">
      <w:pPr>
        <w:jc w:val="left"/>
      </w:pPr>
    </w:p>
    <w:p w:rsidR="00140081" w:rsidRDefault="00140081" w:rsidP="001F1974">
      <w:pPr>
        <w:spacing w:line="240" w:lineRule="auto"/>
        <w:ind w:left="1440" w:right="1440"/>
        <w:contextualSpacing/>
        <w:jc w:val="left"/>
      </w:pPr>
      <w:r>
        <w:t xml:space="preserve">Customers who are satisfied with the Referral experience will select an offer that best meets their needs, whether from their own EGS or another EGS.  There is little purpose to be served by </w:t>
      </w:r>
      <w:r>
        <w:lastRenderedPageBreak/>
        <w:t>allowing the EGS to retain the customer without some indication that the customer who agreed to the experiment has demonstrated a familiarity with the concept of "choice" and made an affirmative choice.</w:t>
      </w:r>
    </w:p>
    <w:p w:rsidR="00C9248F" w:rsidRDefault="00140081" w:rsidP="001F1974">
      <w:pPr>
        <w:jc w:val="left"/>
      </w:pPr>
      <w:r>
        <w:t xml:space="preserve">OCA Stmt. 2 at 18; OCA MB at 54-55.  </w:t>
      </w:r>
    </w:p>
    <w:p w:rsidR="00140081" w:rsidRDefault="00140081" w:rsidP="001F1974">
      <w:pPr>
        <w:jc w:val="left"/>
      </w:pPr>
    </w:p>
    <w:p w:rsidR="00140081" w:rsidRDefault="00140081" w:rsidP="001F1974">
      <w:pPr>
        <w:jc w:val="left"/>
      </w:pPr>
      <w:r>
        <w:tab/>
      </w:r>
      <w:r>
        <w:tab/>
        <w:t xml:space="preserve">OCA emphasizes that this is particularly important because the customers who are calling PPL Electric are contacting a regulated utility service that is unrelated to learning about customer choice, and the offer presented was by telephone, without the opportunity to review printed materials or consideration of all options.  </w:t>
      </w:r>
      <w:proofErr w:type="gramStart"/>
      <w:r>
        <w:t>OCA Stmt. 2 at 18; OCA MB at 55.</w:t>
      </w:r>
      <w:proofErr w:type="gramEnd"/>
    </w:p>
    <w:p w:rsidR="00AA669A" w:rsidRDefault="00AA669A" w:rsidP="001F1974">
      <w:pPr>
        <w:jc w:val="left"/>
      </w:pPr>
    </w:p>
    <w:p w:rsidR="00AA669A" w:rsidRDefault="00AA669A" w:rsidP="001F1974">
      <w:pPr>
        <w:jc w:val="left"/>
      </w:pPr>
      <w:r>
        <w:tab/>
      </w:r>
      <w:r>
        <w:tab/>
        <w:t xml:space="preserve">The </w:t>
      </w:r>
      <w:r w:rsidRPr="00BD7119">
        <w:rPr>
          <w:i/>
        </w:rPr>
        <w:t>IWP Order</w:t>
      </w:r>
      <w:r>
        <w:t xml:space="preserve"> is clear that, "absent affirmative customer action to enter into a new contract with the EGS, the customer's enrollment with a different EGS or the customer's return to default service, the customer will remain with the EGS on a month-to-month basis, and shall not be subject to any termination penalty or fee."  </w:t>
      </w:r>
      <w:proofErr w:type="gramStart"/>
      <w:r w:rsidRPr="00BD7119">
        <w:rPr>
          <w:i/>
        </w:rPr>
        <w:t>IWP Order</w:t>
      </w:r>
      <w:r>
        <w:t xml:space="preserve"> at 32.</w:t>
      </w:r>
      <w:proofErr w:type="gramEnd"/>
      <w:r>
        <w:t xml:space="preserve">  </w:t>
      </w:r>
      <w:r w:rsidR="00B54F2B">
        <w:t>The Company's proposal is consistent with this provision and is recommended for adoption here.</w:t>
      </w:r>
      <w:r>
        <w:t xml:space="preserve"> </w:t>
      </w:r>
    </w:p>
    <w:p w:rsidR="00140081" w:rsidRDefault="00140081" w:rsidP="001F1974">
      <w:pPr>
        <w:jc w:val="left"/>
      </w:pPr>
    </w:p>
    <w:p w:rsidR="00140081" w:rsidRDefault="00225E14" w:rsidP="00225E14">
      <w:pPr>
        <w:ind w:left="1440"/>
        <w:jc w:val="left"/>
        <w:rPr>
          <w:b/>
        </w:rPr>
      </w:pPr>
      <w:r>
        <w:rPr>
          <w:b/>
        </w:rPr>
        <w:t>d</w:t>
      </w:r>
      <w:r w:rsidR="00B54F2B">
        <w:rPr>
          <w:b/>
        </w:rPr>
        <w:t>.</w:t>
      </w:r>
      <w:r w:rsidR="00B54F2B">
        <w:rPr>
          <w:b/>
        </w:rPr>
        <w:tab/>
      </w:r>
      <w:r w:rsidR="00140081">
        <w:rPr>
          <w:b/>
        </w:rPr>
        <w:t>Types of Customer Calls Eligible for Referral</w:t>
      </w:r>
      <w:r w:rsidR="00FF18D0">
        <w:rPr>
          <w:b/>
        </w:rPr>
        <w:fldChar w:fldCharType="begin"/>
      </w:r>
      <w:r w:rsidR="00FF18D0">
        <w:instrText xml:space="preserve"> TC "</w:instrText>
      </w:r>
      <w:bookmarkStart w:id="110" w:name="_Toc340670050"/>
      <w:r w:rsidR="00FF18D0" w:rsidRPr="009B7B20">
        <w:rPr>
          <w:b/>
        </w:rPr>
        <w:instrText>d.</w:instrText>
      </w:r>
      <w:r w:rsidR="00FF18D0" w:rsidRPr="009B7B20">
        <w:rPr>
          <w:b/>
        </w:rPr>
        <w:tab/>
        <w:instrText>Types of Customer Calls Eligible for Referral</w:instrText>
      </w:r>
      <w:bookmarkEnd w:id="110"/>
      <w:r w:rsidR="00FF18D0">
        <w:instrText xml:space="preserve">" \f C \l "4" </w:instrText>
      </w:r>
      <w:r w:rsidR="00FF18D0">
        <w:rPr>
          <w:b/>
        </w:rPr>
        <w:fldChar w:fldCharType="end"/>
      </w:r>
      <w:r w:rsidR="00140081">
        <w:rPr>
          <w:b/>
        </w:rPr>
        <w:t xml:space="preserve"> </w:t>
      </w:r>
    </w:p>
    <w:p w:rsidR="008E34A7" w:rsidRDefault="008E34A7" w:rsidP="001F1974">
      <w:pPr>
        <w:jc w:val="left"/>
        <w:rPr>
          <w:b/>
        </w:rPr>
      </w:pPr>
    </w:p>
    <w:p w:rsidR="00140081" w:rsidRDefault="00140081" w:rsidP="001F1974">
      <w:pPr>
        <w:jc w:val="left"/>
      </w:pPr>
      <w:r>
        <w:tab/>
      </w:r>
      <w:r>
        <w:tab/>
        <w:t>As proposed, the program will be promoted during all customer calls other than those regarding emergencies or terminations.  PPL Stmt. 4-R at 39-40.</w:t>
      </w:r>
    </w:p>
    <w:p w:rsidR="00140081" w:rsidRDefault="00140081" w:rsidP="001F1974">
      <w:pPr>
        <w:jc w:val="left"/>
      </w:pPr>
    </w:p>
    <w:p w:rsidR="00140081" w:rsidRDefault="00140081" w:rsidP="001F1974">
      <w:pPr>
        <w:jc w:val="left"/>
      </w:pPr>
      <w:r>
        <w:tab/>
      </w:r>
      <w:r>
        <w:tab/>
        <w:t>OCA witness Alexander recommends offering the program only during calls that involve establishing service, transferring service to a new location, and calls specifically seeking t</w:t>
      </w:r>
      <w:r w:rsidR="00BD7119">
        <w:t xml:space="preserve">o discuss customer choice.  </w:t>
      </w:r>
      <w:proofErr w:type="gramStart"/>
      <w:r w:rsidR="00BD7119">
        <w:t>OCA</w:t>
      </w:r>
      <w:r>
        <w:t xml:space="preserve"> Stmt. 2 at 17; OCA MB at 56.</w:t>
      </w:r>
      <w:proofErr w:type="gramEnd"/>
      <w:r>
        <w:t xml:space="preserve">  </w:t>
      </w:r>
      <w:r w:rsidR="00CD2DD9">
        <w:t xml:space="preserve">The concern is that a requirement that the Company market this program to callers seeking information or resolution of issues concerning bills, credit and collection, or reliability of service may jeopardize quality of service in contravention of Section 2807(d).  </w:t>
      </w:r>
      <w:proofErr w:type="gramStart"/>
      <w:r w:rsidR="00CD2DD9">
        <w:t>66 Pa. C.S. § 2807(d)</w:t>
      </w:r>
      <w:r w:rsidR="00BD7119">
        <w:t xml:space="preserve">; </w:t>
      </w:r>
      <w:r w:rsidR="00D7377B">
        <w:t>OCA MB at 56</w:t>
      </w:r>
      <w:r w:rsidR="00CD2DD9">
        <w:t>.</w:t>
      </w:r>
      <w:proofErr w:type="gramEnd"/>
    </w:p>
    <w:p w:rsidR="00D7377B" w:rsidRDefault="00D7377B" w:rsidP="001F1974">
      <w:pPr>
        <w:jc w:val="left"/>
      </w:pPr>
    </w:p>
    <w:p w:rsidR="00D7377B" w:rsidRDefault="00D7377B" w:rsidP="001F1974">
      <w:pPr>
        <w:jc w:val="left"/>
      </w:pPr>
      <w:r>
        <w:tab/>
      </w:r>
      <w:r>
        <w:tab/>
        <w:t xml:space="preserve">The difficulty is in knowing when a customer's stated concerns have been addressed and they can be introduced to the referral program.  The Company recognizes the dilemma and states that the customer's concerns must be satisfied before the program will be </w:t>
      </w:r>
      <w:r>
        <w:lastRenderedPageBreak/>
        <w:t xml:space="preserve">raised.  </w:t>
      </w:r>
      <w:proofErr w:type="gramStart"/>
      <w:r>
        <w:t>PPL Electric Stmt. 4-R at 40.</w:t>
      </w:r>
      <w:proofErr w:type="gramEnd"/>
      <w:r>
        <w:t xml:space="preserve">  OCA points out that this is not a standard which is easy to identify, and it is complicated by the fact that a concern may require multiple contacts before it is satisfied.  </w:t>
      </w:r>
      <w:proofErr w:type="gramStart"/>
      <w:r>
        <w:t>OCA Stmt. 2-S at 7; OCA MB at 56.</w:t>
      </w:r>
      <w:proofErr w:type="gramEnd"/>
      <w:r>
        <w:t xml:space="preserve">  </w:t>
      </w:r>
    </w:p>
    <w:p w:rsidR="00D7377B" w:rsidRDefault="00D7377B" w:rsidP="001F1974">
      <w:pPr>
        <w:jc w:val="left"/>
      </w:pPr>
    </w:p>
    <w:p w:rsidR="00D7377B" w:rsidRDefault="00D7377B" w:rsidP="001F1974">
      <w:pPr>
        <w:jc w:val="left"/>
      </w:pPr>
      <w:r>
        <w:tab/>
      </w:r>
      <w:r>
        <w:tab/>
        <w:t xml:space="preserve">To eliminate the confusion at this point, OCA recommends that the customers being offered this program be limited to new or moving customer and customer who request information about shopping.  </w:t>
      </w:r>
      <w:proofErr w:type="gramStart"/>
      <w:r>
        <w:t>OCA MB at 57.</w:t>
      </w:r>
      <w:proofErr w:type="gramEnd"/>
    </w:p>
    <w:p w:rsidR="00497997" w:rsidRDefault="00497997" w:rsidP="001F1974">
      <w:pPr>
        <w:jc w:val="left"/>
      </w:pPr>
    </w:p>
    <w:p w:rsidR="00497997" w:rsidRDefault="00497997" w:rsidP="001F1974">
      <w:pPr>
        <w:jc w:val="left"/>
      </w:pPr>
      <w:r>
        <w:tab/>
      </w:r>
      <w:r>
        <w:tab/>
        <w:t>CAUSE-PA agrees that the program should not include customers calling about high bill complaints:</w:t>
      </w:r>
    </w:p>
    <w:p w:rsidR="006113E4" w:rsidRDefault="006113E4" w:rsidP="001F1974">
      <w:pPr>
        <w:jc w:val="left"/>
      </w:pPr>
    </w:p>
    <w:p w:rsidR="00A12CE1" w:rsidRDefault="00497997" w:rsidP="001F1974">
      <w:pPr>
        <w:spacing w:line="240" w:lineRule="auto"/>
        <w:ind w:left="1440" w:right="1440"/>
        <w:contextualSpacing/>
        <w:jc w:val="left"/>
      </w:pPr>
      <w:r>
        <w:t>The calls may come in the form of a complaint about the cost of electricity per kWh or they make [sic] take the form of a foreign load complaint, a fast meter, a broken meter, or a host of other factual permutations that must be sorted through.  It would be inappropriate to refer high bill co</w:t>
      </w:r>
      <w:r w:rsidR="00A12CE1">
        <w:t>m</w:t>
      </w:r>
      <w:r>
        <w:t>plaint customers to an EGS for service while these high bill inqui</w:t>
      </w:r>
      <w:r w:rsidR="00A12CE1">
        <w:t>r</w:t>
      </w:r>
      <w:r>
        <w:t xml:space="preserve">ies/disputes are on-going because the rates the customer is paying for electricity </w:t>
      </w:r>
      <w:r w:rsidR="00A12CE1">
        <w:t>may not be the c</w:t>
      </w:r>
      <w:r>
        <w:t>a</w:t>
      </w:r>
      <w:r w:rsidR="00A12CE1">
        <w:t>u</w:t>
      </w:r>
      <w:r>
        <w:t>se of the high bill.  Utilities should conduct a thorough examination all of the possible reasons for a high bill and work with the customer to lower their usage</w:t>
      </w:r>
      <w:r w:rsidR="00A12CE1">
        <w:t xml:space="preserve"> </w:t>
      </w:r>
      <w:r>
        <w:t xml:space="preserve">instead of offering the hope of lower bills in the future based on service from an EGS.  Customers </w:t>
      </w:r>
      <w:r w:rsidR="00A12CE1">
        <w:t>s</w:t>
      </w:r>
      <w:r>
        <w:t>hould be assessed for whether they are eligible for weatherization assistance.  If they are low-income</w:t>
      </w:r>
      <w:r w:rsidR="00A12CE1">
        <w:t>,</w:t>
      </w:r>
      <w:r>
        <w:t xml:space="preserve"> the custom</w:t>
      </w:r>
      <w:r w:rsidR="00A12CE1">
        <w:t>e</w:t>
      </w:r>
      <w:r>
        <w:t xml:space="preserve">rs </w:t>
      </w:r>
      <w:r w:rsidR="00A12CE1">
        <w:t>s</w:t>
      </w:r>
      <w:r>
        <w:t>hould be referred to the utilit</w:t>
      </w:r>
      <w:r w:rsidR="00A12CE1">
        <w:t>y</w:t>
      </w:r>
      <w:r>
        <w:t>'</w:t>
      </w:r>
      <w:r w:rsidR="00A12CE1">
        <w:t>s</w:t>
      </w:r>
      <w:r>
        <w:t xml:space="preserve"> hardship fund or LIHEAP for assistance and sh</w:t>
      </w:r>
      <w:r w:rsidR="00A12CE1">
        <w:t>ould be referred to the CAP program for enrollment, if el</w:t>
      </w:r>
      <w:r>
        <w:t xml:space="preserve">igible.  Quite simply, I do not see a role for a customer referral program for customers who call PPL concerning a high bill complaint. </w:t>
      </w:r>
    </w:p>
    <w:p w:rsidR="00497997" w:rsidRDefault="00A12CE1" w:rsidP="001F1974">
      <w:pPr>
        <w:jc w:val="left"/>
      </w:pPr>
      <w:r>
        <w:t>CAUSE-PA Stmt. 1 at 23-24.</w:t>
      </w:r>
      <w:r w:rsidR="00497997">
        <w:t xml:space="preserve"> </w:t>
      </w:r>
    </w:p>
    <w:p w:rsidR="00D7377B" w:rsidRDefault="00D7377B" w:rsidP="001F1974">
      <w:pPr>
        <w:jc w:val="left"/>
      </w:pPr>
    </w:p>
    <w:p w:rsidR="00B54F2B" w:rsidRDefault="00B54F2B" w:rsidP="001F1974">
      <w:pPr>
        <w:jc w:val="left"/>
      </w:pPr>
      <w:r>
        <w:tab/>
      </w:r>
      <w:r w:rsidR="006113E4">
        <w:tab/>
      </w:r>
      <w:r>
        <w:t xml:space="preserve">These concerns are real, and the low-income issues will be addressed by the Commission's RMI Universal Service subgroup.  In the meantime, the </w:t>
      </w:r>
      <w:r w:rsidRPr="00BD7119">
        <w:rPr>
          <w:i/>
        </w:rPr>
        <w:t>IWP Order</w:t>
      </w:r>
      <w:r>
        <w:t xml:space="preserve"> provides:</w:t>
      </w:r>
    </w:p>
    <w:p w:rsidR="006113E4" w:rsidRDefault="006113E4" w:rsidP="001F1974">
      <w:pPr>
        <w:jc w:val="left"/>
      </w:pPr>
    </w:p>
    <w:p w:rsidR="00B54F2B" w:rsidRDefault="00B54F2B" w:rsidP="001F1974">
      <w:pPr>
        <w:spacing w:line="240" w:lineRule="auto"/>
        <w:ind w:left="1440" w:right="1440"/>
        <w:contextualSpacing/>
        <w:jc w:val="left"/>
      </w:pPr>
      <w:r>
        <w:t xml:space="preserve">The Standard Offer Customer Referral Program should be presented during customer contacts to the EDC call centers, other than calls for emergencies, terminations and the like.  We would, however, permit that a customer be presented the standard offer </w:t>
      </w:r>
      <w:r>
        <w:lastRenderedPageBreak/>
        <w:t>during customer contacts to the EDC call center for high bill issues, only and explicitly after the customer's concerns were satisfied.</w:t>
      </w:r>
    </w:p>
    <w:p w:rsidR="00B54F2B" w:rsidRDefault="00B54F2B" w:rsidP="001F1974">
      <w:pPr>
        <w:jc w:val="left"/>
      </w:pPr>
      <w:proofErr w:type="gramStart"/>
      <w:r w:rsidRPr="00BD7119">
        <w:rPr>
          <w:i/>
        </w:rPr>
        <w:t>IWP Order</w:t>
      </w:r>
      <w:r>
        <w:t xml:space="preserve"> at 32.</w:t>
      </w:r>
      <w:proofErr w:type="gramEnd"/>
    </w:p>
    <w:p w:rsidR="00B54F2B" w:rsidRDefault="00B54F2B" w:rsidP="001F1974">
      <w:pPr>
        <w:jc w:val="left"/>
      </w:pPr>
    </w:p>
    <w:p w:rsidR="00D7377B" w:rsidRDefault="00B54F2B" w:rsidP="00225E14">
      <w:pPr>
        <w:ind w:left="720"/>
        <w:jc w:val="left"/>
        <w:rPr>
          <w:b/>
        </w:rPr>
      </w:pPr>
      <w:r>
        <w:rPr>
          <w:b/>
        </w:rPr>
        <w:t>5.</w:t>
      </w:r>
      <w:r>
        <w:rPr>
          <w:b/>
        </w:rPr>
        <w:tab/>
      </w:r>
      <w:r w:rsidR="00D7377B">
        <w:rPr>
          <w:b/>
        </w:rPr>
        <w:t>Timing of the Retail Market Enhancements</w:t>
      </w:r>
      <w:r w:rsidR="00FF18D0">
        <w:rPr>
          <w:b/>
        </w:rPr>
        <w:fldChar w:fldCharType="begin"/>
      </w:r>
      <w:r w:rsidR="00FF18D0">
        <w:instrText xml:space="preserve"> TC "</w:instrText>
      </w:r>
      <w:bookmarkStart w:id="111" w:name="_Toc340670051"/>
      <w:r w:rsidR="00FF18D0" w:rsidRPr="009B7B20">
        <w:rPr>
          <w:b/>
        </w:rPr>
        <w:instrText>5.</w:instrText>
      </w:r>
      <w:r w:rsidR="00FF18D0" w:rsidRPr="009B7B20">
        <w:rPr>
          <w:b/>
        </w:rPr>
        <w:tab/>
        <w:instrText>Timing of the Retail Market Enhancements</w:instrText>
      </w:r>
      <w:bookmarkEnd w:id="111"/>
      <w:r w:rsidR="00FF18D0">
        <w:instrText xml:space="preserve">" \f C \l "3" </w:instrText>
      </w:r>
      <w:r w:rsidR="00FF18D0">
        <w:rPr>
          <w:b/>
        </w:rPr>
        <w:fldChar w:fldCharType="end"/>
      </w:r>
      <w:r w:rsidR="00D7377B">
        <w:rPr>
          <w:b/>
        </w:rPr>
        <w:t xml:space="preserve"> </w:t>
      </w:r>
    </w:p>
    <w:p w:rsidR="00D7377B" w:rsidRDefault="00D7377B" w:rsidP="001F1974">
      <w:pPr>
        <w:jc w:val="left"/>
        <w:rPr>
          <w:b/>
        </w:rPr>
      </w:pPr>
    </w:p>
    <w:p w:rsidR="00D7377B" w:rsidRPr="00D67008" w:rsidRDefault="00D7377B" w:rsidP="001F1974">
      <w:pPr>
        <w:jc w:val="left"/>
      </w:pPr>
      <w:r w:rsidRPr="00D67008">
        <w:tab/>
      </w:r>
      <w:r w:rsidRPr="00D67008">
        <w:tab/>
        <w:t>PPL Electric proposes the following schedule:</w:t>
      </w:r>
    </w:p>
    <w:p w:rsidR="00D7377B" w:rsidRPr="00D67008" w:rsidRDefault="00D7377B" w:rsidP="001F1974">
      <w:pPr>
        <w:jc w:val="left"/>
      </w:pPr>
    </w:p>
    <w:p w:rsidR="00D7377B" w:rsidRPr="00D67008" w:rsidRDefault="00D7377B" w:rsidP="00225E14">
      <w:pPr>
        <w:spacing w:line="240" w:lineRule="auto"/>
        <w:ind w:left="2160" w:right="1440"/>
        <w:jc w:val="left"/>
      </w:pPr>
      <w:r w:rsidRPr="00D67008">
        <w:t>Third quarter of 2012:  implementation of the new/moving customer program scripts and a new customer welcome package.</w:t>
      </w:r>
    </w:p>
    <w:p w:rsidR="00D7377B" w:rsidRPr="00D67008" w:rsidRDefault="00D7377B" w:rsidP="00225E14">
      <w:pPr>
        <w:spacing w:line="240" w:lineRule="auto"/>
        <w:ind w:left="2160" w:right="1440"/>
        <w:jc w:val="left"/>
      </w:pPr>
    </w:p>
    <w:p w:rsidR="00D7377B" w:rsidRPr="00D67008" w:rsidRDefault="00D7377B" w:rsidP="00225E14">
      <w:pPr>
        <w:spacing w:line="240" w:lineRule="auto"/>
        <w:ind w:left="2160" w:right="1440"/>
        <w:jc w:val="left"/>
      </w:pPr>
      <w:r w:rsidRPr="00D67008">
        <w:t>Second or third quarter of 2013:  customer referral mailing</w:t>
      </w:r>
    </w:p>
    <w:p w:rsidR="00D7377B" w:rsidRPr="00D67008" w:rsidRDefault="00D7377B" w:rsidP="00225E14">
      <w:pPr>
        <w:spacing w:line="240" w:lineRule="auto"/>
        <w:ind w:left="2160" w:right="1440"/>
        <w:jc w:val="left"/>
      </w:pPr>
    </w:p>
    <w:p w:rsidR="00D7377B" w:rsidRPr="00D67008" w:rsidRDefault="00D7377B" w:rsidP="00225E14">
      <w:pPr>
        <w:spacing w:line="240" w:lineRule="auto"/>
        <w:ind w:left="2160" w:right="1440"/>
        <w:jc w:val="left"/>
      </w:pPr>
      <w:r w:rsidRPr="00D67008">
        <w:t>Late November/early December 2013:  Opt-In Auction</w:t>
      </w:r>
    </w:p>
    <w:p w:rsidR="00D7377B" w:rsidRPr="00D67008" w:rsidRDefault="00D7377B" w:rsidP="00225E14">
      <w:pPr>
        <w:spacing w:line="240" w:lineRule="auto"/>
        <w:ind w:left="2160" w:right="1440"/>
        <w:jc w:val="left"/>
      </w:pPr>
    </w:p>
    <w:p w:rsidR="00D7377B" w:rsidRPr="00D67008" w:rsidRDefault="00D7377B" w:rsidP="00225E14">
      <w:pPr>
        <w:spacing w:line="240" w:lineRule="auto"/>
        <w:ind w:left="2160" w:right="1440"/>
        <w:jc w:val="left"/>
      </w:pPr>
      <w:r w:rsidRPr="00D67008">
        <w:t>Mid-2014:  Initiation of Standard Offer Referral Program</w:t>
      </w:r>
    </w:p>
    <w:p w:rsidR="00D7377B" w:rsidRPr="00D67008" w:rsidRDefault="00D7377B" w:rsidP="00225E14">
      <w:pPr>
        <w:spacing w:line="240" w:lineRule="auto"/>
        <w:ind w:left="2160" w:right="1440"/>
        <w:jc w:val="left"/>
      </w:pPr>
      <w:proofErr w:type="gramStart"/>
      <w:r w:rsidRPr="00D67008">
        <w:t>PPL Electric Stmt. 4-R at 12.</w:t>
      </w:r>
      <w:proofErr w:type="gramEnd"/>
    </w:p>
    <w:p w:rsidR="00225E14" w:rsidRPr="00D67008" w:rsidRDefault="00225E14" w:rsidP="001F1974">
      <w:pPr>
        <w:jc w:val="left"/>
      </w:pPr>
    </w:p>
    <w:p w:rsidR="00BD7119" w:rsidRPr="00D67008" w:rsidRDefault="00BD7119" w:rsidP="001F1974">
      <w:pPr>
        <w:jc w:val="left"/>
      </w:pPr>
      <w:r w:rsidRPr="00D67008">
        <w:tab/>
      </w:r>
      <w:r w:rsidRPr="00D67008">
        <w:tab/>
        <w:t>The Company states that this schedule will:</w:t>
      </w:r>
    </w:p>
    <w:p w:rsidR="00BD7119" w:rsidRPr="00D67008" w:rsidRDefault="00BD7119" w:rsidP="001F1974">
      <w:pPr>
        <w:jc w:val="left"/>
      </w:pPr>
    </w:p>
    <w:p w:rsidR="008E5FDC" w:rsidRDefault="008E5FDC" w:rsidP="00D67008">
      <w:pPr>
        <w:pStyle w:val="BodyText2"/>
        <w:numPr>
          <w:ilvl w:val="0"/>
          <w:numId w:val="4"/>
        </w:numPr>
        <w:tabs>
          <w:tab w:val="clear" w:pos="1440"/>
        </w:tabs>
        <w:spacing w:after="0" w:line="240" w:lineRule="auto"/>
        <w:ind w:left="2160" w:right="1440" w:hanging="720"/>
        <w:jc w:val="left"/>
      </w:pPr>
      <w:r>
        <w:t>Avoid affecting several fixed-price full-requirements load-following contracts, which expire in November 2013, that were executed under the DSP I Program prior to the initiation of the Commission’s Retail Markets Investigation;</w:t>
      </w:r>
    </w:p>
    <w:p w:rsidR="006113E4" w:rsidRDefault="006113E4" w:rsidP="00D67008">
      <w:pPr>
        <w:pStyle w:val="BodyText2"/>
        <w:spacing w:after="0" w:line="240" w:lineRule="auto"/>
        <w:ind w:left="2160" w:right="1440" w:hanging="720"/>
        <w:jc w:val="left"/>
      </w:pPr>
    </w:p>
    <w:p w:rsidR="006113E4" w:rsidRDefault="008E5FDC" w:rsidP="00D67008">
      <w:pPr>
        <w:pStyle w:val="BodyText2"/>
        <w:numPr>
          <w:ilvl w:val="0"/>
          <w:numId w:val="4"/>
        </w:numPr>
        <w:tabs>
          <w:tab w:val="clear" w:pos="1440"/>
        </w:tabs>
        <w:spacing w:after="0" w:line="240" w:lineRule="auto"/>
        <w:ind w:left="2160" w:right="1440" w:hanging="720"/>
        <w:jc w:val="left"/>
      </w:pPr>
      <w:r>
        <w:t>Allow a group of block contracts executed under the DSP I Program to expire to avoid having to sell excess power at a loss;</w:t>
      </w:r>
    </w:p>
    <w:p w:rsidR="006113E4" w:rsidRDefault="006113E4" w:rsidP="00D67008">
      <w:pPr>
        <w:pStyle w:val="BodyText2"/>
        <w:spacing w:after="0" w:line="240" w:lineRule="auto"/>
        <w:ind w:left="2160" w:right="1440" w:hanging="720"/>
        <w:jc w:val="left"/>
      </w:pPr>
    </w:p>
    <w:p w:rsidR="008E5FDC" w:rsidRDefault="008E5FDC" w:rsidP="00D67008">
      <w:pPr>
        <w:pStyle w:val="BodyText2"/>
        <w:numPr>
          <w:ilvl w:val="0"/>
          <w:numId w:val="4"/>
        </w:numPr>
        <w:tabs>
          <w:tab w:val="clear" w:pos="1440"/>
        </w:tabs>
        <w:spacing w:after="0" w:line="240" w:lineRule="auto"/>
        <w:ind w:left="2160" w:right="1440" w:hanging="720"/>
        <w:jc w:val="left"/>
      </w:pPr>
      <w:r>
        <w:t>Minimize potential customer confusion by not overlapping the two programs; and</w:t>
      </w:r>
    </w:p>
    <w:p w:rsidR="006113E4" w:rsidRDefault="006113E4" w:rsidP="00D67008">
      <w:pPr>
        <w:pStyle w:val="BodyText2"/>
        <w:spacing w:after="0" w:line="240" w:lineRule="auto"/>
        <w:ind w:left="2160" w:right="1440" w:hanging="720"/>
        <w:jc w:val="left"/>
      </w:pPr>
    </w:p>
    <w:p w:rsidR="006113E4" w:rsidRDefault="008E5FDC" w:rsidP="00D67008">
      <w:pPr>
        <w:pStyle w:val="BodyText2"/>
        <w:numPr>
          <w:ilvl w:val="0"/>
          <w:numId w:val="4"/>
        </w:numPr>
        <w:tabs>
          <w:tab w:val="clear" w:pos="1440"/>
        </w:tabs>
        <w:spacing w:after="0" w:line="240" w:lineRule="auto"/>
        <w:ind w:left="2160" w:right="1440" w:hanging="720"/>
        <w:jc w:val="left"/>
      </w:pPr>
      <w:r>
        <w:t>Enable the Company to make programming changes that would enhance customer information and billing systems to allow “day-one” switching and avoid customer confusion about the Standard Offer Program.</w:t>
      </w:r>
    </w:p>
    <w:p w:rsidR="006113E4" w:rsidRDefault="006113E4" w:rsidP="006113E4">
      <w:pPr>
        <w:pStyle w:val="BodyText2"/>
        <w:spacing w:after="0" w:line="360" w:lineRule="auto"/>
        <w:jc w:val="left"/>
      </w:pPr>
    </w:p>
    <w:p w:rsidR="008E5FDC" w:rsidRDefault="00BD7119" w:rsidP="001F1974">
      <w:pPr>
        <w:pStyle w:val="BodyText2"/>
        <w:spacing w:after="0" w:line="360" w:lineRule="auto"/>
        <w:jc w:val="left"/>
      </w:pPr>
      <w:r>
        <w:rPr>
          <w:color w:val="FF0000"/>
        </w:rPr>
        <w:lastRenderedPageBreak/>
        <w:tab/>
      </w:r>
      <w:r>
        <w:rPr>
          <w:color w:val="FF0000"/>
        </w:rPr>
        <w:tab/>
      </w:r>
      <w:r w:rsidR="008E5FDC" w:rsidRPr="00BD7119">
        <w:t xml:space="preserve">To offset the delayed start of the two Programs, PPL Electric offered to undertake a Customer Referral Mailing in June 2013 to continue </w:t>
      </w:r>
      <w:r w:rsidR="008E5FDC">
        <w:t>to advance the high level of shopping already occurring i</w:t>
      </w:r>
      <w:r w:rsidR="002A425B">
        <w:t xml:space="preserve">n the Company’s service area.  </w:t>
      </w:r>
      <w:proofErr w:type="gramStart"/>
      <w:r w:rsidR="008E5FDC">
        <w:t>PPL Electric MB</w:t>
      </w:r>
      <w:r w:rsidR="002A425B">
        <w:t xml:space="preserve"> at</w:t>
      </w:r>
      <w:r w:rsidR="008E5FDC">
        <w:t xml:space="preserve"> 108.</w:t>
      </w:r>
      <w:proofErr w:type="gramEnd"/>
    </w:p>
    <w:p w:rsidR="00B54F2B" w:rsidRDefault="00B54F2B" w:rsidP="00D67008">
      <w:pPr>
        <w:pStyle w:val="BodyText2"/>
        <w:spacing w:after="0" w:line="360" w:lineRule="auto"/>
        <w:jc w:val="left"/>
      </w:pPr>
    </w:p>
    <w:p w:rsidR="00241038" w:rsidRDefault="00BD7119" w:rsidP="00D67008">
      <w:pPr>
        <w:pStyle w:val="BodyText2"/>
        <w:spacing w:after="0" w:line="360" w:lineRule="auto"/>
        <w:jc w:val="left"/>
      </w:pPr>
      <w:r>
        <w:rPr>
          <w:color w:val="FF0000"/>
        </w:rPr>
        <w:tab/>
      </w:r>
      <w:r>
        <w:rPr>
          <w:color w:val="FF0000"/>
        </w:rPr>
        <w:tab/>
      </w:r>
      <w:r w:rsidR="008E5FDC" w:rsidRPr="00BD7119">
        <w:t>FES, RESA and D</w:t>
      </w:r>
      <w:r w:rsidR="00C545C2">
        <w:t>R</w:t>
      </w:r>
      <w:r w:rsidR="008E5FDC" w:rsidRPr="00BD7119">
        <w:t xml:space="preserve">/IGS </w:t>
      </w:r>
      <w:r w:rsidR="008E5FDC">
        <w:t xml:space="preserve">object to various aspects of the Company’s proposed timing.  </w:t>
      </w:r>
    </w:p>
    <w:p w:rsidR="00D67008" w:rsidRDefault="00D67008" w:rsidP="00D67008">
      <w:pPr>
        <w:pStyle w:val="BodyText2"/>
        <w:spacing w:after="0" w:line="360" w:lineRule="auto"/>
        <w:jc w:val="left"/>
      </w:pPr>
    </w:p>
    <w:p w:rsidR="00241038" w:rsidRDefault="00241038" w:rsidP="001F1974">
      <w:pPr>
        <w:pStyle w:val="BodyText2"/>
        <w:spacing w:after="0" w:line="240" w:lineRule="auto"/>
        <w:ind w:left="1440" w:right="1440"/>
        <w:contextualSpacing/>
        <w:jc w:val="left"/>
      </w:pPr>
      <w:r>
        <w:tab/>
        <w:t xml:space="preserve">FES </w:t>
      </w:r>
      <w:r w:rsidR="00DA6E57">
        <w:t>recommends that the Referral Program begin in June 2013, and not await the conclusion of PPL Electric's Op</w:t>
      </w:r>
      <w:r w:rsidR="00AE25BD">
        <w:t>t-In Program a year later.  In f</w:t>
      </w:r>
      <w:r w:rsidR="00DA6E57">
        <w:t>act, implementing the Referral Program ahead of the Opt-In Program may yield information concerning potential customer participation in the Opt-In Program which EGSs participating in the Opt-In Program may find valuable</w:t>
      </w:r>
      <w:r w:rsidR="00AE25BD">
        <w:t xml:space="preserve">.  </w:t>
      </w:r>
      <w:r w:rsidR="00DA6E57">
        <w:t xml:space="preserve">FES St. No. 1 at 23.  FES disagrees with the OCA's explanation of the need to defer the Referral Program.  While each program is sponsored by the Commission and offers customers a discount, the similarities end there.  Each offer will be marketed and solicited through different methods.  There is no difference between asking a customer to compare the offers available through these two programs and asking a customer to compare any two retail offers in the competitive retail market.  FES's position is consistent with the </w:t>
      </w:r>
      <w:r w:rsidR="00DA6E57">
        <w:rPr>
          <w:i/>
        </w:rPr>
        <w:t>ME/PN/PP/WP DSP Order and PECO Binding Poll,</w:t>
      </w:r>
      <w:r w:rsidR="00DA6E57">
        <w:t xml:space="preserve"> as well as the position advocated by RESA.  RESA St. NO. </w:t>
      </w:r>
      <w:proofErr w:type="gramStart"/>
      <w:r w:rsidR="00DA6E57">
        <w:t>2 at 13, 36.</w:t>
      </w:r>
      <w:proofErr w:type="gramEnd"/>
    </w:p>
    <w:p w:rsidR="00DA6E57" w:rsidRDefault="00DA6E57" w:rsidP="00D67008">
      <w:pPr>
        <w:pStyle w:val="BodyText2"/>
        <w:spacing w:after="0" w:line="240" w:lineRule="auto"/>
        <w:jc w:val="left"/>
      </w:pPr>
      <w:proofErr w:type="gramStart"/>
      <w:r>
        <w:t>FES MB at 56.</w:t>
      </w:r>
      <w:proofErr w:type="gramEnd"/>
    </w:p>
    <w:p w:rsidR="00BD7119" w:rsidRDefault="00BD7119" w:rsidP="00D67008">
      <w:pPr>
        <w:pStyle w:val="BodyText2"/>
        <w:spacing w:after="0" w:line="360" w:lineRule="auto"/>
        <w:jc w:val="left"/>
      </w:pPr>
    </w:p>
    <w:p w:rsidR="00DA6E57" w:rsidRDefault="00BD7119" w:rsidP="00D67008">
      <w:pPr>
        <w:pStyle w:val="BodyText2"/>
        <w:spacing w:after="0" w:line="360" w:lineRule="auto"/>
        <w:jc w:val="left"/>
      </w:pPr>
      <w:r>
        <w:tab/>
      </w:r>
      <w:r>
        <w:tab/>
      </w:r>
      <w:r w:rsidR="00DA6E57">
        <w:t>D</w:t>
      </w:r>
      <w:r>
        <w:t>R</w:t>
      </w:r>
      <w:r w:rsidR="00DA6E57">
        <w:t>/IGA opines that without any substantiation for the delay in its schedule, PPL Electric should be required to move the timetable up to more closely mirror the other EDC DSP plans.  "Getting programs out of synch as between EDCs may cause confusion and hamper program effectiveness insofar as any mass advertising and other coordinated activities would be concerned."  D</w:t>
      </w:r>
      <w:r>
        <w:t>R</w:t>
      </w:r>
      <w:r w:rsidR="00DA6E57">
        <w:t>/IGA RB at 9.</w:t>
      </w:r>
    </w:p>
    <w:p w:rsidR="002A425B" w:rsidRPr="00DA6E57" w:rsidRDefault="002A425B" w:rsidP="006113E4">
      <w:pPr>
        <w:pStyle w:val="BodyText2"/>
        <w:spacing w:after="0" w:line="360" w:lineRule="auto"/>
        <w:contextualSpacing/>
        <w:jc w:val="left"/>
      </w:pPr>
    </w:p>
    <w:p w:rsidR="00B54F2B" w:rsidRDefault="00DA6E57" w:rsidP="006113E4">
      <w:pPr>
        <w:pStyle w:val="BodyText2"/>
        <w:spacing w:after="0" w:line="360" w:lineRule="auto"/>
        <w:contextualSpacing/>
        <w:jc w:val="left"/>
      </w:pPr>
      <w:r>
        <w:tab/>
      </w:r>
      <w:r>
        <w:tab/>
      </w:r>
      <w:r w:rsidR="00C545C2">
        <w:t>DR</w:t>
      </w:r>
      <w:r w:rsidR="008E5FDC">
        <w:t>/IGS and RESA do not believe the Company has offered a sufficient basis to delay the Opt</w:t>
      </w:r>
      <w:r w:rsidR="002A425B">
        <w:t xml:space="preserve">-In Program to December 2013.  </w:t>
      </w:r>
      <w:r w:rsidR="008E5FDC">
        <w:t>DES/IGS MB</w:t>
      </w:r>
      <w:r w:rsidR="002A425B">
        <w:t xml:space="preserve"> at</w:t>
      </w:r>
      <w:r w:rsidR="008E5FDC">
        <w:t xml:space="preserve"> 20; RESA MB</w:t>
      </w:r>
      <w:r w:rsidR="002A425B">
        <w:t xml:space="preserve"> at</w:t>
      </w:r>
      <w:r w:rsidR="008E5FDC">
        <w:t xml:space="preserve"> 80-82.  </w:t>
      </w:r>
    </w:p>
    <w:p w:rsidR="00B54F2B" w:rsidRDefault="00B54F2B" w:rsidP="006113E4">
      <w:pPr>
        <w:pStyle w:val="BodyText2"/>
        <w:spacing w:after="0" w:line="360" w:lineRule="auto"/>
        <w:contextualSpacing/>
        <w:jc w:val="left"/>
      </w:pPr>
    </w:p>
    <w:p w:rsidR="00D67008" w:rsidRDefault="00D67008" w:rsidP="006113E4">
      <w:pPr>
        <w:pStyle w:val="BodyText2"/>
        <w:spacing w:after="0" w:line="360" w:lineRule="auto"/>
        <w:jc w:val="left"/>
      </w:pPr>
      <w:r>
        <w:br w:type="page"/>
      </w:r>
    </w:p>
    <w:p w:rsidR="008E5FDC" w:rsidRDefault="002A425B" w:rsidP="006113E4">
      <w:pPr>
        <w:pStyle w:val="BodyText2"/>
        <w:spacing w:after="0" w:line="360" w:lineRule="auto"/>
        <w:jc w:val="left"/>
      </w:pPr>
      <w:r>
        <w:lastRenderedPageBreak/>
        <w:tab/>
      </w:r>
      <w:r>
        <w:tab/>
      </w:r>
      <w:r w:rsidR="008E5FDC">
        <w:t>PPL Electric disagrees.</w:t>
      </w:r>
    </w:p>
    <w:p w:rsidR="006113E4" w:rsidRDefault="006113E4" w:rsidP="006113E4">
      <w:pPr>
        <w:pStyle w:val="BodyText2"/>
        <w:spacing w:after="0" w:line="360" w:lineRule="auto"/>
        <w:jc w:val="left"/>
      </w:pPr>
    </w:p>
    <w:p w:rsidR="008E5FDC" w:rsidRDefault="00AE25BD" w:rsidP="001F1974">
      <w:pPr>
        <w:pStyle w:val="BodyText2"/>
        <w:spacing w:after="0" w:line="240" w:lineRule="auto"/>
        <w:ind w:left="1440" w:right="1440"/>
        <w:jc w:val="left"/>
      </w:pPr>
      <w:r>
        <w:tab/>
      </w:r>
      <w:r w:rsidR="008E5FDC">
        <w:t xml:space="preserve">RESA contends that the amount of contracted load that could be affected is small, and that in any event, all suppliers will continue to have load to supply.  </w:t>
      </w:r>
      <w:proofErr w:type="gramStart"/>
      <w:r w:rsidR="008E5FDC">
        <w:t>(RESA MB, p. 81).</w:t>
      </w:r>
      <w:proofErr w:type="gramEnd"/>
      <w:r w:rsidR="008E5FDC">
        <w:t xml:space="preserve">  However, RESA’s contention fails to take into account the substantial reduction to load that has already occurred due to shopping on PPL Electric’s system.  The unrefuted evidence of record in this case demonstrates that, even without the further movement of default service customers to EGSs anticipated by the market enhancement programs, minimum default service load exceeded the current 350 MW of block supply by only 41 MW.  </w:t>
      </w:r>
      <w:proofErr w:type="gramStart"/>
      <w:r w:rsidR="008E5FDC">
        <w:t>(PPL Electric St. 2-R, p. 8).</w:t>
      </w:r>
      <w:proofErr w:type="gramEnd"/>
      <w:r w:rsidR="008E5FDC">
        <w:t xml:space="preserve">  In addition, default service load was less than double the 350 MW of block supplies for nearly 2500 hours in a recent 15-month period.  </w:t>
      </w:r>
      <w:proofErr w:type="gramStart"/>
      <w:r w:rsidR="008E5FDC">
        <w:t>(PPL Electric St. 2-R, pp. 7-8, n. 17).</w:t>
      </w:r>
      <w:proofErr w:type="gramEnd"/>
      <w:r w:rsidR="008E5FDC">
        <w:t xml:space="preserve"> Thus, if, as desired, substantial numbers of customers do take advantage of the discounts under the Opt-In and Customer Referral Programs, it is a certainty that during many hours, default load would drop below 350 MW.  During these hours, suppliers with full-requirements load-following contracts will have no load to supply, and block supplies will need to be sold.  Because such sales would be made under low load conditions, the potential for such sales to be made at a loss is high.  Such losses will be passed through to a substantially smaller default service customer base.  This is a potentially large effect, contrary to RESA’s contention.</w:t>
      </w:r>
    </w:p>
    <w:p w:rsidR="006113E4" w:rsidRDefault="006113E4" w:rsidP="001F1974">
      <w:pPr>
        <w:pStyle w:val="BodyText2"/>
        <w:spacing w:after="0" w:line="240" w:lineRule="auto"/>
        <w:ind w:left="1440" w:right="1440"/>
        <w:jc w:val="left"/>
      </w:pPr>
    </w:p>
    <w:p w:rsidR="008E5FDC" w:rsidRDefault="00AE25BD" w:rsidP="001F1974">
      <w:pPr>
        <w:pStyle w:val="BodyText2"/>
        <w:spacing w:after="0" w:line="240" w:lineRule="auto"/>
        <w:ind w:left="1440" w:right="1440"/>
        <w:contextualSpacing/>
        <w:jc w:val="left"/>
      </w:pPr>
      <w:r>
        <w:tab/>
      </w:r>
      <w:r w:rsidR="008E5FDC">
        <w:t xml:space="preserve">RESA contends that PPL Electric’s proposal to delay implementing its Opt </w:t>
      </w:r>
      <w:proofErr w:type="gramStart"/>
      <w:r w:rsidR="008E5FDC">
        <w:t>In</w:t>
      </w:r>
      <w:proofErr w:type="gramEnd"/>
      <w:r w:rsidR="008E5FDC">
        <w:t xml:space="preserve"> Program enhancement programs is intended to keep customers on a default service, and that this reflects an improper notion that PPL Electric “owns” its default service customers.  </w:t>
      </w:r>
      <w:proofErr w:type="gramStart"/>
      <w:r w:rsidR="008E5FDC">
        <w:t>(RESA MB, p. 82).</w:t>
      </w:r>
      <w:proofErr w:type="gramEnd"/>
      <w:r w:rsidR="008E5FDC">
        <w:t xml:space="preserve">  Such contentions are flat-out wrong, and devoid of any evidentiary support.  Reasonable parties can disagree as to the proper elements of a DSP plan, but it is highly inappropriate, in PPL Electric’s view, for a party such as RESA to engage in completely unsupported and totally erroneous speculation as to PPL Electric’s motives.  No major EDC has been more successful in getting customers to shop than PPL Electric, and PPL Electric was diligent in following the Commission’s </w:t>
      </w:r>
      <w:r w:rsidR="008E5FDC">
        <w:rPr>
          <w:i/>
        </w:rPr>
        <w:t>RMI-IWP Final Order</w:t>
      </w:r>
      <w:r w:rsidR="008E5FDC">
        <w:t xml:space="preserve"> in designing its market enhancements in this case.  PPL Electric has not proposed to delay the start of its Opt-In Program out of any intention to “own” default service customers, but only with the intent to not disrupt </w:t>
      </w:r>
      <w:r w:rsidR="008E5FDC">
        <w:rPr>
          <w:u w:val="single"/>
        </w:rPr>
        <w:t>existing</w:t>
      </w:r>
      <w:r w:rsidR="008E5FDC">
        <w:t xml:space="preserve"> contracts entered </w:t>
      </w:r>
      <w:r w:rsidR="008E5FDC">
        <w:lastRenderedPageBreak/>
        <w:t xml:space="preserve">into </w:t>
      </w:r>
      <w:r w:rsidR="008E5FDC">
        <w:rPr>
          <w:u w:val="single"/>
        </w:rPr>
        <w:t>prior</w:t>
      </w:r>
      <w:r w:rsidR="008E5FDC">
        <w:t xml:space="preserve"> to the RMI.</w:t>
      </w:r>
      <w:r w:rsidR="008E5FDC">
        <w:rPr>
          <w:rStyle w:val="FootnoteReference"/>
        </w:rPr>
        <w:footnoteReference w:id="46"/>
      </w:r>
      <w:r w:rsidR="008E5FDC">
        <w:t xml:space="preserve">  RESA’s unsupported distortion of PPL Electric’s effort to avoid disrupting certain wholesale supplier contracts into an objection against customer migration should be summarily rejected, and the Commission should advise RESA to limit its arguments to the facts and to refrain from unsupported speculation.</w:t>
      </w:r>
      <w:r w:rsidR="008E5FDC">
        <w:rPr>
          <w:rStyle w:val="FootnoteReference"/>
        </w:rPr>
        <w:footnoteReference w:id="47"/>
      </w:r>
    </w:p>
    <w:p w:rsidR="005F7760" w:rsidRDefault="005F7760" w:rsidP="00D67008">
      <w:pPr>
        <w:pStyle w:val="BodyText2"/>
        <w:spacing w:after="0" w:line="240" w:lineRule="auto"/>
        <w:jc w:val="left"/>
      </w:pPr>
      <w:proofErr w:type="gramStart"/>
      <w:r>
        <w:t>PPL Electric RB at 72.</w:t>
      </w:r>
      <w:proofErr w:type="gramEnd"/>
    </w:p>
    <w:p w:rsidR="0096795F" w:rsidRDefault="0096795F" w:rsidP="00D67008">
      <w:pPr>
        <w:pStyle w:val="BodyText2"/>
        <w:spacing w:after="0" w:line="360" w:lineRule="auto"/>
        <w:jc w:val="left"/>
      </w:pPr>
    </w:p>
    <w:p w:rsidR="008E5FDC" w:rsidRDefault="005F7760" w:rsidP="00D67008">
      <w:pPr>
        <w:pStyle w:val="BodyText2"/>
        <w:spacing w:after="0" w:line="360" w:lineRule="auto"/>
        <w:jc w:val="left"/>
      </w:pPr>
      <w:r>
        <w:tab/>
      </w:r>
      <w:r>
        <w:tab/>
        <w:t>While the "sooner is better" approach is appealing, as R</w:t>
      </w:r>
      <w:r w:rsidR="008E5FDC">
        <w:t>ESA and FES recommend that the Standard Offer Referral Program begin in mid-2013</w:t>
      </w:r>
      <w:r>
        <w:t xml:space="preserve">, </w:t>
      </w:r>
      <w:r w:rsidR="008E5FDC">
        <w:t>work is needed to implement a Standard Offer Program that avoids marketing to shopping customers, allows “day one switching” and otherwise allows Customer Service Representatives to properly present the Pr</w:t>
      </w:r>
      <w:r w:rsidR="00AE25BD">
        <w:t>ogram to customers that call in.  Tr. 84, 91-92; PPL Electric RB at 73-74.</w:t>
      </w:r>
      <w:r w:rsidR="008E5FDC">
        <w:t xml:space="preserve"> </w:t>
      </w:r>
    </w:p>
    <w:p w:rsidR="006113E4" w:rsidRDefault="006113E4" w:rsidP="00D67008">
      <w:pPr>
        <w:pStyle w:val="BodyText2"/>
        <w:spacing w:after="0" w:line="360" w:lineRule="auto"/>
        <w:jc w:val="left"/>
      </w:pPr>
    </w:p>
    <w:p w:rsidR="00DA6E57" w:rsidRDefault="008E5FDC" w:rsidP="001F1974">
      <w:pPr>
        <w:pStyle w:val="BodyText2"/>
        <w:spacing w:after="0" w:line="240" w:lineRule="auto"/>
        <w:ind w:left="1440" w:right="1440"/>
        <w:jc w:val="left"/>
      </w:pPr>
      <w:r>
        <w:t xml:space="preserve">Proper system modifications are needed to implement a Standard Offer Referral Program, and the Company does not favor the implementation of a program before there is sufficient system support in place.  Without such support, there can be confusion and errors, which would detract from shopping, not advance it.  </w:t>
      </w:r>
    </w:p>
    <w:p w:rsidR="008E5FDC" w:rsidRDefault="008E5FDC" w:rsidP="006113E4">
      <w:pPr>
        <w:pStyle w:val="BodyText2"/>
        <w:spacing w:after="0" w:line="240" w:lineRule="auto"/>
        <w:jc w:val="left"/>
      </w:pPr>
      <w:proofErr w:type="gramStart"/>
      <w:r>
        <w:t>PPL Electric MB</w:t>
      </w:r>
      <w:r w:rsidR="00AE25BD">
        <w:t xml:space="preserve"> at </w:t>
      </w:r>
      <w:r>
        <w:t>130</w:t>
      </w:r>
      <w:r w:rsidR="00AE25BD">
        <w:t>; PPL Electric RB at 74</w:t>
      </w:r>
      <w:r>
        <w:t>.</w:t>
      </w:r>
      <w:proofErr w:type="gramEnd"/>
    </w:p>
    <w:p w:rsidR="006113E4" w:rsidRDefault="006113E4" w:rsidP="006113E4">
      <w:pPr>
        <w:pStyle w:val="BodyText2"/>
        <w:spacing w:after="0" w:line="360" w:lineRule="auto"/>
        <w:jc w:val="left"/>
      </w:pPr>
    </w:p>
    <w:p w:rsidR="005F7760" w:rsidRDefault="005F7760" w:rsidP="006113E4">
      <w:pPr>
        <w:pStyle w:val="BodyText2"/>
        <w:spacing w:after="0" w:line="360" w:lineRule="auto"/>
        <w:contextualSpacing/>
        <w:jc w:val="left"/>
      </w:pPr>
      <w:r>
        <w:tab/>
      </w:r>
      <w:r>
        <w:tab/>
        <w:t xml:space="preserve">The Company is best able to evaluate and predict the current capabilities of its systems and predict the amount of work and time necessary to </w:t>
      </w:r>
      <w:r w:rsidR="009263E3">
        <w:t>create the support system needed</w:t>
      </w:r>
      <w:r>
        <w:t xml:space="preserve"> to implement these enhancement programs.  </w:t>
      </w:r>
    </w:p>
    <w:p w:rsidR="006113E4" w:rsidRDefault="006113E4" w:rsidP="006113E4">
      <w:pPr>
        <w:pStyle w:val="BodyText2"/>
        <w:spacing w:after="0" w:line="360" w:lineRule="auto"/>
        <w:contextualSpacing/>
        <w:jc w:val="left"/>
      </w:pPr>
    </w:p>
    <w:p w:rsidR="008E5FDC" w:rsidRDefault="008E5FDC" w:rsidP="001F1974">
      <w:pPr>
        <w:pStyle w:val="BodyText2"/>
        <w:spacing w:after="0" w:line="240" w:lineRule="auto"/>
        <w:ind w:left="1440" w:right="1440"/>
        <w:contextualSpacing/>
        <w:jc w:val="left"/>
      </w:pPr>
      <w:r>
        <w:t xml:space="preserve">Finally, RESA contends that the Opt-In Program and Standard Offer Referral Program can operate simultaneously because the programs “are directed at different subsets of default customers, with the former focused on existing default customers and the latter directed at new and moving customers.”  </w:t>
      </w:r>
      <w:proofErr w:type="gramStart"/>
      <w:r>
        <w:t>(RESA MB, p. 85).</w:t>
      </w:r>
      <w:proofErr w:type="gramEnd"/>
      <w:r>
        <w:t xml:space="preserve">  PPL Electric disagrees.  The Commission has not said that the Standard Offer Referral Program is to be limited to only new and </w:t>
      </w:r>
      <w:r>
        <w:lastRenderedPageBreak/>
        <w:t xml:space="preserve">moving customers; it is to be open to all customers who call in, and is to be directed at non-shopping customers.  </w:t>
      </w:r>
      <w:proofErr w:type="gramStart"/>
      <w:r>
        <w:t>(</w:t>
      </w:r>
      <w:r>
        <w:rPr>
          <w:i/>
        </w:rPr>
        <w:t>RMI-IWP Final Order</w:t>
      </w:r>
      <w:r>
        <w:t xml:space="preserve"> at p. 31).</w:t>
      </w:r>
      <w:proofErr w:type="gramEnd"/>
      <w:r>
        <w:t xml:space="preserve">  </w:t>
      </w:r>
      <w:proofErr w:type="gramStart"/>
      <w:r>
        <w:t>RESA’s contention that there is no risk of confusion because the two programs target different customers is incorrect and should not be considered as a reason to operate the two programs simultaneously.</w:t>
      </w:r>
      <w:proofErr w:type="gramEnd"/>
      <w:r>
        <w:t xml:space="preserve">  </w:t>
      </w:r>
    </w:p>
    <w:p w:rsidR="00D7377B" w:rsidRDefault="008E5FDC" w:rsidP="001F1974">
      <w:pPr>
        <w:jc w:val="left"/>
      </w:pPr>
      <w:r>
        <w:t>PPL Electric RB at 71-75</w:t>
      </w:r>
    </w:p>
    <w:p w:rsidR="005F7760" w:rsidRDefault="005F7760" w:rsidP="001F1974">
      <w:pPr>
        <w:jc w:val="left"/>
      </w:pPr>
    </w:p>
    <w:p w:rsidR="005F7760" w:rsidRDefault="005F7760" w:rsidP="001F1974">
      <w:pPr>
        <w:jc w:val="left"/>
      </w:pPr>
      <w:r>
        <w:tab/>
      </w:r>
      <w:r>
        <w:tab/>
      </w:r>
      <w:r w:rsidR="00255DB0">
        <w:t xml:space="preserve">It is difficult to imagine requiring an EDC to implement these two programs simultaneously, or to think of a more confusing telephone call than the one made to the EDC during this time when the customer service representative would need to educate the caller in two separate yet similar programs, and then help the customer evaluate which would be better without being accused of improper implementation.  This would be both unfair and unwise.  </w:t>
      </w:r>
      <w:r>
        <w:t xml:space="preserve">The Company's proposal is both reasonable and consistent with the </w:t>
      </w:r>
      <w:r w:rsidRPr="00C545C2">
        <w:rPr>
          <w:i/>
        </w:rPr>
        <w:t>IWP Order</w:t>
      </w:r>
      <w:r>
        <w:t xml:space="preserve"> and should be approved as proposed.</w:t>
      </w:r>
    </w:p>
    <w:p w:rsidR="00B17577" w:rsidRDefault="00B17577" w:rsidP="001F1974">
      <w:pPr>
        <w:jc w:val="left"/>
      </w:pPr>
    </w:p>
    <w:p w:rsidR="00B17577" w:rsidRDefault="005F7760" w:rsidP="00225E14">
      <w:pPr>
        <w:spacing w:line="240" w:lineRule="auto"/>
        <w:ind w:left="1440" w:hanging="720"/>
        <w:jc w:val="left"/>
        <w:rPr>
          <w:b/>
        </w:rPr>
      </w:pPr>
      <w:r>
        <w:rPr>
          <w:b/>
        </w:rPr>
        <w:t>6.</w:t>
      </w:r>
      <w:r>
        <w:rPr>
          <w:b/>
        </w:rPr>
        <w:tab/>
      </w:r>
      <w:r w:rsidR="00B17577">
        <w:rPr>
          <w:b/>
        </w:rPr>
        <w:t>Cost Recovery for the Retail Market Enhancements and Customer Referral Programs</w:t>
      </w:r>
      <w:r w:rsidR="00FF18D0">
        <w:rPr>
          <w:b/>
        </w:rPr>
        <w:fldChar w:fldCharType="begin"/>
      </w:r>
      <w:r w:rsidR="00FF18D0">
        <w:instrText xml:space="preserve"> TC "</w:instrText>
      </w:r>
      <w:bookmarkStart w:id="112" w:name="_Toc340670052"/>
      <w:r w:rsidR="00FF18D0" w:rsidRPr="009B7B20">
        <w:rPr>
          <w:b/>
        </w:rPr>
        <w:instrText>6.</w:instrText>
      </w:r>
      <w:r w:rsidR="00FF18D0" w:rsidRPr="009B7B20">
        <w:rPr>
          <w:b/>
        </w:rPr>
        <w:tab/>
        <w:instrText>Cost Recovery for the Retail Market Enhancements and Customer Referral Programs</w:instrText>
      </w:r>
      <w:bookmarkEnd w:id="112"/>
      <w:r w:rsidR="00FF18D0">
        <w:instrText xml:space="preserve">" \f C \l "3" </w:instrText>
      </w:r>
      <w:r w:rsidR="00FF18D0">
        <w:rPr>
          <w:b/>
        </w:rPr>
        <w:fldChar w:fldCharType="end"/>
      </w:r>
    </w:p>
    <w:p w:rsidR="00BB43F0" w:rsidRDefault="00BB43F0" w:rsidP="001F1974">
      <w:pPr>
        <w:jc w:val="left"/>
        <w:rPr>
          <w:b/>
        </w:rPr>
      </w:pPr>
    </w:p>
    <w:p w:rsidR="00255DB0" w:rsidRDefault="00255DB0" w:rsidP="001F1974">
      <w:pPr>
        <w:jc w:val="left"/>
      </w:pPr>
      <w:r>
        <w:rPr>
          <w:b/>
        </w:rPr>
        <w:tab/>
      </w:r>
      <w:r>
        <w:rPr>
          <w:b/>
        </w:rPr>
        <w:tab/>
      </w:r>
      <w:r>
        <w:t>The Company characterizes the issue of cost recovery as a dispute between parties representing customer interests:  OCA, OSBA, PPLICA and CAUSE versus parties representing EGS interest</w:t>
      </w:r>
      <w:r w:rsidR="009263E3">
        <w:t>s</w:t>
      </w:r>
      <w:r>
        <w:t>:  RESA, FES, and D</w:t>
      </w:r>
      <w:r w:rsidR="00C545C2">
        <w:t>R</w:t>
      </w:r>
      <w:r>
        <w:t xml:space="preserve">/IGS.  </w:t>
      </w:r>
      <w:proofErr w:type="gramStart"/>
      <w:r>
        <w:t>PPL Electric RB at 75.</w:t>
      </w:r>
      <w:proofErr w:type="gramEnd"/>
    </w:p>
    <w:p w:rsidR="006113E4" w:rsidRPr="00255DB0" w:rsidRDefault="006113E4" w:rsidP="001F1974">
      <w:pPr>
        <w:jc w:val="left"/>
      </w:pPr>
    </w:p>
    <w:p w:rsidR="00BB43F0" w:rsidRDefault="00BB43F0" w:rsidP="001F1974">
      <w:pPr>
        <w:jc w:val="left"/>
      </w:pPr>
      <w:r>
        <w:tab/>
      </w:r>
      <w:r>
        <w:tab/>
      </w:r>
      <w:r w:rsidR="003712E5">
        <w:t>For the Opt-in Auction/Aggregation, t</w:t>
      </w:r>
      <w:r>
        <w:t xml:space="preserve">he </w:t>
      </w:r>
      <w:r w:rsidR="00255DB0">
        <w:t xml:space="preserve">Company </w:t>
      </w:r>
      <w:r>
        <w:t xml:space="preserve">proposal is for the participating EGSs to share the pre-auction costs and that post-auction costs will be shared on a pro rata basis among those EGSs who secure load through the auction.  </w:t>
      </w:r>
      <w:proofErr w:type="gramStart"/>
      <w:r>
        <w:t>PPL Electric Stmt. 4-R at 19.</w:t>
      </w:r>
      <w:proofErr w:type="gramEnd"/>
      <w:r>
        <w:t xml:space="preserve">  Should there be no EGS </w:t>
      </w:r>
      <w:proofErr w:type="gramStart"/>
      <w:r>
        <w:t>participation,</w:t>
      </w:r>
      <w:proofErr w:type="gramEnd"/>
      <w:r>
        <w:t xml:space="preserve"> the cost will be spread across all customers through the Competitive Transition Rider, approval of which is currently pending before the Commission at Docket No. </w:t>
      </w:r>
      <w:proofErr w:type="gramStart"/>
      <w:r>
        <w:t>R-2012-2290597</w:t>
      </w:r>
      <w:r w:rsidR="003712E5">
        <w:t>.</w:t>
      </w:r>
      <w:proofErr w:type="gramEnd"/>
      <w:r w:rsidR="003712E5">
        <w:t xml:space="preserve"> (Recommended D</w:t>
      </w:r>
      <w:r>
        <w:t>ecision issued October 19, 2012).</w:t>
      </w:r>
    </w:p>
    <w:p w:rsidR="003712E5" w:rsidRDefault="003712E5" w:rsidP="001F1974">
      <w:pPr>
        <w:jc w:val="left"/>
      </w:pPr>
    </w:p>
    <w:p w:rsidR="003712E5" w:rsidRDefault="003712E5" w:rsidP="001F1974">
      <w:pPr>
        <w:pStyle w:val="BodyText2"/>
        <w:spacing w:after="0" w:line="240" w:lineRule="auto"/>
        <w:ind w:left="1440" w:right="1440"/>
        <w:contextualSpacing/>
        <w:jc w:val="left"/>
      </w:pPr>
      <w:r>
        <w:t xml:space="preserve">It is PPL Electric’s position that, consistent with the </w:t>
      </w:r>
      <w:r>
        <w:rPr>
          <w:i/>
        </w:rPr>
        <w:t>RMI-IWP Final Order</w:t>
      </w:r>
      <w:r>
        <w:t xml:space="preserve">, the identifiable costs associated with the Retail Opt-In Program and the Standard Offer Referral Program should be paid by EGSs that participate in the Programs.  The specifics of </w:t>
      </w:r>
      <w:r>
        <w:lastRenderedPageBreak/>
        <w:t>PPL Electric’s cost recovery proposals for the two programs are explained next.</w:t>
      </w:r>
      <w:r>
        <w:rPr>
          <w:rStyle w:val="FootnoteReference"/>
        </w:rPr>
        <w:footnoteReference w:id="48"/>
      </w:r>
    </w:p>
    <w:p w:rsidR="006113E4" w:rsidRDefault="006113E4" w:rsidP="001F1974">
      <w:pPr>
        <w:pStyle w:val="BodyText2"/>
        <w:spacing w:after="0" w:line="240" w:lineRule="auto"/>
        <w:ind w:left="1440" w:right="1440"/>
        <w:contextualSpacing/>
        <w:jc w:val="left"/>
      </w:pPr>
    </w:p>
    <w:p w:rsidR="003712E5" w:rsidRDefault="003712E5" w:rsidP="001F1974">
      <w:pPr>
        <w:pStyle w:val="BodyText2"/>
        <w:spacing w:after="0" w:line="240" w:lineRule="auto"/>
        <w:ind w:left="1440" w:right="1440"/>
        <w:contextualSpacing/>
        <w:jc w:val="left"/>
      </w:pPr>
      <w:r>
        <w:tab/>
        <w:t xml:space="preserve">With respect to the retail Opt </w:t>
      </w:r>
      <w:proofErr w:type="gramStart"/>
      <w:r>
        <w:t>In</w:t>
      </w:r>
      <w:proofErr w:type="gramEnd"/>
      <w:r>
        <w:t xml:space="preserve"> Program, the Company set forth a two-stage process for payment of the costs of the auction.  The stages were split into pre-auction costs and post-auction costs.  Pre-auction costs are defined as those costs that PPL Electric would incur prior to and through the auction request for proposal process, including, but not limited to, costs associated with a pre-auction mailing to non-shopping Residential Customers notifying them of the Program, preparing for the auction RFP and conducting the auction RFP.  Post-auction costs will include all costs incurred after the auction, including, but not limited to, costs associated with a post-auction mailing to non-shopping customers, notifying them of the auction RFP results, any call-center costs, and any remaining program costs not otherwise recovered.  </w:t>
      </w:r>
      <w:proofErr w:type="gramStart"/>
      <w:r>
        <w:t>(PPL Electric St. 4, pp. 23-24, Ex. DAK-1, p. 5, § 1.13).</w:t>
      </w:r>
      <w:proofErr w:type="gramEnd"/>
      <w:r>
        <w:t xml:space="preserve">  PPL Electric proposes to issue an estimate for both pre-auction and post-auction Program costs prior to the auction.  EGSs that choose to participate in the auction must sign a binding bid agreement prior to the auction, agreeing to pay pre-auction costs upfront, based upon the number of EGSs that sign the binding bid agreement.  These pre-auction costs would not be refunded to EGSs.  If no EGSs chose to participate in the auction process, PPL Electric will seek to minimize the amount of costs pre-auction that it incurs.  However, in such event, any pre-auction costs that were incurred would be recovered from customers, which PPL proposes to accomplish through the Competitive Enhancement Rider proposed in the Company’s pending base rate case. </w:t>
      </w:r>
      <w:proofErr w:type="gramStart"/>
      <w:r>
        <w:t>(PPL Electric St. 4, pp. 23-24).</w:t>
      </w:r>
      <w:proofErr w:type="gramEnd"/>
      <w:r>
        <w:t xml:space="preserve">  Post-auction costs, and any true up of pre-auction costs, would be spread to winning EGSs based upon the respective number of tranches won by each EGS.  </w:t>
      </w:r>
      <w:proofErr w:type="gramStart"/>
      <w:r>
        <w:t>(PPL Electric St. 4, p. 24; PPL Electric St. 4-R, p. 49).</w:t>
      </w:r>
      <w:proofErr w:type="gramEnd"/>
      <w:r>
        <w:t xml:space="preserve">  PPL Electric estimates that the Opt </w:t>
      </w:r>
      <w:proofErr w:type="gramStart"/>
      <w:r>
        <w:t>In</w:t>
      </w:r>
      <w:proofErr w:type="gramEnd"/>
      <w:r>
        <w:t xml:space="preserve"> Auction pre-auction costs would be approximately $1 million and that the post-auction costs would be approximately $1 million.  </w:t>
      </w:r>
      <w:proofErr w:type="gramStart"/>
      <w:r>
        <w:t>(RESA Ex. CHK-1).</w:t>
      </w:r>
      <w:proofErr w:type="gramEnd"/>
      <w:r>
        <w:t xml:space="preserve">  Most of these costs relate to pre-auction and post-auction mailings to all non-shopping Residential customers.  Based upon the Company’s experience, it would anticipate incurring mailing costs of about $1.00 per customer.  </w:t>
      </w:r>
      <w:proofErr w:type="gramStart"/>
      <w:r>
        <w:t>(Ex. CHK-1).</w:t>
      </w:r>
      <w:proofErr w:type="gramEnd"/>
      <w:r>
        <w:t xml:space="preserve">  </w:t>
      </w:r>
    </w:p>
    <w:p w:rsidR="006113E4" w:rsidRDefault="006113E4" w:rsidP="001F1974">
      <w:pPr>
        <w:pStyle w:val="BodyText2"/>
        <w:spacing w:after="0" w:line="240" w:lineRule="auto"/>
        <w:ind w:left="1440" w:right="1440"/>
        <w:contextualSpacing/>
        <w:jc w:val="left"/>
      </w:pPr>
    </w:p>
    <w:p w:rsidR="003712E5" w:rsidRDefault="003712E5" w:rsidP="001F1974">
      <w:pPr>
        <w:pStyle w:val="BodyText2"/>
        <w:spacing w:after="0" w:line="240" w:lineRule="auto"/>
        <w:ind w:left="1440" w:right="1440"/>
        <w:contextualSpacing/>
        <w:jc w:val="left"/>
      </w:pPr>
      <w:r>
        <w:tab/>
        <w:t xml:space="preserve">The EGS parties to this proceeding offer as their primary position that the costs of the retail Opt </w:t>
      </w:r>
      <w:proofErr w:type="gramStart"/>
      <w:r>
        <w:t>In</w:t>
      </w:r>
      <w:proofErr w:type="gramEnd"/>
      <w:r>
        <w:t xml:space="preserve"> Auction Program should </w:t>
      </w:r>
      <w:r>
        <w:lastRenderedPageBreak/>
        <w:t xml:space="preserve">be recovered from customers rather than from EGSs.  (DES/IGS St. 1, p. 9; FES St. 1, pp. 19-20; RESA St. 2, p. 27).  These parties primarily support recovering the cost from default service customers only, but in the alternative, would propose recovery from all customers through a non-by-passable charge.  It is the Company’s position that such proposals are contrary to the directives contained in the </w:t>
      </w:r>
      <w:r>
        <w:rPr>
          <w:i/>
        </w:rPr>
        <w:t>RMI-IWP Final Order</w:t>
      </w:r>
      <w:r>
        <w:t xml:space="preserve">.  The Commission there concluded that the Opt </w:t>
      </w:r>
      <w:proofErr w:type="gramStart"/>
      <w:r>
        <w:t>In</w:t>
      </w:r>
      <w:proofErr w:type="gramEnd"/>
      <w:r>
        <w:t xml:space="preserve"> Auction Program benefits EGSs and, therefore, the cost of the Program should be charged to the EGSs.  </w:t>
      </w:r>
      <w:proofErr w:type="gramStart"/>
      <w:r>
        <w:t>(</w:t>
      </w:r>
      <w:r>
        <w:rPr>
          <w:i/>
        </w:rPr>
        <w:t>RMI-IWP Final Order</w:t>
      </w:r>
      <w:r>
        <w:t>, p. 43).</w:t>
      </w:r>
      <w:proofErr w:type="gramEnd"/>
      <w:r>
        <w:t xml:space="preserve">  If the Commission were to conclude that all or a portion of the Opt-In Program cost should be recovered from customers, the Company would recommend that the cost be charged to all customers in eligible customer classes.  Any proposal to limit recovery to default service customers could result in difficulties in PPL Electric fully recovering the costs of the Program.  As customers leave default service to shop under the Opt-In Program, the pool of remaining default service customers will shrink, thereby increasing the amount of the charge needed to fully recover PPL Electric’s costs.  </w:t>
      </w:r>
      <w:proofErr w:type="gramStart"/>
      <w:r>
        <w:t>(PPL Electric St. 4-R, p. 47).</w:t>
      </w:r>
      <w:proofErr w:type="gramEnd"/>
      <w:r>
        <w:t xml:space="preserve">  </w:t>
      </w:r>
    </w:p>
    <w:p w:rsidR="006113E4" w:rsidRDefault="006113E4" w:rsidP="001F1974">
      <w:pPr>
        <w:pStyle w:val="BodyText2"/>
        <w:spacing w:after="0" w:line="240" w:lineRule="auto"/>
        <w:ind w:left="1440" w:right="1440"/>
        <w:contextualSpacing/>
        <w:jc w:val="left"/>
      </w:pPr>
    </w:p>
    <w:p w:rsidR="003712E5" w:rsidRDefault="003712E5" w:rsidP="001F1974">
      <w:pPr>
        <w:pStyle w:val="BodyText2"/>
        <w:spacing w:after="0" w:line="240" w:lineRule="auto"/>
        <w:ind w:left="1440" w:right="1440"/>
        <w:contextualSpacing/>
        <w:jc w:val="left"/>
      </w:pPr>
      <w:r>
        <w:tab/>
        <w:t xml:space="preserve">As explained above, PPL Electric has presented an alternative proposal to operate an Opt </w:t>
      </w:r>
      <w:proofErr w:type="gramStart"/>
      <w:r>
        <w:t>In</w:t>
      </w:r>
      <w:proofErr w:type="gramEnd"/>
      <w:r>
        <w:t xml:space="preserve"> Aggregation Program that would not involve an auction process.  See Section III.C.3.  An aggregation approach would eliminate the need for a pre-auction mailing and the auction itself, and thus, would substantially reduce the cost of the Program.  </w:t>
      </w:r>
      <w:proofErr w:type="gramStart"/>
      <w:r>
        <w:t>(PPL Electric St. 4-SR, p. 9).</w:t>
      </w:r>
      <w:proofErr w:type="gramEnd"/>
      <w:r>
        <w:t xml:space="preserve">  Under this alternative, participating EGSs would be required to compensate the Company on a pro rata basis for the costs it incurs but there would not be a split of pre-auction and post-auction responsibility.  </w:t>
      </w:r>
      <w:proofErr w:type="gramStart"/>
      <w:r>
        <w:t>(PPL Electric St. 4-SR, p. 9).</w:t>
      </w:r>
      <w:proofErr w:type="gramEnd"/>
      <w:r>
        <w:t xml:space="preserve">  Although no EGS party directly addressed this alternative, PPL Electric anticipates that at least some of the EGSs will continue to contend that customers should pay the costs of this alternative.  For the reasons explained above, PPL Electric would disagree.</w:t>
      </w:r>
    </w:p>
    <w:p w:rsidR="003712E5" w:rsidRDefault="003712E5" w:rsidP="001F1974">
      <w:pPr>
        <w:pStyle w:val="BodyText2"/>
        <w:spacing w:after="0" w:line="360" w:lineRule="auto"/>
        <w:contextualSpacing/>
        <w:jc w:val="left"/>
      </w:pPr>
      <w:r>
        <w:t>PPL Electric MB at 131-134.</w:t>
      </w:r>
    </w:p>
    <w:p w:rsidR="00BB43F0" w:rsidRDefault="00BB43F0" w:rsidP="001F1974">
      <w:pPr>
        <w:jc w:val="left"/>
      </w:pPr>
    </w:p>
    <w:p w:rsidR="00BB43F0" w:rsidRDefault="00BB43F0" w:rsidP="001F1974">
      <w:pPr>
        <w:jc w:val="left"/>
      </w:pPr>
      <w:r>
        <w:tab/>
      </w:r>
      <w:r>
        <w:tab/>
        <w:t>OCA recommends rejection of th</w:t>
      </w:r>
      <w:r w:rsidR="003712E5">
        <w:t xml:space="preserve">e Company's </w:t>
      </w:r>
      <w:r>
        <w:t xml:space="preserve">plan as inconsistent with the </w:t>
      </w:r>
      <w:r w:rsidRPr="009263E3">
        <w:rPr>
          <w:i/>
        </w:rPr>
        <w:t xml:space="preserve">IWP Order, </w:t>
      </w:r>
      <w:r>
        <w:t xml:space="preserve">which requires that all costs be borne by EGSs.  </w:t>
      </w:r>
      <w:proofErr w:type="gramStart"/>
      <w:r>
        <w:t>IWP Order at 78, 84-85; OCA MB at 61.</w:t>
      </w:r>
      <w:proofErr w:type="gramEnd"/>
      <w:r w:rsidR="00A04CE8">
        <w:t xml:space="preserve">  OCA witness Alexander explains why the costs should not be assessed against all customers:</w:t>
      </w:r>
    </w:p>
    <w:p w:rsidR="00A04CE8" w:rsidRDefault="00A04CE8" w:rsidP="001F1974">
      <w:pPr>
        <w:jc w:val="left"/>
      </w:pPr>
    </w:p>
    <w:p w:rsidR="00A04CE8" w:rsidRDefault="00A04CE8" w:rsidP="001F1974">
      <w:pPr>
        <w:spacing w:line="240" w:lineRule="auto"/>
        <w:ind w:left="1440" w:right="1440"/>
        <w:contextualSpacing/>
        <w:jc w:val="left"/>
      </w:pPr>
      <w:r>
        <w:t xml:space="preserve">The costs that PPL and the other EDCs will incur to implement the Opt-In Auction and Referral Programs are not necessary to </w:t>
      </w:r>
      <w:r>
        <w:lastRenderedPageBreak/>
        <w:t>implement retail choice.  The Competition Act does not mandate these programs.  The costs associated with these programs are significantly different from the costs that Pennsylvania electric customers have already paid to support the EDC's implementation of billing changes, customer education programs, and electronic data exchange protocols so that customers can switch to an EGS and receive bills from the EDC or the EGS that include EGS charges.  Rather, the Opt-in Auction and Customer Referral Programs are "enhancements" that are intended to expand the current level of retail competition that already exists.  Therefore, it would not be reasonable to view the costs associated with these "enhancements" as similar to those incurred and paid for by all customers to implement the basic requirements for a retail competitive market.</w:t>
      </w:r>
    </w:p>
    <w:p w:rsidR="006113E4" w:rsidRDefault="006113E4" w:rsidP="001F1974">
      <w:pPr>
        <w:spacing w:line="240" w:lineRule="auto"/>
        <w:ind w:left="1440" w:right="1440"/>
        <w:contextualSpacing/>
        <w:jc w:val="left"/>
      </w:pPr>
    </w:p>
    <w:p w:rsidR="00A04CE8" w:rsidRDefault="00EA37F1" w:rsidP="001F1974">
      <w:pPr>
        <w:spacing w:line="240" w:lineRule="auto"/>
        <w:ind w:left="1440" w:right="1440"/>
        <w:contextualSpacing/>
        <w:jc w:val="left"/>
      </w:pPr>
      <w:r>
        <w:tab/>
      </w:r>
      <w:r w:rsidR="00A04CE8">
        <w:t>Furthermore, it would be particularly unfair and unreasonable for default service customers to pay for these costs in the manner suggested by RESA.  These costs are incurred by PPL to implement programs that will result in a transfer of default service custom</w:t>
      </w:r>
      <w:r w:rsidR="00F61671">
        <w:t>e</w:t>
      </w:r>
      <w:r w:rsidR="00A04CE8">
        <w:t xml:space="preserve">rs to the EGSs who win the Opt-In Auction or offer Referral </w:t>
      </w:r>
      <w:r w:rsidR="00F61671">
        <w:t>Programs that customers select.  PPL's role in these programs is a substitute for the individual marketing efforts that would otherwise be incurred by the EGSs and that are incurred by sellers in any competitive market.  Therefore, it is only reasonable for the EGSs that directly benefit from these programs by gaining market share to pay for the incremental costs, which are likely to be far less than the incremental costs that each EGS would have to bear to acquire these customers on an individual basis.</w:t>
      </w:r>
    </w:p>
    <w:p w:rsidR="00F61671" w:rsidRPr="00BB43F0" w:rsidRDefault="00F61671" w:rsidP="001F1974">
      <w:pPr>
        <w:jc w:val="left"/>
      </w:pPr>
      <w:proofErr w:type="gramStart"/>
      <w:r>
        <w:t>OCA Stmt. 2-R at 14-15; OCA MB at 62.</w:t>
      </w:r>
      <w:proofErr w:type="gramEnd"/>
      <w:r>
        <w:t xml:space="preserve">  </w:t>
      </w:r>
    </w:p>
    <w:p w:rsidR="00140081" w:rsidRDefault="00140081" w:rsidP="001F1974">
      <w:pPr>
        <w:jc w:val="left"/>
      </w:pPr>
    </w:p>
    <w:p w:rsidR="00F61671" w:rsidRDefault="00EA37F1" w:rsidP="001F1974">
      <w:pPr>
        <w:jc w:val="left"/>
      </w:pPr>
      <w:r>
        <w:tab/>
      </w:r>
      <w:r>
        <w:tab/>
      </w:r>
      <w:r w:rsidR="00F61671">
        <w:t xml:space="preserve">The Company proposes that all non-capital costs of implementing and administering the Standard Offer Program be recovered from the participating EGSs </w:t>
      </w:r>
      <w:r w:rsidR="00C545C2">
        <w:t>o</w:t>
      </w:r>
      <w:r w:rsidR="00F61671">
        <w:t xml:space="preserve">n a pro rata basis, including training and customer communications costs.  Service representative call time and capital costs to modify the Company's customer information and billing system would be recovered from customers through a future base rate proceedings.  </w:t>
      </w:r>
      <w:proofErr w:type="gramStart"/>
      <w:r w:rsidR="00F61671">
        <w:t>PPL Electric Stmt. 4-R at</w:t>
      </w:r>
      <w:r w:rsidR="006113E4">
        <w:t> </w:t>
      </w:r>
      <w:r w:rsidR="00F61671">
        <w:t>35,</w:t>
      </w:r>
      <w:r w:rsidR="006113E4">
        <w:t> </w:t>
      </w:r>
      <w:r w:rsidR="00F61671">
        <w:t>44.</w:t>
      </w:r>
      <w:proofErr w:type="gramEnd"/>
      <w:r w:rsidR="00F61671">
        <w:t xml:space="preserve"> </w:t>
      </w:r>
    </w:p>
    <w:p w:rsidR="00F61671" w:rsidRDefault="00F61671" w:rsidP="001F1974">
      <w:pPr>
        <w:jc w:val="left"/>
      </w:pPr>
    </w:p>
    <w:p w:rsidR="00354706" w:rsidRDefault="00F61671" w:rsidP="001F1974">
      <w:pPr>
        <w:jc w:val="left"/>
      </w:pPr>
      <w:r>
        <w:tab/>
      </w:r>
      <w:r>
        <w:tab/>
        <w:t xml:space="preserve">OCA recommends that the Company not be permitted to recover these capital costs in a future base rate case.  Costs should be recovered only from participating EGSs.  </w:t>
      </w:r>
      <w:proofErr w:type="gramStart"/>
      <w:r>
        <w:t>OCA Stmt. 2 at 18-19; OCA MB at 63.</w:t>
      </w:r>
      <w:proofErr w:type="gramEnd"/>
      <w:r>
        <w:t xml:space="preserve">  This is consistent with the IWP Order at 32, as well as with </w:t>
      </w:r>
      <w:r>
        <w:lastRenderedPageBreak/>
        <w:t xml:space="preserve">the recognition that the costs are incurred in place of the EGSs' own marketing, which gives them a value that should not be granted at the expense of the regulated customers. </w:t>
      </w:r>
    </w:p>
    <w:p w:rsidR="00E3471E" w:rsidRDefault="00E3471E" w:rsidP="001F1974">
      <w:pPr>
        <w:jc w:val="left"/>
      </w:pPr>
    </w:p>
    <w:p w:rsidR="00EA37F1" w:rsidRDefault="00EA37F1" w:rsidP="001F1974">
      <w:pPr>
        <w:pStyle w:val="BodyText2"/>
        <w:spacing w:after="0" w:line="240" w:lineRule="auto"/>
        <w:ind w:left="1440" w:right="1440"/>
        <w:contextualSpacing/>
        <w:jc w:val="left"/>
      </w:pPr>
      <w:r>
        <w:tab/>
        <w:t>The EGS Parties contend that if suppliers were to be required to pay any portion of the costs, the costs should be borne entirely by the winning suppliers on a pro-rata basis.  The EGS Parties' rationale is simple, it is only the winning suppliers who actually obtain customers through the ROA process that obtain the customer base necessary to recoup the investment in obtaining those customers in the first instance, so they should be the ones to pay the costs.</w:t>
      </w:r>
    </w:p>
    <w:p w:rsidR="00EA37F1" w:rsidRDefault="00EA37F1" w:rsidP="001F1974">
      <w:pPr>
        <w:pStyle w:val="BodyText2"/>
        <w:spacing w:after="0" w:line="360" w:lineRule="auto"/>
        <w:contextualSpacing/>
        <w:jc w:val="left"/>
      </w:pPr>
      <w:proofErr w:type="gramStart"/>
      <w:r>
        <w:t>D</w:t>
      </w:r>
      <w:r w:rsidR="00C545C2">
        <w:t>R</w:t>
      </w:r>
      <w:r>
        <w:t>/IGS MB at 20; RB at 10.</w:t>
      </w:r>
      <w:proofErr w:type="gramEnd"/>
      <w:r>
        <w:t xml:space="preserve">  </w:t>
      </w:r>
    </w:p>
    <w:p w:rsidR="00EA37F1" w:rsidRDefault="00EA37F1" w:rsidP="001F1974">
      <w:pPr>
        <w:pStyle w:val="BodyText2"/>
        <w:spacing w:after="0" w:line="360" w:lineRule="auto"/>
        <w:contextualSpacing/>
        <w:jc w:val="left"/>
      </w:pPr>
    </w:p>
    <w:p w:rsidR="00EA37F1" w:rsidRDefault="00EA37F1" w:rsidP="001F1974">
      <w:pPr>
        <w:pStyle w:val="BodyText2"/>
        <w:spacing w:after="0" w:line="360" w:lineRule="auto"/>
        <w:contextualSpacing/>
        <w:jc w:val="left"/>
      </w:pPr>
      <w:r>
        <w:tab/>
      </w:r>
      <w:r>
        <w:tab/>
        <w:t>From this Company's perspective, this is problematic, as it believes that</w:t>
      </w:r>
      <w:r w:rsidR="00225E14">
        <w:t xml:space="preserve"> </w:t>
      </w:r>
      <w:r w:rsidR="00E3471E">
        <w:t>recovering costs only from winning EGSs could increase the risk that PPL Electric could bill no EGSs for the costs of an auction and result in the need for substantial cost recovery from the Company’s customers in the event of a failed auction</w:t>
      </w:r>
      <w:r>
        <w:t>:</w:t>
      </w:r>
    </w:p>
    <w:p w:rsidR="006113E4" w:rsidRDefault="006113E4" w:rsidP="001F1974">
      <w:pPr>
        <w:pStyle w:val="BodyText2"/>
        <w:spacing w:after="0" w:line="360" w:lineRule="auto"/>
        <w:contextualSpacing/>
        <w:jc w:val="left"/>
      </w:pPr>
    </w:p>
    <w:p w:rsidR="00EA37F1" w:rsidRDefault="00E3471E" w:rsidP="001F1974">
      <w:pPr>
        <w:pStyle w:val="BodyText2"/>
        <w:spacing w:after="0" w:line="240" w:lineRule="auto"/>
        <w:ind w:left="1440" w:right="1440"/>
        <w:contextualSpacing/>
        <w:jc w:val="left"/>
      </w:pPr>
      <w:r>
        <w:t xml:space="preserve">Under the auction process, by the time the auction takes place, the Company will have incurred approximately $1 million in costs.  If no EGSs actually participate in the auction, and costs are billed only to winning EGSs, no EGS would pay these pre-auction costs.  </w:t>
      </w:r>
      <w:proofErr w:type="gramStart"/>
      <w:r>
        <w:t>(PPL Electric St. 4-R, p. 48).</w:t>
      </w:r>
      <w:proofErr w:type="gramEnd"/>
      <w:r>
        <w:t xml:space="preserve">  By requiring EGSs to pay for pre-auction costs up front, the Company can determine whether EGSs are committed to participate in an auction, and avoid unwanted costs.  </w:t>
      </w:r>
    </w:p>
    <w:p w:rsidR="00EA37F1" w:rsidRDefault="00EA37F1" w:rsidP="006113E4">
      <w:pPr>
        <w:pStyle w:val="BodyText2"/>
        <w:spacing w:after="0" w:line="240" w:lineRule="auto"/>
        <w:jc w:val="left"/>
      </w:pPr>
      <w:proofErr w:type="gramStart"/>
      <w:r>
        <w:t xml:space="preserve">PPL Electric MB at </w:t>
      </w:r>
      <w:r w:rsidR="00C775C1">
        <w:t>134.</w:t>
      </w:r>
      <w:proofErr w:type="gramEnd"/>
    </w:p>
    <w:p w:rsidR="006113E4" w:rsidRDefault="006113E4" w:rsidP="006113E4">
      <w:pPr>
        <w:pStyle w:val="BodyText2"/>
        <w:spacing w:after="0" w:line="360" w:lineRule="auto"/>
        <w:jc w:val="left"/>
      </w:pPr>
    </w:p>
    <w:p w:rsidR="00C775C1" w:rsidRDefault="00C775C1" w:rsidP="006113E4">
      <w:pPr>
        <w:pStyle w:val="BodyText2"/>
        <w:spacing w:after="0" w:line="360" w:lineRule="auto"/>
        <w:contextualSpacing/>
        <w:jc w:val="left"/>
      </w:pPr>
      <w:r>
        <w:tab/>
      </w:r>
      <w:r>
        <w:tab/>
        <w:t xml:space="preserve">FES advocates that all customers in all classes eligible to participate bear the costs of the programs, relying on the premise that all customers will realize a substantial ongoing benefit due to the result of increased retail competition.  </w:t>
      </w:r>
      <w:proofErr w:type="gramStart"/>
      <w:r>
        <w:t>FES MB at 57.</w:t>
      </w:r>
      <w:proofErr w:type="gramEnd"/>
      <w:r>
        <w:t xml:space="preserve">  FES fears that the required $50 bonus will discourage EGS participation in the program, and recommends that costs be spread across default service customers or all distribution customers.  FES MB at 57-58.</w:t>
      </w:r>
    </w:p>
    <w:p w:rsidR="00C775C1" w:rsidRDefault="00C775C1" w:rsidP="00225E14">
      <w:pPr>
        <w:pStyle w:val="BodyText2"/>
        <w:spacing w:after="0" w:line="360" w:lineRule="auto"/>
        <w:contextualSpacing/>
        <w:jc w:val="left"/>
      </w:pPr>
    </w:p>
    <w:p w:rsidR="00D67008" w:rsidRDefault="00D67008" w:rsidP="00225E14">
      <w:pPr>
        <w:pStyle w:val="BodyText2"/>
        <w:spacing w:after="0" w:line="360" w:lineRule="auto"/>
        <w:contextualSpacing/>
        <w:jc w:val="left"/>
      </w:pPr>
      <w:r>
        <w:br w:type="page"/>
      </w:r>
    </w:p>
    <w:p w:rsidR="00C775C1" w:rsidRDefault="00C775C1" w:rsidP="00225E14">
      <w:pPr>
        <w:pStyle w:val="BodyText2"/>
        <w:spacing w:after="0" w:line="360" w:lineRule="auto"/>
        <w:contextualSpacing/>
        <w:jc w:val="left"/>
      </w:pPr>
      <w:r>
        <w:lastRenderedPageBreak/>
        <w:tab/>
      </w:r>
      <w:r>
        <w:tab/>
        <w:t>FES cautions the Commission:</w:t>
      </w:r>
    </w:p>
    <w:p w:rsidR="00C775C1" w:rsidRDefault="00C775C1" w:rsidP="00225E14">
      <w:pPr>
        <w:pStyle w:val="BodyText2"/>
        <w:spacing w:after="0" w:line="360" w:lineRule="auto"/>
        <w:contextualSpacing/>
        <w:jc w:val="left"/>
      </w:pPr>
    </w:p>
    <w:p w:rsidR="00D9019A" w:rsidRDefault="00C775C1" w:rsidP="001F1974">
      <w:pPr>
        <w:pStyle w:val="BodyText2"/>
        <w:spacing w:after="0" w:line="240" w:lineRule="auto"/>
        <w:ind w:left="1440" w:right="1440"/>
        <w:contextualSpacing/>
        <w:jc w:val="left"/>
      </w:pPr>
      <w:r>
        <w:tab/>
        <w:t xml:space="preserve">FES recognizes the Commission's preference for EGSs to bear these costs, whether or not the </w:t>
      </w:r>
      <w:r>
        <w:rPr>
          <w:i/>
        </w:rPr>
        <w:t>ME/PM/PP/WP Order</w:t>
      </w:r>
      <w:r>
        <w:t xml:space="preserve"> controls this proceeding.  If costs are to be recovered from</w:t>
      </w:r>
      <w:r w:rsidR="00D9019A">
        <w:t xml:space="preserve"> </w:t>
      </w:r>
      <w:r>
        <w:t xml:space="preserve">EGSs, it is critical that an EGS's cost per customer be a known, capped amount.  Otherwise, it is unreasonable to expect significant EGS participation.  </w:t>
      </w:r>
      <w:proofErr w:type="gramStart"/>
      <w:r>
        <w:t>FES recommends that the costs of the Opt-In Program be allocated based on the number of customers actually enrolled by each EGS.</w:t>
      </w:r>
      <w:proofErr w:type="gramEnd"/>
      <w:r>
        <w:t xml:space="preserve">  Also, there should be a cap on the amount charged to EGSs for each customer enrolled, and any under-collection of program costs as a result of the supplier cost cap sho</w:t>
      </w:r>
      <w:r w:rsidR="00D9019A">
        <w:t>u</w:t>
      </w:r>
      <w:r>
        <w:t>ld be recovered from all customers in the classes of customers eligible to participate in the program.  All costs should be made known to allo</w:t>
      </w:r>
      <w:r w:rsidR="00D9019A">
        <w:t>w</w:t>
      </w:r>
      <w:r>
        <w:t xml:space="preserve"> qualified bidders prior to the bid proposal due date.  </w:t>
      </w:r>
    </w:p>
    <w:p w:rsidR="00D9019A" w:rsidRDefault="00D9019A" w:rsidP="001F1974">
      <w:pPr>
        <w:pStyle w:val="BodyText2"/>
        <w:spacing w:after="0" w:line="360" w:lineRule="auto"/>
        <w:contextualSpacing/>
        <w:jc w:val="left"/>
      </w:pPr>
      <w:proofErr w:type="gramStart"/>
      <w:r>
        <w:t>FES MB at 58.</w:t>
      </w:r>
      <w:proofErr w:type="gramEnd"/>
    </w:p>
    <w:p w:rsidR="00C775C1" w:rsidRPr="00C775C1" w:rsidRDefault="00C775C1" w:rsidP="001F1974">
      <w:pPr>
        <w:pStyle w:val="BodyText2"/>
        <w:spacing w:after="0" w:line="360" w:lineRule="auto"/>
        <w:contextualSpacing/>
        <w:jc w:val="left"/>
        <w:rPr>
          <w:i/>
        </w:rPr>
      </w:pPr>
    </w:p>
    <w:p w:rsidR="00D9019A" w:rsidRDefault="00EA37F1" w:rsidP="001F1974">
      <w:pPr>
        <w:pStyle w:val="BodyText2"/>
        <w:spacing w:after="0" w:line="360" w:lineRule="auto"/>
        <w:contextualSpacing/>
        <w:jc w:val="left"/>
      </w:pPr>
      <w:r>
        <w:tab/>
      </w:r>
      <w:r>
        <w:tab/>
      </w:r>
      <w:r w:rsidR="00E3471E">
        <w:t xml:space="preserve">FES also questions why any true up of pre-auction costs would be billed only to winning EGSs.  </w:t>
      </w:r>
      <w:r w:rsidR="00D9019A">
        <w:t>The Company explains that its p</w:t>
      </w:r>
      <w:r w:rsidR="00E3471E">
        <w:t xml:space="preserve">ayment proposal was developed to </w:t>
      </w:r>
      <w:r w:rsidR="00D9019A">
        <w:t>ensure that costs were covered.</w:t>
      </w:r>
      <w:r w:rsidR="00E3471E">
        <w:t xml:space="preserve">  If an EGS signed up to participate in the auction but was not selected, it would have no motivation to pay additional costs after the fact.  Without a true up process that charges remaining pre-auction costs to winning EGSs, PPL Electric could potentially be left with unrecovered program costs that it would have to charge to customers.  </w:t>
      </w:r>
      <w:proofErr w:type="gramStart"/>
      <w:r w:rsidR="00E3471E">
        <w:t>PPL Electric S</w:t>
      </w:r>
      <w:r w:rsidR="00281FAA">
        <w:t>m</w:t>
      </w:r>
      <w:r w:rsidR="00E3471E">
        <w:t xml:space="preserve">t. 4-R, </w:t>
      </w:r>
      <w:r w:rsidR="00281FAA">
        <w:t>at</w:t>
      </w:r>
      <w:r w:rsidR="00E3471E">
        <w:t xml:space="preserve"> 48.</w:t>
      </w:r>
      <w:proofErr w:type="gramEnd"/>
      <w:r w:rsidR="00E3471E">
        <w:t xml:space="preserve">  </w:t>
      </w:r>
      <w:proofErr w:type="gramStart"/>
      <w:r w:rsidR="00D9019A">
        <w:t>PPL Electric MB at 134.</w:t>
      </w:r>
      <w:proofErr w:type="gramEnd"/>
    </w:p>
    <w:p w:rsidR="00D9019A" w:rsidRDefault="00D9019A" w:rsidP="001F1974">
      <w:pPr>
        <w:pStyle w:val="BodyText2"/>
        <w:spacing w:after="0" w:line="360" w:lineRule="auto"/>
        <w:contextualSpacing/>
        <w:jc w:val="left"/>
      </w:pPr>
    </w:p>
    <w:p w:rsidR="00E3471E" w:rsidRDefault="002A425B" w:rsidP="001F1974">
      <w:pPr>
        <w:pStyle w:val="BodyText2"/>
        <w:spacing w:after="0" w:line="360" w:lineRule="auto"/>
        <w:contextualSpacing/>
        <w:jc w:val="left"/>
      </w:pPr>
      <w:r>
        <w:tab/>
      </w:r>
      <w:r>
        <w:tab/>
      </w:r>
      <w:r w:rsidR="00E3471E">
        <w:t xml:space="preserve">PPL Electric’s proposals for split payment of auction costs </w:t>
      </w:r>
      <w:r>
        <w:t>are</w:t>
      </w:r>
      <w:r w:rsidR="00E3471E">
        <w:t xml:space="preserve"> reasonable and should be adopted.</w:t>
      </w:r>
    </w:p>
    <w:p w:rsidR="00EA37F1" w:rsidRDefault="00EA37F1" w:rsidP="001F1974">
      <w:pPr>
        <w:pStyle w:val="BodyText2"/>
        <w:spacing w:after="0" w:line="360" w:lineRule="auto"/>
        <w:contextualSpacing/>
        <w:jc w:val="left"/>
      </w:pPr>
    </w:p>
    <w:p w:rsidR="00E3471E" w:rsidRDefault="00EA37F1" w:rsidP="001F1974">
      <w:pPr>
        <w:pStyle w:val="BodyText2"/>
        <w:spacing w:after="0" w:line="240" w:lineRule="auto"/>
        <w:ind w:left="1440" w:right="1440"/>
        <w:contextualSpacing/>
        <w:jc w:val="left"/>
      </w:pPr>
      <w:r>
        <w:tab/>
      </w:r>
      <w:r w:rsidR="00E3471E">
        <w:t xml:space="preserve">With respect to recovery of costs for the Standard Offer Referral Program, the Company proposes to require all EGSs electing to participate in the Program to sign a Binding Program Agreement Form, which requires them to be responsible to pay a pro rata share of Program costs, based upon the number of participating EGSs and the months they participate.  Thus, if one EGS participates for 12 months, while another EGS only participates for six months, the first EGS would pay a higher share of the costs of the Program.  Final Program costs would be calculated at the end of the Program year and costs would be divided among the EGSs.  In the event there are unrecovered costs, </w:t>
      </w:r>
      <w:r w:rsidR="00E3471E">
        <w:lastRenderedPageBreak/>
        <w:t xml:space="preserve">the Company would recover such costs from its customers. </w:t>
      </w:r>
      <w:proofErr w:type="gramStart"/>
      <w:r w:rsidR="00E3471E">
        <w:t>(PPL Electric St. 4, pp. 29-30).</w:t>
      </w:r>
      <w:proofErr w:type="gramEnd"/>
    </w:p>
    <w:p w:rsidR="009B2392" w:rsidRDefault="009B2392" w:rsidP="001F1974">
      <w:pPr>
        <w:pStyle w:val="BodyText2"/>
        <w:spacing w:after="0" w:line="240" w:lineRule="auto"/>
        <w:ind w:left="1440" w:right="1440"/>
        <w:contextualSpacing/>
        <w:jc w:val="left"/>
      </w:pPr>
    </w:p>
    <w:p w:rsidR="00E3471E" w:rsidRDefault="00D9019A" w:rsidP="001F1974">
      <w:pPr>
        <w:pStyle w:val="BodyText2"/>
        <w:spacing w:after="0" w:line="240" w:lineRule="auto"/>
        <w:ind w:left="1440" w:right="1440"/>
        <w:contextualSpacing/>
        <w:jc w:val="left"/>
      </w:pPr>
      <w:r>
        <w:tab/>
      </w:r>
      <w:r w:rsidR="00E3471E">
        <w:t xml:space="preserve">PPL Electric identified two categories of costs that could be viewed as associated with the Standard Offer Referral Program that would not be recovered from participating EGSs.  The first of these would be service representative call time.  As a practical matter, the Company cannot determine the amount of incremental time that would be incurred by service representatives to inform customers about the Standard Offer Referral Program.  Thus, these costs would simply be reflected as part of operating expenses in a future rate case.  </w:t>
      </w:r>
      <w:proofErr w:type="gramStart"/>
      <w:r w:rsidR="00E3471E">
        <w:t>(PPL Electric St. 4, p. 29; PPL Electric St. 4-R, p. 44).</w:t>
      </w:r>
      <w:proofErr w:type="gramEnd"/>
      <w:r w:rsidR="00E3471E">
        <w:t xml:space="preserve">  </w:t>
      </w:r>
    </w:p>
    <w:p w:rsidR="009B2392" w:rsidRDefault="009B2392" w:rsidP="001F1974">
      <w:pPr>
        <w:pStyle w:val="BodyText2"/>
        <w:spacing w:after="0" w:line="240" w:lineRule="auto"/>
        <w:ind w:left="1440" w:right="1440"/>
        <w:contextualSpacing/>
        <w:jc w:val="left"/>
      </w:pPr>
    </w:p>
    <w:p w:rsidR="00E3471E" w:rsidRDefault="00E3471E" w:rsidP="001F1974">
      <w:pPr>
        <w:pStyle w:val="BodyText2"/>
        <w:spacing w:after="0" w:line="240" w:lineRule="auto"/>
        <w:ind w:left="1440" w:right="1440"/>
        <w:contextualSpacing/>
        <w:jc w:val="left"/>
      </w:pPr>
      <w:r>
        <w:t xml:space="preserve">The second category of costs that would not be billed to EGSs are capital costs associated with the modifications to the Company’s customer information and billing systems, that are identified previously.  (See Section III.C.4).  These costs are estimated at $3 million, and would be recovered in a future base rate case.  </w:t>
      </w:r>
      <w:proofErr w:type="gramStart"/>
      <w:r>
        <w:t>(PPL Electric St. 4, p. 29).</w:t>
      </w:r>
      <w:proofErr w:type="gramEnd"/>
      <w:r>
        <w:t xml:space="preserve">  </w:t>
      </w:r>
    </w:p>
    <w:p w:rsidR="00D9019A" w:rsidRDefault="00D9019A" w:rsidP="009263E3">
      <w:pPr>
        <w:pStyle w:val="BodyText2"/>
        <w:spacing w:after="0" w:line="360" w:lineRule="auto"/>
        <w:contextualSpacing/>
        <w:jc w:val="left"/>
      </w:pPr>
      <w:proofErr w:type="gramStart"/>
      <w:r>
        <w:t>PPL Electric MB at 135.</w:t>
      </w:r>
      <w:proofErr w:type="gramEnd"/>
    </w:p>
    <w:p w:rsidR="009263E3" w:rsidRDefault="009263E3" w:rsidP="009263E3">
      <w:pPr>
        <w:pStyle w:val="BodyText2"/>
        <w:spacing w:after="0" w:line="360" w:lineRule="auto"/>
        <w:contextualSpacing/>
        <w:jc w:val="left"/>
      </w:pPr>
    </w:p>
    <w:p w:rsidR="00AD5EFF" w:rsidRDefault="009263E3" w:rsidP="009263E3">
      <w:pPr>
        <w:pStyle w:val="BodyText2"/>
        <w:spacing w:after="0" w:line="360" w:lineRule="auto"/>
        <w:contextualSpacing/>
        <w:jc w:val="left"/>
      </w:pPr>
      <w:r>
        <w:tab/>
      </w:r>
      <w:r>
        <w:tab/>
      </w:r>
      <w:r w:rsidR="00AD5EFF">
        <w:t>FES</w:t>
      </w:r>
      <w:r w:rsidR="00E3471E">
        <w:t xml:space="preserve"> contend</w:t>
      </w:r>
      <w:r w:rsidR="00AD5EFF">
        <w:t>s</w:t>
      </w:r>
      <w:r w:rsidR="00E3471E">
        <w:t xml:space="preserve"> that the costs PPL Electric proposes to recover from EGSs for the Standard Offer Program should be recovered from customer</w:t>
      </w:r>
      <w:r w:rsidR="00D9019A">
        <w:t xml:space="preserve">s. </w:t>
      </w:r>
      <w:proofErr w:type="gramStart"/>
      <w:r w:rsidR="00D9019A">
        <w:t xml:space="preserve">FES </w:t>
      </w:r>
      <w:r w:rsidR="00AD5EFF">
        <w:t>MB at 60.</w:t>
      </w:r>
      <w:proofErr w:type="gramEnd"/>
      <w:r w:rsidR="00AD5EFF">
        <w:t xml:space="preserve">  The Company states that s</w:t>
      </w:r>
      <w:r w:rsidR="00E3471E">
        <w:t xml:space="preserve">uch proposal is contrary to the Commission’s </w:t>
      </w:r>
      <w:r w:rsidR="00E3471E">
        <w:rPr>
          <w:i/>
        </w:rPr>
        <w:t>RMI/IWP Final Order</w:t>
      </w:r>
      <w:r w:rsidR="00AD5EFF">
        <w:t xml:space="preserve">.  </w:t>
      </w:r>
    </w:p>
    <w:p w:rsidR="002A425B" w:rsidRDefault="002A425B" w:rsidP="001F1974">
      <w:pPr>
        <w:pStyle w:val="BodyText2"/>
        <w:spacing w:after="0" w:line="360" w:lineRule="auto"/>
        <w:contextualSpacing/>
        <w:jc w:val="left"/>
      </w:pPr>
    </w:p>
    <w:p w:rsidR="002A425B" w:rsidRDefault="00AD5EFF" w:rsidP="001F1974">
      <w:pPr>
        <w:pStyle w:val="BodyText2"/>
        <w:spacing w:after="0" w:line="360" w:lineRule="auto"/>
        <w:contextualSpacing/>
        <w:jc w:val="left"/>
      </w:pPr>
      <w:r>
        <w:tab/>
      </w:r>
      <w:r>
        <w:tab/>
        <w:t xml:space="preserve">The Company proposal to recover costs of consumer education mailings, new and moving customer program scripts, CSR call time and costs to modify the customer information and billing system for the standard offer program in a future base rate case is supported by RESA and the EGSs, but not the other parties.  </w:t>
      </w:r>
      <w:proofErr w:type="gramStart"/>
      <w:r>
        <w:t>RESA MB at 86; Dominion/IGS MB at 21; FES MB at</w:t>
      </w:r>
      <w:r w:rsidR="009B2392">
        <w:t> </w:t>
      </w:r>
      <w:r>
        <w:t>60.</w:t>
      </w:r>
      <w:proofErr w:type="gramEnd"/>
      <w:r>
        <w:t xml:space="preserve">  </w:t>
      </w:r>
    </w:p>
    <w:p w:rsidR="00AD5EFF" w:rsidRDefault="00AD5EFF" w:rsidP="001F1974">
      <w:pPr>
        <w:pStyle w:val="BodyText2"/>
        <w:spacing w:after="0" w:line="360" w:lineRule="auto"/>
        <w:contextualSpacing/>
        <w:jc w:val="left"/>
      </w:pPr>
    </w:p>
    <w:p w:rsidR="00E3471E" w:rsidRDefault="002A425B" w:rsidP="00281FAA">
      <w:pPr>
        <w:pStyle w:val="BodyText2"/>
        <w:spacing w:after="0" w:line="240" w:lineRule="auto"/>
        <w:ind w:left="1440" w:right="1440"/>
        <w:contextualSpacing/>
        <w:jc w:val="left"/>
      </w:pPr>
      <w:r>
        <w:tab/>
      </w:r>
      <w:r w:rsidR="00E3471E">
        <w:t xml:space="preserve">OCA and CAUSE assert that in no instance should costs associated with either the retail Opt </w:t>
      </w:r>
      <w:proofErr w:type="gramStart"/>
      <w:r w:rsidR="00E3471E">
        <w:t>In</w:t>
      </w:r>
      <w:proofErr w:type="gramEnd"/>
      <w:r w:rsidR="00E3471E">
        <w:t xml:space="preserve"> Program or the Standard Offer Referral Program be charged to customers.  </w:t>
      </w:r>
      <w:proofErr w:type="gramStart"/>
      <w:r w:rsidR="00E3471E">
        <w:t>(OCA St. 2, p. 19; CAUSE St. 1, p. 22).</w:t>
      </w:r>
      <w:proofErr w:type="gramEnd"/>
      <w:r w:rsidR="00E3471E">
        <w:t xml:space="preserve">  This includes the capital costs identified above, as well as any proposal to recover unrecovered costs of either Program from Residential customers.  </w:t>
      </w:r>
      <w:proofErr w:type="gramStart"/>
      <w:r w:rsidR="00E3471E">
        <w:t>(OCA St. 2, p. 19).</w:t>
      </w:r>
      <w:proofErr w:type="gramEnd"/>
    </w:p>
    <w:p w:rsidR="009B2392" w:rsidRDefault="009B2392" w:rsidP="001F1974">
      <w:pPr>
        <w:pStyle w:val="BodyText2"/>
        <w:spacing w:after="0" w:line="360" w:lineRule="auto"/>
        <w:contextualSpacing/>
        <w:jc w:val="left"/>
      </w:pPr>
    </w:p>
    <w:p w:rsidR="00E3471E" w:rsidRDefault="00E3471E" w:rsidP="001F1974">
      <w:pPr>
        <w:pStyle w:val="BodyText2"/>
        <w:spacing w:after="0" w:line="240" w:lineRule="auto"/>
        <w:ind w:left="1440" w:right="1440"/>
        <w:contextualSpacing/>
        <w:jc w:val="left"/>
      </w:pPr>
      <w:r>
        <w:lastRenderedPageBreak/>
        <w:t xml:space="preserve">With respect to the customer information and billing system modifications, Company witness Krall explained that the Company cannot separate and account for that portion of the customer information billing system modifications that relate only to implementing a Standard Offer Referral Program from other portions of the modifications that are likely to be useful in managing other aspects of the Company’s relationship with its customers.  </w:t>
      </w:r>
      <w:proofErr w:type="gramStart"/>
      <w:r>
        <w:t>(PPL Electric St. 4-R, pp. 44-45).</w:t>
      </w:r>
      <w:proofErr w:type="gramEnd"/>
      <w:r>
        <w:t xml:space="preserve">  Accordingly, the Company’s proposal represents a fair and practical balancing of interests by seeking recovery from EGSs of those costs that are clearly assignable to them, and obtaining recovery from customers for those costs that have broader application.  </w:t>
      </w:r>
    </w:p>
    <w:p w:rsidR="00AD5EFF" w:rsidRDefault="00B86A41" w:rsidP="009B2392">
      <w:pPr>
        <w:pStyle w:val="BodyText2"/>
        <w:spacing w:after="0" w:line="240" w:lineRule="auto"/>
        <w:jc w:val="left"/>
      </w:pPr>
      <w:proofErr w:type="gramStart"/>
      <w:r>
        <w:t>PPL Electric MB at 136.</w:t>
      </w:r>
      <w:proofErr w:type="gramEnd"/>
    </w:p>
    <w:p w:rsidR="009B2392" w:rsidRDefault="009B2392" w:rsidP="00225E14">
      <w:pPr>
        <w:pStyle w:val="BodyText2"/>
        <w:spacing w:after="0" w:line="360" w:lineRule="auto"/>
        <w:jc w:val="left"/>
      </w:pPr>
    </w:p>
    <w:p w:rsidR="00B86A41" w:rsidRDefault="00B86A41" w:rsidP="00225E14">
      <w:pPr>
        <w:pStyle w:val="BodyText2"/>
        <w:spacing w:after="0" w:line="360" w:lineRule="auto"/>
        <w:jc w:val="left"/>
      </w:pPr>
      <w:r>
        <w:tab/>
      </w:r>
      <w:r>
        <w:tab/>
        <w:t>The Company provides the following assurance:</w:t>
      </w:r>
    </w:p>
    <w:p w:rsidR="009B2392" w:rsidRDefault="009B2392" w:rsidP="00225E14">
      <w:pPr>
        <w:pStyle w:val="BodyText2"/>
        <w:spacing w:after="0" w:line="360" w:lineRule="auto"/>
        <w:jc w:val="left"/>
      </w:pPr>
    </w:p>
    <w:p w:rsidR="00B86A41" w:rsidRDefault="00B86A41" w:rsidP="001F1974">
      <w:pPr>
        <w:pStyle w:val="BodyText2"/>
        <w:spacing w:after="0" w:line="240" w:lineRule="auto"/>
        <w:ind w:left="1440" w:right="1440"/>
        <w:contextualSpacing/>
        <w:jc w:val="left"/>
      </w:pPr>
      <w:r>
        <w:tab/>
      </w:r>
      <w:r w:rsidR="00E3471E">
        <w:t xml:space="preserve">Finally, with respect to OCA’s and CAUSE’s objection to recovery of any unrecovered costs of the two Programs from customers, PPL Electric will undertake all reasonable efforts to recover costs assigned to EGSs from EGSs.  However, the Company cannot be directed to undertake these Programs and bear the risk of non-recovery either because it incurred costs in anticipation of EGS participation that did not occur or because EGSs failed, for whatever reason, to pay their full share of costs.  </w:t>
      </w:r>
      <w:r w:rsidR="00E3471E">
        <w:rPr>
          <w:i/>
        </w:rPr>
        <w:t>See Columbia Gas of Pennsylvania v. Pa. PUC</w:t>
      </w:r>
      <w:r w:rsidR="00E3471E">
        <w:t xml:space="preserve">, 613 A.2d 74 (Pa. Cmwlth. 1992) (holding that a utility could not be directed to undertake a program and then be denied recovery of the costs of such program).  </w:t>
      </w:r>
    </w:p>
    <w:p w:rsidR="00E3471E" w:rsidRDefault="00E3471E" w:rsidP="009B2392">
      <w:pPr>
        <w:pStyle w:val="BodyText2"/>
        <w:spacing w:after="0" w:line="240" w:lineRule="auto"/>
        <w:jc w:val="left"/>
      </w:pPr>
      <w:r>
        <w:t>PPL Electric MB at 13</w:t>
      </w:r>
      <w:r w:rsidR="00B86A41">
        <w:t>6</w:t>
      </w:r>
      <w:r>
        <w:t>-137.</w:t>
      </w:r>
    </w:p>
    <w:p w:rsidR="009B2392" w:rsidRDefault="009B2392" w:rsidP="009B2392">
      <w:pPr>
        <w:pStyle w:val="BodyText2"/>
        <w:spacing w:after="0" w:line="360" w:lineRule="auto"/>
        <w:jc w:val="left"/>
      </w:pPr>
    </w:p>
    <w:p w:rsidR="008E6652" w:rsidRDefault="008E6652" w:rsidP="009B2392">
      <w:pPr>
        <w:jc w:val="left"/>
      </w:pPr>
      <w:r>
        <w:tab/>
      </w:r>
      <w:r>
        <w:tab/>
        <w:t xml:space="preserve">PPLICA agrees with PPL's proposal to recover RME program costs from EGSs and opposes any proposal to recover RME program costs from customers, including PPL's proposal to recover approximately $3 million in capital costs associated with its proposed Standard Offer Referral Program. Should costs be directed to be recovered from customers, PPLICA asks that they be recovered only form those customers who are eligible to benefit from the programs.  PPLICA MB at 18-21.  </w:t>
      </w:r>
    </w:p>
    <w:p w:rsidR="00597920" w:rsidRDefault="00597920" w:rsidP="009B2392">
      <w:pPr>
        <w:jc w:val="left"/>
      </w:pPr>
    </w:p>
    <w:p w:rsidR="00DC1C15" w:rsidRDefault="00DC1C15" w:rsidP="009B2392">
      <w:pPr>
        <w:jc w:val="left"/>
      </w:pPr>
      <w:r>
        <w:tab/>
      </w:r>
      <w:r>
        <w:tab/>
        <w:t>The Commission has been clear that the costs of these programs should be borne by the EGSs, and the recommendation here is that unrecovered costs b</w:t>
      </w:r>
      <w:r w:rsidR="009263E3">
        <w:t>e</w:t>
      </w:r>
      <w:r>
        <w:t xml:space="preserve"> assessed accordingly to the EGSs.  </w:t>
      </w:r>
    </w:p>
    <w:p w:rsidR="00DC1C15" w:rsidRDefault="00DC1C15" w:rsidP="009B2392">
      <w:pPr>
        <w:jc w:val="left"/>
      </w:pPr>
    </w:p>
    <w:p w:rsidR="00225E14" w:rsidRDefault="00225E14" w:rsidP="009B2392">
      <w:pPr>
        <w:jc w:val="left"/>
        <w:rPr>
          <w:b/>
        </w:rPr>
      </w:pPr>
      <w:r>
        <w:rPr>
          <w:b/>
        </w:rPr>
        <w:t>D.</w:t>
      </w:r>
      <w:r>
        <w:rPr>
          <w:b/>
        </w:rPr>
        <w:tab/>
        <w:t>Additional Issues</w:t>
      </w:r>
      <w:r w:rsidR="00FF18D0">
        <w:rPr>
          <w:b/>
        </w:rPr>
        <w:fldChar w:fldCharType="begin"/>
      </w:r>
      <w:r w:rsidR="00FF18D0">
        <w:instrText xml:space="preserve"> TC "</w:instrText>
      </w:r>
      <w:bookmarkStart w:id="113" w:name="_Toc340670053"/>
      <w:r w:rsidR="00FF18D0" w:rsidRPr="009B7B20">
        <w:rPr>
          <w:b/>
        </w:rPr>
        <w:instrText>D.</w:instrText>
      </w:r>
      <w:r w:rsidR="00FF18D0" w:rsidRPr="009B7B20">
        <w:rPr>
          <w:b/>
        </w:rPr>
        <w:tab/>
        <w:instrText>Additional Issues</w:instrText>
      </w:r>
      <w:bookmarkEnd w:id="113"/>
      <w:r w:rsidR="00FF18D0">
        <w:instrText xml:space="preserve">" \f C \l "2" </w:instrText>
      </w:r>
      <w:r w:rsidR="00FF18D0">
        <w:rPr>
          <w:b/>
        </w:rPr>
        <w:fldChar w:fldCharType="end"/>
      </w:r>
    </w:p>
    <w:p w:rsidR="00225E14" w:rsidRDefault="00225E14" w:rsidP="009B2392">
      <w:pPr>
        <w:jc w:val="left"/>
        <w:rPr>
          <w:b/>
        </w:rPr>
      </w:pPr>
    </w:p>
    <w:p w:rsidR="00597920" w:rsidRDefault="00225E14" w:rsidP="00225E14">
      <w:pPr>
        <w:ind w:left="720"/>
        <w:jc w:val="left"/>
        <w:rPr>
          <w:b/>
        </w:rPr>
      </w:pPr>
      <w:r>
        <w:rPr>
          <w:b/>
        </w:rPr>
        <w:t>1.</w:t>
      </w:r>
      <w:r>
        <w:rPr>
          <w:b/>
        </w:rPr>
        <w:tab/>
      </w:r>
      <w:r w:rsidR="00597920">
        <w:rPr>
          <w:b/>
        </w:rPr>
        <w:t>RESA's proposed 5 mils/kWh charge added to default service rates</w:t>
      </w:r>
      <w:r w:rsidR="00FF18D0">
        <w:rPr>
          <w:b/>
        </w:rPr>
        <w:fldChar w:fldCharType="begin"/>
      </w:r>
      <w:r w:rsidR="00FF18D0">
        <w:instrText xml:space="preserve"> TC "</w:instrText>
      </w:r>
      <w:bookmarkStart w:id="114" w:name="_Toc340670054"/>
      <w:r w:rsidR="00FF18D0" w:rsidRPr="009B7B20">
        <w:rPr>
          <w:b/>
        </w:rPr>
        <w:instrText>1.</w:instrText>
      </w:r>
      <w:r w:rsidR="00FF18D0" w:rsidRPr="009B7B20">
        <w:rPr>
          <w:b/>
        </w:rPr>
        <w:tab/>
        <w:instrText>RESA's proposed 5 mils/kWh charge added to default service rates</w:instrText>
      </w:r>
      <w:bookmarkEnd w:id="114"/>
      <w:r w:rsidR="00FF18D0">
        <w:instrText xml:space="preserve">" \f C \l "3" </w:instrText>
      </w:r>
      <w:r w:rsidR="00FF18D0">
        <w:rPr>
          <w:b/>
        </w:rPr>
        <w:fldChar w:fldCharType="end"/>
      </w:r>
    </w:p>
    <w:p w:rsidR="00597920" w:rsidRDefault="00597920" w:rsidP="009B2392">
      <w:pPr>
        <w:jc w:val="left"/>
        <w:rPr>
          <w:b/>
        </w:rPr>
      </w:pPr>
    </w:p>
    <w:p w:rsidR="00597920" w:rsidRDefault="00597920" w:rsidP="009B2392">
      <w:pPr>
        <w:jc w:val="left"/>
      </w:pPr>
      <w:r>
        <w:tab/>
      </w:r>
      <w:r>
        <w:tab/>
        <w:t xml:space="preserve">RESA proposes that the Company impose a 5 mil/kWh charge on default service rates to be used to pay an verifiable costs related to providing default service that have not previously been unbundled, and to pay costs related to implementing and maintaining the competitive market enhancements, with any balance remaining returned to distribution customers.  </w:t>
      </w:r>
    </w:p>
    <w:p w:rsidR="00597920" w:rsidRDefault="00597920" w:rsidP="001F1974">
      <w:pPr>
        <w:jc w:val="left"/>
      </w:pPr>
    </w:p>
    <w:p w:rsidR="00223FA6" w:rsidRDefault="00597920" w:rsidP="001F1974">
      <w:pPr>
        <w:jc w:val="left"/>
      </w:pPr>
      <w:r>
        <w:tab/>
      </w:r>
      <w:r>
        <w:tab/>
        <w:t xml:space="preserve">The Company opposes this proposal for several reasons.  First, there are no unbundles costs.  </w:t>
      </w:r>
      <w:proofErr w:type="gramStart"/>
      <w:r>
        <w:t>PPL Electric Stmt. 1-R at 14; PPL Electric MB at 144.</w:t>
      </w:r>
      <w:proofErr w:type="gramEnd"/>
      <w:r>
        <w:t xml:space="preserve">  In addition, the costs of the competitive market enhancements are to be paid by the EGSs under the </w:t>
      </w:r>
      <w:r w:rsidRPr="009263E3">
        <w:rPr>
          <w:i/>
        </w:rPr>
        <w:t>IWP Order</w:t>
      </w:r>
      <w:r>
        <w:t xml:space="preserve">, thus eliminating any costs to be covered by this charge.  </w:t>
      </w:r>
    </w:p>
    <w:p w:rsidR="00223FA6" w:rsidRDefault="00223FA6" w:rsidP="001F1974">
      <w:pPr>
        <w:jc w:val="left"/>
      </w:pPr>
    </w:p>
    <w:p w:rsidR="00223FA6" w:rsidRDefault="00223FA6" w:rsidP="001F1974">
      <w:pPr>
        <w:jc w:val="left"/>
      </w:pPr>
      <w:r>
        <w:tab/>
      </w:r>
      <w:r>
        <w:tab/>
        <w:t xml:space="preserve">PPLICA opposes this proposal as it would recover excess costs from default service customers, artificially inflate the PTC, inappropriately refund costs recovered from default service customers to all customers, and violate numerous statutes and regulations.  </w:t>
      </w:r>
      <w:proofErr w:type="gramStart"/>
      <w:r>
        <w:t>PPLICA MB at 22.</w:t>
      </w:r>
      <w:proofErr w:type="gramEnd"/>
      <w:r>
        <w:t xml:space="preserve">  PPLICA agrees with OCA that the $49 million projected to be recovered through the adder is arbitrary and not related to any cost for implementing default service or the retail market enhancements.  </w:t>
      </w:r>
      <w:proofErr w:type="gramStart"/>
      <w:r>
        <w:t>OCA Stmt. 2-R at 8; PPLICA MB at 23.</w:t>
      </w:r>
      <w:proofErr w:type="gramEnd"/>
      <w:r>
        <w:t xml:space="preserve">  As PPLICA states:</w:t>
      </w:r>
    </w:p>
    <w:p w:rsidR="00223FA6" w:rsidRDefault="00223FA6" w:rsidP="001F1974">
      <w:pPr>
        <w:jc w:val="left"/>
      </w:pPr>
    </w:p>
    <w:p w:rsidR="00223FA6" w:rsidRDefault="00223FA6" w:rsidP="00C545C2">
      <w:pPr>
        <w:spacing w:line="240" w:lineRule="auto"/>
        <w:ind w:left="1440" w:right="1440"/>
        <w:jc w:val="left"/>
      </w:pPr>
      <w:r>
        <w:tab/>
      </w:r>
      <w:r w:rsidR="00C545C2">
        <w:t>RESA's proposed a</w:t>
      </w:r>
      <w:r>
        <w:t>dder is directly contrary to the Public Ut</w:t>
      </w:r>
      <w:r w:rsidR="00B45BC3">
        <w:t>i</w:t>
      </w:r>
      <w:r>
        <w:t xml:space="preserve">lity Code.  It is unjust, unreasonable, and completely detached from cost causation principles.  There is no implicit approval of such a device hidden in the Commission's Regulations.  The Adder inappropriately encourages competition through market distortion at the expense of all customers.  As appropriately done in the </w:t>
      </w:r>
      <w:r w:rsidRPr="00C545C2">
        <w:rPr>
          <w:i/>
        </w:rPr>
        <w:t>FirstEnergy Order</w:t>
      </w:r>
      <w:r>
        <w:t xml:space="preserve">, RESA's proposed </w:t>
      </w:r>
      <w:r w:rsidR="00C545C2">
        <w:t>a</w:t>
      </w:r>
      <w:r>
        <w:t>dder must be rejected by the Commission in this proceeding.</w:t>
      </w:r>
    </w:p>
    <w:p w:rsidR="00223FA6" w:rsidRDefault="00223FA6" w:rsidP="001F1974">
      <w:pPr>
        <w:jc w:val="left"/>
      </w:pPr>
      <w:proofErr w:type="gramStart"/>
      <w:r>
        <w:t>PPLICA MB at 24.</w:t>
      </w:r>
      <w:proofErr w:type="gramEnd"/>
    </w:p>
    <w:p w:rsidR="00223FA6" w:rsidRDefault="00223FA6" w:rsidP="001F1974">
      <w:pPr>
        <w:jc w:val="left"/>
      </w:pPr>
    </w:p>
    <w:p w:rsidR="00DC1C15" w:rsidRDefault="00DC1C15" w:rsidP="001F1974">
      <w:pPr>
        <w:jc w:val="left"/>
      </w:pPr>
      <w:r>
        <w:lastRenderedPageBreak/>
        <w:tab/>
      </w:r>
      <w:r>
        <w:tab/>
        <w:t xml:space="preserve">CAUSE-PA lends its support to the arguments set forth by OCA and OSBA that this proposal is arbitrary, unreasonable and impermissible under applicable sections of the Public Utility Code.  </w:t>
      </w:r>
      <w:proofErr w:type="gramStart"/>
      <w:r>
        <w:t>CAUSE-PA MB at 25.</w:t>
      </w:r>
      <w:proofErr w:type="gramEnd"/>
      <w:r>
        <w:t xml:space="preserve">  OCA argues:</w:t>
      </w:r>
    </w:p>
    <w:p w:rsidR="00DC1C15" w:rsidRDefault="00DC1C15" w:rsidP="001F1974">
      <w:pPr>
        <w:jc w:val="left"/>
      </w:pPr>
    </w:p>
    <w:p w:rsidR="00DC1C15" w:rsidRDefault="00DC1C15" w:rsidP="001F1974">
      <w:pPr>
        <w:spacing w:line="240" w:lineRule="auto"/>
        <w:ind w:left="1440" w:right="1440"/>
        <w:contextualSpacing/>
        <w:jc w:val="left"/>
      </w:pPr>
      <w:r>
        <w:t xml:space="preserve">The OCA submits that such profits [estimated to be $48 million annually] are not justified by any costs or risks.  Further, as Mr. Hahn explained, including an arbitrary adder in the cost of default service will result in higher default service rates, and the Company's DSP would no longer be consistent with a least-cost standard.  </w:t>
      </w:r>
      <w:proofErr w:type="gramStart"/>
      <w:r>
        <w:t>OCA St. No. 1-R at 8.</w:t>
      </w:r>
      <w:proofErr w:type="gramEnd"/>
      <w:r>
        <w:t xml:space="preserve">  Furthermore, RESA's ;proposal, if adopted, would increase the Price to Compare, which would, in turn, allow EGSs offering a percentage discount off the PTC to achieve the minimum savings level at a higher price.  </w:t>
      </w:r>
      <w:r>
        <w:rPr>
          <w:u w:val="single"/>
        </w:rPr>
        <w:t>Id.</w:t>
      </w:r>
      <w:r>
        <w:t xml:space="preserve">  This would likely increase the costs to customers, including those who participate in the Retail Opt-In Auction or Customer Referral Programs.  As a result, the real effect of the RESA proposal would be to increase the power supply costs for both default service customers and customers who take advantage of the retail market. </w:t>
      </w:r>
    </w:p>
    <w:p w:rsidR="00DC1C15" w:rsidRPr="00DC1C15" w:rsidRDefault="00DC1C15" w:rsidP="001F1974">
      <w:pPr>
        <w:jc w:val="left"/>
      </w:pPr>
      <w:r>
        <w:t xml:space="preserve">OCA MB at 69-70. </w:t>
      </w:r>
    </w:p>
    <w:p w:rsidR="00DC1C15" w:rsidRDefault="00DC1C15" w:rsidP="001F1974">
      <w:pPr>
        <w:jc w:val="left"/>
      </w:pPr>
    </w:p>
    <w:p w:rsidR="00597920" w:rsidRDefault="00DC1C15" w:rsidP="001F1974">
      <w:pPr>
        <w:jc w:val="left"/>
      </w:pPr>
      <w:r>
        <w:tab/>
      </w:r>
      <w:r>
        <w:tab/>
        <w:t xml:space="preserve">This program would increase the cost of default service where there is no need to do so, and then </w:t>
      </w:r>
      <w:r w:rsidR="00597920">
        <w:t xml:space="preserve">return those charges to all distribution customers.  This proposal simply defies logic and is unequivocally denied.  </w:t>
      </w:r>
    </w:p>
    <w:p w:rsidR="00597920" w:rsidRDefault="00597920" w:rsidP="001F1974">
      <w:pPr>
        <w:jc w:val="left"/>
      </w:pPr>
    </w:p>
    <w:p w:rsidR="00597920" w:rsidRDefault="00225E14" w:rsidP="00225E14">
      <w:pPr>
        <w:ind w:left="720"/>
        <w:jc w:val="left"/>
        <w:rPr>
          <w:b/>
        </w:rPr>
      </w:pPr>
      <w:r>
        <w:rPr>
          <w:b/>
        </w:rPr>
        <w:t>2.</w:t>
      </w:r>
      <w:r>
        <w:rPr>
          <w:b/>
        </w:rPr>
        <w:tab/>
      </w:r>
      <w:r w:rsidR="00597920">
        <w:rPr>
          <w:b/>
        </w:rPr>
        <w:t>Requested Ruling Pursuant to 66 Pa. C.S. § 2102</w:t>
      </w:r>
      <w:r w:rsidR="00FF18D0">
        <w:rPr>
          <w:b/>
        </w:rPr>
        <w:fldChar w:fldCharType="begin"/>
      </w:r>
      <w:r w:rsidR="00FF18D0">
        <w:instrText xml:space="preserve"> TC "</w:instrText>
      </w:r>
      <w:bookmarkStart w:id="115" w:name="_Toc340670055"/>
      <w:r w:rsidR="00FF18D0" w:rsidRPr="009B7B20">
        <w:rPr>
          <w:b/>
        </w:rPr>
        <w:instrText>2.</w:instrText>
      </w:r>
      <w:r w:rsidR="00FF18D0" w:rsidRPr="009B7B20">
        <w:rPr>
          <w:b/>
        </w:rPr>
        <w:tab/>
        <w:instrText>Requested Ruling Pursuant to 66 Pa. C.S. § 2102</w:instrText>
      </w:r>
      <w:bookmarkEnd w:id="115"/>
      <w:r w:rsidR="00FF18D0">
        <w:instrText xml:space="preserve">" \f C \l "3" </w:instrText>
      </w:r>
      <w:r w:rsidR="00FF18D0">
        <w:rPr>
          <w:b/>
        </w:rPr>
        <w:fldChar w:fldCharType="end"/>
      </w:r>
    </w:p>
    <w:p w:rsidR="002A425B" w:rsidRDefault="002A425B" w:rsidP="001F1974">
      <w:pPr>
        <w:pStyle w:val="BodyText2"/>
        <w:spacing w:after="0" w:line="240" w:lineRule="auto"/>
        <w:ind w:left="1440" w:right="1440"/>
        <w:contextualSpacing/>
        <w:jc w:val="left"/>
      </w:pPr>
    </w:p>
    <w:p w:rsidR="00E3471E" w:rsidRDefault="002A425B" w:rsidP="001F1974">
      <w:pPr>
        <w:pStyle w:val="BodyText2"/>
        <w:spacing w:after="0" w:line="240" w:lineRule="auto"/>
        <w:ind w:left="1440" w:right="1440"/>
        <w:contextualSpacing/>
        <w:jc w:val="left"/>
      </w:pPr>
      <w:r>
        <w:tab/>
      </w:r>
      <w:r w:rsidR="00E3471E">
        <w:t>In its Petition, the Company requested that the Commission approve the SMA as an affiliated interest agreement under 66 Pa. C.S. § 2102 and include such approval in its final order.</w:t>
      </w:r>
      <w:r w:rsidR="00E3471E">
        <w:rPr>
          <w:rStyle w:val="FootnoteReference"/>
        </w:rPr>
        <w:footnoteReference w:id="49"/>
      </w:r>
      <w:r w:rsidR="00E3471E">
        <w:t xml:space="preserve">  Under 52 Pa. Code § 54.186(b</w:t>
      </w:r>
      <w:proofErr w:type="gramStart"/>
      <w:r w:rsidR="00E3471E">
        <w:t>)(</w:t>
      </w:r>
      <w:proofErr w:type="gramEnd"/>
      <w:r w:rsidR="00E3471E">
        <w:t xml:space="preserve">5), an affiliated supplier may participate in a Default Service provider’s competitive bid solicitations for generation service.  Therefore, PPL Electric’s unregulated affiliates will be permitted to participate in the Company’s Default Service supply solicitations.  If one of those affiliates is the successful bidder for one or more tranches of Default Service supply, PPL Electric would enter into a SMA with that affiliate.  It would not be practical or efficient, in light of the procurement schedule, for the Commission to review the SMA under 66 Pa. C.S. § 2102 at that time.  Moreover, rejection or significant </w:t>
      </w:r>
      <w:r w:rsidR="00E3471E">
        <w:lastRenderedPageBreak/>
        <w:t>modification of the agreement after a solicitation has concluded, and winning suppliers have been selected, could significantly disrupt the Company’s Default Service procurement process.  The CBP and DSP I Program Default Service SMAs were approved by the Commission under 66 Pa. C.S. § 2102(b) in advance of execution of contracts with PPL Electric’s affiliate, and, therefore the Commission should approve the DSP II Program SMA as an affiliated interest agreement.  No party has objected to this requested ruling.</w:t>
      </w:r>
    </w:p>
    <w:p w:rsidR="00E3471E" w:rsidRDefault="00E3471E" w:rsidP="00FC37EC">
      <w:pPr>
        <w:spacing w:line="240" w:lineRule="auto"/>
        <w:jc w:val="left"/>
      </w:pPr>
      <w:proofErr w:type="gramStart"/>
      <w:r>
        <w:t>PPL Electric MB at 145.</w:t>
      </w:r>
      <w:proofErr w:type="gramEnd"/>
    </w:p>
    <w:p w:rsidR="00597920" w:rsidRDefault="00597920" w:rsidP="00FC37EC">
      <w:pPr>
        <w:jc w:val="left"/>
      </w:pPr>
    </w:p>
    <w:p w:rsidR="00225E14" w:rsidRDefault="002A425B" w:rsidP="00FC37EC">
      <w:pPr>
        <w:jc w:val="left"/>
      </w:pPr>
      <w:r>
        <w:tab/>
      </w:r>
      <w:r>
        <w:tab/>
        <w:t>This is recommended for approval as unopposed.</w:t>
      </w:r>
    </w:p>
    <w:p w:rsidR="00FC37EC" w:rsidRPr="00FC37EC" w:rsidRDefault="00FC37EC" w:rsidP="00FC37EC">
      <w:pPr>
        <w:jc w:val="left"/>
      </w:pPr>
    </w:p>
    <w:p w:rsidR="00597920" w:rsidRDefault="00225E14" w:rsidP="00FC37EC">
      <w:pPr>
        <w:ind w:left="720"/>
        <w:jc w:val="left"/>
        <w:rPr>
          <w:b/>
        </w:rPr>
      </w:pPr>
      <w:r>
        <w:rPr>
          <w:b/>
        </w:rPr>
        <w:t>3.</w:t>
      </w:r>
      <w:r>
        <w:rPr>
          <w:b/>
        </w:rPr>
        <w:tab/>
      </w:r>
      <w:r w:rsidR="00597920">
        <w:rPr>
          <w:b/>
        </w:rPr>
        <w:t>Requested Waivers</w:t>
      </w:r>
      <w:r w:rsidR="00FF18D0">
        <w:rPr>
          <w:b/>
        </w:rPr>
        <w:fldChar w:fldCharType="begin"/>
      </w:r>
      <w:r w:rsidR="00FF18D0">
        <w:instrText xml:space="preserve"> TC "</w:instrText>
      </w:r>
      <w:bookmarkStart w:id="116" w:name="_Toc340670056"/>
      <w:r w:rsidR="00FF18D0" w:rsidRPr="009B7B20">
        <w:rPr>
          <w:b/>
        </w:rPr>
        <w:instrText>3.</w:instrText>
      </w:r>
      <w:r w:rsidR="00FF18D0" w:rsidRPr="009B7B20">
        <w:rPr>
          <w:b/>
        </w:rPr>
        <w:tab/>
        <w:instrText>Requested Waivers</w:instrText>
      </w:r>
      <w:bookmarkEnd w:id="116"/>
      <w:r w:rsidR="00FF18D0">
        <w:instrText xml:space="preserve">" \f C \l "3" </w:instrText>
      </w:r>
      <w:r w:rsidR="00FF18D0">
        <w:rPr>
          <w:b/>
        </w:rPr>
        <w:fldChar w:fldCharType="end"/>
      </w:r>
    </w:p>
    <w:p w:rsidR="00E3471E" w:rsidRPr="00FC37EC" w:rsidRDefault="00E3471E" w:rsidP="00FC37EC">
      <w:pPr>
        <w:jc w:val="left"/>
      </w:pPr>
    </w:p>
    <w:p w:rsidR="00E3471E" w:rsidRDefault="002A425B" w:rsidP="001F1974">
      <w:pPr>
        <w:pStyle w:val="BodyText2"/>
        <w:spacing w:after="0" w:line="240" w:lineRule="auto"/>
        <w:ind w:left="1440" w:right="1440"/>
        <w:contextualSpacing/>
        <w:jc w:val="left"/>
      </w:pPr>
      <w:r>
        <w:tab/>
      </w:r>
      <w:r w:rsidR="00E3471E">
        <w:t>In its Petition, pursuant to 52 Pa. Code § 54.185(f), PPL Electric requested a waiver of a limited number of the Commission’s regulations.</w:t>
      </w:r>
      <w:r w:rsidR="00E3471E">
        <w:rPr>
          <w:rStyle w:val="FootnoteReference"/>
        </w:rPr>
        <w:footnoteReference w:id="50"/>
      </w:r>
      <w:r w:rsidR="00E3471E">
        <w:t xml:space="preserve">  Specifically, regarding the customer class divisions, the Commission’s regulations and policy statement provide that </w:t>
      </w:r>
      <w:r w:rsidR="00E3471E">
        <w:rPr>
          <w:rFonts w:cs="Arial"/>
        </w:rPr>
        <w:t>Default Service provider</w:t>
      </w:r>
      <w:r w:rsidR="00E3471E">
        <w:t>s should divide customers into three groups based upon peak loads from 0-25 kW, 25-500 kW or above 500 kW.</w:t>
      </w:r>
      <w:r w:rsidR="00E3471E">
        <w:rPr>
          <w:rStyle w:val="FootnoteReference"/>
        </w:rPr>
        <w:footnoteReference w:id="51"/>
      </w:r>
      <w:r w:rsidR="00E3471E">
        <w:t xml:space="preserve">  However, the regulations and policy statement also provide that </w:t>
      </w:r>
      <w:r w:rsidR="00E3471E">
        <w:rPr>
          <w:rFonts w:cs="Arial"/>
        </w:rPr>
        <w:t>Default Service provider</w:t>
      </w:r>
      <w:r w:rsidR="00E3471E">
        <w:t>s may propose alternative divisions of customers by maximum registered peak load to preserve existing customer classes.</w:t>
      </w:r>
      <w:r w:rsidR="00E3471E">
        <w:rPr>
          <w:rStyle w:val="FootnoteReference"/>
        </w:rPr>
        <w:footnoteReference w:id="52"/>
      </w:r>
      <w:r w:rsidR="00E3471E">
        <w:t xml:space="preserve">  The rate schedule designations in PPL Electric’s tariff are primarily based upon the nature of the service (</w:t>
      </w:r>
      <w:r w:rsidR="00E3471E">
        <w:rPr>
          <w:i/>
        </w:rPr>
        <w:t>e.g.,</w:t>
      </w:r>
      <w:r w:rsidR="00E3471E">
        <w:t xml:space="preserve"> residential or commercial) and the voltage at which that service is provided.  The Company’s tariffs, with limited exceptions, are not based on registered peak demand.</w:t>
      </w:r>
      <w:r w:rsidR="00E3471E">
        <w:rPr>
          <w:rStyle w:val="FootnoteReference"/>
        </w:rPr>
        <w:footnoteReference w:id="53"/>
      </w:r>
      <w:r w:rsidR="00E3471E">
        <w:t xml:space="preserve">  Thus, a requirement to divide all customers by maximum registered peak demand for Default Service purposes would create several problems for the Company and potentially its customers.  First, such an approach would create a situation where two customers served under the same rate schedule would be classified differently for purposes of purchasing Default Service </w:t>
      </w:r>
      <w:r w:rsidR="00E3471E">
        <w:lastRenderedPageBreak/>
        <w:t>supply.</w:t>
      </w:r>
      <w:r w:rsidR="00E3471E">
        <w:rPr>
          <w:rStyle w:val="FootnoteReference"/>
        </w:rPr>
        <w:footnoteReference w:id="54"/>
      </w:r>
      <w:r w:rsidR="00E3471E">
        <w:t xml:space="preserve">  Second, as a customer’s peak load changes, that customer may have to be re-assigned to a different customer class for Default Service purposes.  Both circumstances could create customer confusion and dissatisfaction, particularly because a customer assigned to the Large C&amp;I Customer Class could only purchase Default Service supply on an hourly basis.  For that reason, PPL Electric proposes to use its current rate schedule designations as a basis for identifying customer classes in the DSP II Program.  The Company currently is using that approach in the DSP I Program, and it is working well.  Accordingly, PPL Electric requested a waiver of this provision of the Commission’s regulations.  Notably, no party in this proceeding challenged this request. </w:t>
      </w:r>
    </w:p>
    <w:p w:rsidR="00597920" w:rsidRDefault="00597920" w:rsidP="00FC37EC">
      <w:pPr>
        <w:spacing w:line="240" w:lineRule="auto"/>
        <w:jc w:val="left"/>
      </w:pPr>
      <w:r>
        <w:t>PPL</w:t>
      </w:r>
      <w:r w:rsidR="00E3471E">
        <w:t xml:space="preserve"> Electric </w:t>
      </w:r>
      <w:r>
        <w:t>MB at 145</w:t>
      </w:r>
      <w:r w:rsidR="00E3471E">
        <w:t>-147.</w:t>
      </w:r>
    </w:p>
    <w:p w:rsidR="00FC37EC" w:rsidRDefault="00FC37EC" w:rsidP="00FC37EC">
      <w:pPr>
        <w:jc w:val="left"/>
      </w:pPr>
    </w:p>
    <w:p w:rsidR="00003F2B" w:rsidRDefault="00003F2B" w:rsidP="00FC37EC">
      <w:pPr>
        <w:jc w:val="left"/>
      </w:pPr>
      <w:r>
        <w:tab/>
      </w:r>
      <w:r>
        <w:tab/>
      </w:r>
      <w:bookmarkStart w:id="117" w:name="54.185."/>
      <w:r>
        <w:t>As the Company has not filed a joint plan with another default service provider</w:t>
      </w:r>
      <w:r w:rsidR="004C0091">
        <w:t xml:space="preserve"> referred to in the cited subsection</w:t>
      </w:r>
      <w:r>
        <w:t>, it is likely that it meant the next section: </w:t>
      </w:r>
    </w:p>
    <w:p w:rsidR="00FC37EC" w:rsidRDefault="00FC37EC" w:rsidP="00FC37EC">
      <w:pPr>
        <w:jc w:val="left"/>
      </w:pPr>
    </w:p>
    <w:p w:rsidR="00003F2B" w:rsidRDefault="003202E5" w:rsidP="00FC37EC">
      <w:pPr>
        <w:pStyle w:val="NormalWeb"/>
        <w:spacing w:before="0" w:beforeAutospacing="0" w:after="0" w:afterAutospacing="0"/>
        <w:ind w:left="1440" w:right="1440"/>
        <w:contextualSpacing/>
      </w:pPr>
      <w:r>
        <w:t>(g)</w:t>
      </w:r>
      <w:r>
        <w:tab/>
      </w:r>
      <w:r w:rsidR="00003F2B">
        <w:t>DSPs shall include requests for waivers from the provisions of this subchapter in their default service program filings. For DSPs with less than 50,000 retail customers, the Commission will grant waivers to the extent necessary to reduce the regulatory, financial or technical burden on the DSP or to the extent otherwise in the public interest.</w:t>
      </w:r>
    </w:p>
    <w:bookmarkEnd w:id="117"/>
    <w:p w:rsidR="00003F2B" w:rsidRDefault="00003F2B" w:rsidP="00FC37EC">
      <w:pPr>
        <w:spacing w:line="240" w:lineRule="auto"/>
        <w:jc w:val="left"/>
      </w:pPr>
      <w:proofErr w:type="gramStart"/>
      <w:r>
        <w:t>52 Pa. Code § 185(g).</w:t>
      </w:r>
      <w:proofErr w:type="gramEnd"/>
      <w:r>
        <w:t xml:space="preserve">  </w:t>
      </w:r>
    </w:p>
    <w:p w:rsidR="003A3E9E" w:rsidRDefault="003A3E9E" w:rsidP="00FC37EC">
      <w:pPr>
        <w:jc w:val="left"/>
      </w:pPr>
    </w:p>
    <w:p w:rsidR="00261BB7" w:rsidRDefault="003A3E9E" w:rsidP="00FC37EC">
      <w:pPr>
        <w:jc w:val="left"/>
      </w:pPr>
      <w:r>
        <w:tab/>
      </w:r>
      <w:r>
        <w:tab/>
        <w:t xml:space="preserve">The Company </w:t>
      </w:r>
      <w:r w:rsidR="004C0091">
        <w:t>apparently seeks waivers of the following regulations:</w:t>
      </w:r>
    </w:p>
    <w:p w:rsidR="00FC37EC" w:rsidRDefault="00FC37EC" w:rsidP="00FC37EC">
      <w:pPr>
        <w:jc w:val="left"/>
      </w:pPr>
    </w:p>
    <w:p w:rsidR="004C0091" w:rsidRDefault="004C0091" w:rsidP="00FC37EC">
      <w:pPr>
        <w:pStyle w:val="Heading4"/>
        <w:numPr>
          <w:ilvl w:val="0"/>
          <w:numId w:val="0"/>
        </w:numPr>
        <w:spacing w:after="0" w:line="240" w:lineRule="auto"/>
        <w:ind w:left="1440" w:right="1440"/>
      </w:pPr>
      <w:bookmarkStart w:id="118" w:name="54.187."/>
      <w:r w:rsidRPr="004C0091">
        <w:rPr>
          <w:sz w:val="27"/>
          <w:szCs w:val="27"/>
        </w:rPr>
        <w:t>§ 54.187. </w:t>
      </w:r>
      <w:r>
        <w:t>Default service rate design and the recovery of reasonable costs.</w:t>
      </w:r>
    </w:p>
    <w:p w:rsidR="004C0091" w:rsidRDefault="004C0091" w:rsidP="00FC37EC">
      <w:pPr>
        <w:pStyle w:val="NormalWeb"/>
        <w:spacing w:before="0" w:beforeAutospacing="0" w:after="0" w:afterAutospacing="0"/>
        <w:jc w:val="center"/>
      </w:pPr>
      <w:r>
        <w:t>* * *</w:t>
      </w:r>
    </w:p>
    <w:p w:rsidR="00FC37EC" w:rsidRDefault="00FC37EC" w:rsidP="00FC37EC">
      <w:pPr>
        <w:pStyle w:val="NormalWeb"/>
        <w:spacing w:before="0" w:beforeAutospacing="0" w:after="0" w:afterAutospacing="0"/>
        <w:jc w:val="center"/>
      </w:pPr>
    </w:p>
    <w:p w:rsidR="004C0091" w:rsidRDefault="00FC37EC" w:rsidP="00FC37EC">
      <w:pPr>
        <w:pStyle w:val="NormalWeb"/>
        <w:spacing w:before="0" w:beforeAutospacing="0" w:after="0" w:afterAutospacing="0"/>
        <w:ind w:left="1440" w:right="1440"/>
        <w:contextualSpacing/>
      </w:pPr>
      <w:r>
        <w:t>(i)</w:t>
      </w:r>
      <w:r>
        <w:tab/>
      </w:r>
      <w:r w:rsidR="004C0091">
        <w:t xml:space="preserve">Default service rates may not be adjusted more frequently than on a quarterly basis for all customer classes with a maximum registered peak load up to 25 kW, to ensure the recovery of costs reasonably incurred in acquiring electricity at the least cost to customers over time. DSPs may propose alternative divisions of customers by maximum registered peak load to preserve existing customer classes. </w:t>
      </w:r>
    </w:p>
    <w:p w:rsidR="004C0091" w:rsidRDefault="00FC37EC" w:rsidP="006C2DF5">
      <w:pPr>
        <w:pStyle w:val="NormalWeb"/>
        <w:ind w:left="1440" w:right="1440"/>
        <w:contextualSpacing/>
      </w:pPr>
      <w:r>
        <w:lastRenderedPageBreak/>
        <w:t>(j)</w:t>
      </w:r>
      <w:r>
        <w:tab/>
      </w:r>
      <w:r w:rsidR="004C0091">
        <w:t xml:space="preserve">Default service rates shall be adjusted on a quarterly basis, or more frequently, for all customer classes with a maximum registered peak load of 25 kW to 500 kW, to ensure the recovery of costs reasonably incurred in acquiring electricity at the least cost to customers over time. DSPs may propose alternative divisions of customers by maximum registered peak load to preserve existing customer classes. </w:t>
      </w:r>
    </w:p>
    <w:p w:rsidR="00FC37EC" w:rsidRDefault="00FC37EC" w:rsidP="006C2DF5">
      <w:pPr>
        <w:pStyle w:val="NormalWeb"/>
        <w:ind w:left="1440" w:right="1440"/>
        <w:contextualSpacing/>
      </w:pPr>
    </w:p>
    <w:p w:rsidR="004C0091" w:rsidRDefault="00FC37EC" w:rsidP="006C2DF5">
      <w:pPr>
        <w:pStyle w:val="NormalWeb"/>
        <w:ind w:left="1440" w:right="1440"/>
        <w:contextualSpacing/>
      </w:pPr>
      <w:r>
        <w:t>(k)</w:t>
      </w:r>
      <w:r>
        <w:tab/>
      </w:r>
      <w:r w:rsidR="004C0091">
        <w:t xml:space="preserve">Default service rates shall be adjusted on a monthly basis, or more frequently, for all customer classes with a registered peak load of equal to or greater than 500 kW to ensure the recovery of costs reasonably incurred in acquiring electricity at the least cost to customers over time. DSPs may propose alternative divisions of customers by registered peak load to preserve existing customer classes. </w:t>
      </w:r>
    </w:p>
    <w:p w:rsidR="006C2DF5" w:rsidRDefault="006C2DF5" w:rsidP="006C2DF5">
      <w:pPr>
        <w:pStyle w:val="NormalWeb"/>
        <w:ind w:left="1440" w:right="1440"/>
        <w:contextualSpacing/>
        <w:jc w:val="center"/>
      </w:pPr>
      <w:r>
        <w:t>* * *</w:t>
      </w:r>
    </w:p>
    <w:bookmarkEnd w:id="118"/>
    <w:p w:rsidR="004C0091" w:rsidRDefault="006C2DF5" w:rsidP="009B2392">
      <w:pPr>
        <w:jc w:val="left"/>
      </w:pPr>
      <w:proofErr w:type="gramStart"/>
      <w:r>
        <w:t>52 Pa. Code § 54.187(i), (j) and (k).</w:t>
      </w:r>
      <w:proofErr w:type="gramEnd"/>
    </w:p>
    <w:p w:rsidR="006C2DF5" w:rsidRDefault="006C2DF5" w:rsidP="009B2392">
      <w:pPr>
        <w:jc w:val="left"/>
      </w:pPr>
    </w:p>
    <w:p w:rsidR="006C2DF5" w:rsidRDefault="006C2DF5" w:rsidP="009B2392">
      <w:pPr>
        <w:jc w:val="left"/>
      </w:pPr>
      <w:r>
        <w:tab/>
      </w:r>
      <w:r>
        <w:tab/>
        <w:t>As it makes sense for the Company to acquire default load according to its rate classifications, the waiver of these three subsections is recommended for approval.  I note that the Company includes a policy statement as well.  The policy statement should be considered to have been superseded by the regulations, but insofar as is necessary, the waiver of it should be considered to be granted.</w:t>
      </w:r>
    </w:p>
    <w:p w:rsidR="004C0091" w:rsidRDefault="004C0091" w:rsidP="009B2392">
      <w:pPr>
        <w:jc w:val="left"/>
      </w:pPr>
    </w:p>
    <w:p w:rsidR="00261BB7" w:rsidRPr="00261BB7" w:rsidRDefault="00225E14" w:rsidP="009B2392">
      <w:pPr>
        <w:rPr>
          <w:u w:val="single"/>
        </w:rPr>
      </w:pPr>
      <w:r>
        <w:t>IV.</w:t>
      </w:r>
      <w:r>
        <w:tab/>
      </w:r>
      <w:r w:rsidR="00261BB7">
        <w:rPr>
          <w:u w:val="single"/>
        </w:rPr>
        <w:t>CONCLUSIONS OF LAW</w:t>
      </w:r>
      <w:r w:rsidR="00FF18D0">
        <w:rPr>
          <w:u w:val="single"/>
        </w:rPr>
        <w:fldChar w:fldCharType="begin"/>
      </w:r>
      <w:r w:rsidR="00FF18D0">
        <w:instrText xml:space="preserve"> TC "</w:instrText>
      </w:r>
      <w:bookmarkStart w:id="119" w:name="_Toc340670057"/>
      <w:r w:rsidR="00FF18D0" w:rsidRPr="009B7B20">
        <w:instrText>IV.</w:instrText>
      </w:r>
      <w:r w:rsidR="00FF18D0" w:rsidRPr="009B7B20">
        <w:tab/>
      </w:r>
      <w:r w:rsidR="00FF18D0" w:rsidRPr="009B7B20">
        <w:rPr>
          <w:u w:val="single"/>
        </w:rPr>
        <w:instrText>CONCLUSIONS OF LAW</w:instrText>
      </w:r>
      <w:bookmarkEnd w:id="119"/>
      <w:r w:rsidR="00FF18D0">
        <w:instrText xml:space="preserve">" \f C \l "1" </w:instrText>
      </w:r>
      <w:r w:rsidR="00FF18D0">
        <w:rPr>
          <w:u w:val="single"/>
        </w:rPr>
        <w:fldChar w:fldCharType="end"/>
      </w:r>
    </w:p>
    <w:p w:rsidR="00261BB7" w:rsidRDefault="00261BB7" w:rsidP="009B2392">
      <w:pPr>
        <w:jc w:val="left"/>
      </w:pPr>
    </w:p>
    <w:p w:rsidR="00370BBD" w:rsidRDefault="00370BBD" w:rsidP="00361303">
      <w:pPr>
        <w:pStyle w:val="ListNumber"/>
        <w:numPr>
          <w:ilvl w:val="0"/>
          <w:numId w:val="0"/>
        </w:numPr>
        <w:tabs>
          <w:tab w:val="clear" w:pos="1170"/>
        </w:tabs>
        <w:spacing w:line="360" w:lineRule="auto"/>
        <w:ind w:firstLine="1440"/>
        <w:jc w:val="left"/>
      </w:pPr>
      <w:r>
        <w:t>1.</w:t>
      </w:r>
      <w:r>
        <w:tab/>
        <w:t xml:space="preserve">The Commission has jurisdiction over the subject matter and the parties to this proceeding.  66 Pa. C.S. §§ 501, </w:t>
      </w:r>
      <w:r>
        <w:rPr>
          <w:i/>
        </w:rPr>
        <w:t>et seq</w:t>
      </w:r>
      <w:r>
        <w:t>.</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2.</w:t>
      </w:r>
      <w:r>
        <w:tab/>
        <w:t>PPL Electric, as the Petitioner, has the burden of proof with respect to its proposals in this proceeding.  66 Pa. C.S. § 332(a).</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3.</w:t>
      </w:r>
      <w:r>
        <w:tab/>
        <w:t xml:space="preserve">The burden of proof means a duty to establish a fact by a preponderance of the evidence.  </w:t>
      </w:r>
      <w:r>
        <w:rPr>
          <w:i/>
        </w:rPr>
        <w:t>Se-Ling Hosiery v. Margulies</w:t>
      </w:r>
      <w:r>
        <w:t xml:space="preserve">, 364 Pa. 45, 70 A.2d 854 (1950); </w:t>
      </w:r>
      <w:r>
        <w:rPr>
          <w:i/>
        </w:rPr>
        <w:t>Morrissey v. Commonwealth of Pennsylvania</w:t>
      </w:r>
      <w:r>
        <w:t xml:space="preserve">, 424 Pa. 87, 225 A.2d 895 (1986); </w:t>
      </w:r>
      <w:r>
        <w:rPr>
          <w:i/>
        </w:rPr>
        <w:t>Burleson v. Pa. P.U.C</w:t>
      </w:r>
      <w:r>
        <w:t xml:space="preserve">., 501 </w:t>
      </w:r>
      <w:r>
        <w:lastRenderedPageBreak/>
        <w:t xml:space="preserve">Pa. 433, 436, 641 A.2d 1234, 1236 (1983); </w:t>
      </w:r>
      <w:r>
        <w:rPr>
          <w:i/>
        </w:rPr>
        <w:t>V.J.R. Bar Corp. v. P.L.C.B.</w:t>
      </w:r>
      <w:r>
        <w:t xml:space="preserve">, 480 Pa. 322, 390 A.2d 163 (1978); </w:t>
      </w:r>
      <w:r>
        <w:rPr>
          <w:i/>
        </w:rPr>
        <w:t>Milkie v. Pa. P.U.C</w:t>
      </w:r>
      <w:r>
        <w:t>., 768 A.2d 1217, 1220 (Pa. Cmwlth. 2001)</w:t>
      </w:r>
      <w:proofErr w:type="gramStart"/>
      <w:r>
        <w:t>..</w:t>
      </w:r>
      <w:proofErr w:type="gramEnd"/>
      <w:r>
        <w:t xml:space="preserve">  </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4.</w:t>
      </w:r>
      <w:r>
        <w:tab/>
        <w:t xml:space="preserve">A party that makes a proposal that is not included in a public utility’s case bears the burden of proof as to its proposal.  </w:t>
      </w:r>
      <w:r>
        <w:rPr>
          <w:i/>
        </w:rPr>
        <w:t>See, e.g., Pa.P.U.C. v. Philadelphia Gas Works</w:t>
      </w:r>
      <w:r>
        <w:t xml:space="preserve">, Docket No. R-00061931, 2007 Pa. P.U.C. LEXIS 45 at *165-68 (Sept. 28, 2007); </w:t>
      </w:r>
      <w:r>
        <w:rPr>
          <w:i/>
        </w:rPr>
        <w:t>Pa. P.U.C. v. Metropolitan Edison Company</w:t>
      </w:r>
      <w:r>
        <w:t xml:space="preserve">, Docket No. R-00061366, 2007 Pa. P.U.C. LEXIS 5 at *111-12 (Jan. 11, 2007).  </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5.</w:t>
      </w:r>
      <w:r>
        <w:tab/>
        <w:t>As a Default Service Provider (“DSP”), PPL Electric’s default service obligations are set forth in Act 129 of 2008, Oct. 15, P.L. 1592, No. 129 (“Act 129”), codified in Chapter 28 of the Public Utility Code, 66 Pa.C.S. Ch. 28.  Sections 2807(e)(3.1), (3.2), (3.4) and 2807(f) of the Public Utility Code provide among other things, that:</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Bullet"/>
        <w:tabs>
          <w:tab w:val="clear" w:pos="360"/>
        </w:tabs>
        <w:spacing w:line="240" w:lineRule="auto"/>
        <w:ind w:left="2160" w:right="1440" w:hanging="720"/>
        <w:contextualSpacing w:val="0"/>
        <w:jc w:val="left"/>
      </w:pPr>
      <w:r>
        <w:t>The Default Service provider shall provide electric generation supply service to customers pursuant to a Commission-approved competitive procurement plan.</w:t>
      </w:r>
    </w:p>
    <w:p w:rsidR="00361303" w:rsidRDefault="00361303" w:rsidP="00361303">
      <w:pPr>
        <w:pStyle w:val="ListBullet"/>
        <w:numPr>
          <w:ilvl w:val="0"/>
          <w:numId w:val="0"/>
        </w:numPr>
        <w:spacing w:line="240" w:lineRule="auto"/>
        <w:ind w:left="360" w:right="1440" w:hanging="360"/>
        <w:contextualSpacing w:val="0"/>
        <w:jc w:val="left"/>
      </w:pPr>
    </w:p>
    <w:p w:rsidR="00370BBD" w:rsidRDefault="00370BBD" w:rsidP="00361303">
      <w:pPr>
        <w:pStyle w:val="ListBullet"/>
        <w:tabs>
          <w:tab w:val="clear" w:pos="360"/>
        </w:tabs>
        <w:spacing w:line="240" w:lineRule="auto"/>
        <w:ind w:left="2160" w:right="1440" w:hanging="720"/>
        <w:contextualSpacing w:val="0"/>
        <w:jc w:val="left"/>
      </w:pPr>
      <w:r>
        <w:t>The electric power acquired shall be procured through competitive procurement processes and shall include one or more of the following: (i) auctions; (ii) requests for proposal; and (iii) bilateral agreements.</w:t>
      </w:r>
      <w:r w:rsidR="00FF18D0">
        <w:t xml:space="preserve">  </w:t>
      </w:r>
    </w:p>
    <w:p w:rsidR="00361303" w:rsidRDefault="00361303" w:rsidP="00361303">
      <w:pPr>
        <w:pStyle w:val="ListBullet"/>
        <w:numPr>
          <w:ilvl w:val="0"/>
          <w:numId w:val="0"/>
        </w:numPr>
        <w:spacing w:line="240" w:lineRule="auto"/>
        <w:ind w:right="1440"/>
        <w:contextualSpacing w:val="0"/>
        <w:jc w:val="left"/>
      </w:pPr>
    </w:p>
    <w:p w:rsidR="00361303" w:rsidRDefault="00370BBD" w:rsidP="00361303">
      <w:pPr>
        <w:pStyle w:val="ListBullet"/>
        <w:tabs>
          <w:tab w:val="clear" w:pos="360"/>
        </w:tabs>
        <w:spacing w:line="240" w:lineRule="auto"/>
        <w:ind w:left="2160" w:right="1440" w:hanging="720"/>
        <w:contextualSpacing w:val="0"/>
        <w:jc w:val="left"/>
      </w:pPr>
      <w:r>
        <w:t xml:space="preserve">The electric power procured shall include a prudent mix of the following: (i) spot market purchases; (ii) short-term contracts; and (iii) long-term purchase contracts, entered into as a result of an auction, request for proposal or bilateral contract.  </w:t>
      </w:r>
    </w:p>
    <w:p w:rsidR="00361303" w:rsidRDefault="00361303" w:rsidP="00361303">
      <w:pPr>
        <w:pStyle w:val="ListBullet"/>
        <w:numPr>
          <w:ilvl w:val="0"/>
          <w:numId w:val="0"/>
        </w:numPr>
        <w:spacing w:line="240" w:lineRule="auto"/>
        <w:ind w:right="1440"/>
        <w:contextualSpacing w:val="0"/>
        <w:jc w:val="left"/>
      </w:pPr>
    </w:p>
    <w:p w:rsidR="00370BBD" w:rsidRDefault="00370BBD" w:rsidP="00361303">
      <w:pPr>
        <w:pStyle w:val="ListBullet"/>
        <w:tabs>
          <w:tab w:val="clear" w:pos="360"/>
        </w:tabs>
        <w:spacing w:line="240" w:lineRule="auto"/>
        <w:ind w:left="2160" w:right="1440" w:hanging="720"/>
        <w:contextualSpacing w:val="0"/>
        <w:jc w:val="left"/>
      </w:pPr>
      <w:r>
        <w:t>The prudent mix of contracts shall be designed to ensure: (i) adequate and reliable service; (ii) the least cost to customers over time; and (iii) compliance with the requirements of Section 2807(e</w:t>
      </w:r>
      <w:proofErr w:type="gramStart"/>
      <w:r>
        <w:t>)(</w:t>
      </w:r>
      <w:proofErr w:type="gramEnd"/>
      <w:r>
        <w:t>3.1).</w:t>
      </w:r>
    </w:p>
    <w:p w:rsidR="00361303" w:rsidRDefault="00361303" w:rsidP="00361303">
      <w:pPr>
        <w:pStyle w:val="ListBullet"/>
        <w:numPr>
          <w:ilvl w:val="0"/>
          <w:numId w:val="0"/>
        </w:numPr>
        <w:spacing w:line="240" w:lineRule="auto"/>
        <w:ind w:right="1440"/>
        <w:contextualSpacing w:val="0"/>
        <w:jc w:val="left"/>
      </w:pPr>
    </w:p>
    <w:p w:rsidR="00370BBD" w:rsidRDefault="00370BBD" w:rsidP="00361303">
      <w:pPr>
        <w:pStyle w:val="ListBullet"/>
        <w:tabs>
          <w:tab w:val="clear" w:pos="360"/>
        </w:tabs>
        <w:spacing w:line="240" w:lineRule="auto"/>
        <w:ind w:left="2160" w:right="1440" w:hanging="720"/>
        <w:contextualSpacing w:val="0"/>
        <w:jc w:val="left"/>
      </w:pPr>
      <w:r>
        <w:t xml:space="preserve">The Default Service </w:t>
      </w:r>
      <w:proofErr w:type="spellStart"/>
      <w:r>
        <w:t>service</w:t>
      </w:r>
      <w:proofErr w:type="spellEnd"/>
      <w:r>
        <w:t xml:space="preserve"> provider shall offer a time-of-use rate plan to all customers that have been provided smart meter technology.</w:t>
      </w:r>
    </w:p>
    <w:p w:rsidR="00361303" w:rsidRDefault="00361303" w:rsidP="00361303">
      <w:pPr>
        <w:pStyle w:val="ListBullet"/>
        <w:numPr>
          <w:ilvl w:val="0"/>
          <w:numId w:val="0"/>
        </w:numPr>
        <w:spacing w:line="240" w:lineRule="auto"/>
        <w:ind w:right="1440"/>
        <w:contextualSpacing w:val="0"/>
        <w:jc w:val="left"/>
      </w:pPr>
    </w:p>
    <w:p w:rsidR="00370BBD" w:rsidRDefault="00370BBD" w:rsidP="00361303">
      <w:pPr>
        <w:pStyle w:val="ListNumber"/>
        <w:numPr>
          <w:ilvl w:val="0"/>
          <w:numId w:val="0"/>
        </w:numPr>
        <w:tabs>
          <w:tab w:val="clear" w:pos="1170"/>
        </w:tabs>
        <w:spacing w:line="360" w:lineRule="auto"/>
        <w:ind w:firstLine="1440"/>
        <w:jc w:val="left"/>
      </w:pPr>
      <w:r>
        <w:lastRenderedPageBreak/>
        <w:t>6.</w:t>
      </w:r>
      <w:r>
        <w:tab/>
        <w:t xml:space="preserve">The “least cost over time” standard should not have, as its singular focus, the achievement of the absolute lowest cost over the default service plan timeframe, but rather a cost for power that is both relatively stable and also economical relative to other options.  The “least cost over time” standard should not be viewed as synonymous with maximizing market time and benefits at the expense of price stability and economy.  </w:t>
      </w:r>
      <w:r>
        <w:rPr>
          <w:i/>
        </w:rPr>
        <w:t>Final Rulemaking Order, Implementation of Act 129 of 2008</w:t>
      </w:r>
      <w:r>
        <w:t>, Docket No. L-2009-2095604, 2011 Pa. PUC LEXIS 114 (Oct. 4, 2011) (“</w:t>
      </w:r>
      <w:r>
        <w:rPr>
          <w:i/>
        </w:rPr>
        <w:t>Default Service Final Rulemaking Order</w:t>
      </w:r>
      <w:r>
        <w:t>”).</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7.</w:t>
      </w:r>
      <w:r>
        <w:tab/>
        <w:t>PPL Electric’s DSP II Program, SMA, and RFP Process and Rules (“RFP Rules”) meet all of the requirements of Act 129.</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8.</w:t>
      </w:r>
      <w:r>
        <w:tab/>
        <w:t xml:space="preserve">PPL Electric’s DSP II Program as approved will procure all default supplies through competitive procurement processes.  </w:t>
      </w:r>
    </w:p>
    <w:p w:rsidR="00361303" w:rsidRDefault="00361303" w:rsidP="00361303">
      <w:pPr>
        <w:pStyle w:val="ListNumber"/>
        <w:numPr>
          <w:ilvl w:val="0"/>
          <w:numId w:val="0"/>
        </w:numPr>
        <w:tabs>
          <w:tab w:val="clear" w:pos="1170"/>
        </w:tabs>
        <w:spacing w:line="360" w:lineRule="auto"/>
        <w:ind w:firstLine="1440"/>
        <w:jc w:val="left"/>
      </w:pPr>
    </w:p>
    <w:p w:rsidR="00370BBD" w:rsidRDefault="00370BBD" w:rsidP="00361303">
      <w:pPr>
        <w:pStyle w:val="ListNumber"/>
        <w:numPr>
          <w:ilvl w:val="0"/>
          <w:numId w:val="0"/>
        </w:numPr>
        <w:tabs>
          <w:tab w:val="clear" w:pos="1170"/>
        </w:tabs>
        <w:spacing w:line="360" w:lineRule="auto"/>
        <w:ind w:firstLine="1440"/>
        <w:jc w:val="left"/>
      </w:pPr>
      <w:r>
        <w:t>9.</w:t>
      </w:r>
      <w:r>
        <w:tab/>
        <w:t>PPL Electric has proposed a prudent mix of contracts for customers that will provide least cost to customers over time, while taking into account the benefits of price stability for customers.</w:t>
      </w:r>
    </w:p>
    <w:p w:rsidR="00361303" w:rsidRDefault="00361303" w:rsidP="00361303">
      <w:pPr>
        <w:pStyle w:val="ListNumber"/>
        <w:numPr>
          <w:ilvl w:val="0"/>
          <w:numId w:val="0"/>
        </w:numPr>
        <w:tabs>
          <w:tab w:val="clear" w:pos="1170"/>
        </w:tabs>
        <w:spacing w:line="360" w:lineRule="auto"/>
        <w:ind w:firstLine="1440"/>
        <w:jc w:val="both"/>
      </w:pPr>
    </w:p>
    <w:p w:rsidR="00370BBD" w:rsidRDefault="00370BBD" w:rsidP="00361303">
      <w:pPr>
        <w:pStyle w:val="ListNumber"/>
        <w:numPr>
          <w:ilvl w:val="0"/>
          <w:numId w:val="0"/>
        </w:numPr>
        <w:tabs>
          <w:tab w:val="clear" w:pos="1170"/>
        </w:tabs>
        <w:spacing w:line="360" w:lineRule="auto"/>
        <w:ind w:firstLine="1440"/>
        <w:jc w:val="left"/>
      </w:pPr>
      <w:r>
        <w:t>10.</w:t>
      </w:r>
      <w:r>
        <w:tab/>
        <w:t xml:space="preserve">Pursuant to 52 Pa. Code §§ 54.185(d)(1)-(6), a Default Service program must include, among other things, the following elements: </w:t>
      </w:r>
    </w:p>
    <w:p w:rsidR="00361303" w:rsidRDefault="00361303" w:rsidP="00361303">
      <w:pPr>
        <w:pStyle w:val="ListNumber"/>
        <w:numPr>
          <w:ilvl w:val="0"/>
          <w:numId w:val="0"/>
        </w:numPr>
        <w:tabs>
          <w:tab w:val="clear" w:pos="1170"/>
        </w:tabs>
        <w:spacing w:line="360" w:lineRule="auto"/>
        <w:ind w:firstLine="1440"/>
        <w:jc w:val="both"/>
      </w:pPr>
    </w:p>
    <w:p w:rsidR="00370BBD" w:rsidRDefault="00361303" w:rsidP="00FF18D0">
      <w:pPr>
        <w:pStyle w:val="ListBullet"/>
        <w:numPr>
          <w:ilvl w:val="0"/>
          <w:numId w:val="0"/>
        </w:numPr>
        <w:spacing w:line="240" w:lineRule="auto"/>
        <w:ind w:left="2880" w:right="1440" w:hanging="720"/>
        <w:contextualSpacing w:val="0"/>
        <w:jc w:val="left"/>
      </w:pPr>
      <w:r>
        <w:t>(1)</w:t>
      </w:r>
      <w:r>
        <w:tab/>
      </w:r>
      <w:r w:rsidR="00370BBD">
        <w:t xml:space="preserve">A procurement plan identifying the default service provider’s electric generation supply acquisition strategy for the period of service.  The procurement plan should identify the means of satisfying the minimum portfolio requirements of the Alternative Energy Portfolio Standards Act (73 P.S. §§ 1648.1 – 1648.8) for the period of service. </w:t>
      </w:r>
    </w:p>
    <w:p w:rsidR="00361303" w:rsidRDefault="00361303" w:rsidP="00FF18D0">
      <w:pPr>
        <w:pStyle w:val="ListBullet"/>
        <w:numPr>
          <w:ilvl w:val="0"/>
          <w:numId w:val="0"/>
        </w:numPr>
        <w:spacing w:line="240" w:lineRule="auto"/>
        <w:ind w:left="2880" w:right="1440" w:hanging="720"/>
        <w:contextualSpacing w:val="0"/>
        <w:jc w:val="left"/>
      </w:pPr>
    </w:p>
    <w:p w:rsidR="00370BBD" w:rsidRDefault="00361303" w:rsidP="00FF18D0">
      <w:pPr>
        <w:pStyle w:val="ListBullet"/>
        <w:numPr>
          <w:ilvl w:val="0"/>
          <w:numId w:val="0"/>
        </w:numPr>
        <w:spacing w:line="240" w:lineRule="auto"/>
        <w:ind w:left="2880" w:right="1440" w:hanging="720"/>
        <w:contextualSpacing w:val="0"/>
        <w:jc w:val="left"/>
      </w:pPr>
      <w:r>
        <w:t>(2)</w:t>
      </w:r>
      <w:r>
        <w:tab/>
      </w:r>
      <w:r w:rsidR="00370BBD">
        <w:t xml:space="preserve">An implementation plan identifying the schedules and technical requirements of competitive bid solicitations and spot market energy purchases, consistent with § 54.186 (relating to default service procurement and implementation plans). </w:t>
      </w:r>
    </w:p>
    <w:p w:rsidR="00361303" w:rsidRDefault="00361303" w:rsidP="00FF18D0">
      <w:pPr>
        <w:pStyle w:val="ListBullet"/>
        <w:numPr>
          <w:ilvl w:val="0"/>
          <w:numId w:val="0"/>
        </w:numPr>
        <w:spacing w:line="240" w:lineRule="auto"/>
        <w:ind w:left="2880" w:right="1440" w:hanging="720"/>
        <w:contextualSpacing w:val="0"/>
        <w:jc w:val="left"/>
      </w:pPr>
    </w:p>
    <w:p w:rsidR="00370BBD" w:rsidRDefault="00361303" w:rsidP="00FF18D0">
      <w:pPr>
        <w:pStyle w:val="ListBullet"/>
        <w:numPr>
          <w:ilvl w:val="0"/>
          <w:numId w:val="0"/>
        </w:numPr>
        <w:spacing w:line="240" w:lineRule="auto"/>
        <w:ind w:left="2880" w:right="1440" w:hanging="720"/>
        <w:contextualSpacing w:val="0"/>
        <w:jc w:val="left"/>
      </w:pPr>
      <w:r>
        <w:lastRenderedPageBreak/>
        <w:t>(3)</w:t>
      </w:r>
      <w:r>
        <w:tab/>
      </w:r>
      <w:r w:rsidR="00370BBD">
        <w:t xml:space="preserve">A rate design plan recovering all reasonable costs of default service, including a schedule of rates, rules and conditions of default service in the form of proposed revisions to its tariff. </w:t>
      </w:r>
    </w:p>
    <w:p w:rsidR="00361303" w:rsidRDefault="00361303" w:rsidP="00FF18D0">
      <w:pPr>
        <w:pStyle w:val="ListBullet"/>
        <w:numPr>
          <w:ilvl w:val="0"/>
          <w:numId w:val="0"/>
        </w:numPr>
        <w:spacing w:line="240" w:lineRule="auto"/>
        <w:ind w:left="2880" w:right="1440" w:hanging="720"/>
        <w:contextualSpacing w:val="0"/>
        <w:jc w:val="left"/>
      </w:pPr>
    </w:p>
    <w:p w:rsidR="00370BBD" w:rsidRDefault="00361303" w:rsidP="00FF18D0">
      <w:pPr>
        <w:pStyle w:val="ListBullet"/>
        <w:numPr>
          <w:ilvl w:val="0"/>
          <w:numId w:val="0"/>
        </w:numPr>
        <w:spacing w:line="240" w:lineRule="auto"/>
        <w:ind w:left="2880" w:right="1440" w:hanging="720"/>
        <w:contextualSpacing w:val="0"/>
        <w:jc w:val="left"/>
      </w:pPr>
      <w:r>
        <w:t>(4)</w:t>
      </w:r>
      <w:r>
        <w:tab/>
      </w:r>
      <w:r w:rsidR="00370BBD">
        <w:t xml:space="preserve">Documentation that the program is consistent with the legal and technical requirements pertaining to the generation, sale and transmission of electricity of the RTO or other entity in whose control area the default service provider is providing service.  The default service procurement plan’s period of service must align with the planning period of that RTO or other entity. </w:t>
      </w:r>
    </w:p>
    <w:p w:rsidR="00361303" w:rsidRDefault="00361303" w:rsidP="00FF18D0">
      <w:pPr>
        <w:pStyle w:val="ListBullet"/>
        <w:numPr>
          <w:ilvl w:val="0"/>
          <w:numId w:val="0"/>
        </w:numPr>
        <w:spacing w:line="240" w:lineRule="auto"/>
        <w:ind w:left="2880" w:right="1440" w:hanging="720"/>
        <w:contextualSpacing w:val="0"/>
        <w:jc w:val="left"/>
      </w:pPr>
    </w:p>
    <w:p w:rsidR="00370BBD" w:rsidRDefault="00361303" w:rsidP="00FF18D0">
      <w:pPr>
        <w:pStyle w:val="ListBullet"/>
        <w:numPr>
          <w:ilvl w:val="0"/>
          <w:numId w:val="0"/>
        </w:numPr>
        <w:spacing w:line="240" w:lineRule="auto"/>
        <w:ind w:left="2880" w:right="1440" w:hanging="720"/>
        <w:contextualSpacing w:val="0"/>
        <w:jc w:val="left"/>
      </w:pPr>
      <w:r>
        <w:t>(5)</w:t>
      </w:r>
      <w:r>
        <w:tab/>
      </w:r>
      <w:r w:rsidR="00370BBD">
        <w:t xml:space="preserve">Contingency plans to ensure the reliable provision of default service when a wholesale generation supplier fails to meet its contractual obligations. </w:t>
      </w:r>
    </w:p>
    <w:p w:rsidR="00361303" w:rsidRDefault="00361303" w:rsidP="00FF18D0">
      <w:pPr>
        <w:pStyle w:val="ListBullet"/>
        <w:numPr>
          <w:ilvl w:val="0"/>
          <w:numId w:val="0"/>
        </w:numPr>
        <w:spacing w:line="240" w:lineRule="auto"/>
        <w:ind w:left="2880" w:right="1440" w:hanging="720"/>
        <w:contextualSpacing w:val="0"/>
        <w:jc w:val="left"/>
      </w:pPr>
    </w:p>
    <w:p w:rsidR="00370BBD" w:rsidRDefault="00361303" w:rsidP="00FF18D0">
      <w:pPr>
        <w:pStyle w:val="ListBullet"/>
        <w:numPr>
          <w:ilvl w:val="0"/>
          <w:numId w:val="0"/>
        </w:numPr>
        <w:spacing w:line="240" w:lineRule="auto"/>
        <w:ind w:left="2880" w:right="1440" w:hanging="720"/>
        <w:contextualSpacing w:val="0"/>
        <w:jc w:val="left"/>
      </w:pPr>
      <w:r>
        <w:t>(6)</w:t>
      </w:r>
      <w:r>
        <w:tab/>
      </w:r>
      <w:r w:rsidR="00370BBD">
        <w:t>Copies of agreements or forms to be used in the procurement of electric generation supply for default service customers.  This includes all documents used as part of the implementation plan, including supply master agreements, request for proposals documents, credit documents and confidentiality agreements.  When applicable, the default service provider shall use standardized forms and agreements that have been approved by the Commission.</w:t>
      </w:r>
    </w:p>
    <w:p w:rsidR="00361303" w:rsidRDefault="00361303" w:rsidP="00FF18D0">
      <w:pPr>
        <w:pStyle w:val="ListBullet"/>
        <w:numPr>
          <w:ilvl w:val="0"/>
          <w:numId w:val="0"/>
        </w:numPr>
        <w:ind w:left="2880" w:right="1440" w:hanging="720"/>
        <w:contextualSpacing w:val="0"/>
        <w:jc w:val="left"/>
      </w:pPr>
    </w:p>
    <w:p w:rsidR="00370BBD" w:rsidRDefault="00370BBD" w:rsidP="00361303">
      <w:pPr>
        <w:pStyle w:val="ListNumber"/>
        <w:numPr>
          <w:ilvl w:val="0"/>
          <w:numId w:val="0"/>
        </w:numPr>
        <w:tabs>
          <w:tab w:val="num" w:pos="1440"/>
        </w:tabs>
        <w:spacing w:line="360" w:lineRule="auto"/>
        <w:ind w:firstLine="1440"/>
        <w:jc w:val="left"/>
      </w:pPr>
      <w:r>
        <w:t>11.</w:t>
      </w:r>
      <w:r>
        <w:tab/>
        <w:t xml:space="preserve">PPL Electric’s DSP II Program, SMA, and RFP Process and Rules (“RFP Rules”) meet all of the requirements of the Commission’s default service regulations.  </w:t>
      </w:r>
    </w:p>
    <w:p w:rsidR="00361303" w:rsidRDefault="00361303" w:rsidP="00361303">
      <w:pPr>
        <w:pStyle w:val="ListNumber"/>
        <w:numPr>
          <w:ilvl w:val="0"/>
          <w:numId w:val="0"/>
        </w:numPr>
        <w:tabs>
          <w:tab w:val="num" w:pos="1440"/>
        </w:tabs>
        <w:spacing w:line="360" w:lineRule="auto"/>
        <w:ind w:firstLine="1440"/>
        <w:jc w:val="left"/>
      </w:pPr>
    </w:p>
    <w:p w:rsidR="00370BBD" w:rsidRDefault="00370BBD" w:rsidP="00361303">
      <w:pPr>
        <w:pStyle w:val="ListNumber"/>
        <w:numPr>
          <w:ilvl w:val="0"/>
          <w:numId w:val="0"/>
        </w:numPr>
        <w:spacing w:line="360" w:lineRule="auto"/>
        <w:ind w:firstLine="1440"/>
        <w:jc w:val="left"/>
      </w:pPr>
      <w:r>
        <w:t>12.</w:t>
      </w:r>
      <w:r>
        <w:tab/>
        <w:t xml:space="preserve">PPL Electric’s DSP II Program fully meets the requirement of 52 Pa. Code § 54.185(d)(4) that Default Service plans include documentation that the program is consistent with the requirements regarding the generation, sale and transmission of electricity of the RTO in the control area where the Default Service provider is providing service.  </w:t>
      </w:r>
    </w:p>
    <w:p w:rsidR="00361303" w:rsidRDefault="00361303" w:rsidP="00361303">
      <w:pPr>
        <w:pStyle w:val="ListNumber"/>
        <w:numPr>
          <w:ilvl w:val="0"/>
          <w:numId w:val="0"/>
        </w:numPr>
        <w:spacing w:line="360" w:lineRule="auto"/>
        <w:ind w:firstLine="1440"/>
        <w:jc w:val="left"/>
      </w:pPr>
    </w:p>
    <w:p w:rsidR="00370BBD" w:rsidRDefault="00370BBD" w:rsidP="00361303">
      <w:pPr>
        <w:pStyle w:val="ListNumber"/>
        <w:numPr>
          <w:ilvl w:val="0"/>
          <w:numId w:val="0"/>
        </w:numPr>
        <w:spacing w:line="360" w:lineRule="auto"/>
        <w:ind w:firstLine="1440"/>
        <w:jc w:val="left"/>
      </w:pPr>
      <w:r>
        <w:t>13.</w:t>
      </w:r>
      <w:r>
        <w:tab/>
        <w:t xml:space="preserve">The DSP II Program meets the requirements of 52 Pa. Code § 54.185(d)(5) that Default Service plans include contingency plans to ensure the reliable </w:t>
      </w:r>
      <w:r>
        <w:lastRenderedPageBreak/>
        <w:t xml:space="preserve">provision of Default Service if a wholesale generation supplier fails to meet its contractual obligations.  </w:t>
      </w:r>
    </w:p>
    <w:p w:rsidR="00361303" w:rsidRDefault="00361303" w:rsidP="00361303">
      <w:pPr>
        <w:pStyle w:val="ListNumber"/>
        <w:numPr>
          <w:ilvl w:val="0"/>
          <w:numId w:val="0"/>
        </w:numPr>
        <w:spacing w:line="360" w:lineRule="auto"/>
        <w:ind w:firstLine="1440"/>
        <w:jc w:val="left"/>
      </w:pPr>
    </w:p>
    <w:p w:rsidR="00370BBD" w:rsidRDefault="00370BBD" w:rsidP="00361303">
      <w:pPr>
        <w:pStyle w:val="ListNumber"/>
        <w:numPr>
          <w:ilvl w:val="0"/>
          <w:numId w:val="0"/>
        </w:numPr>
        <w:spacing w:line="360" w:lineRule="auto"/>
        <w:ind w:firstLine="1440"/>
        <w:jc w:val="left"/>
      </w:pPr>
      <w:r>
        <w:t>14.</w:t>
      </w:r>
      <w:r>
        <w:tab/>
        <w:t xml:space="preserve">PPL Electric’s DSP II Program filing complies with the Commission’s final orders in its Retail Markets Investigation.  </w:t>
      </w:r>
      <w:r>
        <w:rPr>
          <w:i/>
        </w:rPr>
        <w:t>See Investigation of Pennsylvania's Retail Electricity Market: Intermediate Work Plan</w:t>
      </w:r>
      <w:r>
        <w:t>, Docket No. I-2011-2237952, 2011 Pa. PUC LEXIS 617 (Dec. 16, 2011) (“</w:t>
      </w:r>
      <w:r>
        <w:rPr>
          <w:i/>
        </w:rPr>
        <w:t>December 16 RMI Order</w:t>
      </w:r>
      <w:r>
        <w:t xml:space="preserve">”) and the Commission’s </w:t>
      </w:r>
      <w:r>
        <w:rPr>
          <w:i/>
        </w:rPr>
        <w:t>Investigation of Pennsylvania’s Retail Electricity Market: Intermediate Work Plan</w:t>
      </w:r>
      <w:r>
        <w:t>, Docket No. I-2011-2237952, 2012 Pa. PUC LEXIS 324 (March 2, 2012) (“</w:t>
      </w:r>
      <w:r>
        <w:rPr>
          <w:i/>
        </w:rPr>
        <w:t>RMI-IWP Final Order</w:t>
      </w:r>
      <w:r>
        <w:t xml:space="preserve">”).  </w:t>
      </w:r>
    </w:p>
    <w:p w:rsidR="00361303" w:rsidRDefault="00361303" w:rsidP="00361303">
      <w:pPr>
        <w:pStyle w:val="ListNumber"/>
        <w:numPr>
          <w:ilvl w:val="0"/>
          <w:numId w:val="0"/>
        </w:numPr>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15.</w:t>
      </w:r>
      <w:r>
        <w:tab/>
      </w:r>
      <w:r w:rsidR="00370BBD">
        <w:t xml:space="preserve">The Alternative Energy Portfolio Standards Act (“AEPS Act”) requires that EDCs and EGSs obtain AECs in an amount equal to certain percentages of electric energy sold to retail customers in this Commonwealth.  </w:t>
      </w:r>
      <w:r w:rsidR="00370BBD">
        <w:rPr>
          <w:i/>
        </w:rPr>
        <w:t>See</w:t>
      </w:r>
      <w:r w:rsidR="00370BBD">
        <w:t xml:space="preserve"> 52 Pa. § Code 54.182.  </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16.</w:t>
      </w:r>
      <w:r>
        <w:tab/>
      </w:r>
      <w:r w:rsidR="00370BBD">
        <w:t xml:space="preserve">PPL Electric’s proposal to procure certain alternative energy credits as </w:t>
      </w:r>
      <w:r w:rsidR="009263E3">
        <w:t xml:space="preserve">a </w:t>
      </w:r>
      <w:r w:rsidR="00370BBD">
        <w:t>component of its fixed-price and spot-market Default Service supply contracts satisfies the Company’s obligation under the AEPS Act.</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17.</w:t>
      </w:r>
      <w:r>
        <w:tab/>
      </w:r>
      <w:r w:rsidR="00370BBD">
        <w:t xml:space="preserve">The alternative compliance payment under the AEPS Act is a penalty for non-compliance.  </w:t>
      </w:r>
      <w:r w:rsidR="00370BBD">
        <w:rPr>
          <w:i/>
        </w:rPr>
        <w:t>Implementation of the Alternative Energy Portfolio Standards Act of 2004</w:t>
      </w:r>
      <w:r w:rsidR="00370BBD">
        <w:t>, at Docket No. M-00051865, 2005 Pa. PUC LEXIS 45 (July 18, 2005) (“</w:t>
      </w:r>
      <w:r w:rsidR="00370BBD">
        <w:rPr>
          <w:i/>
        </w:rPr>
        <w:t>Implementation Order II</w:t>
      </w:r>
      <w:r w:rsidR="00370BBD">
        <w:t>”); 73 P.S. §1648.3(f</w:t>
      </w:r>
      <w:proofErr w:type="gramStart"/>
      <w:r w:rsidR="00370BBD">
        <w:t>)(</w:t>
      </w:r>
      <w:proofErr w:type="gramEnd"/>
      <w:r w:rsidR="00370BBD">
        <w:t xml:space="preserve">2).  </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18.</w:t>
      </w:r>
      <w:r>
        <w:tab/>
      </w:r>
      <w:r w:rsidR="00370BBD">
        <w:t xml:space="preserve">PPL Electric, as the EDC for its customers in its certified service territory, is the default service provider and must remain the default supplier unless and until it is replaced by a new entity after Commission approval.  </w:t>
      </w:r>
      <w:proofErr w:type="gramStart"/>
      <w:r w:rsidR="00370BBD">
        <w:t>66 Pa.C.S.</w:t>
      </w:r>
      <w:proofErr w:type="gramEnd"/>
      <w:r w:rsidR="00370BBD">
        <w:t xml:space="preserve"> § 2803.  No alternate supplier has been approved by the Commission to provide default service to retail electric customers in PPL Electric’s certified service territory.  </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19.</w:t>
      </w:r>
      <w:r>
        <w:tab/>
      </w:r>
      <w:r w:rsidR="00361303">
        <w:t>P</w:t>
      </w:r>
      <w:r w:rsidR="00370BBD">
        <w:t xml:space="preserve">ursuant to 66 Pa. C.S. § 2807(f)(5), as the default service provider, PPL Electric is required by </w:t>
      </w:r>
      <w:r w:rsidR="00C545C2">
        <w:t xml:space="preserve">Act 129 to offer a time of use </w:t>
      </w:r>
      <w:r w:rsidR="00370BBD">
        <w:t>rate option to its default service customers.</w:t>
      </w:r>
    </w:p>
    <w:p w:rsidR="00C545C2" w:rsidRDefault="00C545C2"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20.</w:t>
      </w:r>
      <w:r>
        <w:tab/>
        <w:t>A</w:t>
      </w:r>
      <w:r w:rsidR="00370BBD">
        <w:t xml:space="preserve"> TOU program is a form of default service.  </w:t>
      </w:r>
      <w:r w:rsidR="00370BBD">
        <w:rPr>
          <w:i/>
        </w:rPr>
        <w:t>Pa. P.U.C. v. PPL Electric Utilities Corporation</w:t>
      </w:r>
      <w:r w:rsidR="00370BBD">
        <w:t>, Docket No. R-2011-2264771 at 23</w:t>
      </w:r>
      <w:r w:rsidR="00370BBD">
        <w:rPr>
          <w:i/>
        </w:rPr>
        <w:t>,</w:t>
      </w:r>
      <w:r w:rsidR="00370BBD">
        <w:t xml:space="preserve"> 2012 Pa. P.U.C. LEXIS 1383 (August 30, 2012).</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21.</w:t>
      </w:r>
      <w:r>
        <w:tab/>
      </w:r>
      <w:r w:rsidR="00370BBD">
        <w:t xml:space="preserve">Increasing default service charges to provide decreases to distribution charges would be contrary to ratemaking principles that charges be aligned with the cost to serve.  </w:t>
      </w:r>
      <w:r w:rsidR="00370BBD">
        <w:rPr>
          <w:i/>
        </w:rPr>
        <w:t>Lloyd v. Pa. PUC</w:t>
      </w:r>
      <w:r w:rsidR="00370BBD">
        <w:t xml:space="preserve">, 904 A.2d 1010 (Pa. Cmwlth. 2006), </w:t>
      </w:r>
      <w:r w:rsidR="00370BBD">
        <w:rPr>
          <w:i/>
        </w:rPr>
        <w:t>appeal denied</w:t>
      </w:r>
      <w:r w:rsidR="00370BBD">
        <w:t>, 591 Pa. 676, 916 A.2d 1104 (2007).</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22.</w:t>
      </w:r>
      <w:r>
        <w:tab/>
        <w:t>U</w:t>
      </w:r>
      <w:r w:rsidR="00370BBD">
        <w:t>nder 52 Pa. Code § 54.186(b</w:t>
      </w:r>
      <w:proofErr w:type="gramStart"/>
      <w:r w:rsidR="00370BBD">
        <w:t>)(</w:t>
      </w:r>
      <w:proofErr w:type="gramEnd"/>
      <w:r w:rsidR="00370BBD">
        <w:t xml:space="preserve">5), an affiliated supplier may participate in a Default Service provider’s competitive bid solicitations for generation service.  </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tabs>
          <w:tab w:val="num" w:pos="1440"/>
        </w:tabs>
        <w:spacing w:line="360" w:lineRule="auto"/>
        <w:ind w:firstLine="1440"/>
        <w:jc w:val="left"/>
      </w:pPr>
      <w:r>
        <w:t>23.</w:t>
      </w:r>
      <w:r>
        <w:tab/>
      </w:r>
      <w:r w:rsidR="00370BBD">
        <w:t>Pursuant to 52 Pa. Code § 54.185(f), PPL Electric’s request</w:t>
      </w:r>
      <w:r w:rsidR="009263E3">
        <w:t xml:space="preserve"> for</w:t>
      </w:r>
      <w:r w:rsidR="00370BBD">
        <w:t xml:space="preserve"> a waiver of a limited number of the Commission’s regulations should be approved.</w:t>
      </w:r>
    </w:p>
    <w:p w:rsidR="00361303" w:rsidRDefault="00361303" w:rsidP="00361303">
      <w:pPr>
        <w:pStyle w:val="ListNumber"/>
        <w:numPr>
          <w:ilvl w:val="0"/>
          <w:numId w:val="0"/>
        </w:numPr>
        <w:tabs>
          <w:tab w:val="num" w:pos="1440"/>
        </w:tabs>
        <w:spacing w:line="360" w:lineRule="auto"/>
        <w:ind w:firstLine="1440"/>
        <w:jc w:val="left"/>
      </w:pPr>
    </w:p>
    <w:p w:rsidR="00370BBD" w:rsidRDefault="0029568C" w:rsidP="00361303">
      <w:pPr>
        <w:pStyle w:val="ListNumber"/>
        <w:numPr>
          <w:ilvl w:val="0"/>
          <w:numId w:val="0"/>
        </w:numPr>
        <w:spacing w:line="360" w:lineRule="auto"/>
        <w:ind w:firstLine="1440"/>
        <w:jc w:val="left"/>
      </w:pPr>
      <w:r>
        <w:t>24.</w:t>
      </w:r>
      <w:r>
        <w:tab/>
      </w:r>
      <w:r w:rsidR="00370BBD">
        <w:t>PPL Electric has met its burden of proof in this matter with respect to its proposed DSP II Program, TOU proposal, SMA, RFP Process and Rules, retail market initiatives, affiliate interest agreement, and request for a limited waiver.</w:t>
      </w:r>
    </w:p>
    <w:p w:rsidR="00C545C2" w:rsidRDefault="00C545C2" w:rsidP="00361303">
      <w:pPr>
        <w:pStyle w:val="ListNumber"/>
        <w:numPr>
          <w:ilvl w:val="0"/>
          <w:numId w:val="0"/>
        </w:numPr>
        <w:spacing w:line="360" w:lineRule="auto"/>
        <w:ind w:firstLine="1440"/>
        <w:jc w:val="left"/>
      </w:pPr>
    </w:p>
    <w:p w:rsidR="00C545C2" w:rsidRDefault="00C545C2" w:rsidP="00C545C2">
      <w:pPr>
        <w:pStyle w:val="ListNumber"/>
        <w:numPr>
          <w:ilvl w:val="0"/>
          <w:numId w:val="0"/>
        </w:numPr>
        <w:tabs>
          <w:tab w:val="num" w:pos="1440"/>
        </w:tabs>
        <w:spacing w:line="360" w:lineRule="auto"/>
        <w:contextualSpacing/>
        <w:jc w:val="left"/>
      </w:pPr>
      <w:r>
        <w:tab/>
      </w:r>
      <w:r>
        <w:tab/>
        <w:t>25.</w:t>
      </w:r>
      <w:r>
        <w:tab/>
        <w:t>Policies, protections and services for low-income customers in place at the time of enactment of the Competition Act must remain in place.  66 Pa. C.S. § 2801(10).</w:t>
      </w:r>
    </w:p>
    <w:p w:rsidR="00C545C2" w:rsidRDefault="00C545C2" w:rsidP="00C545C2">
      <w:pPr>
        <w:pStyle w:val="ListNumber"/>
        <w:numPr>
          <w:ilvl w:val="0"/>
          <w:numId w:val="0"/>
        </w:numPr>
        <w:tabs>
          <w:tab w:val="num" w:pos="1440"/>
        </w:tabs>
        <w:spacing w:line="360" w:lineRule="auto"/>
        <w:contextualSpacing/>
        <w:jc w:val="left"/>
      </w:pPr>
    </w:p>
    <w:p w:rsidR="00C545C2" w:rsidRDefault="00C545C2" w:rsidP="00C545C2">
      <w:pPr>
        <w:pStyle w:val="ListNumber"/>
        <w:numPr>
          <w:ilvl w:val="0"/>
          <w:numId w:val="0"/>
        </w:numPr>
        <w:tabs>
          <w:tab w:val="num" w:pos="1440"/>
        </w:tabs>
        <w:spacing w:line="360" w:lineRule="auto"/>
        <w:contextualSpacing/>
        <w:jc w:val="left"/>
      </w:pPr>
      <w:r>
        <w:tab/>
      </w:r>
      <w:r>
        <w:tab/>
        <w:t>26.</w:t>
      </w:r>
      <w:r>
        <w:tab/>
        <w:t>The collection of PJM Transmission Charges through non-bypassable structures would re-bundle transmission and distribution, and eliminate options for the pricing of transmission service, in contravention of the Competition Act.  66 Pa. C.S. §§ 2802(13), 1804(3).</w:t>
      </w:r>
    </w:p>
    <w:p w:rsidR="00A3253A" w:rsidRDefault="00A3253A" w:rsidP="00FC37EC">
      <w:pPr>
        <w:jc w:val="left"/>
      </w:pPr>
    </w:p>
    <w:p w:rsidR="00FF18D0" w:rsidRDefault="00FF18D0" w:rsidP="00C545C2">
      <w:pPr>
        <w:contextualSpacing/>
      </w:pPr>
      <w:r>
        <w:br w:type="page"/>
      </w:r>
    </w:p>
    <w:p w:rsidR="00C545C2" w:rsidRDefault="00225E14" w:rsidP="00C545C2">
      <w:pPr>
        <w:contextualSpacing/>
        <w:rPr>
          <w:b/>
        </w:rPr>
      </w:pPr>
      <w:r w:rsidRPr="00FC37EC">
        <w:lastRenderedPageBreak/>
        <w:t>V.</w:t>
      </w:r>
      <w:r w:rsidRPr="00FC37EC">
        <w:tab/>
      </w:r>
      <w:r w:rsidR="00C545C2" w:rsidRPr="00FC37EC">
        <w:rPr>
          <w:u w:val="single"/>
        </w:rPr>
        <w:t>ORDER</w:t>
      </w:r>
      <w:r w:rsidR="00FF18D0">
        <w:rPr>
          <w:u w:val="single"/>
        </w:rPr>
        <w:fldChar w:fldCharType="begin"/>
      </w:r>
      <w:r w:rsidR="00FF18D0">
        <w:instrText xml:space="preserve"> TC "</w:instrText>
      </w:r>
      <w:bookmarkStart w:id="120" w:name="_Toc340670058"/>
      <w:r w:rsidR="00FF18D0" w:rsidRPr="009B7B20">
        <w:instrText>V.</w:instrText>
      </w:r>
      <w:r w:rsidR="00FF18D0" w:rsidRPr="009B7B20">
        <w:tab/>
      </w:r>
      <w:r w:rsidR="00FF18D0" w:rsidRPr="009B7B20">
        <w:rPr>
          <w:u w:val="single"/>
        </w:rPr>
        <w:instrText>ORDER</w:instrText>
      </w:r>
      <w:bookmarkEnd w:id="120"/>
      <w:r w:rsidR="00FF18D0">
        <w:instrText xml:space="preserve">" \f C \l "1" </w:instrText>
      </w:r>
      <w:r w:rsidR="00FF18D0">
        <w:rPr>
          <w:u w:val="single"/>
        </w:rPr>
        <w:fldChar w:fldCharType="end"/>
      </w:r>
    </w:p>
    <w:p w:rsidR="00C545C2" w:rsidRDefault="00C545C2" w:rsidP="00C545C2">
      <w:pPr>
        <w:jc w:val="left"/>
        <w:rPr>
          <w:b/>
        </w:rPr>
      </w:pPr>
    </w:p>
    <w:p w:rsidR="00FC37EC" w:rsidRDefault="00FC37EC" w:rsidP="00C545C2">
      <w:pPr>
        <w:jc w:val="left"/>
        <w:rPr>
          <w:b/>
        </w:rPr>
      </w:pPr>
    </w:p>
    <w:p w:rsidR="00C545C2" w:rsidRDefault="00C545C2" w:rsidP="00C545C2">
      <w:pPr>
        <w:jc w:val="left"/>
      </w:pPr>
      <w:r>
        <w:tab/>
      </w:r>
      <w:r>
        <w:tab/>
        <w:t>THEREFORE,</w:t>
      </w:r>
    </w:p>
    <w:p w:rsidR="00C545C2" w:rsidRDefault="00C545C2" w:rsidP="00C545C2">
      <w:pPr>
        <w:jc w:val="left"/>
      </w:pPr>
    </w:p>
    <w:p w:rsidR="00C545C2" w:rsidRDefault="00C545C2" w:rsidP="00C545C2">
      <w:pPr>
        <w:jc w:val="left"/>
      </w:pPr>
      <w:r>
        <w:tab/>
      </w:r>
      <w:r>
        <w:tab/>
        <w:t>IT IS ORDERED:</w:t>
      </w:r>
    </w:p>
    <w:p w:rsidR="00C545C2" w:rsidRDefault="00C545C2" w:rsidP="00C545C2">
      <w:pPr>
        <w:jc w:val="left"/>
      </w:pPr>
    </w:p>
    <w:p w:rsidR="00C545C2" w:rsidRDefault="00C545C2" w:rsidP="00C545C2">
      <w:pPr>
        <w:jc w:val="left"/>
      </w:pPr>
      <w:r>
        <w:tab/>
      </w:r>
      <w:r>
        <w:tab/>
        <w:t>1.</w:t>
      </w:r>
      <w:r>
        <w:tab/>
        <w:t>That the Petition of PPL Electric Utilities Corporation for approval of a Default Service Program and Procurement Plan for the Period Jun</w:t>
      </w:r>
      <w:r w:rsidR="009263E3">
        <w:t>e</w:t>
      </w:r>
      <w:r>
        <w:t xml:space="preserve"> 1, 2013 through May 31, 2015, at Docket No. P-2012-</w:t>
      </w:r>
      <w:proofErr w:type="gramStart"/>
      <w:r>
        <w:t>2302074,</w:t>
      </w:r>
      <w:proofErr w:type="gramEnd"/>
      <w:r>
        <w:t xml:space="preserve"> is approved as modified.</w:t>
      </w:r>
    </w:p>
    <w:p w:rsidR="00C545C2" w:rsidRDefault="00C545C2" w:rsidP="00C545C2">
      <w:pPr>
        <w:jc w:val="left"/>
      </w:pPr>
    </w:p>
    <w:p w:rsidR="00C545C2" w:rsidRDefault="00C545C2" w:rsidP="00C545C2">
      <w:pPr>
        <w:jc w:val="left"/>
      </w:pPr>
      <w:r>
        <w:tab/>
      </w:r>
      <w:r>
        <w:tab/>
        <w:t>2.</w:t>
      </w:r>
      <w:r>
        <w:tab/>
        <w:t xml:space="preserve">That, as this Recommended Decision and the ordering paragraphs concentrate on the disputed sections of the </w:t>
      </w:r>
      <w:r w:rsidR="00830ED2">
        <w:t>Default Service Program and Procurement Plan II</w:t>
      </w:r>
      <w:r>
        <w:t>, any portion of the Plan not discussed is deemed to be approved.</w:t>
      </w:r>
    </w:p>
    <w:p w:rsidR="00C545C2" w:rsidRDefault="00C545C2" w:rsidP="00C545C2">
      <w:pPr>
        <w:jc w:val="left"/>
      </w:pPr>
    </w:p>
    <w:p w:rsidR="00C545C2" w:rsidRDefault="00C545C2" w:rsidP="00C545C2">
      <w:pPr>
        <w:jc w:val="left"/>
      </w:pPr>
      <w:r>
        <w:tab/>
      </w:r>
      <w:r>
        <w:tab/>
        <w:t>3.</w:t>
      </w:r>
      <w:r>
        <w:tab/>
        <w:t xml:space="preserve">That the following sections of the </w:t>
      </w:r>
      <w:r w:rsidR="00830ED2">
        <w:t>Default Service Program and Procurement Plan II's</w:t>
      </w:r>
      <w:r>
        <w:t xml:space="preserve"> proposal are approved consistent with the discussion in this Recommended Decision:</w:t>
      </w:r>
    </w:p>
    <w:p w:rsidR="00C545C2" w:rsidRDefault="00C545C2" w:rsidP="00C545C2">
      <w:pPr>
        <w:jc w:val="left"/>
      </w:pPr>
    </w:p>
    <w:p w:rsidR="00C545C2" w:rsidRDefault="00C545C2" w:rsidP="00FC37EC">
      <w:pPr>
        <w:spacing w:line="240" w:lineRule="auto"/>
        <w:ind w:left="2880" w:right="1440" w:hanging="720"/>
        <w:jc w:val="left"/>
      </w:pPr>
      <w:proofErr w:type="gramStart"/>
      <w:r>
        <w:t>a</w:t>
      </w:r>
      <w:proofErr w:type="gramEnd"/>
      <w:r>
        <w:t>.</w:t>
      </w:r>
      <w:r>
        <w:tab/>
        <w:t xml:space="preserve"> product procurement for the residential class;</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b.</w:t>
      </w:r>
      <w:r>
        <w:tab/>
        <w:t>70</w:t>
      </w:r>
      <w:proofErr w:type="gramEnd"/>
      <w:r>
        <w:t>% wholesale supplier load cap for residential service;</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r>
        <w:t>c.</w:t>
      </w:r>
      <w:r>
        <w:tab/>
        <w:t>Small C&amp;I fixed rate product mixture and procurement proposal;</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r>
        <w:t>d.</w:t>
      </w:r>
      <w:r>
        <w:tab/>
        <w:t xml:space="preserve">Small C&amp;I fixed rate wholesale </w:t>
      </w:r>
      <w:r w:rsidR="00281FAA">
        <w:t xml:space="preserve">aggregate </w:t>
      </w:r>
      <w:r>
        <w:t xml:space="preserve">supplier load cap </w:t>
      </w:r>
      <w:r w:rsidR="00281FAA">
        <w:t xml:space="preserve">of 65% </w:t>
      </w:r>
      <w:r>
        <w:t>is eliminated;</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r>
        <w:t>e.</w:t>
      </w:r>
      <w:r>
        <w:tab/>
        <w:t>Large C&amp;I real time hourly rate product mixture</w:t>
      </w:r>
      <w:r w:rsidR="00281FAA">
        <w:t xml:space="preserve"> and schedule</w:t>
      </w:r>
      <w:r>
        <w:t>;</w:t>
      </w:r>
    </w:p>
    <w:p w:rsidR="009904D9" w:rsidRDefault="009904D9" w:rsidP="00FC37EC">
      <w:pPr>
        <w:spacing w:line="240" w:lineRule="auto"/>
        <w:ind w:left="2880" w:right="1440" w:hanging="720"/>
        <w:jc w:val="left"/>
      </w:pPr>
    </w:p>
    <w:p w:rsidR="00C545C2" w:rsidRDefault="00C545C2" w:rsidP="00FC37EC">
      <w:pPr>
        <w:spacing w:line="240" w:lineRule="auto"/>
        <w:ind w:left="2880" w:right="1440" w:hanging="720"/>
        <w:jc w:val="left"/>
      </w:pPr>
      <w:r>
        <w:t>f.</w:t>
      </w:r>
      <w:r>
        <w:tab/>
        <w:t>Large C&amp;I wholesale supplier solicitation load cap is approved at 85%;</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lastRenderedPageBreak/>
        <w:t>g</w:t>
      </w:r>
      <w:proofErr w:type="gramEnd"/>
      <w:r>
        <w:t>.</w:t>
      </w:r>
      <w:r>
        <w:tab/>
        <w:t>the plan's proposal regarding contracts extending beyond May 31, 2015;</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h</w:t>
      </w:r>
      <w:proofErr w:type="gramEnd"/>
      <w:r>
        <w:t>.</w:t>
      </w:r>
      <w:r>
        <w:tab/>
        <w:t>the plan for obtaining alternative energy credits;</w:t>
      </w:r>
    </w:p>
    <w:p w:rsidR="009904D9" w:rsidRDefault="009904D9"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i</w:t>
      </w:r>
      <w:proofErr w:type="gramEnd"/>
      <w:r>
        <w:t>.</w:t>
      </w:r>
      <w:r>
        <w:tab/>
        <w:t>implementation of a semi-annual procurement and price change mechanism;</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j</w:t>
      </w:r>
      <w:proofErr w:type="gramEnd"/>
      <w:r>
        <w:t>.</w:t>
      </w:r>
      <w:r>
        <w:tab/>
        <w:t>hourly priced default service for Small C&amp;I customer with load over 100 kW;</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r>
        <w:t>k.</w:t>
      </w:r>
      <w:r>
        <w:tab/>
        <w:t>Residential and Small C&amp;I reconciliation;</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r>
        <w:t>l.</w:t>
      </w:r>
      <w:r>
        <w:tab/>
        <w:t>Large C&amp;I Customer Class rate structure and reconciliation is approved.</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m</w:t>
      </w:r>
      <w:proofErr w:type="gramEnd"/>
      <w:r>
        <w:t>.</w:t>
      </w:r>
      <w:r>
        <w:tab/>
        <w:t>the Green Power Program expiration on May 31, 2013;</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n</w:t>
      </w:r>
      <w:proofErr w:type="gramEnd"/>
      <w:r>
        <w:t>.</w:t>
      </w:r>
      <w:r>
        <w:tab/>
        <w:t>elimination of procurements for the Optional Monthly Pricing Service;</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r>
        <w:t>o.</w:t>
      </w:r>
      <w:r>
        <w:tab/>
        <w:t>Price to Compare Calculation Date proposal; and</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p</w:t>
      </w:r>
      <w:proofErr w:type="gramEnd"/>
      <w:r>
        <w:t>.</w:t>
      </w:r>
      <w:r>
        <w:tab/>
        <w:t>recovery of transmission and other related charges.</w:t>
      </w:r>
    </w:p>
    <w:p w:rsidR="00C545C2" w:rsidRDefault="00C545C2" w:rsidP="009904D9">
      <w:pPr>
        <w:jc w:val="left"/>
      </w:pPr>
    </w:p>
    <w:p w:rsidR="00C545C2" w:rsidRDefault="00C545C2" w:rsidP="00C545C2">
      <w:pPr>
        <w:jc w:val="left"/>
      </w:pPr>
      <w:r>
        <w:tab/>
      </w:r>
      <w:r>
        <w:tab/>
        <w:t>4.</w:t>
      </w:r>
      <w:r>
        <w:tab/>
        <w:t>That PPL Electric Utilities Corporation shall present an analysis of the OS</w:t>
      </w:r>
      <w:r w:rsidR="00281FAA">
        <w:t>B</w:t>
      </w:r>
      <w:r>
        <w:t xml:space="preserve">A recommendation to eliminate the transmission service charge in the next </w:t>
      </w:r>
      <w:r w:rsidR="00830ED2">
        <w:t>Default Service Program and Procurement Plan</w:t>
      </w:r>
      <w:r>
        <w:t xml:space="preserve"> filing.</w:t>
      </w:r>
    </w:p>
    <w:p w:rsidR="00C545C2" w:rsidRDefault="00C545C2" w:rsidP="00C545C2">
      <w:pPr>
        <w:jc w:val="left"/>
      </w:pPr>
    </w:p>
    <w:p w:rsidR="00C545C2" w:rsidRDefault="00C545C2" w:rsidP="00C545C2">
      <w:pPr>
        <w:jc w:val="left"/>
      </w:pPr>
      <w:r>
        <w:tab/>
      </w:r>
      <w:r>
        <w:tab/>
        <w:t>5.</w:t>
      </w:r>
      <w:r>
        <w:tab/>
        <w:t xml:space="preserve">That the </w:t>
      </w:r>
      <w:r w:rsidR="00830ED2">
        <w:t>Default Service</w:t>
      </w:r>
      <w:r w:rsidR="00830ED2" w:rsidRPr="00830ED2">
        <w:t xml:space="preserve"> </w:t>
      </w:r>
      <w:r w:rsidR="00830ED2">
        <w:t xml:space="preserve">Program and Procurement Plan II </w:t>
      </w:r>
      <w:r>
        <w:t>plan's proposed time-of-use rate option is denied.</w:t>
      </w:r>
    </w:p>
    <w:p w:rsidR="00C545C2" w:rsidRDefault="00C545C2" w:rsidP="00C545C2">
      <w:pPr>
        <w:jc w:val="left"/>
      </w:pPr>
    </w:p>
    <w:p w:rsidR="00C545C2" w:rsidRDefault="00C545C2" w:rsidP="00C545C2">
      <w:pPr>
        <w:jc w:val="left"/>
      </w:pPr>
      <w:r>
        <w:tab/>
      </w:r>
      <w:r>
        <w:tab/>
        <w:t>6.</w:t>
      </w:r>
      <w:r>
        <w:tab/>
        <w:t>That</w:t>
      </w:r>
      <w:r w:rsidR="004D473A">
        <w:t xml:space="preserve"> regarding the development of a viable time-of-use program, </w:t>
      </w:r>
      <w:r>
        <w:t>PPL Electric Utilities Corporation shall:</w:t>
      </w:r>
    </w:p>
    <w:p w:rsidR="00C545C2" w:rsidRDefault="00C545C2" w:rsidP="00C545C2">
      <w:pPr>
        <w:jc w:val="left"/>
      </w:pPr>
    </w:p>
    <w:p w:rsidR="00C545C2" w:rsidRDefault="00C545C2" w:rsidP="00FC37EC">
      <w:pPr>
        <w:spacing w:line="240" w:lineRule="auto"/>
        <w:ind w:left="2880" w:right="1440" w:hanging="720"/>
        <w:jc w:val="left"/>
      </w:pPr>
      <w:r>
        <w:t>a.</w:t>
      </w:r>
      <w:r>
        <w:tab/>
        <w:t xml:space="preserve"> Initiate a collaborative including the interested parties from this docket within </w:t>
      </w:r>
      <w:r w:rsidR="00281FAA">
        <w:t>one</w:t>
      </w:r>
      <w:r>
        <w:t xml:space="preserve"> week of the final Order in this matter;</w:t>
      </w:r>
    </w:p>
    <w:p w:rsidR="00C545C2" w:rsidRDefault="00C545C2" w:rsidP="00FC37EC">
      <w:pPr>
        <w:spacing w:line="240" w:lineRule="auto"/>
        <w:ind w:left="2880" w:right="1440" w:hanging="720"/>
        <w:jc w:val="left"/>
      </w:pPr>
    </w:p>
    <w:p w:rsidR="00C545C2" w:rsidRDefault="00C545C2" w:rsidP="00FC37EC">
      <w:pPr>
        <w:spacing w:line="240" w:lineRule="auto"/>
        <w:ind w:left="2880" w:right="1440" w:hanging="720"/>
        <w:jc w:val="left"/>
      </w:pPr>
      <w:r>
        <w:lastRenderedPageBreak/>
        <w:t>b.</w:t>
      </w:r>
      <w:r>
        <w:tab/>
        <w:t>Convene the collaborative within one month of the final Order in this matter;</w:t>
      </w:r>
      <w:r w:rsidR="00FF18D0">
        <w:t xml:space="preserve">  </w:t>
      </w:r>
    </w:p>
    <w:p w:rsidR="00C545C2" w:rsidRDefault="00C545C2"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c</w:t>
      </w:r>
      <w:proofErr w:type="gramEnd"/>
      <w:r>
        <w:t>.</w:t>
      </w:r>
      <w:r>
        <w:tab/>
        <w:t>Notify the Commission's Bureau of Technical Utility Services of the compliance with subparagraphs (a) and (b);</w:t>
      </w:r>
    </w:p>
    <w:p w:rsidR="00C545C2" w:rsidRDefault="00C545C2" w:rsidP="00FC37EC">
      <w:pPr>
        <w:spacing w:line="240" w:lineRule="auto"/>
        <w:ind w:left="2880" w:right="1440" w:hanging="720"/>
        <w:jc w:val="left"/>
      </w:pPr>
    </w:p>
    <w:p w:rsidR="00C545C2" w:rsidRDefault="00C545C2" w:rsidP="00FC37EC">
      <w:pPr>
        <w:spacing w:line="240" w:lineRule="auto"/>
        <w:ind w:left="2880" w:right="1440" w:hanging="720"/>
        <w:jc w:val="left"/>
      </w:pPr>
      <w:r>
        <w:t>d.</w:t>
      </w:r>
      <w:r>
        <w:tab/>
        <w:t>File a proposed time-of-use program consistent with the Easy TOU plan discussed in the body of this Recommended Decision on or before April 1, 2013, in order to allow Commission review and approval of the proposed time-of-use plan and implementation before the 2013 summer season.</w:t>
      </w:r>
    </w:p>
    <w:p w:rsidR="00C545C2" w:rsidRDefault="00C545C2" w:rsidP="00C545C2">
      <w:pPr>
        <w:jc w:val="left"/>
      </w:pPr>
    </w:p>
    <w:p w:rsidR="00C545C2" w:rsidRDefault="00C545C2" w:rsidP="00C545C2">
      <w:pPr>
        <w:jc w:val="left"/>
      </w:pPr>
      <w:r>
        <w:tab/>
      </w:r>
      <w:r>
        <w:tab/>
        <w:t>7.</w:t>
      </w:r>
      <w:r>
        <w:tab/>
        <w:t xml:space="preserve">That PPL Electric Utilities Corporation shall use the unsecured credit thresholds established in the </w:t>
      </w:r>
      <w:r w:rsidR="00830ED2">
        <w:t xml:space="preserve">Default Service Program and Procurement Plan II </w:t>
      </w:r>
      <w:r>
        <w:t>plan and shall not use the thresho</w:t>
      </w:r>
      <w:r w:rsidR="00C964E2">
        <w:t xml:space="preserve">lds proposed in the </w:t>
      </w:r>
      <w:r w:rsidR="00830ED2">
        <w:t xml:space="preserve">Default Service Plan II </w:t>
      </w:r>
      <w:r w:rsidR="00C964E2">
        <w:t>plan.</w:t>
      </w:r>
    </w:p>
    <w:p w:rsidR="00C545C2" w:rsidRDefault="00C545C2" w:rsidP="00C545C2">
      <w:pPr>
        <w:jc w:val="left"/>
      </w:pPr>
    </w:p>
    <w:p w:rsidR="00C545C2" w:rsidRDefault="00C545C2" w:rsidP="00C545C2">
      <w:pPr>
        <w:jc w:val="left"/>
      </w:pPr>
      <w:r>
        <w:tab/>
      </w:r>
      <w:r>
        <w:tab/>
      </w:r>
      <w:r w:rsidR="00830ED2">
        <w:t>8.</w:t>
      </w:r>
      <w:r w:rsidR="00830ED2">
        <w:tab/>
        <w:t xml:space="preserve">That the Default Service Plan II </w:t>
      </w:r>
      <w:r>
        <w:t xml:space="preserve">shall be modified to provide that a supplier has three business days rather than two to replace a letter of credit. </w:t>
      </w:r>
    </w:p>
    <w:p w:rsidR="00C545C2" w:rsidRDefault="00C545C2" w:rsidP="00C545C2">
      <w:pPr>
        <w:jc w:val="left"/>
      </w:pPr>
    </w:p>
    <w:p w:rsidR="00C545C2" w:rsidRDefault="00C545C2" w:rsidP="00C545C2">
      <w:pPr>
        <w:jc w:val="left"/>
      </w:pPr>
      <w:r>
        <w:tab/>
      </w:r>
      <w:r>
        <w:tab/>
        <w:t>9.</w:t>
      </w:r>
      <w:r>
        <w:tab/>
        <w:t xml:space="preserve">That PPL Electric </w:t>
      </w:r>
      <w:r w:rsidR="00C964E2">
        <w:t xml:space="preserve">Utilities Corporation </w:t>
      </w:r>
      <w:r>
        <w:t>shall make available to DS suppliers the data agreed to in PPL Electric Statement 1-R at p. 33, lines 14-21, in addition to the data already provided.</w:t>
      </w:r>
    </w:p>
    <w:p w:rsidR="00C545C2" w:rsidRDefault="00C545C2" w:rsidP="00C545C2">
      <w:pPr>
        <w:jc w:val="left"/>
      </w:pPr>
    </w:p>
    <w:p w:rsidR="00C545C2" w:rsidRDefault="00C545C2" w:rsidP="00C545C2">
      <w:pPr>
        <w:jc w:val="left"/>
      </w:pPr>
      <w:r>
        <w:tab/>
      </w:r>
      <w:r>
        <w:tab/>
        <w:t>10.</w:t>
      </w:r>
      <w:r>
        <w:tab/>
        <w:t>That the New and Moving Customer Program is approved as filed.</w:t>
      </w:r>
    </w:p>
    <w:p w:rsidR="00C545C2" w:rsidRDefault="00C545C2" w:rsidP="00C545C2">
      <w:pPr>
        <w:jc w:val="left"/>
      </w:pPr>
    </w:p>
    <w:p w:rsidR="00C545C2" w:rsidRDefault="00C545C2" w:rsidP="00C545C2">
      <w:pPr>
        <w:jc w:val="left"/>
      </w:pPr>
      <w:r>
        <w:tab/>
      </w:r>
      <w:r>
        <w:tab/>
        <w:t>11.</w:t>
      </w:r>
      <w:r>
        <w:tab/>
        <w:t>That the Retail Opt-In Auction or Aggregation shall:</w:t>
      </w:r>
    </w:p>
    <w:p w:rsidR="00C545C2" w:rsidRDefault="00C545C2" w:rsidP="00C545C2">
      <w:pPr>
        <w:jc w:val="left"/>
      </w:pPr>
    </w:p>
    <w:p w:rsidR="00C545C2" w:rsidRDefault="00C545C2" w:rsidP="00FC37EC">
      <w:pPr>
        <w:spacing w:line="240" w:lineRule="auto"/>
        <w:ind w:left="2880" w:right="1440" w:hanging="720"/>
        <w:jc w:val="left"/>
      </w:pPr>
      <w:proofErr w:type="gramStart"/>
      <w:r>
        <w:t>a</w:t>
      </w:r>
      <w:proofErr w:type="gramEnd"/>
      <w:r>
        <w:t>.</w:t>
      </w:r>
      <w:r>
        <w:tab/>
        <w:t>be six months in length;</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b</w:t>
      </w:r>
      <w:proofErr w:type="gramEnd"/>
      <w:r>
        <w:t>.</w:t>
      </w:r>
      <w:r>
        <w:tab/>
        <w:t>be open to residential customers;</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c</w:t>
      </w:r>
      <w:proofErr w:type="gramEnd"/>
      <w:r>
        <w:t>.</w:t>
      </w:r>
      <w:r>
        <w:tab/>
        <w:t>be limited to 50% of default service customers:</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d</w:t>
      </w:r>
      <w:proofErr w:type="gramEnd"/>
      <w:r>
        <w:t>.</w:t>
      </w:r>
      <w:r>
        <w:tab/>
        <w:t>be available</w:t>
      </w:r>
      <w:r w:rsidR="00C964E2">
        <w:t xml:space="preserve"> </w:t>
      </w:r>
      <w:r>
        <w:t>to but not advertised to customers already shopping;</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lastRenderedPageBreak/>
        <w:t>e</w:t>
      </w:r>
      <w:proofErr w:type="gramEnd"/>
      <w:r>
        <w:t>.</w:t>
      </w:r>
      <w:r>
        <w:tab/>
        <w:t>be offered at a minimum 5% discount off the P</w:t>
      </w:r>
      <w:r w:rsidR="00C964E2">
        <w:t xml:space="preserve">rice </w:t>
      </w:r>
      <w:r>
        <w:t>T</w:t>
      </w:r>
      <w:r w:rsidR="00C964E2">
        <w:t xml:space="preserve">o </w:t>
      </w:r>
      <w:r>
        <w:t>C</w:t>
      </w:r>
      <w:r w:rsidR="00C964E2">
        <w:t>ompare</w:t>
      </w:r>
      <w:r>
        <w:t xml:space="preserve"> on December 1, 2013;</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f</w:t>
      </w:r>
      <w:proofErr w:type="gramEnd"/>
      <w:r>
        <w:t>.</w:t>
      </w:r>
      <w:r>
        <w:tab/>
        <w:t xml:space="preserve">include a $50 cash bonus to customers remaining with the </w:t>
      </w:r>
      <w:r w:rsidR="00C964E2">
        <w:t xml:space="preserve">electric generation supplier </w:t>
      </w:r>
      <w:r>
        <w:t>for three billing cycles;</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g</w:t>
      </w:r>
      <w:proofErr w:type="gramEnd"/>
      <w:r>
        <w:t>.</w:t>
      </w:r>
      <w:r>
        <w:tab/>
        <w:t xml:space="preserve">include disclosure of all terms of service, including the identity of the </w:t>
      </w:r>
      <w:r w:rsidR="00C964E2">
        <w:t>electric generation supplier,</w:t>
      </w:r>
      <w:r>
        <w:t xml:space="preserve"> to the customers prior to the beginning of the service;</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h</w:t>
      </w:r>
      <w:proofErr w:type="gramEnd"/>
      <w:r>
        <w:t>.</w:t>
      </w:r>
      <w:r>
        <w:tab/>
        <w:t xml:space="preserve">that the auction or aggregation will be canceled unless four or more </w:t>
      </w:r>
      <w:r w:rsidR="00C964E2">
        <w:t xml:space="preserve">electric generation supplier </w:t>
      </w:r>
      <w:r>
        <w:t>bidders participate;</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i</w:t>
      </w:r>
      <w:proofErr w:type="gramEnd"/>
      <w:r>
        <w:t>.</w:t>
      </w:r>
      <w:r>
        <w:tab/>
        <w:t>include a provision t</w:t>
      </w:r>
      <w:r w:rsidR="00C964E2">
        <w:t>hat each participating customer</w:t>
      </w:r>
      <w:r>
        <w:t xml:space="preserve"> will remain with the </w:t>
      </w:r>
      <w:r w:rsidR="00C964E2">
        <w:t xml:space="preserve">electric generation supplier </w:t>
      </w:r>
      <w:r>
        <w:t>under a month-to-month contract absent affirmative action on the part of the customer;</w:t>
      </w:r>
    </w:p>
    <w:p w:rsidR="00FC37EC" w:rsidRDefault="00FC37EC" w:rsidP="00FF18D0">
      <w:pPr>
        <w:spacing w:line="240" w:lineRule="auto"/>
        <w:ind w:right="1440"/>
        <w:jc w:val="left"/>
      </w:pPr>
    </w:p>
    <w:p w:rsidR="00C545C2" w:rsidRDefault="00C545C2" w:rsidP="00FC37EC">
      <w:pPr>
        <w:spacing w:line="240" w:lineRule="auto"/>
        <w:ind w:left="2880" w:right="1440" w:hanging="720"/>
        <w:jc w:val="left"/>
      </w:pPr>
      <w:proofErr w:type="gramStart"/>
      <w:r>
        <w:t>j</w:t>
      </w:r>
      <w:proofErr w:type="gramEnd"/>
      <w:r>
        <w:t>.</w:t>
      </w:r>
      <w:r>
        <w:tab/>
        <w:t>be conducted in sealed bid format; and</w:t>
      </w:r>
    </w:p>
    <w:p w:rsidR="00FC37EC" w:rsidRDefault="00FC37EC" w:rsidP="00FC37EC">
      <w:pPr>
        <w:spacing w:line="240" w:lineRule="auto"/>
        <w:ind w:left="2880" w:right="1440" w:hanging="720"/>
        <w:jc w:val="left"/>
      </w:pPr>
    </w:p>
    <w:p w:rsidR="00C545C2" w:rsidRDefault="00C545C2" w:rsidP="00FC37EC">
      <w:pPr>
        <w:spacing w:line="240" w:lineRule="auto"/>
        <w:ind w:left="2880" w:right="1440" w:hanging="720"/>
        <w:jc w:val="left"/>
      </w:pPr>
      <w:proofErr w:type="gramStart"/>
      <w:r>
        <w:t>k</w:t>
      </w:r>
      <w:proofErr w:type="gramEnd"/>
      <w:r>
        <w:t>.</w:t>
      </w:r>
      <w:r>
        <w:tab/>
        <w:t>be open to low</w:t>
      </w:r>
      <w:r w:rsidR="00FC37EC">
        <w:t>-income customer participation.</w:t>
      </w:r>
    </w:p>
    <w:p w:rsidR="00C545C2" w:rsidRDefault="00C545C2" w:rsidP="00FC37EC">
      <w:pPr>
        <w:jc w:val="left"/>
      </w:pPr>
    </w:p>
    <w:p w:rsidR="00C545C2" w:rsidRDefault="00C545C2" w:rsidP="00FC37EC">
      <w:pPr>
        <w:jc w:val="left"/>
      </w:pPr>
      <w:r>
        <w:tab/>
      </w:r>
      <w:r>
        <w:tab/>
        <w:t>12.</w:t>
      </w:r>
      <w:r>
        <w:tab/>
        <w:t>That the Standard Offer Program proposal is approved as filed.</w:t>
      </w:r>
    </w:p>
    <w:p w:rsidR="00C545C2" w:rsidRDefault="00C545C2" w:rsidP="00FC37EC">
      <w:pPr>
        <w:jc w:val="left"/>
      </w:pPr>
    </w:p>
    <w:p w:rsidR="00C545C2" w:rsidRDefault="00C545C2" w:rsidP="00C545C2">
      <w:pPr>
        <w:jc w:val="left"/>
      </w:pPr>
      <w:r>
        <w:tab/>
      </w:r>
      <w:r>
        <w:tab/>
        <w:t>13.</w:t>
      </w:r>
      <w:r>
        <w:tab/>
        <w:t xml:space="preserve">That PPL Electric Utilities Corporation shall, as part of the Standard Offer Program, send education mailings with offers from </w:t>
      </w:r>
      <w:r w:rsidR="00C964E2">
        <w:t xml:space="preserve">electric generation suppliers </w:t>
      </w:r>
      <w:r>
        <w:t>to residential customer</w:t>
      </w:r>
      <w:r w:rsidR="00C964E2">
        <w:t>s</w:t>
      </w:r>
      <w:r>
        <w:t xml:space="preserve">, and send a separate mailing with offers from </w:t>
      </w:r>
      <w:r w:rsidR="00C964E2">
        <w:t>electric generation supplier</w:t>
      </w:r>
      <w:r>
        <w:t xml:space="preserve">s to small commercial and industrial customers, and </w:t>
      </w:r>
      <w:bookmarkStart w:id="121" w:name="_GoBack"/>
      <w:bookmarkEnd w:id="121"/>
      <w:r>
        <w:t xml:space="preserve">charge the incremental costs of including the </w:t>
      </w:r>
      <w:r w:rsidR="00830ED2">
        <w:t xml:space="preserve">electric generation supplier </w:t>
      </w:r>
      <w:r>
        <w:t xml:space="preserve">offers to those </w:t>
      </w:r>
      <w:r w:rsidR="00830ED2">
        <w:t>electric generation supplier</w:t>
      </w:r>
      <w:r>
        <w:t xml:space="preserve">s participating in the Customer Referral Program. </w:t>
      </w:r>
    </w:p>
    <w:p w:rsidR="00C545C2" w:rsidRDefault="00C545C2" w:rsidP="00C545C2">
      <w:pPr>
        <w:jc w:val="left"/>
      </w:pPr>
    </w:p>
    <w:p w:rsidR="00C545C2" w:rsidRDefault="00C545C2" w:rsidP="00C545C2">
      <w:pPr>
        <w:jc w:val="left"/>
      </w:pPr>
      <w:r>
        <w:tab/>
      </w:r>
      <w:r>
        <w:tab/>
        <w:t>14.</w:t>
      </w:r>
      <w:r>
        <w:tab/>
        <w:t>That the D</w:t>
      </w:r>
      <w:r w:rsidR="00830ED2">
        <w:t xml:space="preserve">efault </w:t>
      </w:r>
      <w:r>
        <w:t>S</w:t>
      </w:r>
      <w:r w:rsidR="00830ED2">
        <w:t xml:space="preserve">ervice Program and Procurement </w:t>
      </w:r>
      <w:r>
        <w:t>P</w:t>
      </w:r>
      <w:r w:rsidR="00830ED2">
        <w:t>lan</w:t>
      </w:r>
      <w:r>
        <w:t xml:space="preserve"> II proposal for cost assessment and recovery for the Retail Enhancement Programs is approved as filed.</w:t>
      </w:r>
    </w:p>
    <w:p w:rsidR="00C545C2" w:rsidRDefault="00C545C2" w:rsidP="00C545C2">
      <w:pPr>
        <w:jc w:val="left"/>
      </w:pPr>
    </w:p>
    <w:p w:rsidR="00C545C2" w:rsidRDefault="00C545C2" w:rsidP="00C545C2">
      <w:pPr>
        <w:jc w:val="left"/>
      </w:pPr>
      <w:r>
        <w:tab/>
      </w:r>
      <w:r>
        <w:tab/>
        <w:t>15.</w:t>
      </w:r>
      <w:r>
        <w:tab/>
        <w:t>That the RESA proposal to implement a 5 mils/kWh charge to default service is denied.</w:t>
      </w:r>
    </w:p>
    <w:p w:rsidR="00C545C2" w:rsidRDefault="00C545C2" w:rsidP="00C545C2">
      <w:pPr>
        <w:jc w:val="left"/>
      </w:pPr>
    </w:p>
    <w:p w:rsidR="00C545C2" w:rsidRDefault="00C545C2" w:rsidP="00C545C2">
      <w:pPr>
        <w:jc w:val="left"/>
      </w:pPr>
      <w:r>
        <w:lastRenderedPageBreak/>
        <w:tab/>
      </w:r>
      <w:r>
        <w:tab/>
        <w:t>16.</w:t>
      </w:r>
      <w:r>
        <w:tab/>
        <w:t>That the S</w:t>
      </w:r>
      <w:r w:rsidR="00C964E2">
        <w:t xml:space="preserve">upply </w:t>
      </w:r>
      <w:r>
        <w:t>M</w:t>
      </w:r>
      <w:r w:rsidR="00C964E2">
        <w:t xml:space="preserve">aster </w:t>
      </w:r>
      <w:r>
        <w:t>A</w:t>
      </w:r>
      <w:r w:rsidR="00C964E2">
        <w:t>greement</w:t>
      </w:r>
      <w:r>
        <w:t xml:space="preserve"> is approved as an affiliated interest agreement under 66 Pa. C.S. § 2102.</w:t>
      </w:r>
    </w:p>
    <w:p w:rsidR="00C545C2" w:rsidRDefault="00C545C2" w:rsidP="00C545C2">
      <w:pPr>
        <w:jc w:val="left"/>
      </w:pPr>
    </w:p>
    <w:p w:rsidR="00C545C2" w:rsidRDefault="00C545C2" w:rsidP="00C545C2">
      <w:pPr>
        <w:jc w:val="left"/>
      </w:pPr>
      <w:r>
        <w:tab/>
      </w:r>
      <w:r>
        <w:tab/>
        <w:t>17.</w:t>
      </w:r>
      <w:r>
        <w:tab/>
        <w:t xml:space="preserve">That the request of PPL Electric Utilities Corporation for a waiver of </w:t>
      </w:r>
      <w:r w:rsidR="00830ED2">
        <w:t xml:space="preserve">52 Pa. Code §§ 54.187(i), (j) and (k) </w:t>
      </w:r>
      <w:r>
        <w:t xml:space="preserve">is </w:t>
      </w:r>
      <w:r w:rsidR="00830ED2">
        <w:t>grante</w:t>
      </w:r>
      <w:r>
        <w:t>d.</w:t>
      </w:r>
    </w:p>
    <w:p w:rsidR="00C545C2" w:rsidRDefault="00C545C2" w:rsidP="00C545C2">
      <w:pPr>
        <w:jc w:val="left"/>
      </w:pPr>
    </w:p>
    <w:p w:rsidR="00FC37EC" w:rsidRDefault="00FC37EC" w:rsidP="00C545C2">
      <w:pPr>
        <w:jc w:val="left"/>
      </w:pPr>
    </w:p>
    <w:p w:rsidR="00C545C2" w:rsidRDefault="00C545C2" w:rsidP="00C545C2">
      <w:pPr>
        <w:spacing w:line="240" w:lineRule="auto"/>
        <w:jc w:val="left"/>
      </w:pPr>
      <w:r>
        <w:t>Dated:</w:t>
      </w:r>
      <w:r>
        <w:tab/>
      </w:r>
      <w:r>
        <w:rPr>
          <w:u w:val="single"/>
        </w:rPr>
        <w:t>November 9, 2012</w:t>
      </w:r>
      <w:r>
        <w:tab/>
      </w:r>
      <w:r>
        <w:tab/>
      </w:r>
      <w:r>
        <w:tab/>
      </w:r>
      <w:r>
        <w:tab/>
        <w:t>_________________________________</w:t>
      </w:r>
    </w:p>
    <w:p w:rsidR="00C545C2" w:rsidRDefault="00C545C2" w:rsidP="00C545C2">
      <w:pPr>
        <w:spacing w:line="240" w:lineRule="auto"/>
        <w:jc w:val="left"/>
      </w:pPr>
      <w:r>
        <w:tab/>
      </w:r>
      <w:r>
        <w:tab/>
      </w:r>
      <w:r>
        <w:tab/>
      </w:r>
      <w:r>
        <w:tab/>
      </w:r>
      <w:r>
        <w:tab/>
      </w:r>
      <w:r>
        <w:tab/>
      </w:r>
      <w:r>
        <w:tab/>
        <w:t>Susan D. Colwell</w:t>
      </w:r>
    </w:p>
    <w:p w:rsidR="00A3253A" w:rsidRDefault="00C545C2" w:rsidP="00FC37EC">
      <w:pPr>
        <w:spacing w:line="240" w:lineRule="auto"/>
        <w:jc w:val="left"/>
      </w:pPr>
      <w:r>
        <w:tab/>
      </w:r>
      <w:r>
        <w:tab/>
      </w:r>
      <w:r>
        <w:tab/>
      </w:r>
      <w:r>
        <w:tab/>
      </w:r>
      <w:r>
        <w:tab/>
      </w:r>
      <w:r>
        <w:tab/>
      </w:r>
      <w:r>
        <w:tab/>
        <w:t>Administrative Law Judge</w:t>
      </w:r>
    </w:p>
    <w:sectPr w:rsidR="00A3253A" w:rsidSect="00560264">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CEE" w:rsidRDefault="00130CEE" w:rsidP="0088641D">
      <w:r>
        <w:separator/>
      </w:r>
    </w:p>
  </w:endnote>
  <w:endnote w:type="continuationSeparator" w:id="0">
    <w:p w:rsidR="00130CEE" w:rsidRDefault="00130CEE" w:rsidP="0088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361019"/>
      <w:docPartObj>
        <w:docPartGallery w:val="Page Numbers (Bottom of Page)"/>
        <w:docPartUnique/>
      </w:docPartObj>
    </w:sdtPr>
    <w:sdtEndPr>
      <w:rPr>
        <w:noProof/>
        <w:sz w:val="20"/>
        <w:szCs w:val="20"/>
      </w:rPr>
    </w:sdtEndPr>
    <w:sdtContent>
      <w:p w:rsidR="00413D74" w:rsidRPr="00CA6A74" w:rsidRDefault="00413D74" w:rsidP="00CA6A74">
        <w:pPr>
          <w:pStyle w:val="Footer"/>
          <w:rPr>
            <w:sz w:val="20"/>
            <w:szCs w:val="20"/>
          </w:rPr>
        </w:pPr>
        <w:r w:rsidRPr="00CA6A74">
          <w:rPr>
            <w:sz w:val="20"/>
            <w:szCs w:val="20"/>
          </w:rPr>
          <w:fldChar w:fldCharType="begin"/>
        </w:r>
        <w:r w:rsidRPr="00CA6A74">
          <w:rPr>
            <w:sz w:val="20"/>
            <w:szCs w:val="20"/>
          </w:rPr>
          <w:instrText xml:space="preserve"> PAGE   \* MERGEFORMAT </w:instrText>
        </w:r>
        <w:r w:rsidRPr="00CA6A74">
          <w:rPr>
            <w:sz w:val="20"/>
            <w:szCs w:val="20"/>
          </w:rPr>
          <w:fldChar w:fldCharType="separate"/>
        </w:r>
        <w:r w:rsidR="00095D9A">
          <w:rPr>
            <w:noProof/>
            <w:sz w:val="20"/>
            <w:szCs w:val="20"/>
          </w:rPr>
          <w:t>169</w:t>
        </w:r>
        <w:r w:rsidRPr="00CA6A74">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897043"/>
      <w:docPartObj>
        <w:docPartGallery w:val="Page Numbers (Bottom of Page)"/>
        <w:docPartUnique/>
      </w:docPartObj>
    </w:sdtPr>
    <w:sdtEndPr>
      <w:rPr>
        <w:noProof/>
      </w:rPr>
    </w:sdtEndPr>
    <w:sdtContent>
      <w:p w:rsidR="00413D74" w:rsidRDefault="00413D74" w:rsidP="00560264">
        <w:pPr>
          <w:pStyle w:val="Footer"/>
        </w:pPr>
        <w:r>
          <w:fldChar w:fldCharType="begin"/>
        </w:r>
        <w:r>
          <w:instrText xml:space="preserve"> PAGE   \* MERGEFORMAT </w:instrText>
        </w:r>
        <w:r>
          <w:fldChar w:fldCharType="separate"/>
        </w:r>
        <w:r w:rsidR="00095D9A">
          <w:rPr>
            <w:noProof/>
          </w:rPr>
          <w:t>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D74" w:rsidRDefault="00413D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CEE" w:rsidRDefault="00130CEE" w:rsidP="00C62F39">
      <w:pPr>
        <w:jc w:val="left"/>
      </w:pPr>
      <w:r>
        <w:separator/>
      </w:r>
    </w:p>
  </w:footnote>
  <w:footnote w:type="continuationSeparator" w:id="0">
    <w:p w:rsidR="00130CEE" w:rsidRDefault="00130CEE" w:rsidP="007A0744">
      <w:r>
        <w:continuationSeparator/>
      </w:r>
    </w:p>
  </w:footnote>
  <w:footnote w:id="1">
    <w:p w:rsidR="00413D74" w:rsidRPr="007643D6" w:rsidRDefault="00413D74" w:rsidP="00B44FFF">
      <w:pPr>
        <w:pStyle w:val="FootnoteText"/>
        <w:spacing w:line="240" w:lineRule="auto"/>
        <w:jc w:val="left"/>
      </w:pPr>
      <w:r>
        <w:rPr>
          <w:rStyle w:val="FootnoteReference"/>
        </w:rPr>
        <w:footnoteRef/>
      </w:r>
      <w:r>
        <w:t xml:space="preserve"> </w:t>
      </w:r>
      <w:r>
        <w:tab/>
      </w:r>
      <w:r>
        <w:rPr>
          <w:i/>
        </w:rPr>
        <w:t>Electricity Generation Customer Choice and Competition Act,</w:t>
      </w:r>
      <w:r>
        <w:t xml:space="preserve"> Act 138 of 1996, as amended by Act 129 of 2008, codified at 66 Pa. C.S. § 2801 </w:t>
      </w:r>
      <w:r>
        <w:rPr>
          <w:i/>
        </w:rPr>
        <w:t>et seq.</w:t>
      </w:r>
    </w:p>
  </w:footnote>
  <w:footnote w:id="2">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 xml:space="preserve">PPL Electric MB fn 24:  The term “full requirements” means that the wholesale supplier is responsible to provide energy, capacity, transmission (other than Non-market-based Transmission Services), ancillary services, transmission and distribution losses, congestion management costs, and such other services or products that are required to supply Default Service to PPL Electric’s default customers, including AEPS credits.  </w:t>
      </w:r>
      <w:proofErr w:type="gramStart"/>
      <w:r>
        <w:rPr>
          <w:sz w:val="20"/>
        </w:rPr>
        <w:t>(PPL Electric St. 1, p. 6).</w:t>
      </w:r>
      <w:proofErr w:type="gramEnd"/>
    </w:p>
  </w:footnote>
  <w:footnote w:id="3">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25:  See PPL Electric Ex. JC-4A.</w:t>
      </w:r>
    </w:p>
  </w:footnote>
  <w:footnote w:id="4">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 xml:space="preserve">PPL Electric MB fn 26:  In order to achieve the laddering effect following PPL Electric’s one-year CBP, and to coincide with the PJM year, the 12- and 24-month fixed price full requirements contracts were preceded by contracts with terms varying from 5 months to 26 months.  </w:t>
      </w:r>
      <w:proofErr w:type="gramStart"/>
      <w:r>
        <w:rPr>
          <w:sz w:val="20"/>
        </w:rPr>
        <w:t>(PPL Electric Ex. JC-1).</w:t>
      </w:r>
      <w:proofErr w:type="gramEnd"/>
      <w:r>
        <w:rPr>
          <w:sz w:val="20"/>
        </w:rPr>
        <w:t xml:space="preserve">  The spot market full-requirements, load-following contracts are purchased once per year, effective June 1.  </w:t>
      </w:r>
      <w:proofErr w:type="gramStart"/>
      <w:r>
        <w:rPr>
          <w:sz w:val="20"/>
        </w:rPr>
        <w:t>(PPL Electric Ex. JC-1).</w:t>
      </w:r>
      <w:proofErr w:type="gramEnd"/>
    </w:p>
  </w:footnote>
  <w:footnote w:id="5">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The components of the cost buildup included the cost of energy based upon block products plus a load-shaping adjustment, the cost of capacity, the cost of ancillary services and the cost of Alternative Energy Credits.  PPL Electric Stmt. 2 at 30-31.</w:t>
      </w:r>
    </w:p>
  </w:footnote>
  <w:footnote w:id="6">
    <w:p w:rsidR="00413D74" w:rsidRDefault="00413D74" w:rsidP="00C64657">
      <w:pPr>
        <w:pStyle w:val="FootnoteText"/>
        <w:spacing w:line="240" w:lineRule="auto"/>
        <w:jc w:val="both"/>
        <w:rPr>
          <w:sz w:val="20"/>
        </w:rPr>
      </w:pPr>
      <w:r>
        <w:rPr>
          <w:rStyle w:val="FootnoteReference"/>
          <w:sz w:val="20"/>
        </w:rPr>
        <w:footnoteRef/>
      </w:r>
      <w:r>
        <w:rPr>
          <w:sz w:val="20"/>
        </w:rPr>
        <w:t xml:space="preserve"> </w:t>
      </w:r>
      <w:r>
        <w:rPr>
          <w:sz w:val="20"/>
        </w:rPr>
        <w:tab/>
        <w:t xml:space="preserve">The Commission rejected a similar OCA proposal to hold back a portion of default service procurements in the FirstEnergy Companies’ default procurement case.  </w:t>
      </w:r>
      <w:r>
        <w:rPr>
          <w:i/>
          <w:sz w:val="20"/>
        </w:rPr>
        <w:t>See Joint Petition of Metropolitan Edison Company, et al., For Approval of Their Default Service Plans</w:t>
      </w:r>
      <w:r>
        <w:rPr>
          <w:sz w:val="20"/>
        </w:rPr>
        <w:t xml:space="preserve">, Docket No. </w:t>
      </w:r>
      <w:proofErr w:type="gramStart"/>
      <w:r>
        <w:rPr>
          <w:sz w:val="20"/>
        </w:rPr>
        <w:t>P-2011-2273650 at pp. 27-29, 2012 Pa. PUC LEXIS 1348 at *43-47 (August 16, 2012) (“</w:t>
      </w:r>
      <w:r>
        <w:rPr>
          <w:i/>
          <w:sz w:val="20"/>
        </w:rPr>
        <w:t>FirstEnergy Order</w:t>
      </w:r>
      <w:r>
        <w:rPr>
          <w:sz w:val="20"/>
        </w:rPr>
        <w:t>”).</w:t>
      </w:r>
      <w:proofErr w:type="gramEnd"/>
    </w:p>
  </w:footnote>
  <w:footnote w:id="7">
    <w:p w:rsidR="00413D74" w:rsidRDefault="00413D74" w:rsidP="00C64657">
      <w:pPr>
        <w:pStyle w:val="FootnoteText"/>
        <w:spacing w:line="240" w:lineRule="auto"/>
        <w:jc w:val="both"/>
        <w:rPr>
          <w:sz w:val="20"/>
        </w:rPr>
      </w:pPr>
      <w:r>
        <w:rPr>
          <w:rStyle w:val="FootnoteReference"/>
          <w:sz w:val="20"/>
        </w:rPr>
        <w:footnoteRef/>
      </w:r>
      <w:r>
        <w:rPr>
          <w:sz w:val="20"/>
        </w:rPr>
        <w:t xml:space="preserve"> </w:t>
      </w:r>
      <w:r>
        <w:rPr>
          <w:sz w:val="20"/>
        </w:rPr>
        <w:tab/>
      </w:r>
      <w:r>
        <w:rPr>
          <w:i/>
          <w:sz w:val="20"/>
        </w:rPr>
        <w:t>Default Service Final Rulemaking Order</w:t>
      </w:r>
      <w:r>
        <w:rPr>
          <w:sz w:val="20"/>
        </w:rPr>
        <w:t>, pp. 40-41.</w:t>
      </w:r>
    </w:p>
  </w:footnote>
  <w:footnote w:id="8">
    <w:p w:rsidR="00413D74" w:rsidRDefault="00413D74" w:rsidP="00C64657">
      <w:pPr>
        <w:pStyle w:val="FootnoteText"/>
        <w:spacing w:line="240" w:lineRule="auto"/>
        <w:jc w:val="both"/>
        <w:rPr>
          <w:sz w:val="20"/>
        </w:rPr>
      </w:pPr>
      <w:r>
        <w:rPr>
          <w:rStyle w:val="FootnoteReference"/>
          <w:sz w:val="20"/>
        </w:rPr>
        <w:footnoteRef/>
      </w:r>
      <w:r>
        <w:rPr>
          <w:sz w:val="20"/>
        </w:rPr>
        <w:t xml:space="preserve"> </w:t>
      </w:r>
      <w:r>
        <w:rPr>
          <w:sz w:val="20"/>
        </w:rPr>
        <w:tab/>
        <w:t xml:space="preserve">RESA has proposed that procurements be undertaken two months in advance of the start date of delivery, which is longer than PPL Electric’s proposal for 12-month term contracts.  </w:t>
      </w:r>
      <w:proofErr w:type="gramStart"/>
      <w:r>
        <w:rPr>
          <w:sz w:val="20"/>
        </w:rPr>
        <w:t>RESA Stmt. 1 at 14.</w:t>
      </w:r>
      <w:proofErr w:type="gramEnd"/>
    </w:p>
  </w:footnote>
  <w:footnote w:id="9">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 xml:space="preserve">In the </w:t>
      </w:r>
      <w:r>
        <w:rPr>
          <w:i/>
          <w:sz w:val="20"/>
        </w:rPr>
        <w:t>FirstEnergy Order</w:t>
      </w:r>
      <w:r>
        <w:rPr>
          <w:sz w:val="20"/>
        </w:rPr>
        <w:t xml:space="preserve">, the Commission authorized procurements for one year and two year full requirements load following contracts up to five months prior to the time the FirstEnergy Companies were scheduled to first receive supply under those contracts.  </w:t>
      </w:r>
      <w:proofErr w:type="gramStart"/>
      <w:r>
        <w:rPr>
          <w:i/>
          <w:sz w:val="20"/>
        </w:rPr>
        <w:t>FirstEnergy Order</w:t>
      </w:r>
      <w:r>
        <w:rPr>
          <w:sz w:val="20"/>
        </w:rPr>
        <w:t xml:space="preserve"> at 26.</w:t>
      </w:r>
      <w:proofErr w:type="gramEnd"/>
    </w:p>
  </w:footnote>
  <w:footnote w:id="10">
    <w:p w:rsidR="00413D74" w:rsidRDefault="00413D74" w:rsidP="00C64657">
      <w:pPr>
        <w:pStyle w:val="FootnoteText"/>
        <w:spacing w:line="240" w:lineRule="auto"/>
        <w:jc w:val="both"/>
        <w:rPr>
          <w:sz w:val="20"/>
        </w:rPr>
      </w:pPr>
      <w:r>
        <w:rPr>
          <w:rStyle w:val="FootnoteReference"/>
          <w:sz w:val="20"/>
        </w:rPr>
        <w:footnoteRef/>
      </w:r>
      <w:r>
        <w:rPr>
          <w:sz w:val="20"/>
        </w:rPr>
        <w:t xml:space="preserve"> </w:t>
      </w:r>
      <w:r>
        <w:rPr>
          <w:sz w:val="20"/>
        </w:rPr>
        <w:tab/>
        <w:t xml:space="preserve">NERA is the administrator for various other EDCs’ default service procurements in Pennsylvania.  </w:t>
      </w:r>
      <w:proofErr w:type="gramStart"/>
      <w:r>
        <w:rPr>
          <w:sz w:val="20"/>
        </w:rPr>
        <w:t>(PPL Electric Ex. 1, p. 36).</w:t>
      </w:r>
      <w:proofErr w:type="gramEnd"/>
    </w:p>
  </w:footnote>
  <w:footnote w:id="11">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 xml:space="preserve">NERA is responsible for initial bidder qualifications, running the bidder information session, overseeing responses to bidder information questions, preparing a pre-bid evaluation report for the Commission, running the procurement, identifying winning bidders, and preparing a post-bid report to the Commission.  </w:t>
      </w:r>
      <w:proofErr w:type="gramStart"/>
      <w:r>
        <w:rPr>
          <w:sz w:val="20"/>
        </w:rPr>
        <w:t>PPL Electric Stmt. 1-RJ at 2.</w:t>
      </w:r>
      <w:proofErr w:type="gramEnd"/>
      <w:r>
        <w:rPr>
          <w:sz w:val="20"/>
        </w:rPr>
        <w:t xml:space="preserve">  By having the solicitation run by an independent procurement manager, the Commission is provided assurance that the bid process is run fairly and objectively, without the concern of any favoritism in the selection of winning bidders.  Moreover, the Commission receives expert pre- and post-bid evaluations, again prepared by an independent party, that facilitate the Commission’s one-day review of bid results.  </w:t>
      </w:r>
    </w:p>
  </w:footnote>
  <w:footnote w:id="12">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 xml:space="preserve">FES indicated in rebuttal that it supports a complete elimination of any wholesale supplier load cap, but acknowledged it did not oppose PPL Electric’s proposal to retain the 85% Solicitation Load Cap.  </w:t>
      </w:r>
      <w:proofErr w:type="gramStart"/>
      <w:r>
        <w:rPr>
          <w:sz w:val="20"/>
        </w:rPr>
        <w:t>FES Stmt. 1-R at 16.</w:t>
      </w:r>
      <w:proofErr w:type="gramEnd"/>
    </w:p>
  </w:footnote>
  <w:footnote w:id="13">
    <w:p w:rsidR="00413D74" w:rsidRDefault="00413D74" w:rsidP="00C64657">
      <w:pPr>
        <w:pStyle w:val="FootnoteText"/>
        <w:spacing w:line="240" w:lineRule="auto"/>
        <w:jc w:val="left"/>
        <w:rPr>
          <w:sz w:val="20"/>
        </w:rPr>
      </w:pPr>
      <w:r>
        <w:rPr>
          <w:rStyle w:val="FootnoteReference"/>
          <w:sz w:val="20"/>
        </w:rPr>
        <w:footnoteRef/>
      </w:r>
      <w:r>
        <w:rPr>
          <w:sz w:val="20"/>
        </w:rPr>
        <w:t xml:space="preserve"> </w:t>
      </w:r>
      <w:r>
        <w:rPr>
          <w:sz w:val="20"/>
        </w:rPr>
        <w:tab/>
        <w:t>The Commission has previously approved the use of a single product to provide default service to a single customer class (see the default service procurement for the Large C&amp;I class under the DSP I Program).</w:t>
      </w:r>
    </w:p>
  </w:footnote>
  <w:footnote w:id="14">
    <w:p w:rsidR="00413D74" w:rsidRPr="00C2794C" w:rsidRDefault="00413D74" w:rsidP="000239DA">
      <w:pPr>
        <w:pStyle w:val="FootnoteText"/>
        <w:spacing w:line="240" w:lineRule="auto"/>
        <w:jc w:val="left"/>
        <w:rPr>
          <w:sz w:val="20"/>
        </w:rPr>
      </w:pPr>
      <w:r>
        <w:rPr>
          <w:rStyle w:val="FootnoteReference"/>
        </w:rPr>
        <w:footnoteRef/>
      </w:r>
      <w:r>
        <w:t xml:space="preserve"> </w:t>
      </w:r>
      <w:r>
        <w:tab/>
      </w:r>
      <w:r w:rsidRPr="00C2794C">
        <w:rPr>
          <w:sz w:val="20"/>
        </w:rPr>
        <w:t>OCA introduced the concept of a lower load cap in evidence but did not pursue it in its Brief, OCA MB at 21; therefore, its recommendation had been dropped.</w:t>
      </w:r>
    </w:p>
  </w:footnote>
  <w:footnote w:id="15">
    <w:p w:rsidR="00413D74" w:rsidRDefault="00413D74" w:rsidP="00C64657">
      <w:pPr>
        <w:pStyle w:val="FootnoteText"/>
        <w:spacing w:line="240" w:lineRule="auto"/>
        <w:contextualSpacing/>
        <w:jc w:val="both"/>
        <w:rPr>
          <w:sz w:val="20"/>
        </w:rPr>
      </w:pPr>
      <w:r>
        <w:rPr>
          <w:rStyle w:val="FootnoteReference"/>
          <w:sz w:val="20"/>
        </w:rPr>
        <w:footnoteRef/>
      </w:r>
      <w:r>
        <w:rPr>
          <w:sz w:val="20"/>
        </w:rPr>
        <w:t xml:space="preserve">  </w:t>
      </w:r>
      <w:r>
        <w:rPr>
          <w:sz w:val="20"/>
        </w:rPr>
        <w:tab/>
      </w:r>
      <w:r>
        <w:rPr>
          <w:i/>
          <w:sz w:val="20"/>
        </w:rPr>
        <w:t xml:space="preserve">See </w:t>
      </w:r>
      <w:r>
        <w:rPr>
          <w:sz w:val="20"/>
        </w:rPr>
        <w:t xml:space="preserve">Constellation Stmt. 1 at 14 (providing examples of the various types of products and services available to large customers in the competitive retail market). </w:t>
      </w:r>
    </w:p>
  </w:footnote>
  <w:footnote w:id="16">
    <w:p w:rsidR="00413D74" w:rsidRDefault="00413D74" w:rsidP="00C64657">
      <w:pPr>
        <w:pStyle w:val="FootnoteText"/>
        <w:spacing w:line="240" w:lineRule="auto"/>
        <w:jc w:val="both"/>
        <w:rPr>
          <w:sz w:val="20"/>
        </w:rPr>
      </w:pPr>
      <w:r>
        <w:rPr>
          <w:rStyle w:val="FootnoteReference"/>
          <w:sz w:val="20"/>
        </w:rPr>
        <w:footnoteRef/>
      </w:r>
      <w:r>
        <w:rPr>
          <w:sz w:val="20"/>
        </w:rPr>
        <w:t xml:space="preserve"> </w:t>
      </w:r>
      <w:r>
        <w:rPr>
          <w:sz w:val="20"/>
        </w:rPr>
        <w:tab/>
        <w:t>The Large C&amp;I real time hourly rate contracts are one-year term contracts which would expire on May 31, 2015, and therefore there is no issue regarding extension of these terms beyond May 31, 2015.  PPL Electric Ex. 1, Appendix B, Article 1.1.10.</w:t>
      </w:r>
    </w:p>
  </w:footnote>
  <w:footnote w:id="17">
    <w:p w:rsidR="00413D74" w:rsidRDefault="00413D74" w:rsidP="00C64657">
      <w:pPr>
        <w:pStyle w:val="FootnoteText"/>
        <w:jc w:val="both"/>
        <w:rPr>
          <w:sz w:val="20"/>
        </w:rPr>
      </w:pPr>
      <w:r>
        <w:rPr>
          <w:rStyle w:val="FootnoteReference"/>
          <w:sz w:val="20"/>
        </w:rPr>
        <w:footnoteRef/>
      </w:r>
      <w:r>
        <w:rPr>
          <w:sz w:val="20"/>
        </w:rPr>
        <w:t xml:space="preserve"> </w:t>
      </w:r>
      <w:r>
        <w:rPr>
          <w:sz w:val="20"/>
        </w:rPr>
        <w:tab/>
        <w:t>At Public Meeting held September 27, 2012, the Commission released a proposal for end-state default service.</w:t>
      </w:r>
    </w:p>
  </w:footnote>
  <w:footnote w:id="18">
    <w:p w:rsidR="00413D74" w:rsidRDefault="00413D74" w:rsidP="00C50B37">
      <w:pPr>
        <w:pStyle w:val="FootnoteText"/>
        <w:spacing w:line="240" w:lineRule="auto"/>
        <w:contextualSpacing/>
        <w:jc w:val="left"/>
        <w:rPr>
          <w:sz w:val="20"/>
        </w:rPr>
      </w:pPr>
      <w:r>
        <w:rPr>
          <w:rStyle w:val="FootnoteReference"/>
          <w:sz w:val="20"/>
        </w:rPr>
        <w:footnoteRef/>
      </w:r>
      <w:r>
        <w:rPr>
          <w:sz w:val="20"/>
        </w:rPr>
        <w:tab/>
        <w:t xml:space="preserve">Under the separate solar procurement process adopted as a modification to the DSP I Program, the Company already has contracted for Tier I solar AECs to cover the 10-year block product for the term of DSP II Program.  </w:t>
      </w:r>
      <w:proofErr w:type="gramStart"/>
      <w:r>
        <w:rPr>
          <w:sz w:val="20"/>
        </w:rPr>
        <w:t>PPL Electric Stmt. 1 at 15.</w:t>
      </w:r>
      <w:proofErr w:type="gramEnd"/>
    </w:p>
  </w:footnote>
  <w:footnote w:id="19">
    <w:p w:rsidR="00413D74" w:rsidRDefault="00413D74" w:rsidP="00466DFE">
      <w:pPr>
        <w:pStyle w:val="FootnoteText"/>
        <w:spacing w:line="240" w:lineRule="auto"/>
        <w:contextualSpacing/>
        <w:jc w:val="left"/>
        <w:rPr>
          <w:sz w:val="20"/>
        </w:rPr>
      </w:pPr>
      <w:r>
        <w:rPr>
          <w:rStyle w:val="FootnoteReference"/>
          <w:sz w:val="20"/>
        </w:rPr>
        <w:footnoteRef/>
      </w:r>
      <w:r>
        <w:rPr>
          <w:sz w:val="20"/>
        </w:rPr>
        <w:t xml:space="preserve"> </w:t>
      </w:r>
      <w:r>
        <w:rPr>
          <w:sz w:val="20"/>
        </w:rPr>
        <w:tab/>
        <w:t xml:space="preserve">The generation supply charges under rate schedule GSC-1 and transmission charges borne by PPL Electric and billed on a flat rate per kWh basis to the Residential and Small C&amp;I customer classes under Rate Schedule Transmission Service Charge (“TSC”) are both included in the PTC.  </w:t>
      </w:r>
      <w:proofErr w:type="gramStart"/>
      <w:r>
        <w:rPr>
          <w:sz w:val="20"/>
        </w:rPr>
        <w:t>OSBA Stmt. 1 at 1.</w:t>
      </w:r>
      <w:proofErr w:type="gramEnd"/>
      <w:r>
        <w:rPr>
          <w:sz w:val="20"/>
        </w:rPr>
        <w:t xml:space="preserve">  </w:t>
      </w:r>
    </w:p>
  </w:footnote>
  <w:footnote w:id="20">
    <w:p w:rsidR="00413D74" w:rsidRDefault="00413D74" w:rsidP="00466DFE">
      <w:pPr>
        <w:pStyle w:val="FootnoteText"/>
        <w:spacing w:line="240" w:lineRule="auto"/>
        <w:jc w:val="both"/>
        <w:rPr>
          <w:sz w:val="20"/>
        </w:rPr>
      </w:pPr>
      <w:r>
        <w:rPr>
          <w:rStyle w:val="FootnoteReference"/>
          <w:sz w:val="20"/>
        </w:rPr>
        <w:footnoteRef/>
      </w:r>
      <w:r>
        <w:rPr>
          <w:sz w:val="20"/>
        </w:rPr>
        <w:t xml:space="preserve"> </w:t>
      </w:r>
      <w:r>
        <w:rPr>
          <w:sz w:val="20"/>
        </w:rPr>
        <w:tab/>
        <w:t>OCA witness Hahn also expressed a preference for quarterly price changes but testified that he could accept PPL Electric’s proposal to change the PTC semi-annually.  OCA Stmt. 1 at 15-16.</w:t>
      </w:r>
    </w:p>
  </w:footnote>
  <w:footnote w:id="21">
    <w:p w:rsidR="00413D74" w:rsidRDefault="00413D74" w:rsidP="00466DFE">
      <w:pPr>
        <w:pStyle w:val="FootnoteText"/>
        <w:spacing w:line="240" w:lineRule="auto"/>
        <w:contextualSpacing/>
        <w:jc w:val="both"/>
        <w:rPr>
          <w:sz w:val="20"/>
        </w:rPr>
      </w:pPr>
      <w:r>
        <w:rPr>
          <w:rStyle w:val="FootnoteReference"/>
          <w:sz w:val="20"/>
        </w:rPr>
        <w:footnoteRef/>
      </w:r>
      <w:r>
        <w:rPr>
          <w:sz w:val="20"/>
        </w:rPr>
        <w:t xml:space="preserve"> </w:t>
      </w:r>
      <w:r>
        <w:rPr>
          <w:sz w:val="20"/>
        </w:rPr>
        <w:tab/>
        <w:t>PPL Electric MB fn 52:  The customers who are subject to real time hourly pricing under the Company’s generation supply charge</w:t>
      </w:r>
      <w:r>
        <w:rPr>
          <w:sz w:val="20"/>
        </w:rPr>
        <w:noBreakHyphen/>
        <w:t xml:space="preserve">2 (“GSC-2”) are those customers served under Rate Schedules LP-4, IS-P(R), LP-5, LP-6, LPET, IS-P(R) and standby service for those Rate Schedules.  Schedule LP-4 customers who have a peak demand of less than 500 kW are served under the GSC-1 rate and Rate Schedule GS-3 customers who have a peak demand of 500 kW or greater are subject to the GSC-2 hourly default service rate.  </w:t>
      </w:r>
      <w:proofErr w:type="gramStart"/>
      <w:r>
        <w:rPr>
          <w:sz w:val="20"/>
        </w:rPr>
        <w:t>PPL Electric Ex. JMK-2.</w:t>
      </w:r>
      <w:proofErr w:type="gramEnd"/>
    </w:p>
  </w:footnote>
  <w:footnote w:id="22">
    <w:p w:rsidR="00413D74" w:rsidRDefault="00413D74" w:rsidP="00466DFE">
      <w:pPr>
        <w:pStyle w:val="FootnoteText"/>
        <w:spacing w:line="240" w:lineRule="auto"/>
        <w:contextualSpacing/>
        <w:jc w:val="both"/>
        <w:rPr>
          <w:sz w:val="20"/>
        </w:rPr>
      </w:pPr>
      <w:r>
        <w:rPr>
          <w:rStyle w:val="FootnoteReference"/>
          <w:sz w:val="20"/>
        </w:rPr>
        <w:footnoteRef/>
      </w:r>
      <w:r>
        <w:rPr>
          <w:sz w:val="20"/>
        </w:rPr>
        <w:t xml:space="preserve"> </w:t>
      </w:r>
      <w:r>
        <w:rPr>
          <w:sz w:val="20"/>
        </w:rPr>
        <w:tab/>
        <w:t>It is noted that PPL Electric’s proposed default service procurement plan has no procurements for Small C&amp;I customers continuing beyond May 31, 2015, and therefore there would be no issue regarding the definition of Small C&amp;I customers for default service contracts beginning June 1, 2015.</w:t>
      </w:r>
    </w:p>
  </w:footnote>
  <w:footnote w:id="23">
    <w:p w:rsidR="00413D74" w:rsidRDefault="00413D74" w:rsidP="00855F83">
      <w:pPr>
        <w:pStyle w:val="FootnoteText"/>
        <w:spacing w:line="240" w:lineRule="auto"/>
        <w:jc w:val="left"/>
      </w:pPr>
      <w:r>
        <w:rPr>
          <w:rStyle w:val="FootnoteReference"/>
        </w:rPr>
        <w:footnoteRef/>
      </w:r>
      <w:r>
        <w:t xml:space="preserve"> </w:t>
      </w:r>
      <w:r>
        <w:tab/>
      </w:r>
      <w:r w:rsidRPr="00A63B45">
        <w:rPr>
          <w:i/>
        </w:rPr>
        <w:t>F</w:t>
      </w:r>
      <w:r>
        <w:rPr>
          <w:i/>
        </w:rPr>
        <w:t>irst</w:t>
      </w:r>
      <w:r w:rsidRPr="00A63B45">
        <w:rPr>
          <w:i/>
        </w:rPr>
        <w:t>E</w:t>
      </w:r>
      <w:r>
        <w:rPr>
          <w:i/>
        </w:rPr>
        <w:t>nergy</w:t>
      </w:r>
      <w:r w:rsidRPr="00A63B45">
        <w:rPr>
          <w:i/>
        </w:rPr>
        <w:t xml:space="preserve"> Order</w:t>
      </w:r>
      <w:r>
        <w:t>, slip op., p. 98.</w:t>
      </w:r>
    </w:p>
  </w:footnote>
  <w:footnote w:id="24">
    <w:p w:rsidR="00413D74" w:rsidRPr="00466DFE" w:rsidRDefault="00413D74" w:rsidP="00855F83">
      <w:pPr>
        <w:pStyle w:val="FootnoteText"/>
        <w:spacing w:line="240" w:lineRule="auto"/>
        <w:contextualSpacing/>
        <w:jc w:val="left"/>
        <w:rPr>
          <w:sz w:val="20"/>
        </w:rPr>
      </w:pPr>
      <w:r w:rsidRPr="00466DFE">
        <w:rPr>
          <w:rStyle w:val="FootnoteReference"/>
          <w:sz w:val="20"/>
        </w:rPr>
        <w:footnoteRef/>
      </w:r>
      <w:r w:rsidRPr="00466DFE">
        <w:rPr>
          <w:sz w:val="20"/>
        </w:rPr>
        <w:t xml:space="preserve"> </w:t>
      </w:r>
      <w:r w:rsidRPr="00466DFE">
        <w:rPr>
          <w:sz w:val="20"/>
        </w:rPr>
        <w:tab/>
      </w:r>
      <w:r w:rsidRPr="00466DFE">
        <w:rPr>
          <w:i/>
          <w:sz w:val="20"/>
        </w:rPr>
        <w:t>Default Service Reconciliation Interim Guidelines</w:t>
      </w:r>
      <w:r w:rsidRPr="00466DFE">
        <w:rPr>
          <w:sz w:val="20"/>
        </w:rPr>
        <w:t>, Docket No. M-2012-2314313 (Order entered August 14, 2012).</w:t>
      </w:r>
    </w:p>
  </w:footnote>
  <w:footnote w:id="25">
    <w:p w:rsidR="00413D74" w:rsidRPr="00466DFE" w:rsidRDefault="00413D74" w:rsidP="00466DFE">
      <w:pPr>
        <w:pStyle w:val="FootnoteText"/>
        <w:spacing w:line="240" w:lineRule="auto"/>
        <w:contextualSpacing/>
        <w:jc w:val="left"/>
        <w:rPr>
          <w:sz w:val="20"/>
        </w:rPr>
      </w:pPr>
      <w:r w:rsidRPr="00466DFE">
        <w:rPr>
          <w:rStyle w:val="FootnoteReference"/>
          <w:sz w:val="20"/>
        </w:rPr>
        <w:footnoteRef/>
      </w:r>
      <w:r w:rsidRPr="00466DFE">
        <w:rPr>
          <w:sz w:val="20"/>
        </w:rPr>
        <w:t xml:space="preserve"> </w:t>
      </w:r>
      <w:r>
        <w:rPr>
          <w:sz w:val="20"/>
        </w:rPr>
        <w:tab/>
      </w:r>
      <w:r w:rsidRPr="00466DFE">
        <w:rPr>
          <w:i/>
          <w:sz w:val="20"/>
        </w:rPr>
        <w:t>FE Order</w:t>
      </w:r>
      <w:r w:rsidRPr="00466DFE">
        <w:rPr>
          <w:i/>
          <w:sz w:val="20"/>
        </w:rPr>
        <w:fldChar w:fldCharType="begin"/>
      </w:r>
      <w:r w:rsidRPr="00466DFE">
        <w:rPr>
          <w:i/>
          <w:sz w:val="20"/>
        </w:rPr>
        <w:instrText xml:space="preserve"> TA \s "FE Order" </w:instrText>
      </w:r>
      <w:r w:rsidRPr="00466DFE">
        <w:rPr>
          <w:i/>
          <w:sz w:val="20"/>
        </w:rPr>
        <w:fldChar w:fldCharType="end"/>
      </w:r>
      <w:r w:rsidRPr="00466DFE">
        <w:rPr>
          <w:sz w:val="20"/>
        </w:rPr>
        <w:t xml:space="preserve"> at p. 98; </w:t>
      </w:r>
      <w:r w:rsidRPr="00466DFE">
        <w:rPr>
          <w:i/>
          <w:sz w:val="20"/>
        </w:rPr>
        <w:t>PECO Order</w:t>
      </w:r>
      <w:r w:rsidRPr="00466DFE">
        <w:rPr>
          <w:i/>
          <w:sz w:val="20"/>
        </w:rPr>
        <w:fldChar w:fldCharType="begin"/>
      </w:r>
      <w:r w:rsidRPr="00466DFE">
        <w:rPr>
          <w:i/>
          <w:sz w:val="20"/>
        </w:rPr>
        <w:instrText xml:space="preserve"> TA \s "PECO Order" </w:instrText>
      </w:r>
      <w:r w:rsidRPr="00466DFE">
        <w:rPr>
          <w:i/>
          <w:sz w:val="20"/>
        </w:rPr>
        <w:fldChar w:fldCharType="end"/>
      </w:r>
      <w:r w:rsidRPr="00466DFE">
        <w:rPr>
          <w:sz w:val="20"/>
        </w:rPr>
        <w:t xml:space="preserve"> at pp. 52-56</w:t>
      </w:r>
    </w:p>
  </w:footnote>
  <w:footnote w:id="26">
    <w:p w:rsidR="00413D74" w:rsidRDefault="00413D74" w:rsidP="00466DFE">
      <w:pPr>
        <w:pStyle w:val="FootnoteText"/>
        <w:spacing w:line="240" w:lineRule="auto"/>
        <w:contextualSpacing/>
        <w:jc w:val="left"/>
      </w:pPr>
      <w:r w:rsidRPr="00466DFE">
        <w:rPr>
          <w:rStyle w:val="FootnoteReference"/>
          <w:sz w:val="20"/>
        </w:rPr>
        <w:footnoteRef/>
      </w:r>
      <w:r w:rsidRPr="00466DFE">
        <w:rPr>
          <w:sz w:val="20"/>
        </w:rPr>
        <w:t xml:space="preserve"> </w:t>
      </w:r>
      <w:r>
        <w:rPr>
          <w:sz w:val="20"/>
        </w:rPr>
        <w:tab/>
      </w:r>
      <w:r w:rsidRPr="00466DFE">
        <w:rPr>
          <w:i/>
          <w:sz w:val="20"/>
        </w:rPr>
        <w:t>PECO Order</w:t>
      </w:r>
      <w:r w:rsidRPr="00466DFE">
        <w:rPr>
          <w:i/>
          <w:sz w:val="20"/>
        </w:rPr>
        <w:fldChar w:fldCharType="begin"/>
      </w:r>
      <w:r w:rsidRPr="00466DFE">
        <w:rPr>
          <w:i/>
          <w:sz w:val="20"/>
        </w:rPr>
        <w:instrText xml:space="preserve"> TA \s "PECO Order" </w:instrText>
      </w:r>
      <w:r w:rsidRPr="00466DFE">
        <w:rPr>
          <w:i/>
          <w:sz w:val="20"/>
        </w:rPr>
        <w:fldChar w:fldCharType="end"/>
      </w:r>
      <w:r w:rsidRPr="00466DFE">
        <w:rPr>
          <w:sz w:val="20"/>
        </w:rPr>
        <w:t>, at p. 56.</w:t>
      </w:r>
    </w:p>
  </w:footnote>
  <w:footnote w:id="27">
    <w:p w:rsidR="00413D74" w:rsidRDefault="00413D74" w:rsidP="00C50B37">
      <w:pPr>
        <w:pStyle w:val="FootnoteText"/>
        <w:spacing w:line="240" w:lineRule="auto"/>
        <w:contextualSpacing/>
        <w:jc w:val="left"/>
        <w:rPr>
          <w:sz w:val="20"/>
        </w:rPr>
      </w:pPr>
      <w:r>
        <w:rPr>
          <w:rStyle w:val="FootnoteReference"/>
          <w:sz w:val="20"/>
        </w:rPr>
        <w:footnoteRef/>
      </w:r>
      <w:r>
        <w:rPr>
          <w:sz w:val="20"/>
        </w:rPr>
        <w:tab/>
        <w:t xml:space="preserve">These four TSC customer classes were developed as part of a unanimous settlement of the remand of PPL Electric’s 2004 base rate proceeding at Docket No. </w:t>
      </w:r>
      <w:proofErr w:type="gramStart"/>
      <w:r>
        <w:rPr>
          <w:sz w:val="20"/>
        </w:rPr>
        <w:t>R-00049255.</w:t>
      </w:r>
      <w:proofErr w:type="gramEnd"/>
      <w:r>
        <w:rPr>
          <w:sz w:val="20"/>
        </w:rPr>
        <w:t xml:space="preserve">  </w:t>
      </w:r>
      <w:proofErr w:type="gramStart"/>
      <w:r>
        <w:rPr>
          <w:sz w:val="20"/>
        </w:rPr>
        <w:t>(PPL Electric St. 5, p. 10).</w:t>
      </w:r>
      <w:proofErr w:type="gramEnd"/>
      <w:r>
        <w:rPr>
          <w:sz w:val="20"/>
        </w:rPr>
        <w:t xml:space="preserve">  Pursuant to settlement of that proceeding and provisions contained in the TSC tariff, different TSC charges are imposed on the four separate TSC default service customer classes.  </w:t>
      </w:r>
      <w:proofErr w:type="gramStart"/>
      <w:r>
        <w:rPr>
          <w:sz w:val="20"/>
        </w:rPr>
        <w:t>PPL Electric Stmt. 5-R at 13-14; PPL Electric Ex. JMK-3.</w:t>
      </w:r>
      <w:proofErr w:type="gramEnd"/>
    </w:p>
  </w:footnote>
  <w:footnote w:id="28">
    <w:p w:rsidR="00413D74" w:rsidRDefault="00413D74" w:rsidP="00466DFE">
      <w:pPr>
        <w:pStyle w:val="FootnoteText"/>
        <w:spacing w:line="240" w:lineRule="auto"/>
        <w:jc w:val="left"/>
        <w:rPr>
          <w:sz w:val="20"/>
        </w:rPr>
      </w:pPr>
      <w:r>
        <w:rPr>
          <w:rStyle w:val="FootnoteReference"/>
          <w:sz w:val="20"/>
        </w:rPr>
        <w:footnoteRef/>
      </w:r>
      <w:r>
        <w:rPr>
          <w:sz w:val="20"/>
        </w:rPr>
        <w:tab/>
        <w:t xml:space="preserve">Although OSBA witness Knecht asserts that the current structure of the TSC is inequitable and anti-competitive, such claims are not borne out by the high levels of shopping among all customer classes on the PPL Electric system as compared to that experienced on other EDC systems.  </w:t>
      </w:r>
      <w:proofErr w:type="gramStart"/>
      <w:r>
        <w:rPr>
          <w:sz w:val="20"/>
        </w:rPr>
        <w:t>OSBA Stmt. 1 at 6; OSBA Ex. IEc-S1.</w:t>
      </w:r>
      <w:proofErr w:type="gramEnd"/>
    </w:p>
  </w:footnote>
  <w:footnote w:id="29">
    <w:p w:rsidR="00413D74" w:rsidRDefault="00413D74" w:rsidP="00284D23">
      <w:pPr>
        <w:pStyle w:val="FootnoteText"/>
        <w:spacing w:line="240" w:lineRule="auto"/>
        <w:jc w:val="left"/>
        <w:rPr>
          <w:sz w:val="20"/>
        </w:rPr>
      </w:pPr>
      <w:r>
        <w:rPr>
          <w:rStyle w:val="FootnoteReference"/>
          <w:sz w:val="20"/>
        </w:rPr>
        <w:footnoteRef/>
      </w:r>
      <w:r>
        <w:rPr>
          <w:sz w:val="20"/>
        </w:rPr>
        <w:t xml:space="preserve">  </w:t>
      </w:r>
      <w:r>
        <w:rPr>
          <w:sz w:val="20"/>
        </w:rPr>
        <w:tab/>
        <w:t>In May 2011, in response to concerns related to PPL Electric’s final 2010 TSC reconciliation report, the Commission opened a generic investigation at Docket No. M-2011-2239714 to request comments to address the appropriate method to allocate demand costs for purposes of TSC reconciliation.  Comments and/or reply comments have been submitted by various parties including PPL Electric, OCA and OSBA.  No order has been entered in that proceeding.</w:t>
      </w:r>
    </w:p>
  </w:footnote>
  <w:footnote w:id="30">
    <w:p w:rsidR="00413D74" w:rsidRPr="000B3111" w:rsidRDefault="00413D74" w:rsidP="004C1B9A">
      <w:pPr>
        <w:pStyle w:val="FootnoteText"/>
        <w:spacing w:line="240" w:lineRule="auto"/>
        <w:ind w:firstLine="0"/>
        <w:jc w:val="left"/>
        <w:rPr>
          <w:sz w:val="26"/>
          <w:szCs w:val="26"/>
        </w:rPr>
      </w:pPr>
      <w:r>
        <w:rPr>
          <w:sz w:val="26"/>
          <w:szCs w:val="26"/>
        </w:rPr>
        <w:tab/>
      </w:r>
      <w:r w:rsidRPr="000B3111">
        <w:rPr>
          <w:rStyle w:val="FootnoteReference"/>
          <w:sz w:val="26"/>
          <w:szCs w:val="26"/>
        </w:rPr>
        <w:footnoteRef/>
      </w:r>
      <w:r>
        <w:rPr>
          <w:sz w:val="26"/>
          <w:szCs w:val="26"/>
        </w:rPr>
        <w:tab/>
      </w:r>
      <w:r>
        <w:rPr>
          <w:sz w:val="20"/>
        </w:rPr>
        <w:t xml:space="preserve">Commission Order </w:t>
      </w:r>
      <w:proofErr w:type="gramStart"/>
      <w:r>
        <w:rPr>
          <w:sz w:val="20"/>
        </w:rPr>
        <w:t>fn</w:t>
      </w:r>
      <w:proofErr w:type="gramEnd"/>
      <w:r>
        <w:rPr>
          <w:sz w:val="20"/>
        </w:rPr>
        <w:t>:  T</w:t>
      </w:r>
      <w:r w:rsidRPr="004C1B9A">
        <w:rPr>
          <w:sz w:val="20"/>
        </w:rPr>
        <w:t>he residential class undercollection is approximately $1.9 million while the small C&amp;I undercollection is approximately $8,000.  PPL St. No 1 at 8.</w:t>
      </w:r>
      <w:r w:rsidRPr="000B3111">
        <w:rPr>
          <w:sz w:val="26"/>
          <w:szCs w:val="26"/>
        </w:rPr>
        <w:t xml:space="preserve"> </w:t>
      </w:r>
    </w:p>
  </w:footnote>
  <w:footnote w:id="31">
    <w:p w:rsidR="00413D74" w:rsidRDefault="00413D74" w:rsidP="00284D23">
      <w:pPr>
        <w:pStyle w:val="FootnoteText"/>
        <w:spacing w:line="240" w:lineRule="auto"/>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59:  </w:t>
      </w:r>
      <w:r>
        <w:rPr>
          <w:i/>
          <w:sz w:val="20"/>
        </w:rPr>
        <w:t>See Pa. P.U.C. v. PPL Electric Utilities Corporation</w:t>
      </w:r>
      <w:r>
        <w:rPr>
          <w:sz w:val="20"/>
        </w:rPr>
        <w:t>, Docket Number R-00027175, Order Entered April 11, 2002. (</w:t>
      </w:r>
      <w:proofErr w:type="gramStart"/>
      <w:r>
        <w:rPr>
          <w:sz w:val="20"/>
        </w:rPr>
        <w:t>discussing</w:t>
      </w:r>
      <w:proofErr w:type="gramEnd"/>
      <w:r>
        <w:rPr>
          <w:sz w:val="20"/>
        </w:rPr>
        <w:t xml:space="preserve"> the DSR Rider and Residential Service Rate Schedule, which adjusted for seasonal and time-of-day usage). </w:t>
      </w:r>
      <w:r>
        <w:rPr>
          <w:i/>
          <w:sz w:val="20"/>
        </w:rPr>
        <w:t>See Application of Pennsylvania Power &amp; Light Company for Approval of its Restructuring Plan under Section 2806 of the Public Utility Code</w:t>
      </w:r>
      <w:r>
        <w:rPr>
          <w:sz w:val="20"/>
        </w:rPr>
        <w:t xml:space="preserve">, Docket No. </w:t>
      </w:r>
      <w:proofErr w:type="gramStart"/>
      <w:r>
        <w:rPr>
          <w:sz w:val="20"/>
        </w:rPr>
        <w:t>R 00973954 at Para.</w:t>
      </w:r>
      <w:proofErr w:type="gramEnd"/>
      <w:r>
        <w:rPr>
          <w:sz w:val="20"/>
        </w:rPr>
        <w:t xml:space="preserve"> 327, 1998 Pa. P.U.C. LEXIS 129 (Recommended Decision April 1, 1998) (summarizing the Company’s historical TOU-type programs).</w:t>
      </w:r>
    </w:p>
  </w:footnote>
  <w:footnote w:id="32">
    <w:p w:rsidR="00413D74" w:rsidRDefault="00413D74" w:rsidP="00284D23">
      <w:pPr>
        <w:pStyle w:val="FootnoteText"/>
        <w:spacing w:line="240" w:lineRule="auto"/>
        <w:jc w:val="left"/>
        <w:rPr>
          <w:sz w:val="20"/>
        </w:rPr>
      </w:pPr>
      <w:r>
        <w:rPr>
          <w:rStyle w:val="FootnoteReference"/>
          <w:sz w:val="20"/>
        </w:rPr>
        <w:footnoteRef/>
      </w:r>
      <w:r>
        <w:rPr>
          <w:sz w:val="20"/>
        </w:rPr>
        <w:t xml:space="preserve"> </w:t>
      </w:r>
      <w:r>
        <w:rPr>
          <w:sz w:val="20"/>
        </w:rPr>
        <w:tab/>
      </w:r>
      <w:r>
        <w:rPr>
          <w:i/>
          <w:sz w:val="20"/>
        </w:rPr>
        <w:t>Id.</w:t>
      </w:r>
    </w:p>
  </w:footnote>
  <w:footnote w:id="33">
    <w:p w:rsidR="00413D74" w:rsidRDefault="00413D74" w:rsidP="00284D23">
      <w:pPr>
        <w:pStyle w:val="FootnoteText"/>
        <w:spacing w:line="240" w:lineRule="auto"/>
        <w:jc w:val="both"/>
        <w:rPr>
          <w:sz w:val="20"/>
        </w:rPr>
      </w:pPr>
      <w:r>
        <w:rPr>
          <w:rStyle w:val="FootnoteReference"/>
          <w:sz w:val="20"/>
        </w:rPr>
        <w:footnoteRef/>
      </w:r>
      <w:r>
        <w:rPr>
          <w:sz w:val="20"/>
        </w:rPr>
        <w:t xml:space="preserve"> </w:t>
      </w:r>
      <w:r>
        <w:rPr>
          <w:sz w:val="20"/>
        </w:rPr>
        <w:tab/>
      </w:r>
      <w:r>
        <w:rPr>
          <w:i/>
          <w:sz w:val="20"/>
        </w:rPr>
        <w:t>Pa. P.U.C., v. PPL Electric Utilities Corporation</w:t>
      </w:r>
      <w:r>
        <w:rPr>
          <w:sz w:val="20"/>
        </w:rPr>
        <w:t>, Docket No. R-2011-2264771 at pp. 20, 25, 2012 Pa. P.U.C. LEXIS 1007 (Recommended Decision June 20, 2012).</w:t>
      </w:r>
    </w:p>
  </w:footnote>
  <w:footnote w:id="34">
    <w:p w:rsidR="00413D74" w:rsidRDefault="00413D74" w:rsidP="00284D23">
      <w:pPr>
        <w:pStyle w:val="FootnoteText"/>
        <w:spacing w:line="240" w:lineRule="auto"/>
        <w:jc w:val="both"/>
        <w:rPr>
          <w:sz w:val="20"/>
        </w:rPr>
      </w:pPr>
      <w:r>
        <w:rPr>
          <w:rStyle w:val="FootnoteReference"/>
          <w:sz w:val="20"/>
        </w:rPr>
        <w:footnoteRef/>
      </w:r>
      <w:r>
        <w:rPr>
          <w:sz w:val="20"/>
        </w:rPr>
        <w:t xml:space="preserve"> </w:t>
      </w:r>
      <w:r>
        <w:rPr>
          <w:sz w:val="20"/>
        </w:rPr>
        <w:tab/>
        <w:t xml:space="preserve">This proposal was accepted by the Commission in its August 30, 2012 Order in the 2012 TOU proceeding at Docket No. </w:t>
      </w:r>
      <w:proofErr w:type="gramStart"/>
      <w:r>
        <w:rPr>
          <w:sz w:val="20"/>
        </w:rPr>
        <w:t>R-2011-2264771.</w:t>
      </w:r>
      <w:proofErr w:type="gramEnd"/>
    </w:p>
  </w:footnote>
  <w:footnote w:id="35">
    <w:p w:rsidR="00413D74" w:rsidRDefault="00413D74" w:rsidP="00284D23">
      <w:pPr>
        <w:pStyle w:val="FootnoteText"/>
        <w:spacing w:line="240" w:lineRule="auto"/>
        <w:jc w:val="left"/>
        <w:rPr>
          <w:sz w:val="20"/>
        </w:rPr>
      </w:pPr>
      <w:r>
        <w:rPr>
          <w:rStyle w:val="FootnoteReference"/>
          <w:sz w:val="20"/>
        </w:rPr>
        <w:footnoteRef/>
      </w:r>
      <w:r>
        <w:rPr>
          <w:sz w:val="20"/>
        </w:rPr>
        <w:t xml:space="preserve"> </w:t>
      </w:r>
      <w:r>
        <w:rPr>
          <w:sz w:val="20"/>
        </w:rPr>
        <w:tab/>
        <w:t xml:space="preserve">The Company notes that if this alternative proposal is accepted the Company will need to revise the SMA and RFP filed on May 1, 2011 to account for this new Summer TOU program which will be separately procured.  Furthermore, the Company will need to formulate an SMA and RFP applicable to the Summer TOU program.   </w:t>
      </w:r>
    </w:p>
  </w:footnote>
  <w:footnote w:id="36">
    <w:p w:rsidR="00413D74" w:rsidRDefault="00413D74" w:rsidP="00284D23">
      <w:pPr>
        <w:pStyle w:val="FootnoteText"/>
        <w:spacing w:line="240" w:lineRule="auto"/>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72:  Although SEF’s Easy TOU proposal provided for a 3:30 p.m. to 6:30 a.m. on-peak period, PPL Electric witness Woodruff explained the difficulty of operating a TOU program in half-hour increments on PJM.  </w:t>
      </w:r>
      <w:proofErr w:type="gramStart"/>
      <w:r>
        <w:rPr>
          <w:sz w:val="20"/>
        </w:rPr>
        <w:t>(PPL Electric St. 1-R, pp.).</w:t>
      </w:r>
      <w:proofErr w:type="gramEnd"/>
      <w:r>
        <w:rPr>
          <w:sz w:val="20"/>
        </w:rPr>
        <w:t xml:space="preserve">  Furthermore, SEF explained that “the Easy TOU “on-peak” period could be modified to start at 3:00 PM and at 6:00 PM or as suggested by Mr. Woodruff.”  </w:t>
      </w:r>
      <w:proofErr w:type="gramStart"/>
      <w:r>
        <w:rPr>
          <w:sz w:val="20"/>
        </w:rPr>
        <w:t>(SEF St. 1-SR, p.</w:t>
      </w:r>
      <w:r w:rsidR="002D1175">
        <w:rPr>
          <w:sz w:val="20"/>
        </w:rPr>
        <w:t> </w:t>
      </w:r>
      <w:r>
        <w:rPr>
          <w:sz w:val="20"/>
        </w:rPr>
        <w:t>9).</w:t>
      </w:r>
      <w:proofErr w:type="gramEnd"/>
    </w:p>
  </w:footnote>
  <w:footnote w:id="37">
    <w:p w:rsidR="00413D74" w:rsidRDefault="00413D74" w:rsidP="00284D23">
      <w:pPr>
        <w:pStyle w:val="FootnoteText"/>
        <w:spacing w:line="240" w:lineRule="auto"/>
        <w:contextualSpacing/>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73:  </w:t>
      </w:r>
      <w:r>
        <w:rPr>
          <w:i/>
          <w:sz w:val="20"/>
        </w:rPr>
        <w:t>See also,</w:t>
      </w:r>
      <w:r>
        <w:rPr>
          <w:sz w:val="20"/>
        </w:rPr>
        <w:t xml:space="preserve"> OSBA St. 1, pp. 10-11 (while OSBA </w:t>
      </w:r>
      <w:r>
        <w:rPr>
          <w:color w:val="000000"/>
          <w:sz w:val="20"/>
          <w:lang w:val="x-none"/>
        </w:rPr>
        <w:t>supports the Company’s TOU it does note that</w:t>
      </w:r>
      <w:r>
        <w:rPr>
          <w:color w:val="000000"/>
          <w:sz w:val="20"/>
        </w:rPr>
        <w:t xml:space="preserve"> it</w:t>
      </w:r>
      <w:r>
        <w:rPr>
          <w:color w:val="000000"/>
          <w:sz w:val="20"/>
          <w:lang w:val="x-none"/>
        </w:rPr>
        <w:t xml:space="preserve"> makes little sense to have different on-peak periods for the Residential and Small C&amp;I classes</w:t>
      </w:r>
      <w:r>
        <w:rPr>
          <w:color w:val="000000"/>
          <w:sz w:val="20"/>
        </w:rPr>
        <w:t>)</w:t>
      </w:r>
      <w:r>
        <w:rPr>
          <w:color w:val="000000"/>
          <w:sz w:val="20"/>
          <w:lang w:val="x-none"/>
        </w:rPr>
        <w:t xml:space="preserve">. </w:t>
      </w:r>
    </w:p>
  </w:footnote>
  <w:footnote w:id="38">
    <w:p w:rsidR="00413D74" w:rsidRDefault="00413D74" w:rsidP="00284D23">
      <w:pPr>
        <w:pStyle w:val="FootnoteText"/>
        <w:spacing w:line="240" w:lineRule="auto"/>
        <w:contextualSpacing/>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74:  In the event that the Company is not able to procure supply for the Summer TOU load, it will not offer the Summer TOU rate option to customers and will return to the Commission with a new proposal.</w:t>
      </w:r>
    </w:p>
  </w:footnote>
  <w:footnote w:id="39">
    <w:p w:rsidR="00413D74" w:rsidRDefault="00413D74" w:rsidP="00BD7119">
      <w:pPr>
        <w:pStyle w:val="FootnoteText"/>
        <w:spacing w:line="240" w:lineRule="auto"/>
        <w:contextualSpacing/>
        <w:jc w:val="left"/>
        <w:rPr>
          <w:sz w:val="20"/>
        </w:rPr>
      </w:pPr>
      <w:r>
        <w:rPr>
          <w:rStyle w:val="FootnoteReference"/>
          <w:sz w:val="20"/>
        </w:rPr>
        <w:footnoteRef/>
      </w:r>
      <w:r>
        <w:rPr>
          <w:sz w:val="20"/>
        </w:rPr>
        <w:t xml:space="preserve"> </w:t>
      </w:r>
      <w:r>
        <w:rPr>
          <w:sz w:val="20"/>
        </w:rPr>
        <w:tab/>
        <w:t xml:space="preserve">PPL Electric further notes that if an Opt-In Auction process is used, a separate auction process would be necessary to solicit Small </w:t>
      </w:r>
      <w:proofErr w:type="gramStart"/>
      <w:r>
        <w:rPr>
          <w:sz w:val="20"/>
        </w:rPr>
        <w:t>C&amp;I</w:t>
      </w:r>
      <w:proofErr w:type="gramEnd"/>
      <w:r>
        <w:rPr>
          <w:sz w:val="20"/>
        </w:rPr>
        <w:t xml:space="preserve"> customers because of customer class differences.  PPL Electric Stmt. 4-R at 27-28.  A separate auction process would add further costs.</w:t>
      </w:r>
    </w:p>
  </w:footnote>
  <w:footnote w:id="40">
    <w:p w:rsidR="00413D74" w:rsidRDefault="00413D74" w:rsidP="008F547E">
      <w:pPr>
        <w:pStyle w:val="FootnoteText"/>
        <w:jc w:val="both"/>
        <w:rPr>
          <w:sz w:val="20"/>
        </w:rPr>
      </w:pPr>
      <w:r>
        <w:rPr>
          <w:rStyle w:val="FootnoteReference"/>
          <w:sz w:val="20"/>
        </w:rPr>
        <w:footnoteRef/>
      </w:r>
      <w:r>
        <w:rPr>
          <w:sz w:val="20"/>
        </w:rPr>
        <w:t xml:space="preserve"> </w:t>
      </w:r>
      <w:r>
        <w:rPr>
          <w:sz w:val="20"/>
        </w:rPr>
        <w:tab/>
        <w:t>This recommendation is irrelevant if an aggregation program is adopted.</w:t>
      </w:r>
    </w:p>
  </w:footnote>
  <w:footnote w:id="41">
    <w:p w:rsidR="00413D74" w:rsidRDefault="00413D74" w:rsidP="00225E14">
      <w:pPr>
        <w:pStyle w:val="FootnoteText"/>
        <w:spacing w:line="240" w:lineRule="auto"/>
        <w:jc w:val="both"/>
        <w:rPr>
          <w:sz w:val="20"/>
        </w:rPr>
      </w:pPr>
      <w:r>
        <w:rPr>
          <w:rStyle w:val="FootnoteReference"/>
          <w:sz w:val="20"/>
        </w:rPr>
        <w:footnoteRef/>
      </w:r>
      <w:r>
        <w:rPr>
          <w:sz w:val="20"/>
        </w:rPr>
        <w:t xml:space="preserve"> </w:t>
      </w:r>
      <w:r>
        <w:rPr>
          <w:sz w:val="20"/>
        </w:rPr>
        <w:tab/>
        <w:t xml:space="preserve">PPL Electric estimates $1 per mailing piece.  </w:t>
      </w:r>
      <w:proofErr w:type="gramStart"/>
      <w:r>
        <w:rPr>
          <w:sz w:val="20"/>
        </w:rPr>
        <w:t>PPL Electric MB at 132-33.</w:t>
      </w:r>
      <w:proofErr w:type="gramEnd"/>
    </w:p>
  </w:footnote>
  <w:footnote w:id="42">
    <w:p w:rsidR="00413D74" w:rsidRDefault="00413D74" w:rsidP="00225E14">
      <w:pPr>
        <w:pStyle w:val="FootnoteText"/>
        <w:spacing w:line="240" w:lineRule="auto"/>
        <w:jc w:val="both"/>
        <w:rPr>
          <w:sz w:val="20"/>
        </w:rPr>
      </w:pPr>
      <w:r>
        <w:rPr>
          <w:rStyle w:val="FootnoteReference"/>
          <w:sz w:val="20"/>
        </w:rPr>
        <w:footnoteRef/>
      </w:r>
      <w:r>
        <w:rPr>
          <w:sz w:val="20"/>
        </w:rPr>
        <w:t xml:space="preserve"> </w:t>
      </w:r>
      <w:r>
        <w:rPr>
          <w:sz w:val="20"/>
        </w:rPr>
        <w:tab/>
        <w:t xml:space="preserve">PPL Electric’s high level of shopping to date also should be considered in measuring the success of the Opt </w:t>
      </w:r>
      <w:proofErr w:type="gramStart"/>
      <w:r>
        <w:rPr>
          <w:sz w:val="20"/>
        </w:rPr>
        <w:t>In</w:t>
      </w:r>
      <w:proofErr w:type="gramEnd"/>
      <w:r>
        <w:rPr>
          <w:sz w:val="20"/>
        </w:rPr>
        <w:t xml:space="preserve"> Program.</w:t>
      </w:r>
    </w:p>
  </w:footnote>
  <w:footnote w:id="43">
    <w:p w:rsidR="00413D74" w:rsidRDefault="00413D74" w:rsidP="00225E14">
      <w:pPr>
        <w:pStyle w:val="FootnoteText"/>
        <w:jc w:val="left"/>
        <w:rPr>
          <w:sz w:val="20"/>
        </w:rPr>
      </w:pPr>
      <w:r>
        <w:rPr>
          <w:rStyle w:val="FootnoteReference"/>
          <w:sz w:val="20"/>
        </w:rPr>
        <w:footnoteRef/>
      </w:r>
      <w:r>
        <w:rPr>
          <w:sz w:val="20"/>
        </w:rPr>
        <w:t xml:space="preserve"> </w:t>
      </w:r>
      <w:r>
        <w:rPr>
          <w:sz w:val="20"/>
        </w:rPr>
        <w:tab/>
        <w:t>This recommendation is irrelevant if an aggregation program is adopted.</w:t>
      </w:r>
    </w:p>
  </w:footnote>
  <w:footnote w:id="44">
    <w:p w:rsidR="00413D74" w:rsidRDefault="00413D74" w:rsidP="008F547E">
      <w:pPr>
        <w:pStyle w:val="FootnoteText"/>
        <w:spacing w:line="240" w:lineRule="auto"/>
        <w:contextualSpacing/>
        <w:jc w:val="left"/>
        <w:rPr>
          <w:sz w:val="20"/>
        </w:rPr>
      </w:pPr>
      <w:r>
        <w:rPr>
          <w:rStyle w:val="FootnoteReference"/>
          <w:sz w:val="20"/>
        </w:rPr>
        <w:footnoteRef/>
      </w:r>
      <w:r>
        <w:rPr>
          <w:sz w:val="20"/>
        </w:rPr>
        <w:tab/>
        <w:t xml:space="preserve">The Company is not proposing at this time to continue the program beyond June 1, 2015, pending a final determination of the Commission with regard to end-state default service.  </w:t>
      </w:r>
    </w:p>
  </w:footnote>
  <w:footnote w:id="45">
    <w:p w:rsidR="00413D74" w:rsidRDefault="00413D74" w:rsidP="006113E4">
      <w:pPr>
        <w:pStyle w:val="FootnoteText"/>
        <w:spacing w:line="240" w:lineRule="auto"/>
        <w:jc w:val="left"/>
        <w:rPr>
          <w:sz w:val="20"/>
        </w:rPr>
      </w:pPr>
      <w:r>
        <w:rPr>
          <w:rStyle w:val="FootnoteReference"/>
          <w:sz w:val="20"/>
        </w:rPr>
        <w:footnoteRef/>
      </w:r>
      <w:r>
        <w:rPr>
          <w:sz w:val="20"/>
        </w:rPr>
        <w:tab/>
        <w:t xml:space="preserve">This potentially could lead to the perverse consequence that customers may seek to leave their current EDC to go on default service for a period of time and then be eligible for the Standard Offer Referral Program.  </w:t>
      </w:r>
    </w:p>
  </w:footnote>
  <w:footnote w:id="46">
    <w:p w:rsidR="00413D74" w:rsidRDefault="00413D74" w:rsidP="00D67008">
      <w:pPr>
        <w:pStyle w:val="FootnoteText"/>
        <w:spacing w:line="240" w:lineRule="auto"/>
        <w:contextualSpacing/>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46:  As further evidence of PPL Electric’s good faith efforts in this regard, PPL Electric affirmatively advised bidders in late 2011 about the possibility of market enhancements being adopted in the RMI, in order that such bidders were fully informed about this risk before bidding.  </w:t>
      </w:r>
      <w:proofErr w:type="gramStart"/>
      <w:r>
        <w:rPr>
          <w:sz w:val="20"/>
        </w:rPr>
        <w:t>(PPL Electric St. 4-R, p.</w:t>
      </w:r>
      <w:r w:rsidR="00281FAA">
        <w:rPr>
          <w:sz w:val="20"/>
        </w:rPr>
        <w:t> </w:t>
      </w:r>
      <w:r>
        <w:rPr>
          <w:sz w:val="20"/>
        </w:rPr>
        <w:t>14).</w:t>
      </w:r>
      <w:proofErr w:type="gramEnd"/>
    </w:p>
  </w:footnote>
  <w:footnote w:id="47">
    <w:p w:rsidR="00413D74" w:rsidRDefault="00413D74" w:rsidP="00D67008">
      <w:pPr>
        <w:pStyle w:val="FootnoteText"/>
        <w:spacing w:line="240" w:lineRule="auto"/>
        <w:contextualSpacing/>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47:  In response to RESA’s assertion that PPL Electric has implemented other programs to encourage shopping that have not disrupted existing contracts, PPL Electric simply notes that such programs are distinguishable from an active program to directly encourage large numbers of customers to shop.  RESA MB, p. 82.</w:t>
      </w:r>
    </w:p>
  </w:footnote>
  <w:footnote w:id="48">
    <w:p w:rsidR="00413D74" w:rsidRDefault="00413D74" w:rsidP="006113E4">
      <w:pPr>
        <w:pStyle w:val="FootnoteText"/>
        <w:spacing w:line="240" w:lineRule="auto"/>
        <w:jc w:val="left"/>
        <w:rPr>
          <w:sz w:val="20"/>
        </w:rPr>
      </w:pPr>
      <w:r>
        <w:rPr>
          <w:rStyle w:val="FootnoteReference"/>
          <w:sz w:val="20"/>
        </w:rPr>
        <w:footnoteRef/>
      </w:r>
      <w:r>
        <w:rPr>
          <w:sz w:val="20"/>
        </w:rPr>
        <w:t xml:space="preserve"> </w:t>
      </w:r>
      <w:r>
        <w:rPr>
          <w:sz w:val="20"/>
        </w:rPr>
        <w:tab/>
        <w:t xml:space="preserve">PPL Electric MB </w:t>
      </w:r>
      <w:proofErr w:type="gramStart"/>
      <w:r>
        <w:rPr>
          <w:sz w:val="20"/>
        </w:rPr>
        <w:t>fn</w:t>
      </w:r>
      <w:proofErr w:type="gramEnd"/>
      <w:r>
        <w:rPr>
          <w:sz w:val="20"/>
        </w:rPr>
        <w:t xml:space="preserve"> 48:  The question of cost recovery with respect to the Company’s additional Customer Referral Mailing is interrelated with issues concerning whether the Mailing would be merged with the customer education mailings.  </w:t>
      </w:r>
    </w:p>
  </w:footnote>
  <w:footnote w:id="49">
    <w:p w:rsidR="00413D74" w:rsidRDefault="00413D74" w:rsidP="009B2392">
      <w:pPr>
        <w:pStyle w:val="FootnoteText"/>
        <w:spacing w:line="240" w:lineRule="auto"/>
        <w:contextualSpacing/>
        <w:jc w:val="both"/>
        <w:rPr>
          <w:sz w:val="20"/>
        </w:rPr>
      </w:pPr>
      <w:r>
        <w:rPr>
          <w:rStyle w:val="FootnoteReference"/>
          <w:sz w:val="20"/>
        </w:rPr>
        <w:footnoteRef/>
      </w:r>
      <w:r>
        <w:rPr>
          <w:sz w:val="20"/>
        </w:rPr>
        <w:tab/>
        <w:t>PPL Electric Ex. 1, p. 46.</w:t>
      </w:r>
    </w:p>
  </w:footnote>
  <w:footnote w:id="50">
    <w:p w:rsidR="00413D74" w:rsidRDefault="00413D74" w:rsidP="009B2392">
      <w:pPr>
        <w:pStyle w:val="FootnoteText"/>
        <w:spacing w:line="240" w:lineRule="auto"/>
        <w:contextualSpacing/>
        <w:jc w:val="both"/>
        <w:rPr>
          <w:sz w:val="20"/>
        </w:rPr>
      </w:pPr>
      <w:r>
        <w:rPr>
          <w:rStyle w:val="FootnoteReference"/>
          <w:sz w:val="20"/>
        </w:rPr>
        <w:footnoteRef/>
      </w:r>
      <w:r>
        <w:rPr>
          <w:sz w:val="20"/>
        </w:rPr>
        <w:tab/>
        <w:t>PPL Electric Ex. 1, p. 47.</w:t>
      </w:r>
    </w:p>
  </w:footnote>
  <w:footnote w:id="51">
    <w:p w:rsidR="00413D74" w:rsidRDefault="00413D74" w:rsidP="009B2392">
      <w:pPr>
        <w:pStyle w:val="FootnoteText"/>
        <w:spacing w:line="240" w:lineRule="auto"/>
        <w:contextualSpacing/>
        <w:jc w:val="left"/>
        <w:rPr>
          <w:rFonts w:cs="Arial"/>
          <w:sz w:val="20"/>
        </w:rPr>
      </w:pPr>
      <w:r>
        <w:rPr>
          <w:rStyle w:val="FootnoteReference"/>
          <w:rFonts w:cs="Arial"/>
          <w:sz w:val="20"/>
        </w:rPr>
        <w:footnoteRef/>
      </w:r>
      <w:r>
        <w:rPr>
          <w:rFonts w:cs="Arial"/>
          <w:sz w:val="20"/>
        </w:rPr>
        <w:tab/>
      </w:r>
      <w:proofErr w:type="gramStart"/>
      <w:r>
        <w:rPr>
          <w:rFonts w:cs="Arial"/>
          <w:sz w:val="20"/>
        </w:rPr>
        <w:t>52 Pa. Code §§ 54.187, 69.1805.</w:t>
      </w:r>
      <w:proofErr w:type="gramEnd"/>
    </w:p>
  </w:footnote>
  <w:footnote w:id="52">
    <w:p w:rsidR="00413D74" w:rsidRDefault="00413D74" w:rsidP="009B2392">
      <w:pPr>
        <w:pStyle w:val="FootnoteText"/>
        <w:spacing w:line="240" w:lineRule="auto"/>
        <w:contextualSpacing/>
        <w:jc w:val="left"/>
        <w:rPr>
          <w:rFonts w:cs="Arial"/>
          <w:sz w:val="20"/>
        </w:rPr>
      </w:pPr>
      <w:r>
        <w:rPr>
          <w:rStyle w:val="FootnoteReference"/>
          <w:rFonts w:cs="Arial"/>
          <w:sz w:val="20"/>
        </w:rPr>
        <w:footnoteRef/>
      </w:r>
      <w:r>
        <w:rPr>
          <w:rFonts w:cs="Arial"/>
          <w:sz w:val="20"/>
        </w:rPr>
        <w:tab/>
      </w:r>
      <w:r>
        <w:rPr>
          <w:rFonts w:cs="Arial"/>
          <w:i/>
          <w:sz w:val="20"/>
        </w:rPr>
        <w:t>Id.</w:t>
      </w:r>
      <w:r>
        <w:rPr>
          <w:rFonts w:cs="Arial"/>
          <w:sz w:val="20"/>
        </w:rPr>
        <w:t xml:space="preserve">  </w:t>
      </w:r>
    </w:p>
  </w:footnote>
  <w:footnote w:id="53">
    <w:p w:rsidR="00413D74" w:rsidRDefault="00413D74" w:rsidP="009B2392">
      <w:pPr>
        <w:pStyle w:val="FootnoteText"/>
        <w:spacing w:line="240" w:lineRule="auto"/>
        <w:contextualSpacing/>
        <w:jc w:val="left"/>
        <w:rPr>
          <w:sz w:val="20"/>
        </w:rPr>
      </w:pPr>
      <w:r>
        <w:rPr>
          <w:rStyle w:val="FootnoteReference"/>
          <w:sz w:val="20"/>
        </w:rPr>
        <w:footnoteRef/>
      </w:r>
      <w:r>
        <w:rPr>
          <w:sz w:val="20"/>
        </w:rPr>
        <w:tab/>
        <w:t xml:space="preserve">The Company notes that certain customers that have a peak demand of 500 kW or greater, receive service under Rate Schedule LP-4 and certain customers who have a peak demand of less than 500 kW also receive service under Rate Schedule LP-4.  With this filing the Company is not seeking to revise the 500 kW </w:t>
      </w:r>
      <w:proofErr w:type="gramStart"/>
      <w:r>
        <w:rPr>
          <w:sz w:val="20"/>
        </w:rPr>
        <w:t>customer</w:t>
      </w:r>
      <w:proofErr w:type="gramEnd"/>
      <w:r>
        <w:rPr>
          <w:sz w:val="20"/>
        </w:rPr>
        <w:t xml:space="preserve"> split in Rate Schedule LP-4. Furthermore, as discussed in Section III.C.5, above, PPL Electric anticipates proposing an hourly priced service for Small and Large C&amp;I customers with load over 100 kW, in a future default service filing.</w:t>
      </w:r>
    </w:p>
  </w:footnote>
  <w:footnote w:id="54">
    <w:p w:rsidR="00413D74" w:rsidRDefault="00413D74" w:rsidP="009B2392">
      <w:pPr>
        <w:pStyle w:val="FootnoteText"/>
        <w:spacing w:line="240" w:lineRule="auto"/>
        <w:contextualSpacing/>
        <w:jc w:val="left"/>
        <w:rPr>
          <w:sz w:val="20"/>
        </w:rPr>
      </w:pPr>
      <w:r>
        <w:rPr>
          <w:rStyle w:val="FootnoteReference"/>
          <w:sz w:val="20"/>
        </w:rPr>
        <w:footnoteRef/>
      </w:r>
      <w:r>
        <w:rPr>
          <w:sz w:val="20"/>
        </w:rPr>
        <w:tab/>
        <w:t>While such a situation exists for certain customers with a peak demand over 500 kW, such a situation may not be appropriate at this time for customers with less peak demand.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9C3C4B5C"/>
    <w:lvl w:ilvl="0">
      <w:start w:val="1"/>
      <w:numFmt w:val="bullet"/>
      <w:pStyle w:val="ListBullet4"/>
      <w:lvlText w:val=""/>
      <w:lvlJc w:val="left"/>
      <w:pPr>
        <w:tabs>
          <w:tab w:val="num" w:pos="1440"/>
        </w:tabs>
        <w:ind w:left="1440" w:hanging="360"/>
      </w:pPr>
      <w:rPr>
        <w:rFonts w:ascii="Symbol" w:hAnsi="Symbol" w:hint="default"/>
        <w:sz w:val="20"/>
      </w:rPr>
    </w:lvl>
  </w:abstractNum>
  <w:abstractNum w:abstractNumId="1">
    <w:nsid w:val="FFFFFF83"/>
    <w:multiLevelType w:val="singleLevel"/>
    <w:tmpl w:val="62526B2E"/>
    <w:lvl w:ilvl="0">
      <w:start w:val="1"/>
      <w:numFmt w:val="bullet"/>
      <w:pStyle w:val="ListBullet2"/>
      <w:lvlText w:val=""/>
      <w:lvlJc w:val="left"/>
      <w:pPr>
        <w:tabs>
          <w:tab w:val="num" w:pos="720"/>
        </w:tabs>
        <w:ind w:left="720" w:hanging="360"/>
      </w:pPr>
      <w:rPr>
        <w:rFonts w:ascii="Symbol" w:hAnsi="Symbol" w:hint="default"/>
        <w:sz w:val="20"/>
      </w:rPr>
    </w:lvl>
  </w:abstractNum>
  <w:abstractNum w:abstractNumId="2">
    <w:nsid w:val="FFFFFF88"/>
    <w:multiLevelType w:val="singleLevel"/>
    <w:tmpl w:val="362A43CC"/>
    <w:lvl w:ilvl="0">
      <w:start w:val="1"/>
      <w:numFmt w:val="decimal"/>
      <w:pStyle w:val="ListNumber"/>
      <w:lvlText w:val="%1."/>
      <w:lvlJc w:val="left"/>
      <w:pPr>
        <w:tabs>
          <w:tab w:val="num" w:pos="1080"/>
        </w:tabs>
        <w:ind w:left="1080" w:hanging="360"/>
      </w:pPr>
    </w:lvl>
  </w:abstractNum>
  <w:abstractNum w:abstractNumId="3">
    <w:nsid w:val="FFFFFF89"/>
    <w:multiLevelType w:val="singleLevel"/>
    <w:tmpl w:val="94BC582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25F84A63"/>
    <w:multiLevelType w:val="multilevel"/>
    <w:tmpl w:val="067AD60A"/>
    <w:name w:val="PS Standard"/>
    <w:lvl w:ilvl="0">
      <w:start w:val="1"/>
      <w:numFmt w:val="upperRoman"/>
      <w:pStyle w:val="Heading1"/>
      <w:lvlText w:val="%1."/>
      <w:lvlJc w:val="left"/>
      <w:pPr>
        <w:tabs>
          <w:tab w:val="num" w:pos="720"/>
        </w:tabs>
        <w:ind w:left="720" w:hanging="720"/>
      </w:pPr>
      <w:rPr>
        <w:caps w:val="0"/>
        <w:vanish w:val="0"/>
        <w:color w:val="010000"/>
        <w:u w:val="none"/>
      </w:rPr>
    </w:lvl>
    <w:lvl w:ilvl="1">
      <w:start w:val="1"/>
      <w:numFmt w:val="upperLetter"/>
      <w:pStyle w:val="Heading2"/>
      <w:lvlText w:val="%2."/>
      <w:lvlJc w:val="left"/>
      <w:pPr>
        <w:tabs>
          <w:tab w:val="num" w:pos="1440"/>
        </w:tabs>
        <w:ind w:left="1440" w:hanging="720"/>
      </w:pPr>
      <w:rPr>
        <w:caps w:val="0"/>
        <w:vanish w:val="0"/>
        <w:color w:val="010000"/>
        <w:u w:val="none"/>
      </w:rPr>
    </w:lvl>
    <w:lvl w:ilvl="2">
      <w:start w:val="1"/>
      <w:numFmt w:val="decimal"/>
      <w:pStyle w:val="Heading3"/>
      <w:lvlText w:val="%3."/>
      <w:lvlJc w:val="left"/>
      <w:pPr>
        <w:tabs>
          <w:tab w:val="num" w:pos="2070"/>
        </w:tabs>
        <w:ind w:left="2070" w:hanging="720"/>
      </w:pPr>
      <w:rPr>
        <w:caps w:val="0"/>
        <w:vanish w:val="0"/>
        <w:color w:val="010000"/>
        <w:u w:val="none"/>
      </w:rPr>
    </w:lvl>
    <w:lvl w:ilvl="3">
      <w:start w:val="1"/>
      <w:numFmt w:val="lowerLetter"/>
      <w:pStyle w:val="Heading4"/>
      <w:lvlText w:val="%4."/>
      <w:lvlJc w:val="left"/>
      <w:pPr>
        <w:tabs>
          <w:tab w:val="num" w:pos="3060"/>
        </w:tabs>
        <w:ind w:left="3060" w:hanging="720"/>
      </w:pPr>
      <w:rPr>
        <w:caps w:val="0"/>
        <w:vanish w:val="0"/>
        <w:color w:val="010000"/>
        <w:u w:val="none"/>
      </w:rPr>
    </w:lvl>
    <w:lvl w:ilvl="4">
      <w:start w:val="1"/>
      <w:numFmt w:val="lowerRoman"/>
      <w:pStyle w:val="Heading5"/>
      <w:lvlText w:val="%5."/>
      <w:lvlJc w:val="left"/>
      <w:pPr>
        <w:tabs>
          <w:tab w:val="num" w:pos="3600"/>
        </w:tabs>
        <w:ind w:left="3600" w:hanging="720"/>
      </w:pPr>
      <w:rPr>
        <w:caps w:val="0"/>
        <w:vanish w:val="0"/>
        <w:color w:val="010000"/>
        <w:u w:val="none"/>
      </w:rPr>
    </w:lvl>
    <w:lvl w:ilvl="5">
      <w:start w:val="1"/>
      <w:numFmt w:val="upperLetter"/>
      <w:pStyle w:val="Heading6"/>
      <w:lvlText w:val="(%6)"/>
      <w:lvlJc w:val="left"/>
      <w:pPr>
        <w:tabs>
          <w:tab w:val="num" w:pos="4320"/>
        </w:tabs>
        <w:ind w:left="4320" w:hanging="720"/>
      </w:pPr>
      <w:rPr>
        <w:caps w:val="0"/>
        <w:vanish w:val="0"/>
        <w:color w:val="010000"/>
        <w:u w:val="none"/>
      </w:rPr>
    </w:lvl>
    <w:lvl w:ilvl="6">
      <w:start w:val="1"/>
      <w:numFmt w:val="decimal"/>
      <w:pStyle w:val="Heading7"/>
      <w:lvlText w:val="(%7)"/>
      <w:lvlJc w:val="left"/>
      <w:pPr>
        <w:tabs>
          <w:tab w:val="num" w:pos="5040"/>
        </w:tabs>
        <w:ind w:left="5040" w:hanging="720"/>
      </w:pPr>
      <w:rPr>
        <w:caps w:val="0"/>
        <w:vanish w:val="0"/>
        <w:color w:val="010000"/>
        <w:u w:val="none"/>
      </w:rPr>
    </w:lvl>
    <w:lvl w:ilvl="7">
      <w:start w:val="1"/>
      <w:numFmt w:val="lowerLetter"/>
      <w:pStyle w:val="Heading8"/>
      <w:lvlText w:val="(%8)"/>
      <w:lvlJc w:val="left"/>
      <w:pPr>
        <w:tabs>
          <w:tab w:val="num" w:pos="5760"/>
        </w:tabs>
        <w:ind w:left="5760" w:hanging="720"/>
      </w:pPr>
      <w:rPr>
        <w:caps w:val="0"/>
        <w:vanish w:val="0"/>
        <w:color w:val="010000"/>
        <w:u w:val="none"/>
      </w:rPr>
    </w:lvl>
    <w:lvl w:ilvl="8">
      <w:start w:val="1"/>
      <w:numFmt w:val="lowerRoman"/>
      <w:pStyle w:val="Heading9"/>
      <w:lvlText w:val="(%9)"/>
      <w:lvlJc w:val="left"/>
      <w:pPr>
        <w:tabs>
          <w:tab w:val="num" w:pos="6480"/>
        </w:tabs>
        <w:ind w:left="6480" w:hanging="720"/>
      </w:pPr>
      <w:rPr>
        <w:caps w:val="0"/>
        <w:vanish w:val="0"/>
        <w:color w:val="010000"/>
        <w:u w:val="none"/>
      </w:rPr>
    </w:lvl>
  </w:abstractNum>
  <w:abstractNum w:abstractNumId="5">
    <w:nsid w:val="3E311480"/>
    <w:multiLevelType w:val="hybridMultilevel"/>
    <w:tmpl w:val="3E62B6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56B629B"/>
    <w:multiLevelType w:val="multilevel"/>
    <w:tmpl w:val="B8869C40"/>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outline w:val="0"/>
        <w:shadow w:val="0"/>
        <w:emboss w:val="0"/>
        <w:imprint w:val="0"/>
        <w:vanish w:val="0"/>
        <w:sz w:val="24"/>
        <w:u w:val="none"/>
        <w:vertAlign w:val="baseline"/>
      </w:rPr>
    </w:lvl>
    <w:lvl w:ilvl="1">
      <w:start w:val="1"/>
      <w:numFmt w:val="upperLetter"/>
      <w:pStyle w:val="Pleading2L2"/>
      <w:lvlText w:val="%2."/>
      <w:lvlJc w:val="left"/>
      <w:pPr>
        <w:tabs>
          <w:tab w:val="num" w:pos="2250"/>
        </w:tabs>
        <w:ind w:left="153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2">
      <w:start w:val="1"/>
      <w:numFmt w:val="decimal"/>
      <w:lvlRestart w:val="0"/>
      <w:pStyle w:val="Pleading2L3"/>
      <w:lvlText w:val="%3."/>
      <w:lvlJc w:val="left"/>
      <w:pPr>
        <w:tabs>
          <w:tab w:val="num" w:pos="2970"/>
        </w:tabs>
        <w:ind w:left="225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outline w:val="0"/>
        <w:shadow w:val="0"/>
        <w:emboss w:val="0"/>
        <w:imprint w:val="0"/>
        <w:vanish w:val="0"/>
        <w:sz w:val="24"/>
        <w:u w:val="none"/>
        <w:vertAlign w:val="base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sz w:val="24"/>
        <w:u w:val="none"/>
        <w:vertAlign w:val="baseline"/>
      </w:rPr>
    </w:lvl>
  </w:abstractNum>
  <w:abstractNum w:abstractNumId="7">
    <w:nsid w:val="79266AA6"/>
    <w:multiLevelType w:val="hybridMultilevel"/>
    <w:tmpl w:val="5F5222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6"/>
  </w:num>
  <w:num w:numId="3">
    <w:abstractNumId w:val="1"/>
  </w:num>
  <w:num w:numId="4">
    <w:abstractNumId w:val="7"/>
  </w:num>
  <w:num w:numId="5">
    <w:abstractNumId w:val="3"/>
  </w:num>
  <w:num w:numId="6">
    <w:abstractNumId w:val="4"/>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034"/>
    <w:rsid w:val="00001E3A"/>
    <w:rsid w:val="00001EF6"/>
    <w:rsid w:val="000028EA"/>
    <w:rsid w:val="00003210"/>
    <w:rsid w:val="00003D11"/>
    <w:rsid w:val="00003F2B"/>
    <w:rsid w:val="00004AA3"/>
    <w:rsid w:val="00005558"/>
    <w:rsid w:val="000079FE"/>
    <w:rsid w:val="00011E36"/>
    <w:rsid w:val="00012104"/>
    <w:rsid w:val="00012655"/>
    <w:rsid w:val="0001305A"/>
    <w:rsid w:val="00016E55"/>
    <w:rsid w:val="0002023D"/>
    <w:rsid w:val="00020760"/>
    <w:rsid w:val="0002105C"/>
    <w:rsid w:val="0002110E"/>
    <w:rsid w:val="00022B3F"/>
    <w:rsid w:val="000239DA"/>
    <w:rsid w:val="00025D7A"/>
    <w:rsid w:val="000304BF"/>
    <w:rsid w:val="00032379"/>
    <w:rsid w:val="0003306B"/>
    <w:rsid w:val="00033303"/>
    <w:rsid w:val="000338CD"/>
    <w:rsid w:val="00035BB8"/>
    <w:rsid w:val="000372C5"/>
    <w:rsid w:val="00037484"/>
    <w:rsid w:val="000377F5"/>
    <w:rsid w:val="00037E0F"/>
    <w:rsid w:val="00040EB6"/>
    <w:rsid w:val="00043D29"/>
    <w:rsid w:val="00044B8B"/>
    <w:rsid w:val="00044FC0"/>
    <w:rsid w:val="00045D8F"/>
    <w:rsid w:val="0004643F"/>
    <w:rsid w:val="000466BF"/>
    <w:rsid w:val="00046714"/>
    <w:rsid w:val="00046940"/>
    <w:rsid w:val="000478E2"/>
    <w:rsid w:val="00050A6B"/>
    <w:rsid w:val="000541C0"/>
    <w:rsid w:val="0005423F"/>
    <w:rsid w:val="00054C74"/>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26DB"/>
    <w:rsid w:val="00084382"/>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D9A"/>
    <w:rsid w:val="00096B3F"/>
    <w:rsid w:val="00097D77"/>
    <w:rsid w:val="000A2192"/>
    <w:rsid w:val="000A4338"/>
    <w:rsid w:val="000A4551"/>
    <w:rsid w:val="000A4E7A"/>
    <w:rsid w:val="000A5DEA"/>
    <w:rsid w:val="000A652E"/>
    <w:rsid w:val="000A770B"/>
    <w:rsid w:val="000B1BFC"/>
    <w:rsid w:val="000B2D0C"/>
    <w:rsid w:val="000B339A"/>
    <w:rsid w:val="000B50FF"/>
    <w:rsid w:val="000B7111"/>
    <w:rsid w:val="000C0311"/>
    <w:rsid w:val="000C2696"/>
    <w:rsid w:val="000C2A2B"/>
    <w:rsid w:val="000C34F3"/>
    <w:rsid w:val="000C4163"/>
    <w:rsid w:val="000C5976"/>
    <w:rsid w:val="000C6B6E"/>
    <w:rsid w:val="000C6EF0"/>
    <w:rsid w:val="000C7A4F"/>
    <w:rsid w:val="000D11CC"/>
    <w:rsid w:val="000D29BA"/>
    <w:rsid w:val="000D3E49"/>
    <w:rsid w:val="000D5441"/>
    <w:rsid w:val="000D5763"/>
    <w:rsid w:val="000E2D38"/>
    <w:rsid w:val="000E2F36"/>
    <w:rsid w:val="000E44C4"/>
    <w:rsid w:val="000E49E6"/>
    <w:rsid w:val="000E4A42"/>
    <w:rsid w:val="000E503F"/>
    <w:rsid w:val="000E6827"/>
    <w:rsid w:val="000E71B3"/>
    <w:rsid w:val="000E7515"/>
    <w:rsid w:val="000E7EF5"/>
    <w:rsid w:val="000F01E4"/>
    <w:rsid w:val="000F0907"/>
    <w:rsid w:val="000F1890"/>
    <w:rsid w:val="000F2E5F"/>
    <w:rsid w:val="000F3819"/>
    <w:rsid w:val="000F47F1"/>
    <w:rsid w:val="000F51F1"/>
    <w:rsid w:val="000F66CA"/>
    <w:rsid w:val="000F678B"/>
    <w:rsid w:val="000F680A"/>
    <w:rsid w:val="000F710A"/>
    <w:rsid w:val="000F78BE"/>
    <w:rsid w:val="0010080E"/>
    <w:rsid w:val="001021FB"/>
    <w:rsid w:val="00102A77"/>
    <w:rsid w:val="00103C91"/>
    <w:rsid w:val="0010420D"/>
    <w:rsid w:val="00104518"/>
    <w:rsid w:val="001050F4"/>
    <w:rsid w:val="00106EE8"/>
    <w:rsid w:val="001077F1"/>
    <w:rsid w:val="00113B1B"/>
    <w:rsid w:val="001155EF"/>
    <w:rsid w:val="00115BB6"/>
    <w:rsid w:val="00116578"/>
    <w:rsid w:val="001170B8"/>
    <w:rsid w:val="001175A5"/>
    <w:rsid w:val="0012035F"/>
    <w:rsid w:val="00120D02"/>
    <w:rsid w:val="00120DE8"/>
    <w:rsid w:val="00121291"/>
    <w:rsid w:val="001219A5"/>
    <w:rsid w:val="0012343C"/>
    <w:rsid w:val="00124101"/>
    <w:rsid w:val="0012480C"/>
    <w:rsid w:val="00124D49"/>
    <w:rsid w:val="00126739"/>
    <w:rsid w:val="0012770C"/>
    <w:rsid w:val="0013068D"/>
    <w:rsid w:val="00130A2C"/>
    <w:rsid w:val="00130CEE"/>
    <w:rsid w:val="00135526"/>
    <w:rsid w:val="00140081"/>
    <w:rsid w:val="00140273"/>
    <w:rsid w:val="0014105E"/>
    <w:rsid w:val="00143142"/>
    <w:rsid w:val="00143396"/>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394C"/>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2877"/>
    <w:rsid w:val="00184BBF"/>
    <w:rsid w:val="0018563A"/>
    <w:rsid w:val="001857EA"/>
    <w:rsid w:val="00186328"/>
    <w:rsid w:val="001868F5"/>
    <w:rsid w:val="00190B2C"/>
    <w:rsid w:val="00191522"/>
    <w:rsid w:val="00192EB5"/>
    <w:rsid w:val="00195046"/>
    <w:rsid w:val="00195C2B"/>
    <w:rsid w:val="001966CB"/>
    <w:rsid w:val="001969A7"/>
    <w:rsid w:val="00196C5A"/>
    <w:rsid w:val="0019791B"/>
    <w:rsid w:val="00197E5D"/>
    <w:rsid w:val="001A0929"/>
    <w:rsid w:val="001A0F84"/>
    <w:rsid w:val="001A103D"/>
    <w:rsid w:val="001A13D5"/>
    <w:rsid w:val="001A1644"/>
    <w:rsid w:val="001A216A"/>
    <w:rsid w:val="001A33F5"/>
    <w:rsid w:val="001A3A31"/>
    <w:rsid w:val="001A3D47"/>
    <w:rsid w:val="001A3D48"/>
    <w:rsid w:val="001A5421"/>
    <w:rsid w:val="001A6541"/>
    <w:rsid w:val="001A6669"/>
    <w:rsid w:val="001A7F95"/>
    <w:rsid w:val="001B01A4"/>
    <w:rsid w:val="001B06B8"/>
    <w:rsid w:val="001B1B1D"/>
    <w:rsid w:val="001B1FF6"/>
    <w:rsid w:val="001B3572"/>
    <w:rsid w:val="001B3D6F"/>
    <w:rsid w:val="001B477B"/>
    <w:rsid w:val="001B4B2B"/>
    <w:rsid w:val="001B4EC8"/>
    <w:rsid w:val="001B6470"/>
    <w:rsid w:val="001B760E"/>
    <w:rsid w:val="001C0410"/>
    <w:rsid w:val="001C054D"/>
    <w:rsid w:val="001C2234"/>
    <w:rsid w:val="001C25D0"/>
    <w:rsid w:val="001C537D"/>
    <w:rsid w:val="001C64B4"/>
    <w:rsid w:val="001C65CD"/>
    <w:rsid w:val="001D05DB"/>
    <w:rsid w:val="001D0876"/>
    <w:rsid w:val="001D0F91"/>
    <w:rsid w:val="001D1F1B"/>
    <w:rsid w:val="001D4223"/>
    <w:rsid w:val="001D556B"/>
    <w:rsid w:val="001D7230"/>
    <w:rsid w:val="001E2642"/>
    <w:rsid w:val="001E3C9A"/>
    <w:rsid w:val="001E5447"/>
    <w:rsid w:val="001E5DF5"/>
    <w:rsid w:val="001E604F"/>
    <w:rsid w:val="001E76FD"/>
    <w:rsid w:val="001E79A7"/>
    <w:rsid w:val="001F0835"/>
    <w:rsid w:val="001F09A7"/>
    <w:rsid w:val="001F1049"/>
    <w:rsid w:val="001F1111"/>
    <w:rsid w:val="001F1139"/>
    <w:rsid w:val="001F1974"/>
    <w:rsid w:val="001F33A3"/>
    <w:rsid w:val="001F4882"/>
    <w:rsid w:val="001F49C0"/>
    <w:rsid w:val="001F4DA0"/>
    <w:rsid w:val="001F6E43"/>
    <w:rsid w:val="001F6F77"/>
    <w:rsid w:val="001F74FC"/>
    <w:rsid w:val="001F77B2"/>
    <w:rsid w:val="001F7A5E"/>
    <w:rsid w:val="002004A8"/>
    <w:rsid w:val="002019B1"/>
    <w:rsid w:val="00201E65"/>
    <w:rsid w:val="00205C33"/>
    <w:rsid w:val="002066DF"/>
    <w:rsid w:val="0021162B"/>
    <w:rsid w:val="00212346"/>
    <w:rsid w:val="002125E4"/>
    <w:rsid w:val="002131B7"/>
    <w:rsid w:val="002137DA"/>
    <w:rsid w:val="00214E49"/>
    <w:rsid w:val="00215381"/>
    <w:rsid w:val="00215BA6"/>
    <w:rsid w:val="002163B7"/>
    <w:rsid w:val="00216C32"/>
    <w:rsid w:val="00216F76"/>
    <w:rsid w:val="0021750E"/>
    <w:rsid w:val="002178EA"/>
    <w:rsid w:val="0022017F"/>
    <w:rsid w:val="002205EC"/>
    <w:rsid w:val="00220D97"/>
    <w:rsid w:val="00221A88"/>
    <w:rsid w:val="00223FA6"/>
    <w:rsid w:val="002241D0"/>
    <w:rsid w:val="00224756"/>
    <w:rsid w:val="0022478F"/>
    <w:rsid w:val="00225E14"/>
    <w:rsid w:val="00227A4A"/>
    <w:rsid w:val="002308D5"/>
    <w:rsid w:val="00230CC6"/>
    <w:rsid w:val="002337D7"/>
    <w:rsid w:val="00234DEB"/>
    <w:rsid w:val="0023584A"/>
    <w:rsid w:val="00236C44"/>
    <w:rsid w:val="00236DA2"/>
    <w:rsid w:val="00240343"/>
    <w:rsid w:val="002403E6"/>
    <w:rsid w:val="00241038"/>
    <w:rsid w:val="002422D0"/>
    <w:rsid w:val="002435F7"/>
    <w:rsid w:val="00245181"/>
    <w:rsid w:val="002451F7"/>
    <w:rsid w:val="002455CC"/>
    <w:rsid w:val="00245884"/>
    <w:rsid w:val="00245F23"/>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5DB0"/>
    <w:rsid w:val="00256505"/>
    <w:rsid w:val="00260459"/>
    <w:rsid w:val="00260814"/>
    <w:rsid w:val="00261BB7"/>
    <w:rsid w:val="00262A17"/>
    <w:rsid w:val="00262AF8"/>
    <w:rsid w:val="00263AD5"/>
    <w:rsid w:val="0026705F"/>
    <w:rsid w:val="002704DD"/>
    <w:rsid w:val="00270AF3"/>
    <w:rsid w:val="0027207B"/>
    <w:rsid w:val="0027210A"/>
    <w:rsid w:val="002748C2"/>
    <w:rsid w:val="002752C3"/>
    <w:rsid w:val="00275659"/>
    <w:rsid w:val="002761E2"/>
    <w:rsid w:val="00277591"/>
    <w:rsid w:val="00281FAA"/>
    <w:rsid w:val="00283282"/>
    <w:rsid w:val="00284760"/>
    <w:rsid w:val="00284D23"/>
    <w:rsid w:val="00286A34"/>
    <w:rsid w:val="00286C72"/>
    <w:rsid w:val="002871C2"/>
    <w:rsid w:val="00287CB1"/>
    <w:rsid w:val="0029096F"/>
    <w:rsid w:val="00290AD2"/>
    <w:rsid w:val="00291D4F"/>
    <w:rsid w:val="0029353E"/>
    <w:rsid w:val="00293755"/>
    <w:rsid w:val="00293F4E"/>
    <w:rsid w:val="0029568C"/>
    <w:rsid w:val="00296B74"/>
    <w:rsid w:val="00297286"/>
    <w:rsid w:val="002976EF"/>
    <w:rsid w:val="002A05C6"/>
    <w:rsid w:val="002A1522"/>
    <w:rsid w:val="002A17F4"/>
    <w:rsid w:val="002A425B"/>
    <w:rsid w:val="002A4E7E"/>
    <w:rsid w:val="002A56CD"/>
    <w:rsid w:val="002A5F4D"/>
    <w:rsid w:val="002A70E9"/>
    <w:rsid w:val="002A7A0A"/>
    <w:rsid w:val="002B02E9"/>
    <w:rsid w:val="002B0D61"/>
    <w:rsid w:val="002B2AF4"/>
    <w:rsid w:val="002B3E20"/>
    <w:rsid w:val="002B541A"/>
    <w:rsid w:val="002B754D"/>
    <w:rsid w:val="002B7931"/>
    <w:rsid w:val="002B7C18"/>
    <w:rsid w:val="002C0694"/>
    <w:rsid w:val="002C1023"/>
    <w:rsid w:val="002C27F0"/>
    <w:rsid w:val="002C4F02"/>
    <w:rsid w:val="002C69AD"/>
    <w:rsid w:val="002D0E4D"/>
    <w:rsid w:val="002D1175"/>
    <w:rsid w:val="002D11F2"/>
    <w:rsid w:val="002D1E71"/>
    <w:rsid w:val="002D29B0"/>
    <w:rsid w:val="002D6B36"/>
    <w:rsid w:val="002D7136"/>
    <w:rsid w:val="002D7978"/>
    <w:rsid w:val="002E06AE"/>
    <w:rsid w:val="002E2283"/>
    <w:rsid w:val="002E2CAD"/>
    <w:rsid w:val="002E32C2"/>
    <w:rsid w:val="002E4F6E"/>
    <w:rsid w:val="002E5717"/>
    <w:rsid w:val="002E5790"/>
    <w:rsid w:val="002E6CB4"/>
    <w:rsid w:val="002E7DDB"/>
    <w:rsid w:val="002F0443"/>
    <w:rsid w:val="002F21B6"/>
    <w:rsid w:val="002F222D"/>
    <w:rsid w:val="002F2A4A"/>
    <w:rsid w:val="002F42FC"/>
    <w:rsid w:val="002F5C03"/>
    <w:rsid w:val="002F6F4F"/>
    <w:rsid w:val="002F75DA"/>
    <w:rsid w:val="002F7A45"/>
    <w:rsid w:val="0030230D"/>
    <w:rsid w:val="00303526"/>
    <w:rsid w:val="00303761"/>
    <w:rsid w:val="00304AA1"/>
    <w:rsid w:val="00305F5C"/>
    <w:rsid w:val="0030682B"/>
    <w:rsid w:val="00306C33"/>
    <w:rsid w:val="00307165"/>
    <w:rsid w:val="00311531"/>
    <w:rsid w:val="003115D2"/>
    <w:rsid w:val="00312F06"/>
    <w:rsid w:val="00313595"/>
    <w:rsid w:val="0031425A"/>
    <w:rsid w:val="00314713"/>
    <w:rsid w:val="003149F5"/>
    <w:rsid w:val="00314EFC"/>
    <w:rsid w:val="003151E4"/>
    <w:rsid w:val="00315342"/>
    <w:rsid w:val="003156D7"/>
    <w:rsid w:val="00317261"/>
    <w:rsid w:val="003202E5"/>
    <w:rsid w:val="0032130D"/>
    <w:rsid w:val="00321DB1"/>
    <w:rsid w:val="00324ADB"/>
    <w:rsid w:val="00325418"/>
    <w:rsid w:val="00326EEE"/>
    <w:rsid w:val="00326F3E"/>
    <w:rsid w:val="00330A67"/>
    <w:rsid w:val="00332A51"/>
    <w:rsid w:val="00332C7C"/>
    <w:rsid w:val="00333ADD"/>
    <w:rsid w:val="00334F62"/>
    <w:rsid w:val="00336496"/>
    <w:rsid w:val="003364EB"/>
    <w:rsid w:val="00336CE8"/>
    <w:rsid w:val="00341767"/>
    <w:rsid w:val="00341B26"/>
    <w:rsid w:val="003425CF"/>
    <w:rsid w:val="0034272B"/>
    <w:rsid w:val="003428F9"/>
    <w:rsid w:val="00342BFE"/>
    <w:rsid w:val="00344C34"/>
    <w:rsid w:val="00345C65"/>
    <w:rsid w:val="00346679"/>
    <w:rsid w:val="003470E8"/>
    <w:rsid w:val="0035021E"/>
    <w:rsid w:val="0035100D"/>
    <w:rsid w:val="003534EB"/>
    <w:rsid w:val="00354574"/>
    <w:rsid w:val="00354706"/>
    <w:rsid w:val="00354BD0"/>
    <w:rsid w:val="003550C3"/>
    <w:rsid w:val="00356988"/>
    <w:rsid w:val="003601E1"/>
    <w:rsid w:val="00360F5F"/>
    <w:rsid w:val="0036124A"/>
    <w:rsid w:val="00361303"/>
    <w:rsid w:val="0036153E"/>
    <w:rsid w:val="0036237C"/>
    <w:rsid w:val="003625F5"/>
    <w:rsid w:val="003643C9"/>
    <w:rsid w:val="003657F1"/>
    <w:rsid w:val="00365826"/>
    <w:rsid w:val="00365A2F"/>
    <w:rsid w:val="00366696"/>
    <w:rsid w:val="0036754C"/>
    <w:rsid w:val="00367E6D"/>
    <w:rsid w:val="00370BBD"/>
    <w:rsid w:val="003712E5"/>
    <w:rsid w:val="00375889"/>
    <w:rsid w:val="003760EB"/>
    <w:rsid w:val="00380892"/>
    <w:rsid w:val="003813A7"/>
    <w:rsid w:val="0038181B"/>
    <w:rsid w:val="00381B05"/>
    <w:rsid w:val="00381F33"/>
    <w:rsid w:val="00383321"/>
    <w:rsid w:val="00385BF0"/>
    <w:rsid w:val="00385DAD"/>
    <w:rsid w:val="00386626"/>
    <w:rsid w:val="003908D7"/>
    <w:rsid w:val="00390929"/>
    <w:rsid w:val="00390DBB"/>
    <w:rsid w:val="00391CFF"/>
    <w:rsid w:val="003924CC"/>
    <w:rsid w:val="00393C77"/>
    <w:rsid w:val="00394019"/>
    <w:rsid w:val="00396333"/>
    <w:rsid w:val="00396ADD"/>
    <w:rsid w:val="0039716B"/>
    <w:rsid w:val="003A0B9C"/>
    <w:rsid w:val="003A0E5A"/>
    <w:rsid w:val="003A0F8D"/>
    <w:rsid w:val="003A3E9E"/>
    <w:rsid w:val="003A562B"/>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C7C87"/>
    <w:rsid w:val="003D1F46"/>
    <w:rsid w:val="003D41CF"/>
    <w:rsid w:val="003D5045"/>
    <w:rsid w:val="003D6015"/>
    <w:rsid w:val="003E1442"/>
    <w:rsid w:val="003E2B14"/>
    <w:rsid w:val="003E2FDE"/>
    <w:rsid w:val="003E447A"/>
    <w:rsid w:val="003E5240"/>
    <w:rsid w:val="003E5C6C"/>
    <w:rsid w:val="003E7E85"/>
    <w:rsid w:val="003F01A7"/>
    <w:rsid w:val="003F2E62"/>
    <w:rsid w:val="003F3925"/>
    <w:rsid w:val="003F425B"/>
    <w:rsid w:val="004009A4"/>
    <w:rsid w:val="00401386"/>
    <w:rsid w:val="004017C5"/>
    <w:rsid w:val="004047B1"/>
    <w:rsid w:val="00404E55"/>
    <w:rsid w:val="004052FC"/>
    <w:rsid w:val="0040584C"/>
    <w:rsid w:val="00406807"/>
    <w:rsid w:val="004078EF"/>
    <w:rsid w:val="00407C2F"/>
    <w:rsid w:val="0041082C"/>
    <w:rsid w:val="00411425"/>
    <w:rsid w:val="00413B28"/>
    <w:rsid w:val="00413BA5"/>
    <w:rsid w:val="00413D74"/>
    <w:rsid w:val="00413DAC"/>
    <w:rsid w:val="0041623E"/>
    <w:rsid w:val="00416A3B"/>
    <w:rsid w:val="00416AB2"/>
    <w:rsid w:val="00417BD5"/>
    <w:rsid w:val="00421203"/>
    <w:rsid w:val="004212AA"/>
    <w:rsid w:val="00421C14"/>
    <w:rsid w:val="004222CB"/>
    <w:rsid w:val="00423359"/>
    <w:rsid w:val="00425C94"/>
    <w:rsid w:val="00426277"/>
    <w:rsid w:val="004262B3"/>
    <w:rsid w:val="00426605"/>
    <w:rsid w:val="004302EB"/>
    <w:rsid w:val="00431128"/>
    <w:rsid w:val="00431130"/>
    <w:rsid w:val="00433AE5"/>
    <w:rsid w:val="0043485A"/>
    <w:rsid w:val="00434FD6"/>
    <w:rsid w:val="00440521"/>
    <w:rsid w:val="004407EE"/>
    <w:rsid w:val="00440D19"/>
    <w:rsid w:val="00441078"/>
    <w:rsid w:val="00441692"/>
    <w:rsid w:val="00442254"/>
    <w:rsid w:val="00443307"/>
    <w:rsid w:val="00444DBF"/>
    <w:rsid w:val="00444E41"/>
    <w:rsid w:val="00445003"/>
    <w:rsid w:val="0044532A"/>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66DFE"/>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97997"/>
    <w:rsid w:val="004A11A6"/>
    <w:rsid w:val="004A1729"/>
    <w:rsid w:val="004A21F4"/>
    <w:rsid w:val="004A3363"/>
    <w:rsid w:val="004A4B6C"/>
    <w:rsid w:val="004A5318"/>
    <w:rsid w:val="004A5D57"/>
    <w:rsid w:val="004A65F4"/>
    <w:rsid w:val="004A741E"/>
    <w:rsid w:val="004B0321"/>
    <w:rsid w:val="004B11D5"/>
    <w:rsid w:val="004B1ADE"/>
    <w:rsid w:val="004B2625"/>
    <w:rsid w:val="004B382C"/>
    <w:rsid w:val="004B570B"/>
    <w:rsid w:val="004B652A"/>
    <w:rsid w:val="004B7DB2"/>
    <w:rsid w:val="004C0091"/>
    <w:rsid w:val="004C015B"/>
    <w:rsid w:val="004C01D2"/>
    <w:rsid w:val="004C125D"/>
    <w:rsid w:val="004C1ABF"/>
    <w:rsid w:val="004C1B9A"/>
    <w:rsid w:val="004C30D2"/>
    <w:rsid w:val="004C3AE2"/>
    <w:rsid w:val="004C4C1E"/>
    <w:rsid w:val="004C657C"/>
    <w:rsid w:val="004D0BE0"/>
    <w:rsid w:val="004D14F0"/>
    <w:rsid w:val="004D1505"/>
    <w:rsid w:val="004D17DF"/>
    <w:rsid w:val="004D38F8"/>
    <w:rsid w:val="004D473A"/>
    <w:rsid w:val="004D4A68"/>
    <w:rsid w:val="004D5646"/>
    <w:rsid w:val="004D6D13"/>
    <w:rsid w:val="004D6DCE"/>
    <w:rsid w:val="004E1B61"/>
    <w:rsid w:val="004E1FD5"/>
    <w:rsid w:val="004E23ED"/>
    <w:rsid w:val="004E429F"/>
    <w:rsid w:val="004E4482"/>
    <w:rsid w:val="004E60E4"/>
    <w:rsid w:val="004E70C3"/>
    <w:rsid w:val="004E765C"/>
    <w:rsid w:val="004F160A"/>
    <w:rsid w:val="004F1FF6"/>
    <w:rsid w:val="004F2F62"/>
    <w:rsid w:val="004F3190"/>
    <w:rsid w:val="004F37CB"/>
    <w:rsid w:val="004F45CA"/>
    <w:rsid w:val="004F5216"/>
    <w:rsid w:val="004F616B"/>
    <w:rsid w:val="004F64E4"/>
    <w:rsid w:val="00500A53"/>
    <w:rsid w:val="0050290A"/>
    <w:rsid w:val="00503634"/>
    <w:rsid w:val="00504F92"/>
    <w:rsid w:val="00505551"/>
    <w:rsid w:val="00505E94"/>
    <w:rsid w:val="005078B3"/>
    <w:rsid w:val="00507FC2"/>
    <w:rsid w:val="00510A28"/>
    <w:rsid w:val="00511C54"/>
    <w:rsid w:val="0051292E"/>
    <w:rsid w:val="00516207"/>
    <w:rsid w:val="00520C27"/>
    <w:rsid w:val="00521B57"/>
    <w:rsid w:val="00522DE9"/>
    <w:rsid w:val="00522EF8"/>
    <w:rsid w:val="0052399F"/>
    <w:rsid w:val="00523F60"/>
    <w:rsid w:val="00523FBA"/>
    <w:rsid w:val="00524079"/>
    <w:rsid w:val="00525062"/>
    <w:rsid w:val="005255C0"/>
    <w:rsid w:val="005258BD"/>
    <w:rsid w:val="00526890"/>
    <w:rsid w:val="0052764F"/>
    <w:rsid w:val="00527AFE"/>
    <w:rsid w:val="005328F4"/>
    <w:rsid w:val="00535220"/>
    <w:rsid w:val="0053657A"/>
    <w:rsid w:val="00536ABE"/>
    <w:rsid w:val="00540B74"/>
    <w:rsid w:val="00540B8B"/>
    <w:rsid w:val="00540ED6"/>
    <w:rsid w:val="00541C1D"/>
    <w:rsid w:val="005449AC"/>
    <w:rsid w:val="00544A16"/>
    <w:rsid w:val="005472EC"/>
    <w:rsid w:val="00547862"/>
    <w:rsid w:val="00547C82"/>
    <w:rsid w:val="0055122B"/>
    <w:rsid w:val="00552915"/>
    <w:rsid w:val="00552A69"/>
    <w:rsid w:val="005534BD"/>
    <w:rsid w:val="00555158"/>
    <w:rsid w:val="00560264"/>
    <w:rsid w:val="005623DE"/>
    <w:rsid w:val="00562A9A"/>
    <w:rsid w:val="00564A3A"/>
    <w:rsid w:val="005650FF"/>
    <w:rsid w:val="00566DDB"/>
    <w:rsid w:val="005674EF"/>
    <w:rsid w:val="00570742"/>
    <w:rsid w:val="00570C2E"/>
    <w:rsid w:val="00571577"/>
    <w:rsid w:val="00571C60"/>
    <w:rsid w:val="0057213D"/>
    <w:rsid w:val="005729E9"/>
    <w:rsid w:val="005732E9"/>
    <w:rsid w:val="005733A6"/>
    <w:rsid w:val="0057454E"/>
    <w:rsid w:val="00575D4F"/>
    <w:rsid w:val="00575F27"/>
    <w:rsid w:val="0058036C"/>
    <w:rsid w:val="0058073B"/>
    <w:rsid w:val="00580815"/>
    <w:rsid w:val="00580B8E"/>
    <w:rsid w:val="00582289"/>
    <w:rsid w:val="0058363F"/>
    <w:rsid w:val="00583CFF"/>
    <w:rsid w:val="00584CB9"/>
    <w:rsid w:val="00585BD9"/>
    <w:rsid w:val="00587B74"/>
    <w:rsid w:val="00591696"/>
    <w:rsid w:val="005936F4"/>
    <w:rsid w:val="00593FF1"/>
    <w:rsid w:val="00594648"/>
    <w:rsid w:val="00594E77"/>
    <w:rsid w:val="0059623B"/>
    <w:rsid w:val="00596D1D"/>
    <w:rsid w:val="00597920"/>
    <w:rsid w:val="005A1839"/>
    <w:rsid w:val="005A2870"/>
    <w:rsid w:val="005A2923"/>
    <w:rsid w:val="005A3759"/>
    <w:rsid w:val="005A44D9"/>
    <w:rsid w:val="005A5826"/>
    <w:rsid w:val="005A643B"/>
    <w:rsid w:val="005A652A"/>
    <w:rsid w:val="005A6ADE"/>
    <w:rsid w:val="005A6D33"/>
    <w:rsid w:val="005B3D45"/>
    <w:rsid w:val="005B78C4"/>
    <w:rsid w:val="005C373B"/>
    <w:rsid w:val="005C3AC8"/>
    <w:rsid w:val="005C3DD2"/>
    <w:rsid w:val="005C4AAA"/>
    <w:rsid w:val="005C6053"/>
    <w:rsid w:val="005C610A"/>
    <w:rsid w:val="005C6E15"/>
    <w:rsid w:val="005D1442"/>
    <w:rsid w:val="005D1922"/>
    <w:rsid w:val="005D2788"/>
    <w:rsid w:val="005D4281"/>
    <w:rsid w:val="005D6954"/>
    <w:rsid w:val="005D6E32"/>
    <w:rsid w:val="005E06D4"/>
    <w:rsid w:val="005E1521"/>
    <w:rsid w:val="005E3768"/>
    <w:rsid w:val="005E448D"/>
    <w:rsid w:val="005F064D"/>
    <w:rsid w:val="005F2982"/>
    <w:rsid w:val="005F4321"/>
    <w:rsid w:val="005F512E"/>
    <w:rsid w:val="005F5A21"/>
    <w:rsid w:val="005F6A04"/>
    <w:rsid w:val="005F7760"/>
    <w:rsid w:val="00600458"/>
    <w:rsid w:val="0060118D"/>
    <w:rsid w:val="00602579"/>
    <w:rsid w:val="0060369E"/>
    <w:rsid w:val="00603824"/>
    <w:rsid w:val="00603E6B"/>
    <w:rsid w:val="0060530E"/>
    <w:rsid w:val="00605D75"/>
    <w:rsid w:val="006073B5"/>
    <w:rsid w:val="00607E8A"/>
    <w:rsid w:val="00610CE1"/>
    <w:rsid w:val="006113D8"/>
    <w:rsid w:val="006113E4"/>
    <w:rsid w:val="00612C6B"/>
    <w:rsid w:val="00614977"/>
    <w:rsid w:val="006151E3"/>
    <w:rsid w:val="00616232"/>
    <w:rsid w:val="0061645B"/>
    <w:rsid w:val="00620850"/>
    <w:rsid w:val="00620A6E"/>
    <w:rsid w:val="00620DB5"/>
    <w:rsid w:val="00621A59"/>
    <w:rsid w:val="0062201A"/>
    <w:rsid w:val="006225AC"/>
    <w:rsid w:val="00622E1A"/>
    <w:rsid w:val="006230A9"/>
    <w:rsid w:val="00623799"/>
    <w:rsid w:val="00624D32"/>
    <w:rsid w:val="006273ED"/>
    <w:rsid w:val="00630C84"/>
    <w:rsid w:val="00630D7C"/>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BC5"/>
    <w:rsid w:val="00655F80"/>
    <w:rsid w:val="00656541"/>
    <w:rsid w:val="00660216"/>
    <w:rsid w:val="006621E9"/>
    <w:rsid w:val="00662904"/>
    <w:rsid w:val="00664A57"/>
    <w:rsid w:val="00664C73"/>
    <w:rsid w:val="006712C3"/>
    <w:rsid w:val="00671999"/>
    <w:rsid w:val="00672F6C"/>
    <w:rsid w:val="006764EA"/>
    <w:rsid w:val="00677DDE"/>
    <w:rsid w:val="00680B65"/>
    <w:rsid w:val="00680D16"/>
    <w:rsid w:val="00681287"/>
    <w:rsid w:val="006815A6"/>
    <w:rsid w:val="00681FD9"/>
    <w:rsid w:val="0068285E"/>
    <w:rsid w:val="00684EF6"/>
    <w:rsid w:val="006856E2"/>
    <w:rsid w:val="00690E46"/>
    <w:rsid w:val="00691719"/>
    <w:rsid w:val="00693743"/>
    <w:rsid w:val="00693995"/>
    <w:rsid w:val="00693C61"/>
    <w:rsid w:val="00695397"/>
    <w:rsid w:val="0069562F"/>
    <w:rsid w:val="006A177A"/>
    <w:rsid w:val="006A1A5D"/>
    <w:rsid w:val="006A285F"/>
    <w:rsid w:val="006A3267"/>
    <w:rsid w:val="006A4533"/>
    <w:rsid w:val="006A5968"/>
    <w:rsid w:val="006A5F8B"/>
    <w:rsid w:val="006A600F"/>
    <w:rsid w:val="006B1A6D"/>
    <w:rsid w:val="006B2B00"/>
    <w:rsid w:val="006B2FA8"/>
    <w:rsid w:val="006B3210"/>
    <w:rsid w:val="006B3E08"/>
    <w:rsid w:val="006B49AE"/>
    <w:rsid w:val="006B529B"/>
    <w:rsid w:val="006C2DF5"/>
    <w:rsid w:val="006C3219"/>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5051"/>
    <w:rsid w:val="006D7692"/>
    <w:rsid w:val="006E0462"/>
    <w:rsid w:val="006E1753"/>
    <w:rsid w:val="006E345A"/>
    <w:rsid w:val="006E3BF0"/>
    <w:rsid w:val="006E4E29"/>
    <w:rsid w:val="006E5D2E"/>
    <w:rsid w:val="006E670A"/>
    <w:rsid w:val="006E6D56"/>
    <w:rsid w:val="006E7C63"/>
    <w:rsid w:val="006F15E9"/>
    <w:rsid w:val="006F252A"/>
    <w:rsid w:val="006F27FC"/>
    <w:rsid w:val="006F3153"/>
    <w:rsid w:val="006F4B6F"/>
    <w:rsid w:val="006F4F6D"/>
    <w:rsid w:val="006F6668"/>
    <w:rsid w:val="006F76CC"/>
    <w:rsid w:val="006F78E7"/>
    <w:rsid w:val="0070008A"/>
    <w:rsid w:val="007021FA"/>
    <w:rsid w:val="0070357F"/>
    <w:rsid w:val="00703630"/>
    <w:rsid w:val="00703DA7"/>
    <w:rsid w:val="00703E05"/>
    <w:rsid w:val="00704A16"/>
    <w:rsid w:val="00705262"/>
    <w:rsid w:val="00705BE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33C9"/>
    <w:rsid w:val="00725719"/>
    <w:rsid w:val="00725BEA"/>
    <w:rsid w:val="00726409"/>
    <w:rsid w:val="007306D1"/>
    <w:rsid w:val="00730BE2"/>
    <w:rsid w:val="00732046"/>
    <w:rsid w:val="007325FF"/>
    <w:rsid w:val="007335EB"/>
    <w:rsid w:val="007337E0"/>
    <w:rsid w:val="00734044"/>
    <w:rsid w:val="007344C3"/>
    <w:rsid w:val="00736C31"/>
    <w:rsid w:val="0074239D"/>
    <w:rsid w:val="00742CE1"/>
    <w:rsid w:val="0074372C"/>
    <w:rsid w:val="00744C7C"/>
    <w:rsid w:val="00745862"/>
    <w:rsid w:val="00746657"/>
    <w:rsid w:val="0074687F"/>
    <w:rsid w:val="00746973"/>
    <w:rsid w:val="00747C4D"/>
    <w:rsid w:val="00751055"/>
    <w:rsid w:val="007517A4"/>
    <w:rsid w:val="0075399B"/>
    <w:rsid w:val="0075585E"/>
    <w:rsid w:val="00755A77"/>
    <w:rsid w:val="007631D1"/>
    <w:rsid w:val="007635AC"/>
    <w:rsid w:val="007643D6"/>
    <w:rsid w:val="00765028"/>
    <w:rsid w:val="00767179"/>
    <w:rsid w:val="007675BE"/>
    <w:rsid w:val="00771E21"/>
    <w:rsid w:val="00772458"/>
    <w:rsid w:val="00775812"/>
    <w:rsid w:val="00781AFB"/>
    <w:rsid w:val="00782161"/>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0744"/>
    <w:rsid w:val="007A0956"/>
    <w:rsid w:val="007A2C57"/>
    <w:rsid w:val="007A3440"/>
    <w:rsid w:val="007A34B3"/>
    <w:rsid w:val="007B1039"/>
    <w:rsid w:val="007B1644"/>
    <w:rsid w:val="007B33F8"/>
    <w:rsid w:val="007B3B6F"/>
    <w:rsid w:val="007B3F3D"/>
    <w:rsid w:val="007B413B"/>
    <w:rsid w:val="007B4FD7"/>
    <w:rsid w:val="007B5461"/>
    <w:rsid w:val="007B6474"/>
    <w:rsid w:val="007B6DAF"/>
    <w:rsid w:val="007B7F0F"/>
    <w:rsid w:val="007C19EC"/>
    <w:rsid w:val="007C33D4"/>
    <w:rsid w:val="007C342D"/>
    <w:rsid w:val="007C3C7F"/>
    <w:rsid w:val="007C51EB"/>
    <w:rsid w:val="007C60E2"/>
    <w:rsid w:val="007C7435"/>
    <w:rsid w:val="007D158A"/>
    <w:rsid w:val="007D5B1C"/>
    <w:rsid w:val="007D6D87"/>
    <w:rsid w:val="007D6FD6"/>
    <w:rsid w:val="007E0ADA"/>
    <w:rsid w:val="007E15CF"/>
    <w:rsid w:val="007E1DB4"/>
    <w:rsid w:val="007E5866"/>
    <w:rsid w:val="007E5D1E"/>
    <w:rsid w:val="007F07AF"/>
    <w:rsid w:val="007F0EA6"/>
    <w:rsid w:val="007F2A44"/>
    <w:rsid w:val="007F6E2B"/>
    <w:rsid w:val="007F7699"/>
    <w:rsid w:val="007F773D"/>
    <w:rsid w:val="007F7BC7"/>
    <w:rsid w:val="008003C8"/>
    <w:rsid w:val="00802118"/>
    <w:rsid w:val="00804065"/>
    <w:rsid w:val="008047DD"/>
    <w:rsid w:val="0080611B"/>
    <w:rsid w:val="00806213"/>
    <w:rsid w:val="00810C08"/>
    <w:rsid w:val="008121D7"/>
    <w:rsid w:val="00812B80"/>
    <w:rsid w:val="00812C11"/>
    <w:rsid w:val="00813BEA"/>
    <w:rsid w:val="008168A2"/>
    <w:rsid w:val="008177A1"/>
    <w:rsid w:val="00820421"/>
    <w:rsid w:val="008213E7"/>
    <w:rsid w:val="00821687"/>
    <w:rsid w:val="0082217D"/>
    <w:rsid w:val="00822A40"/>
    <w:rsid w:val="008236C7"/>
    <w:rsid w:val="00823E67"/>
    <w:rsid w:val="00826045"/>
    <w:rsid w:val="008307DB"/>
    <w:rsid w:val="00830A48"/>
    <w:rsid w:val="00830D48"/>
    <w:rsid w:val="00830ED2"/>
    <w:rsid w:val="00833331"/>
    <w:rsid w:val="00833C36"/>
    <w:rsid w:val="00834B96"/>
    <w:rsid w:val="00836409"/>
    <w:rsid w:val="00836415"/>
    <w:rsid w:val="00836B47"/>
    <w:rsid w:val="00840A53"/>
    <w:rsid w:val="008427B3"/>
    <w:rsid w:val="008428A1"/>
    <w:rsid w:val="00843DAF"/>
    <w:rsid w:val="00844A4F"/>
    <w:rsid w:val="008468EA"/>
    <w:rsid w:val="0085047D"/>
    <w:rsid w:val="008524EA"/>
    <w:rsid w:val="0085263B"/>
    <w:rsid w:val="008530B9"/>
    <w:rsid w:val="008537C0"/>
    <w:rsid w:val="00855167"/>
    <w:rsid w:val="00855F83"/>
    <w:rsid w:val="00856E9E"/>
    <w:rsid w:val="00857642"/>
    <w:rsid w:val="00857872"/>
    <w:rsid w:val="00857F8E"/>
    <w:rsid w:val="00860759"/>
    <w:rsid w:val="0086268A"/>
    <w:rsid w:val="008644EC"/>
    <w:rsid w:val="00864B15"/>
    <w:rsid w:val="00864D3B"/>
    <w:rsid w:val="00865C18"/>
    <w:rsid w:val="00865C7C"/>
    <w:rsid w:val="0086621E"/>
    <w:rsid w:val="0086717D"/>
    <w:rsid w:val="0087121E"/>
    <w:rsid w:val="0087416B"/>
    <w:rsid w:val="00876B32"/>
    <w:rsid w:val="00881A79"/>
    <w:rsid w:val="00882CB8"/>
    <w:rsid w:val="00884093"/>
    <w:rsid w:val="00884366"/>
    <w:rsid w:val="00884650"/>
    <w:rsid w:val="00884C42"/>
    <w:rsid w:val="008851B9"/>
    <w:rsid w:val="00885F50"/>
    <w:rsid w:val="0088641D"/>
    <w:rsid w:val="00887314"/>
    <w:rsid w:val="00887B8A"/>
    <w:rsid w:val="00890EB4"/>
    <w:rsid w:val="00891D35"/>
    <w:rsid w:val="00893901"/>
    <w:rsid w:val="0089667B"/>
    <w:rsid w:val="0089728F"/>
    <w:rsid w:val="00897676"/>
    <w:rsid w:val="008A0874"/>
    <w:rsid w:val="008A0FF6"/>
    <w:rsid w:val="008A28F5"/>
    <w:rsid w:val="008A51AD"/>
    <w:rsid w:val="008B2982"/>
    <w:rsid w:val="008B2F05"/>
    <w:rsid w:val="008B456E"/>
    <w:rsid w:val="008B51B9"/>
    <w:rsid w:val="008B5BC6"/>
    <w:rsid w:val="008B6119"/>
    <w:rsid w:val="008B62FA"/>
    <w:rsid w:val="008B7153"/>
    <w:rsid w:val="008C03AD"/>
    <w:rsid w:val="008C091B"/>
    <w:rsid w:val="008C11EE"/>
    <w:rsid w:val="008C1485"/>
    <w:rsid w:val="008C175C"/>
    <w:rsid w:val="008C2DAF"/>
    <w:rsid w:val="008C3720"/>
    <w:rsid w:val="008C4AB7"/>
    <w:rsid w:val="008C668F"/>
    <w:rsid w:val="008D2DBA"/>
    <w:rsid w:val="008D530C"/>
    <w:rsid w:val="008D56D1"/>
    <w:rsid w:val="008D638B"/>
    <w:rsid w:val="008D7ECE"/>
    <w:rsid w:val="008E01A0"/>
    <w:rsid w:val="008E0C2A"/>
    <w:rsid w:val="008E1BF6"/>
    <w:rsid w:val="008E34A7"/>
    <w:rsid w:val="008E44FF"/>
    <w:rsid w:val="008E5A58"/>
    <w:rsid w:val="008E5F96"/>
    <w:rsid w:val="008E5FDC"/>
    <w:rsid w:val="008E6652"/>
    <w:rsid w:val="008E6FB7"/>
    <w:rsid w:val="008E7557"/>
    <w:rsid w:val="008E7FE5"/>
    <w:rsid w:val="008F1874"/>
    <w:rsid w:val="008F25DF"/>
    <w:rsid w:val="008F29E0"/>
    <w:rsid w:val="008F4FCE"/>
    <w:rsid w:val="008F547E"/>
    <w:rsid w:val="008F63E4"/>
    <w:rsid w:val="008F7E50"/>
    <w:rsid w:val="00900008"/>
    <w:rsid w:val="00900E6A"/>
    <w:rsid w:val="00902EB1"/>
    <w:rsid w:val="00904C01"/>
    <w:rsid w:val="009050BB"/>
    <w:rsid w:val="00905195"/>
    <w:rsid w:val="00905609"/>
    <w:rsid w:val="00905F7A"/>
    <w:rsid w:val="00906A17"/>
    <w:rsid w:val="00906A31"/>
    <w:rsid w:val="00906B1B"/>
    <w:rsid w:val="00910398"/>
    <w:rsid w:val="0091039C"/>
    <w:rsid w:val="00911640"/>
    <w:rsid w:val="0091213F"/>
    <w:rsid w:val="00912783"/>
    <w:rsid w:val="00913D36"/>
    <w:rsid w:val="0091451C"/>
    <w:rsid w:val="00915C3E"/>
    <w:rsid w:val="00915D45"/>
    <w:rsid w:val="00916034"/>
    <w:rsid w:val="00916C5E"/>
    <w:rsid w:val="00920088"/>
    <w:rsid w:val="00922DF5"/>
    <w:rsid w:val="00923349"/>
    <w:rsid w:val="00923C87"/>
    <w:rsid w:val="00923CE8"/>
    <w:rsid w:val="009252D3"/>
    <w:rsid w:val="00925E84"/>
    <w:rsid w:val="00926002"/>
    <w:rsid w:val="009263E3"/>
    <w:rsid w:val="00930061"/>
    <w:rsid w:val="00930EBA"/>
    <w:rsid w:val="0093151F"/>
    <w:rsid w:val="0093268C"/>
    <w:rsid w:val="00934109"/>
    <w:rsid w:val="00934728"/>
    <w:rsid w:val="009347A5"/>
    <w:rsid w:val="00934947"/>
    <w:rsid w:val="00935580"/>
    <w:rsid w:val="009366E0"/>
    <w:rsid w:val="00936767"/>
    <w:rsid w:val="00936EB3"/>
    <w:rsid w:val="00937E0F"/>
    <w:rsid w:val="00940622"/>
    <w:rsid w:val="009412D9"/>
    <w:rsid w:val="00944730"/>
    <w:rsid w:val="00944858"/>
    <w:rsid w:val="009471B5"/>
    <w:rsid w:val="009502D3"/>
    <w:rsid w:val="00951A6C"/>
    <w:rsid w:val="00952928"/>
    <w:rsid w:val="009531DA"/>
    <w:rsid w:val="00953CFD"/>
    <w:rsid w:val="009540FD"/>
    <w:rsid w:val="0095579C"/>
    <w:rsid w:val="00956E7E"/>
    <w:rsid w:val="00961655"/>
    <w:rsid w:val="00963643"/>
    <w:rsid w:val="0096539B"/>
    <w:rsid w:val="00966487"/>
    <w:rsid w:val="009669E3"/>
    <w:rsid w:val="009671DB"/>
    <w:rsid w:val="0096755D"/>
    <w:rsid w:val="0096795F"/>
    <w:rsid w:val="00971CC5"/>
    <w:rsid w:val="00972738"/>
    <w:rsid w:val="009727FE"/>
    <w:rsid w:val="009736D2"/>
    <w:rsid w:val="009748AD"/>
    <w:rsid w:val="00974C35"/>
    <w:rsid w:val="00976E81"/>
    <w:rsid w:val="00976F7A"/>
    <w:rsid w:val="009808B0"/>
    <w:rsid w:val="00980958"/>
    <w:rsid w:val="00983488"/>
    <w:rsid w:val="00983EDB"/>
    <w:rsid w:val="009849EF"/>
    <w:rsid w:val="00984E36"/>
    <w:rsid w:val="0098553B"/>
    <w:rsid w:val="00987014"/>
    <w:rsid w:val="009871AC"/>
    <w:rsid w:val="00987C59"/>
    <w:rsid w:val="009904D9"/>
    <w:rsid w:val="00990892"/>
    <w:rsid w:val="00997443"/>
    <w:rsid w:val="009A1BA1"/>
    <w:rsid w:val="009A2752"/>
    <w:rsid w:val="009A2A81"/>
    <w:rsid w:val="009A2AFB"/>
    <w:rsid w:val="009A2DE2"/>
    <w:rsid w:val="009A3B62"/>
    <w:rsid w:val="009A3ED4"/>
    <w:rsid w:val="009A54C0"/>
    <w:rsid w:val="009A56EE"/>
    <w:rsid w:val="009A5C47"/>
    <w:rsid w:val="009A68E7"/>
    <w:rsid w:val="009A6BC5"/>
    <w:rsid w:val="009A7EC8"/>
    <w:rsid w:val="009B0164"/>
    <w:rsid w:val="009B2392"/>
    <w:rsid w:val="009B2B90"/>
    <w:rsid w:val="009B4029"/>
    <w:rsid w:val="009B4A92"/>
    <w:rsid w:val="009B4B7B"/>
    <w:rsid w:val="009B4CB6"/>
    <w:rsid w:val="009B66C0"/>
    <w:rsid w:val="009B6841"/>
    <w:rsid w:val="009B72A1"/>
    <w:rsid w:val="009B74A5"/>
    <w:rsid w:val="009C0E90"/>
    <w:rsid w:val="009C24F9"/>
    <w:rsid w:val="009C638A"/>
    <w:rsid w:val="009C7964"/>
    <w:rsid w:val="009D0DE4"/>
    <w:rsid w:val="009D3AAC"/>
    <w:rsid w:val="009D5B63"/>
    <w:rsid w:val="009D6C48"/>
    <w:rsid w:val="009D6C90"/>
    <w:rsid w:val="009E1679"/>
    <w:rsid w:val="009E1BE9"/>
    <w:rsid w:val="009E2348"/>
    <w:rsid w:val="009E239E"/>
    <w:rsid w:val="009E2646"/>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4CE8"/>
    <w:rsid w:val="00A0555A"/>
    <w:rsid w:val="00A05DD1"/>
    <w:rsid w:val="00A063F2"/>
    <w:rsid w:val="00A0799C"/>
    <w:rsid w:val="00A07D8F"/>
    <w:rsid w:val="00A1094D"/>
    <w:rsid w:val="00A12531"/>
    <w:rsid w:val="00A12CE1"/>
    <w:rsid w:val="00A13C95"/>
    <w:rsid w:val="00A15615"/>
    <w:rsid w:val="00A1707A"/>
    <w:rsid w:val="00A215E2"/>
    <w:rsid w:val="00A2164F"/>
    <w:rsid w:val="00A23803"/>
    <w:rsid w:val="00A249F6"/>
    <w:rsid w:val="00A2509D"/>
    <w:rsid w:val="00A250AD"/>
    <w:rsid w:val="00A26704"/>
    <w:rsid w:val="00A27248"/>
    <w:rsid w:val="00A27289"/>
    <w:rsid w:val="00A321F9"/>
    <w:rsid w:val="00A3253A"/>
    <w:rsid w:val="00A33DF2"/>
    <w:rsid w:val="00A34AEC"/>
    <w:rsid w:val="00A34F14"/>
    <w:rsid w:val="00A356EC"/>
    <w:rsid w:val="00A35AFD"/>
    <w:rsid w:val="00A3659B"/>
    <w:rsid w:val="00A36B62"/>
    <w:rsid w:val="00A40295"/>
    <w:rsid w:val="00A40731"/>
    <w:rsid w:val="00A40A39"/>
    <w:rsid w:val="00A429D5"/>
    <w:rsid w:val="00A42E39"/>
    <w:rsid w:val="00A433E2"/>
    <w:rsid w:val="00A439EC"/>
    <w:rsid w:val="00A448EF"/>
    <w:rsid w:val="00A4598C"/>
    <w:rsid w:val="00A46087"/>
    <w:rsid w:val="00A510EE"/>
    <w:rsid w:val="00A51638"/>
    <w:rsid w:val="00A52A4E"/>
    <w:rsid w:val="00A5343C"/>
    <w:rsid w:val="00A55081"/>
    <w:rsid w:val="00A5538B"/>
    <w:rsid w:val="00A57796"/>
    <w:rsid w:val="00A57AB1"/>
    <w:rsid w:val="00A61E7D"/>
    <w:rsid w:val="00A635D9"/>
    <w:rsid w:val="00A64C8D"/>
    <w:rsid w:val="00A6721B"/>
    <w:rsid w:val="00A70355"/>
    <w:rsid w:val="00A7046F"/>
    <w:rsid w:val="00A71E4D"/>
    <w:rsid w:val="00A71F4F"/>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11C3"/>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669A"/>
    <w:rsid w:val="00AA6D14"/>
    <w:rsid w:val="00AA753E"/>
    <w:rsid w:val="00AB16AD"/>
    <w:rsid w:val="00AB24CE"/>
    <w:rsid w:val="00AB3CE6"/>
    <w:rsid w:val="00AB3E2B"/>
    <w:rsid w:val="00AB65C7"/>
    <w:rsid w:val="00AB671D"/>
    <w:rsid w:val="00AB6BFE"/>
    <w:rsid w:val="00AB7130"/>
    <w:rsid w:val="00AB7311"/>
    <w:rsid w:val="00AC0D42"/>
    <w:rsid w:val="00AC2C30"/>
    <w:rsid w:val="00AC2D77"/>
    <w:rsid w:val="00AC350C"/>
    <w:rsid w:val="00AC3558"/>
    <w:rsid w:val="00AC3A1B"/>
    <w:rsid w:val="00AC46EE"/>
    <w:rsid w:val="00AC5254"/>
    <w:rsid w:val="00AC701A"/>
    <w:rsid w:val="00AC74A3"/>
    <w:rsid w:val="00AC7DAD"/>
    <w:rsid w:val="00AD02BB"/>
    <w:rsid w:val="00AD0393"/>
    <w:rsid w:val="00AD11DB"/>
    <w:rsid w:val="00AD1781"/>
    <w:rsid w:val="00AD344D"/>
    <w:rsid w:val="00AD3F55"/>
    <w:rsid w:val="00AD49BE"/>
    <w:rsid w:val="00AD4CFD"/>
    <w:rsid w:val="00AD53F5"/>
    <w:rsid w:val="00AD5E7B"/>
    <w:rsid w:val="00AD5EFF"/>
    <w:rsid w:val="00AD7989"/>
    <w:rsid w:val="00AE0BFC"/>
    <w:rsid w:val="00AE1A08"/>
    <w:rsid w:val="00AE1BBA"/>
    <w:rsid w:val="00AE25BD"/>
    <w:rsid w:val="00AE4966"/>
    <w:rsid w:val="00AE4BA3"/>
    <w:rsid w:val="00AE5384"/>
    <w:rsid w:val="00AE7E8A"/>
    <w:rsid w:val="00AF209B"/>
    <w:rsid w:val="00AF32D8"/>
    <w:rsid w:val="00AF3F64"/>
    <w:rsid w:val="00AF40CA"/>
    <w:rsid w:val="00AF4C64"/>
    <w:rsid w:val="00AF5BBB"/>
    <w:rsid w:val="00AF70FF"/>
    <w:rsid w:val="00B01BE5"/>
    <w:rsid w:val="00B02385"/>
    <w:rsid w:val="00B03878"/>
    <w:rsid w:val="00B06DDF"/>
    <w:rsid w:val="00B07809"/>
    <w:rsid w:val="00B079A5"/>
    <w:rsid w:val="00B07E7C"/>
    <w:rsid w:val="00B11C89"/>
    <w:rsid w:val="00B134C7"/>
    <w:rsid w:val="00B136CC"/>
    <w:rsid w:val="00B143BA"/>
    <w:rsid w:val="00B17521"/>
    <w:rsid w:val="00B17577"/>
    <w:rsid w:val="00B17683"/>
    <w:rsid w:val="00B207CC"/>
    <w:rsid w:val="00B20FAA"/>
    <w:rsid w:val="00B21806"/>
    <w:rsid w:val="00B21CD8"/>
    <w:rsid w:val="00B21FBA"/>
    <w:rsid w:val="00B23036"/>
    <w:rsid w:val="00B23264"/>
    <w:rsid w:val="00B2793E"/>
    <w:rsid w:val="00B3022C"/>
    <w:rsid w:val="00B319A3"/>
    <w:rsid w:val="00B32ABD"/>
    <w:rsid w:val="00B32E35"/>
    <w:rsid w:val="00B33B37"/>
    <w:rsid w:val="00B35017"/>
    <w:rsid w:val="00B35374"/>
    <w:rsid w:val="00B374E5"/>
    <w:rsid w:val="00B3764A"/>
    <w:rsid w:val="00B37AA5"/>
    <w:rsid w:val="00B41FA0"/>
    <w:rsid w:val="00B42826"/>
    <w:rsid w:val="00B42E6D"/>
    <w:rsid w:val="00B430FA"/>
    <w:rsid w:val="00B43982"/>
    <w:rsid w:val="00B440FB"/>
    <w:rsid w:val="00B44FFF"/>
    <w:rsid w:val="00B459AF"/>
    <w:rsid w:val="00B45BC3"/>
    <w:rsid w:val="00B475B6"/>
    <w:rsid w:val="00B52D65"/>
    <w:rsid w:val="00B54F2B"/>
    <w:rsid w:val="00B55869"/>
    <w:rsid w:val="00B567F1"/>
    <w:rsid w:val="00B569FA"/>
    <w:rsid w:val="00B571D3"/>
    <w:rsid w:val="00B57712"/>
    <w:rsid w:val="00B60E2D"/>
    <w:rsid w:val="00B635A5"/>
    <w:rsid w:val="00B63BE5"/>
    <w:rsid w:val="00B64CAA"/>
    <w:rsid w:val="00B66D36"/>
    <w:rsid w:val="00B67FB0"/>
    <w:rsid w:val="00B7272B"/>
    <w:rsid w:val="00B732FB"/>
    <w:rsid w:val="00B7342D"/>
    <w:rsid w:val="00B73BCE"/>
    <w:rsid w:val="00B7490A"/>
    <w:rsid w:val="00B759EC"/>
    <w:rsid w:val="00B75B0C"/>
    <w:rsid w:val="00B75F96"/>
    <w:rsid w:val="00B773AD"/>
    <w:rsid w:val="00B774F6"/>
    <w:rsid w:val="00B778CB"/>
    <w:rsid w:val="00B809D9"/>
    <w:rsid w:val="00B8168B"/>
    <w:rsid w:val="00B819E6"/>
    <w:rsid w:val="00B824F8"/>
    <w:rsid w:val="00B8362D"/>
    <w:rsid w:val="00B8368B"/>
    <w:rsid w:val="00B83A9E"/>
    <w:rsid w:val="00B86A41"/>
    <w:rsid w:val="00B86F52"/>
    <w:rsid w:val="00B878F5"/>
    <w:rsid w:val="00B91893"/>
    <w:rsid w:val="00B926BD"/>
    <w:rsid w:val="00B92DE8"/>
    <w:rsid w:val="00B93D8F"/>
    <w:rsid w:val="00B96A32"/>
    <w:rsid w:val="00B9799D"/>
    <w:rsid w:val="00BA1322"/>
    <w:rsid w:val="00BA1402"/>
    <w:rsid w:val="00BA25FD"/>
    <w:rsid w:val="00BA2D85"/>
    <w:rsid w:val="00BA3AA7"/>
    <w:rsid w:val="00BA3C3F"/>
    <w:rsid w:val="00BA5CEA"/>
    <w:rsid w:val="00BA690D"/>
    <w:rsid w:val="00BA7612"/>
    <w:rsid w:val="00BB08FC"/>
    <w:rsid w:val="00BB1D36"/>
    <w:rsid w:val="00BB3631"/>
    <w:rsid w:val="00BB3FF6"/>
    <w:rsid w:val="00BB43F0"/>
    <w:rsid w:val="00BB5630"/>
    <w:rsid w:val="00BB6BE1"/>
    <w:rsid w:val="00BC1D62"/>
    <w:rsid w:val="00BC392E"/>
    <w:rsid w:val="00BC60A6"/>
    <w:rsid w:val="00BC62E0"/>
    <w:rsid w:val="00BC6B8A"/>
    <w:rsid w:val="00BC6FBF"/>
    <w:rsid w:val="00BC7221"/>
    <w:rsid w:val="00BD00D9"/>
    <w:rsid w:val="00BD137A"/>
    <w:rsid w:val="00BD1886"/>
    <w:rsid w:val="00BD23E3"/>
    <w:rsid w:val="00BD39CF"/>
    <w:rsid w:val="00BD40BC"/>
    <w:rsid w:val="00BD6234"/>
    <w:rsid w:val="00BD7119"/>
    <w:rsid w:val="00BE0437"/>
    <w:rsid w:val="00BE04F6"/>
    <w:rsid w:val="00BE107D"/>
    <w:rsid w:val="00BE2D6C"/>
    <w:rsid w:val="00BE4C2B"/>
    <w:rsid w:val="00BE52CA"/>
    <w:rsid w:val="00BE5D1C"/>
    <w:rsid w:val="00BE701E"/>
    <w:rsid w:val="00BE7640"/>
    <w:rsid w:val="00BF0242"/>
    <w:rsid w:val="00BF0AE5"/>
    <w:rsid w:val="00BF1127"/>
    <w:rsid w:val="00BF144D"/>
    <w:rsid w:val="00BF214A"/>
    <w:rsid w:val="00BF377B"/>
    <w:rsid w:val="00BF3E1B"/>
    <w:rsid w:val="00BF635B"/>
    <w:rsid w:val="00BF7C41"/>
    <w:rsid w:val="00BF7D51"/>
    <w:rsid w:val="00C00699"/>
    <w:rsid w:val="00C014A1"/>
    <w:rsid w:val="00C01975"/>
    <w:rsid w:val="00C02723"/>
    <w:rsid w:val="00C02A91"/>
    <w:rsid w:val="00C04960"/>
    <w:rsid w:val="00C05ABD"/>
    <w:rsid w:val="00C06163"/>
    <w:rsid w:val="00C06489"/>
    <w:rsid w:val="00C10713"/>
    <w:rsid w:val="00C1120E"/>
    <w:rsid w:val="00C11391"/>
    <w:rsid w:val="00C114A8"/>
    <w:rsid w:val="00C12EC0"/>
    <w:rsid w:val="00C1324E"/>
    <w:rsid w:val="00C138A5"/>
    <w:rsid w:val="00C14B96"/>
    <w:rsid w:val="00C158D4"/>
    <w:rsid w:val="00C15A2E"/>
    <w:rsid w:val="00C211F9"/>
    <w:rsid w:val="00C21991"/>
    <w:rsid w:val="00C22F92"/>
    <w:rsid w:val="00C238EE"/>
    <w:rsid w:val="00C25927"/>
    <w:rsid w:val="00C27126"/>
    <w:rsid w:val="00C273D7"/>
    <w:rsid w:val="00C2755A"/>
    <w:rsid w:val="00C2794C"/>
    <w:rsid w:val="00C3028D"/>
    <w:rsid w:val="00C310B8"/>
    <w:rsid w:val="00C31DBD"/>
    <w:rsid w:val="00C32633"/>
    <w:rsid w:val="00C32716"/>
    <w:rsid w:val="00C3305D"/>
    <w:rsid w:val="00C3343C"/>
    <w:rsid w:val="00C3343E"/>
    <w:rsid w:val="00C3643C"/>
    <w:rsid w:val="00C3691B"/>
    <w:rsid w:val="00C36C29"/>
    <w:rsid w:val="00C41646"/>
    <w:rsid w:val="00C4383B"/>
    <w:rsid w:val="00C4601A"/>
    <w:rsid w:val="00C478FE"/>
    <w:rsid w:val="00C47DF1"/>
    <w:rsid w:val="00C502DD"/>
    <w:rsid w:val="00C50B37"/>
    <w:rsid w:val="00C545C2"/>
    <w:rsid w:val="00C613E2"/>
    <w:rsid w:val="00C621E3"/>
    <w:rsid w:val="00C62F39"/>
    <w:rsid w:val="00C6430C"/>
    <w:rsid w:val="00C64657"/>
    <w:rsid w:val="00C64E24"/>
    <w:rsid w:val="00C65047"/>
    <w:rsid w:val="00C653CC"/>
    <w:rsid w:val="00C665D4"/>
    <w:rsid w:val="00C67E56"/>
    <w:rsid w:val="00C72249"/>
    <w:rsid w:val="00C731C3"/>
    <w:rsid w:val="00C73982"/>
    <w:rsid w:val="00C73CE1"/>
    <w:rsid w:val="00C74775"/>
    <w:rsid w:val="00C75ACB"/>
    <w:rsid w:val="00C76F9B"/>
    <w:rsid w:val="00C77064"/>
    <w:rsid w:val="00C775C1"/>
    <w:rsid w:val="00C80AB6"/>
    <w:rsid w:val="00C820DF"/>
    <w:rsid w:val="00C824FE"/>
    <w:rsid w:val="00C833D6"/>
    <w:rsid w:val="00C84CDE"/>
    <w:rsid w:val="00C8762A"/>
    <w:rsid w:val="00C9050E"/>
    <w:rsid w:val="00C9112A"/>
    <w:rsid w:val="00C9216F"/>
    <w:rsid w:val="00C9248F"/>
    <w:rsid w:val="00C9306D"/>
    <w:rsid w:val="00C93320"/>
    <w:rsid w:val="00C95318"/>
    <w:rsid w:val="00C956B0"/>
    <w:rsid w:val="00C95A99"/>
    <w:rsid w:val="00C964E2"/>
    <w:rsid w:val="00C96B98"/>
    <w:rsid w:val="00C96F6B"/>
    <w:rsid w:val="00C97ED3"/>
    <w:rsid w:val="00CA043D"/>
    <w:rsid w:val="00CA069B"/>
    <w:rsid w:val="00CA09C4"/>
    <w:rsid w:val="00CA2309"/>
    <w:rsid w:val="00CA27F9"/>
    <w:rsid w:val="00CA28AD"/>
    <w:rsid w:val="00CA4094"/>
    <w:rsid w:val="00CA4F28"/>
    <w:rsid w:val="00CA6A74"/>
    <w:rsid w:val="00CA7388"/>
    <w:rsid w:val="00CA73A5"/>
    <w:rsid w:val="00CA78AC"/>
    <w:rsid w:val="00CB067C"/>
    <w:rsid w:val="00CB15CA"/>
    <w:rsid w:val="00CB1610"/>
    <w:rsid w:val="00CB26B3"/>
    <w:rsid w:val="00CB3B7D"/>
    <w:rsid w:val="00CB4DC8"/>
    <w:rsid w:val="00CB51F5"/>
    <w:rsid w:val="00CB687E"/>
    <w:rsid w:val="00CC0250"/>
    <w:rsid w:val="00CC074E"/>
    <w:rsid w:val="00CC1659"/>
    <w:rsid w:val="00CC3092"/>
    <w:rsid w:val="00CC30C3"/>
    <w:rsid w:val="00CC30DC"/>
    <w:rsid w:val="00CC363A"/>
    <w:rsid w:val="00CC3D4E"/>
    <w:rsid w:val="00CC4003"/>
    <w:rsid w:val="00CC4701"/>
    <w:rsid w:val="00CC7490"/>
    <w:rsid w:val="00CC74BD"/>
    <w:rsid w:val="00CD0768"/>
    <w:rsid w:val="00CD2DD9"/>
    <w:rsid w:val="00CD3CC4"/>
    <w:rsid w:val="00CD5BDB"/>
    <w:rsid w:val="00CD6ABB"/>
    <w:rsid w:val="00CD788F"/>
    <w:rsid w:val="00CE047D"/>
    <w:rsid w:val="00CE1017"/>
    <w:rsid w:val="00CE16E3"/>
    <w:rsid w:val="00CE358A"/>
    <w:rsid w:val="00CE373E"/>
    <w:rsid w:val="00CE43AF"/>
    <w:rsid w:val="00CE577D"/>
    <w:rsid w:val="00CE665D"/>
    <w:rsid w:val="00CE6758"/>
    <w:rsid w:val="00CE7731"/>
    <w:rsid w:val="00CE78EF"/>
    <w:rsid w:val="00CF096F"/>
    <w:rsid w:val="00CF1226"/>
    <w:rsid w:val="00CF329F"/>
    <w:rsid w:val="00CF45D9"/>
    <w:rsid w:val="00CF6106"/>
    <w:rsid w:val="00CF6A79"/>
    <w:rsid w:val="00CF73D7"/>
    <w:rsid w:val="00D00AAE"/>
    <w:rsid w:val="00D02D5A"/>
    <w:rsid w:val="00D03B9D"/>
    <w:rsid w:val="00D0498A"/>
    <w:rsid w:val="00D057A6"/>
    <w:rsid w:val="00D065E6"/>
    <w:rsid w:val="00D06F2D"/>
    <w:rsid w:val="00D0755A"/>
    <w:rsid w:val="00D10843"/>
    <w:rsid w:val="00D11B6A"/>
    <w:rsid w:val="00D13B2D"/>
    <w:rsid w:val="00D154A5"/>
    <w:rsid w:val="00D15660"/>
    <w:rsid w:val="00D15FE8"/>
    <w:rsid w:val="00D16E7D"/>
    <w:rsid w:val="00D17672"/>
    <w:rsid w:val="00D17731"/>
    <w:rsid w:val="00D20E86"/>
    <w:rsid w:val="00D20FB3"/>
    <w:rsid w:val="00D21DFB"/>
    <w:rsid w:val="00D227C4"/>
    <w:rsid w:val="00D23048"/>
    <w:rsid w:val="00D2352A"/>
    <w:rsid w:val="00D23DD0"/>
    <w:rsid w:val="00D251C3"/>
    <w:rsid w:val="00D26CB5"/>
    <w:rsid w:val="00D27EA0"/>
    <w:rsid w:val="00D31593"/>
    <w:rsid w:val="00D33231"/>
    <w:rsid w:val="00D335AF"/>
    <w:rsid w:val="00D35C34"/>
    <w:rsid w:val="00D36240"/>
    <w:rsid w:val="00D36D3E"/>
    <w:rsid w:val="00D36DB7"/>
    <w:rsid w:val="00D40E5E"/>
    <w:rsid w:val="00D4138D"/>
    <w:rsid w:val="00D4140C"/>
    <w:rsid w:val="00D41493"/>
    <w:rsid w:val="00D4152F"/>
    <w:rsid w:val="00D424EC"/>
    <w:rsid w:val="00D4282D"/>
    <w:rsid w:val="00D438DC"/>
    <w:rsid w:val="00D43EF1"/>
    <w:rsid w:val="00D43F6F"/>
    <w:rsid w:val="00D44015"/>
    <w:rsid w:val="00D46755"/>
    <w:rsid w:val="00D46CFF"/>
    <w:rsid w:val="00D46FBF"/>
    <w:rsid w:val="00D47246"/>
    <w:rsid w:val="00D47281"/>
    <w:rsid w:val="00D47A7B"/>
    <w:rsid w:val="00D47BB6"/>
    <w:rsid w:val="00D532F6"/>
    <w:rsid w:val="00D54C37"/>
    <w:rsid w:val="00D5694F"/>
    <w:rsid w:val="00D5779A"/>
    <w:rsid w:val="00D62214"/>
    <w:rsid w:val="00D62ADB"/>
    <w:rsid w:val="00D632D1"/>
    <w:rsid w:val="00D64B7A"/>
    <w:rsid w:val="00D65AB8"/>
    <w:rsid w:val="00D65E10"/>
    <w:rsid w:val="00D67008"/>
    <w:rsid w:val="00D67ADC"/>
    <w:rsid w:val="00D706BA"/>
    <w:rsid w:val="00D709A0"/>
    <w:rsid w:val="00D70A78"/>
    <w:rsid w:val="00D71394"/>
    <w:rsid w:val="00D7252A"/>
    <w:rsid w:val="00D7377B"/>
    <w:rsid w:val="00D73BC0"/>
    <w:rsid w:val="00D76C93"/>
    <w:rsid w:val="00D80799"/>
    <w:rsid w:val="00D81512"/>
    <w:rsid w:val="00D84747"/>
    <w:rsid w:val="00D84BD3"/>
    <w:rsid w:val="00D84F4B"/>
    <w:rsid w:val="00D85346"/>
    <w:rsid w:val="00D9019A"/>
    <w:rsid w:val="00D90E7B"/>
    <w:rsid w:val="00D91EDC"/>
    <w:rsid w:val="00D92D94"/>
    <w:rsid w:val="00D93C90"/>
    <w:rsid w:val="00D961DB"/>
    <w:rsid w:val="00D96551"/>
    <w:rsid w:val="00DA0625"/>
    <w:rsid w:val="00DA3748"/>
    <w:rsid w:val="00DA4C82"/>
    <w:rsid w:val="00DA671A"/>
    <w:rsid w:val="00DA6E57"/>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1C15"/>
    <w:rsid w:val="00DC4772"/>
    <w:rsid w:val="00DC48CF"/>
    <w:rsid w:val="00DC5BB0"/>
    <w:rsid w:val="00DC6711"/>
    <w:rsid w:val="00DC6826"/>
    <w:rsid w:val="00DD20E3"/>
    <w:rsid w:val="00DD2605"/>
    <w:rsid w:val="00DD2AAA"/>
    <w:rsid w:val="00DD50B5"/>
    <w:rsid w:val="00DD5275"/>
    <w:rsid w:val="00DD5958"/>
    <w:rsid w:val="00DD5F86"/>
    <w:rsid w:val="00DD6047"/>
    <w:rsid w:val="00DD7205"/>
    <w:rsid w:val="00DD771A"/>
    <w:rsid w:val="00DD7F78"/>
    <w:rsid w:val="00DE157C"/>
    <w:rsid w:val="00DE262A"/>
    <w:rsid w:val="00DE2759"/>
    <w:rsid w:val="00DE2977"/>
    <w:rsid w:val="00DE4037"/>
    <w:rsid w:val="00DE43F4"/>
    <w:rsid w:val="00DE466B"/>
    <w:rsid w:val="00DE4A72"/>
    <w:rsid w:val="00DE5D8B"/>
    <w:rsid w:val="00DE7233"/>
    <w:rsid w:val="00DE7607"/>
    <w:rsid w:val="00DE761A"/>
    <w:rsid w:val="00DF1876"/>
    <w:rsid w:val="00DF2338"/>
    <w:rsid w:val="00DF24D8"/>
    <w:rsid w:val="00DF3176"/>
    <w:rsid w:val="00DF37CE"/>
    <w:rsid w:val="00DF4C70"/>
    <w:rsid w:val="00DF4D56"/>
    <w:rsid w:val="00DF63EB"/>
    <w:rsid w:val="00DF78BC"/>
    <w:rsid w:val="00E01680"/>
    <w:rsid w:val="00E0212C"/>
    <w:rsid w:val="00E02161"/>
    <w:rsid w:val="00E02A20"/>
    <w:rsid w:val="00E030AE"/>
    <w:rsid w:val="00E04587"/>
    <w:rsid w:val="00E04EFF"/>
    <w:rsid w:val="00E05212"/>
    <w:rsid w:val="00E05D02"/>
    <w:rsid w:val="00E0690D"/>
    <w:rsid w:val="00E101A9"/>
    <w:rsid w:val="00E12954"/>
    <w:rsid w:val="00E12A2F"/>
    <w:rsid w:val="00E12D9F"/>
    <w:rsid w:val="00E12FAE"/>
    <w:rsid w:val="00E13468"/>
    <w:rsid w:val="00E16119"/>
    <w:rsid w:val="00E1638A"/>
    <w:rsid w:val="00E24543"/>
    <w:rsid w:val="00E2457B"/>
    <w:rsid w:val="00E247DE"/>
    <w:rsid w:val="00E257AB"/>
    <w:rsid w:val="00E27F47"/>
    <w:rsid w:val="00E3212A"/>
    <w:rsid w:val="00E32221"/>
    <w:rsid w:val="00E32512"/>
    <w:rsid w:val="00E333C7"/>
    <w:rsid w:val="00E3374E"/>
    <w:rsid w:val="00E33A7F"/>
    <w:rsid w:val="00E3471E"/>
    <w:rsid w:val="00E34A79"/>
    <w:rsid w:val="00E376F7"/>
    <w:rsid w:val="00E4104D"/>
    <w:rsid w:val="00E41293"/>
    <w:rsid w:val="00E41C3F"/>
    <w:rsid w:val="00E41CE3"/>
    <w:rsid w:val="00E42A3B"/>
    <w:rsid w:val="00E42C85"/>
    <w:rsid w:val="00E44479"/>
    <w:rsid w:val="00E45108"/>
    <w:rsid w:val="00E4622A"/>
    <w:rsid w:val="00E4630F"/>
    <w:rsid w:val="00E475F0"/>
    <w:rsid w:val="00E47D8D"/>
    <w:rsid w:val="00E5099A"/>
    <w:rsid w:val="00E50CA8"/>
    <w:rsid w:val="00E519D9"/>
    <w:rsid w:val="00E536DE"/>
    <w:rsid w:val="00E538E6"/>
    <w:rsid w:val="00E5527D"/>
    <w:rsid w:val="00E5535A"/>
    <w:rsid w:val="00E553E9"/>
    <w:rsid w:val="00E563DF"/>
    <w:rsid w:val="00E569B2"/>
    <w:rsid w:val="00E5705D"/>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5D87"/>
    <w:rsid w:val="00E779AA"/>
    <w:rsid w:val="00E80333"/>
    <w:rsid w:val="00E809A6"/>
    <w:rsid w:val="00E8107B"/>
    <w:rsid w:val="00E824D5"/>
    <w:rsid w:val="00E83629"/>
    <w:rsid w:val="00E838DB"/>
    <w:rsid w:val="00E83F7E"/>
    <w:rsid w:val="00E86214"/>
    <w:rsid w:val="00E865F0"/>
    <w:rsid w:val="00E868E7"/>
    <w:rsid w:val="00E9310C"/>
    <w:rsid w:val="00E93979"/>
    <w:rsid w:val="00E93CD3"/>
    <w:rsid w:val="00E93DF4"/>
    <w:rsid w:val="00E93F61"/>
    <w:rsid w:val="00E9501F"/>
    <w:rsid w:val="00E962BC"/>
    <w:rsid w:val="00E9676A"/>
    <w:rsid w:val="00EA1508"/>
    <w:rsid w:val="00EA379C"/>
    <w:rsid w:val="00EA37F1"/>
    <w:rsid w:val="00EA3F73"/>
    <w:rsid w:val="00EA4CB5"/>
    <w:rsid w:val="00EA67B2"/>
    <w:rsid w:val="00EB0757"/>
    <w:rsid w:val="00EB1E86"/>
    <w:rsid w:val="00EB3C74"/>
    <w:rsid w:val="00EB5926"/>
    <w:rsid w:val="00EB5D98"/>
    <w:rsid w:val="00EB63BD"/>
    <w:rsid w:val="00EB7A35"/>
    <w:rsid w:val="00EC027A"/>
    <w:rsid w:val="00EC05B4"/>
    <w:rsid w:val="00EC074E"/>
    <w:rsid w:val="00EC0A53"/>
    <w:rsid w:val="00EC0B10"/>
    <w:rsid w:val="00EC0EE5"/>
    <w:rsid w:val="00EC33EA"/>
    <w:rsid w:val="00EC41C2"/>
    <w:rsid w:val="00EC4E71"/>
    <w:rsid w:val="00EC62F1"/>
    <w:rsid w:val="00EC6D41"/>
    <w:rsid w:val="00EC79CA"/>
    <w:rsid w:val="00ED03A3"/>
    <w:rsid w:val="00ED0AA7"/>
    <w:rsid w:val="00ED2F8A"/>
    <w:rsid w:val="00ED3812"/>
    <w:rsid w:val="00ED38D7"/>
    <w:rsid w:val="00ED39CD"/>
    <w:rsid w:val="00ED58AF"/>
    <w:rsid w:val="00ED7658"/>
    <w:rsid w:val="00EE047B"/>
    <w:rsid w:val="00EE13F4"/>
    <w:rsid w:val="00EE171F"/>
    <w:rsid w:val="00EE1EE5"/>
    <w:rsid w:val="00EE2928"/>
    <w:rsid w:val="00EE2E23"/>
    <w:rsid w:val="00EE359A"/>
    <w:rsid w:val="00EE4BD0"/>
    <w:rsid w:val="00EE5AC8"/>
    <w:rsid w:val="00EE5BA1"/>
    <w:rsid w:val="00EF2966"/>
    <w:rsid w:val="00EF524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3E10"/>
    <w:rsid w:val="00F1597D"/>
    <w:rsid w:val="00F16EF8"/>
    <w:rsid w:val="00F16FAB"/>
    <w:rsid w:val="00F170B7"/>
    <w:rsid w:val="00F17664"/>
    <w:rsid w:val="00F21CA5"/>
    <w:rsid w:val="00F255B6"/>
    <w:rsid w:val="00F26ED7"/>
    <w:rsid w:val="00F2710F"/>
    <w:rsid w:val="00F31625"/>
    <w:rsid w:val="00F31BDC"/>
    <w:rsid w:val="00F32232"/>
    <w:rsid w:val="00F32242"/>
    <w:rsid w:val="00F32843"/>
    <w:rsid w:val="00F34685"/>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1969"/>
    <w:rsid w:val="00F5374F"/>
    <w:rsid w:val="00F545DD"/>
    <w:rsid w:val="00F55BF7"/>
    <w:rsid w:val="00F55E69"/>
    <w:rsid w:val="00F579BE"/>
    <w:rsid w:val="00F606F4"/>
    <w:rsid w:val="00F60DF6"/>
    <w:rsid w:val="00F61671"/>
    <w:rsid w:val="00F61E12"/>
    <w:rsid w:val="00F626E7"/>
    <w:rsid w:val="00F62D04"/>
    <w:rsid w:val="00F64117"/>
    <w:rsid w:val="00F6434A"/>
    <w:rsid w:val="00F6595B"/>
    <w:rsid w:val="00F70887"/>
    <w:rsid w:val="00F70A7D"/>
    <w:rsid w:val="00F72B8A"/>
    <w:rsid w:val="00F748DD"/>
    <w:rsid w:val="00F76633"/>
    <w:rsid w:val="00F77EEC"/>
    <w:rsid w:val="00F81710"/>
    <w:rsid w:val="00F81D62"/>
    <w:rsid w:val="00F81FF7"/>
    <w:rsid w:val="00F83E64"/>
    <w:rsid w:val="00F85755"/>
    <w:rsid w:val="00F86DC3"/>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CA7"/>
    <w:rsid w:val="00FA4D12"/>
    <w:rsid w:val="00FA5031"/>
    <w:rsid w:val="00FA56FF"/>
    <w:rsid w:val="00FB106B"/>
    <w:rsid w:val="00FB4326"/>
    <w:rsid w:val="00FB4831"/>
    <w:rsid w:val="00FB4C6F"/>
    <w:rsid w:val="00FB64A1"/>
    <w:rsid w:val="00FB6732"/>
    <w:rsid w:val="00FB7D16"/>
    <w:rsid w:val="00FC0858"/>
    <w:rsid w:val="00FC110D"/>
    <w:rsid w:val="00FC37EC"/>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568"/>
    <w:rsid w:val="00FE7C48"/>
    <w:rsid w:val="00FF0BE2"/>
    <w:rsid w:val="00FF14A5"/>
    <w:rsid w:val="00FF18D0"/>
    <w:rsid w:val="00FF35DB"/>
    <w:rsid w:val="00FF3A21"/>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List Number" w:uiPriority="0"/>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4"/>
    <w:rPr>
      <w:rFonts w:eastAsia="Times New Roman"/>
    </w:rPr>
  </w:style>
  <w:style w:type="paragraph" w:styleId="Heading1">
    <w:name w:val="heading 1"/>
    <w:basedOn w:val="Normal"/>
    <w:next w:val="BodyText2"/>
    <w:link w:val="Heading1Char"/>
    <w:qFormat/>
    <w:rsid w:val="00812C11"/>
    <w:pPr>
      <w:keepLines/>
      <w:numPr>
        <w:numId w:val="6"/>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812C11"/>
    <w:pPr>
      <w:keepLines/>
      <w:numPr>
        <w:ilvl w:val="1"/>
        <w:numId w:val="6"/>
      </w:numPr>
      <w:spacing w:after="240"/>
      <w:jc w:val="both"/>
      <w:outlineLvl w:val="1"/>
    </w:pPr>
    <w:rPr>
      <w:b/>
      <w:bCs/>
      <w:iCs/>
      <w:caps/>
      <w:szCs w:val="28"/>
    </w:rPr>
  </w:style>
  <w:style w:type="paragraph" w:styleId="Heading3">
    <w:name w:val="heading 3"/>
    <w:basedOn w:val="Normal"/>
    <w:next w:val="BodyText2"/>
    <w:link w:val="Heading3Char"/>
    <w:qFormat/>
    <w:rsid w:val="00812C11"/>
    <w:pPr>
      <w:numPr>
        <w:ilvl w:val="2"/>
        <w:numId w:val="6"/>
      </w:numPr>
      <w:tabs>
        <w:tab w:val="clear" w:pos="2070"/>
        <w:tab w:val="num" w:pos="2160"/>
      </w:tabs>
      <w:spacing w:after="240"/>
      <w:ind w:left="2160"/>
      <w:jc w:val="both"/>
      <w:outlineLvl w:val="2"/>
    </w:pPr>
    <w:rPr>
      <w:b/>
      <w:bCs/>
      <w:szCs w:val="26"/>
    </w:rPr>
  </w:style>
  <w:style w:type="paragraph" w:styleId="Heading4">
    <w:name w:val="heading 4"/>
    <w:basedOn w:val="Normal"/>
    <w:next w:val="BodyText2"/>
    <w:link w:val="Heading4Char"/>
    <w:qFormat/>
    <w:rsid w:val="00812C11"/>
    <w:pPr>
      <w:numPr>
        <w:ilvl w:val="3"/>
        <w:numId w:val="6"/>
      </w:numPr>
      <w:spacing w:after="240"/>
      <w:jc w:val="both"/>
      <w:outlineLvl w:val="3"/>
    </w:pPr>
    <w:rPr>
      <w:b/>
      <w:bCs/>
      <w:szCs w:val="28"/>
    </w:rPr>
  </w:style>
  <w:style w:type="paragraph" w:styleId="Heading5">
    <w:name w:val="heading 5"/>
    <w:basedOn w:val="Normal"/>
    <w:next w:val="BodyText2"/>
    <w:link w:val="Heading5Char"/>
    <w:qFormat/>
    <w:rsid w:val="00812C11"/>
    <w:pPr>
      <w:numPr>
        <w:ilvl w:val="4"/>
        <w:numId w:val="6"/>
      </w:numPr>
      <w:spacing w:after="240"/>
      <w:jc w:val="both"/>
      <w:outlineLvl w:val="4"/>
    </w:pPr>
    <w:rPr>
      <w:b/>
      <w:bCs/>
      <w:iCs/>
      <w:szCs w:val="26"/>
    </w:rPr>
  </w:style>
  <w:style w:type="paragraph" w:styleId="Heading6">
    <w:name w:val="heading 6"/>
    <w:basedOn w:val="Normal"/>
    <w:next w:val="BodyText2"/>
    <w:link w:val="Heading6Char"/>
    <w:qFormat/>
    <w:rsid w:val="00812C11"/>
    <w:pPr>
      <w:numPr>
        <w:ilvl w:val="5"/>
        <w:numId w:val="6"/>
      </w:numPr>
      <w:spacing w:after="240"/>
      <w:outlineLvl w:val="5"/>
    </w:pPr>
    <w:rPr>
      <w:b/>
      <w:bCs/>
      <w:szCs w:val="22"/>
    </w:rPr>
  </w:style>
  <w:style w:type="paragraph" w:styleId="Heading7">
    <w:name w:val="heading 7"/>
    <w:basedOn w:val="Normal"/>
    <w:next w:val="BodyText2"/>
    <w:link w:val="Heading7Char"/>
    <w:qFormat/>
    <w:rsid w:val="00812C11"/>
    <w:pPr>
      <w:numPr>
        <w:ilvl w:val="6"/>
        <w:numId w:val="6"/>
      </w:numPr>
      <w:spacing w:after="240"/>
      <w:outlineLvl w:val="6"/>
    </w:pPr>
    <w:rPr>
      <w:b/>
    </w:rPr>
  </w:style>
  <w:style w:type="paragraph" w:styleId="Heading8">
    <w:name w:val="heading 8"/>
    <w:basedOn w:val="Normal"/>
    <w:next w:val="BodyText2"/>
    <w:link w:val="Heading8Char"/>
    <w:qFormat/>
    <w:rsid w:val="00812C11"/>
    <w:pPr>
      <w:numPr>
        <w:ilvl w:val="7"/>
        <w:numId w:val="6"/>
      </w:numPr>
      <w:spacing w:after="240"/>
      <w:jc w:val="both"/>
      <w:outlineLvl w:val="7"/>
    </w:pPr>
    <w:rPr>
      <w:b/>
      <w:iCs/>
    </w:rPr>
  </w:style>
  <w:style w:type="paragraph" w:styleId="Heading9">
    <w:name w:val="heading 9"/>
    <w:basedOn w:val="Normal"/>
    <w:next w:val="BodyText2"/>
    <w:link w:val="Heading9Char"/>
    <w:qFormat/>
    <w:rsid w:val="00812C11"/>
    <w:pPr>
      <w:numPr>
        <w:ilvl w:val="8"/>
        <w:numId w:val="6"/>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D5958"/>
    <w:pPr>
      <w:numPr>
        <w:numId w:val="1"/>
      </w:numPr>
      <w:tabs>
        <w:tab w:val="num" w:pos="1170"/>
      </w:tabs>
      <w:spacing w:line="480" w:lineRule="auto"/>
      <w:ind w:left="0" w:firstLine="720"/>
    </w:pPr>
  </w:style>
  <w:style w:type="paragraph" w:customStyle="1" w:styleId="Pleading2L1">
    <w:name w:val="Pleading2_L1"/>
    <w:basedOn w:val="Normal"/>
    <w:next w:val="BodyText"/>
    <w:rsid w:val="00DD5958"/>
    <w:pPr>
      <w:numPr>
        <w:numId w:val="2"/>
      </w:numPr>
      <w:spacing w:after="240"/>
      <w:outlineLvl w:val="0"/>
    </w:pPr>
    <w:rPr>
      <w:b/>
      <w:caps/>
      <w:szCs w:val="20"/>
      <w:u w:val="single"/>
    </w:rPr>
  </w:style>
  <w:style w:type="paragraph" w:customStyle="1" w:styleId="Pleading2L2">
    <w:name w:val="Pleading2_L2"/>
    <w:basedOn w:val="Pleading2L1"/>
    <w:rsid w:val="00DD5958"/>
    <w:pPr>
      <w:numPr>
        <w:ilvl w:val="1"/>
      </w:numPr>
      <w:spacing w:after="0" w:line="480" w:lineRule="auto"/>
      <w:jc w:val="left"/>
      <w:outlineLvl w:val="1"/>
    </w:pPr>
    <w:rPr>
      <w:b w:val="0"/>
      <w:caps w:val="0"/>
      <w:u w:val="none"/>
    </w:rPr>
  </w:style>
  <w:style w:type="paragraph" w:customStyle="1" w:styleId="Pleading2L3">
    <w:name w:val="Pleading2_L3"/>
    <w:basedOn w:val="Pleading2L2"/>
    <w:rsid w:val="00DD5958"/>
    <w:pPr>
      <w:numPr>
        <w:ilvl w:val="2"/>
      </w:numPr>
      <w:outlineLvl w:val="2"/>
    </w:pPr>
  </w:style>
  <w:style w:type="paragraph" w:customStyle="1" w:styleId="Pleading2L4">
    <w:name w:val="Pleading2_L4"/>
    <w:basedOn w:val="Pleading2L3"/>
    <w:rsid w:val="00DD5958"/>
    <w:pPr>
      <w:numPr>
        <w:ilvl w:val="3"/>
      </w:numPr>
      <w:outlineLvl w:val="3"/>
    </w:pPr>
  </w:style>
  <w:style w:type="paragraph" w:customStyle="1" w:styleId="Pleading2L5">
    <w:name w:val="Pleading2_L5"/>
    <w:basedOn w:val="Pleading2L4"/>
    <w:rsid w:val="00DD5958"/>
    <w:pPr>
      <w:keepNext/>
      <w:keepLines/>
      <w:widowControl w:val="0"/>
      <w:numPr>
        <w:ilvl w:val="4"/>
      </w:numPr>
      <w:spacing w:after="240" w:line="240" w:lineRule="auto"/>
      <w:outlineLvl w:val="4"/>
    </w:pPr>
  </w:style>
  <w:style w:type="paragraph" w:customStyle="1" w:styleId="Pleading2L6">
    <w:name w:val="Pleading2_L6"/>
    <w:basedOn w:val="Pleading2L5"/>
    <w:rsid w:val="00DD5958"/>
    <w:pPr>
      <w:numPr>
        <w:ilvl w:val="5"/>
      </w:numPr>
      <w:outlineLvl w:val="5"/>
    </w:pPr>
  </w:style>
  <w:style w:type="paragraph" w:customStyle="1" w:styleId="Pleading2L7">
    <w:name w:val="Pleading2_L7"/>
    <w:basedOn w:val="Pleading2L6"/>
    <w:rsid w:val="00DD5958"/>
    <w:pPr>
      <w:numPr>
        <w:ilvl w:val="6"/>
      </w:numPr>
      <w:outlineLvl w:val="6"/>
    </w:pPr>
  </w:style>
  <w:style w:type="paragraph" w:customStyle="1" w:styleId="Pleading2L8">
    <w:name w:val="Pleading2_L8"/>
    <w:basedOn w:val="Pleading2L7"/>
    <w:rsid w:val="00DD5958"/>
    <w:pPr>
      <w:numPr>
        <w:ilvl w:val="7"/>
      </w:numPr>
      <w:outlineLvl w:val="7"/>
    </w:pPr>
  </w:style>
  <w:style w:type="paragraph" w:customStyle="1" w:styleId="Pleading2L9">
    <w:name w:val="Pleading2_L9"/>
    <w:basedOn w:val="Pleading2L8"/>
    <w:rsid w:val="00DD5958"/>
    <w:pPr>
      <w:numPr>
        <w:ilvl w:val="8"/>
      </w:numPr>
      <w:outlineLvl w:val="8"/>
    </w:pPr>
  </w:style>
  <w:style w:type="paragraph" w:styleId="BodyText">
    <w:name w:val="Body Text"/>
    <w:basedOn w:val="Normal"/>
    <w:link w:val="BodyTextChar"/>
    <w:uiPriority w:val="99"/>
    <w:semiHidden/>
    <w:unhideWhenUsed/>
    <w:rsid w:val="00DD5958"/>
    <w:pPr>
      <w:spacing w:after="120"/>
    </w:pPr>
  </w:style>
  <w:style w:type="character" w:customStyle="1" w:styleId="BodyTextChar">
    <w:name w:val="Body Text Char"/>
    <w:basedOn w:val="DefaultParagraphFont"/>
    <w:link w:val="BodyText"/>
    <w:uiPriority w:val="99"/>
    <w:semiHidden/>
    <w:rsid w:val="00DD5958"/>
    <w:rPr>
      <w:rFonts w:eastAsia="Times New Roman"/>
    </w:rPr>
  </w:style>
  <w:style w:type="paragraph" w:styleId="BalloonText">
    <w:name w:val="Balloon Text"/>
    <w:basedOn w:val="Normal"/>
    <w:link w:val="BalloonTextChar"/>
    <w:uiPriority w:val="99"/>
    <w:semiHidden/>
    <w:unhideWhenUsed/>
    <w:rsid w:val="00305F5C"/>
    <w:rPr>
      <w:rFonts w:ascii="Tahoma" w:hAnsi="Tahoma" w:cs="Tahoma"/>
      <w:sz w:val="16"/>
      <w:szCs w:val="16"/>
    </w:rPr>
  </w:style>
  <w:style w:type="character" w:customStyle="1" w:styleId="BalloonTextChar">
    <w:name w:val="Balloon Text Char"/>
    <w:basedOn w:val="DefaultParagraphFont"/>
    <w:link w:val="BalloonText"/>
    <w:uiPriority w:val="99"/>
    <w:semiHidden/>
    <w:rsid w:val="00305F5C"/>
    <w:rPr>
      <w:rFonts w:ascii="Tahoma" w:eastAsia="Times New Roman" w:hAnsi="Tahoma" w:cs="Tahoma"/>
      <w:sz w:val="16"/>
      <w:szCs w:val="16"/>
    </w:rPr>
  </w:style>
  <w:style w:type="paragraph" w:styleId="BodyText2">
    <w:name w:val="Body Text 2"/>
    <w:basedOn w:val="Normal"/>
    <w:link w:val="BodyText2Char"/>
    <w:uiPriority w:val="99"/>
    <w:unhideWhenUsed/>
    <w:rsid w:val="0088641D"/>
    <w:pPr>
      <w:spacing w:after="120" w:line="480" w:lineRule="auto"/>
    </w:pPr>
  </w:style>
  <w:style w:type="character" w:customStyle="1" w:styleId="BodyText2Char">
    <w:name w:val="Body Text 2 Char"/>
    <w:basedOn w:val="DefaultParagraphFont"/>
    <w:link w:val="BodyText2"/>
    <w:uiPriority w:val="99"/>
    <w:rsid w:val="0088641D"/>
    <w:rPr>
      <w:rFonts w:eastAsia="Times New Roman"/>
    </w:r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semiHidden/>
    <w:rsid w:val="0088641D"/>
    <w:pPr>
      <w:ind w:firstLine="720"/>
    </w:pPr>
    <w:rPr>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88641D"/>
    <w:rPr>
      <w:rFonts w:eastAsia="Times New Roman"/>
      <w:szCs w:val="20"/>
    </w:rPr>
  </w:style>
  <w:style w:type="paragraph" w:styleId="ListBullet2">
    <w:name w:val="List Bullet 2"/>
    <w:aliases w:val="b2"/>
    <w:basedOn w:val="Normal"/>
    <w:rsid w:val="0088641D"/>
    <w:pPr>
      <w:numPr>
        <w:numId w:val="3"/>
      </w:numPr>
      <w:spacing w:after="240"/>
      <w:jc w:val="both"/>
    </w:pPr>
    <w:rPr>
      <w:szCs w:val="20"/>
    </w:rPr>
  </w:style>
  <w:style w:type="character" w:styleId="FootnoteReference">
    <w:name w:val="footnote reference"/>
    <w:basedOn w:val="DefaultParagraphFont"/>
    <w:semiHidden/>
    <w:rsid w:val="0088641D"/>
    <w:rPr>
      <w:vertAlign w:val="superscript"/>
    </w:rPr>
  </w:style>
  <w:style w:type="paragraph" w:styleId="Header">
    <w:name w:val="header"/>
    <w:basedOn w:val="Normal"/>
    <w:link w:val="HeaderChar"/>
    <w:uiPriority w:val="99"/>
    <w:unhideWhenUsed/>
    <w:rsid w:val="00BD137A"/>
    <w:pPr>
      <w:tabs>
        <w:tab w:val="center" w:pos="4680"/>
        <w:tab w:val="right" w:pos="9360"/>
      </w:tabs>
    </w:pPr>
  </w:style>
  <w:style w:type="character" w:customStyle="1" w:styleId="HeaderChar">
    <w:name w:val="Header Char"/>
    <w:basedOn w:val="DefaultParagraphFont"/>
    <w:link w:val="Header"/>
    <w:uiPriority w:val="99"/>
    <w:rsid w:val="00BD137A"/>
    <w:rPr>
      <w:rFonts w:eastAsia="Times New Roman"/>
    </w:rPr>
  </w:style>
  <w:style w:type="paragraph" w:styleId="Footer">
    <w:name w:val="footer"/>
    <w:basedOn w:val="Normal"/>
    <w:link w:val="FooterChar"/>
    <w:uiPriority w:val="99"/>
    <w:unhideWhenUsed/>
    <w:rsid w:val="00BD137A"/>
    <w:pPr>
      <w:tabs>
        <w:tab w:val="center" w:pos="4680"/>
        <w:tab w:val="right" w:pos="9360"/>
      </w:tabs>
    </w:pPr>
  </w:style>
  <w:style w:type="character" w:customStyle="1" w:styleId="FooterChar">
    <w:name w:val="Footer Char"/>
    <w:basedOn w:val="DefaultParagraphFont"/>
    <w:link w:val="Footer"/>
    <w:uiPriority w:val="99"/>
    <w:rsid w:val="00BD137A"/>
    <w:rPr>
      <w:rFonts w:eastAsia="Times New Roman"/>
    </w:rPr>
  </w:style>
  <w:style w:type="paragraph" w:styleId="BlockText">
    <w:name w:val="Block Text"/>
    <w:basedOn w:val="Normal"/>
    <w:rsid w:val="00AC2D77"/>
    <w:pPr>
      <w:spacing w:after="240"/>
      <w:ind w:left="1440" w:right="1440"/>
      <w:jc w:val="both"/>
    </w:pPr>
  </w:style>
  <w:style w:type="paragraph" w:styleId="Quote">
    <w:name w:val="Quote"/>
    <w:basedOn w:val="Normal"/>
    <w:link w:val="QuoteChar"/>
    <w:qFormat/>
    <w:rsid w:val="008E5FDC"/>
    <w:pPr>
      <w:spacing w:after="240"/>
      <w:ind w:left="2160" w:right="720" w:hanging="720"/>
      <w:jc w:val="both"/>
    </w:pPr>
  </w:style>
  <w:style w:type="character" w:customStyle="1" w:styleId="QuoteChar">
    <w:name w:val="Quote Char"/>
    <w:basedOn w:val="DefaultParagraphFont"/>
    <w:link w:val="Quote"/>
    <w:rsid w:val="008E5FDC"/>
    <w:rPr>
      <w:rFonts w:eastAsia="Times New Roman"/>
    </w:rPr>
  </w:style>
  <w:style w:type="character" w:styleId="Hyperlink">
    <w:name w:val="Hyperlink"/>
    <w:basedOn w:val="DefaultParagraphFont"/>
    <w:uiPriority w:val="99"/>
    <w:unhideWhenUsed/>
    <w:rsid w:val="00884093"/>
    <w:rPr>
      <w:color w:val="0000FF" w:themeColor="hyperlink"/>
      <w:u w:val="single"/>
    </w:rPr>
  </w:style>
  <w:style w:type="paragraph" w:styleId="ListBullet">
    <w:name w:val="List Bullet"/>
    <w:aliases w:val="b1"/>
    <w:basedOn w:val="Normal"/>
    <w:unhideWhenUsed/>
    <w:rsid w:val="002E5717"/>
    <w:pPr>
      <w:numPr>
        <w:numId w:val="5"/>
      </w:numPr>
      <w:contextualSpacing/>
    </w:pPr>
  </w:style>
  <w:style w:type="character" w:customStyle="1" w:styleId="Heading1Char">
    <w:name w:val="Heading 1 Char"/>
    <w:basedOn w:val="DefaultParagraphFont"/>
    <w:link w:val="Heading1"/>
    <w:rsid w:val="00812C11"/>
    <w:rPr>
      <w:rFonts w:eastAsia="Times New Roman"/>
      <w:b/>
      <w:bCs/>
      <w:caps/>
      <w:szCs w:val="32"/>
      <w:u w:val="single"/>
    </w:rPr>
  </w:style>
  <w:style w:type="character" w:customStyle="1" w:styleId="Heading2Char">
    <w:name w:val="Heading 2 Char"/>
    <w:basedOn w:val="DefaultParagraphFont"/>
    <w:link w:val="Heading2"/>
    <w:rsid w:val="00812C11"/>
    <w:rPr>
      <w:rFonts w:eastAsia="Times New Roman"/>
      <w:b/>
      <w:bCs/>
      <w:iCs/>
      <w:caps/>
      <w:szCs w:val="28"/>
    </w:rPr>
  </w:style>
  <w:style w:type="character" w:customStyle="1" w:styleId="Heading3Char">
    <w:name w:val="Heading 3 Char"/>
    <w:basedOn w:val="DefaultParagraphFont"/>
    <w:link w:val="Heading3"/>
    <w:rsid w:val="00812C11"/>
    <w:rPr>
      <w:rFonts w:eastAsia="Times New Roman"/>
      <w:b/>
      <w:bCs/>
      <w:szCs w:val="26"/>
    </w:rPr>
  </w:style>
  <w:style w:type="character" w:customStyle="1" w:styleId="Heading4Char">
    <w:name w:val="Heading 4 Char"/>
    <w:basedOn w:val="DefaultParagraphFont"/>
    <w:link w:val="Heading4"/>
    <w:rsid w:val="00812C11"/>
    <w:rPr>
      <w:rFonts w:eastAsia="Times New Roman"/>
      <w:b/>
      <w:bCs/>
      <w:szCs w:val="28"/>
    </w:rPr>
  </w:style>
  <w:style w:type="character" w:customStyle="1" w:styleId="Heading5Char">
    <w:name w:val="Heading 5 Char"/>
    <w:basedOn w:val="DefaultParagraphFont"/>
    <w:link w:val="Heading5"/>
    <w:rsid w:val="00812C11"/>
    <w:rPr>
      <w:rFonts w:eastAsia="Times New Roman"/>
      <w:b/>
      <w:bCs/>
      <w:iCs/>
      <w:szCs w:val="26"/>
    </w:rPr>
  </w:style>
  <w:style w:type="character" w:customStyle="1" w:styleId="Heading6Char">
    <w:name w:val="Heading 6 Char"/>
    <w:basedOn w:val="DefaultParagraphFont"/>
    <w:link w:val="Heading6"/>
    <w:rsid w:val="00812C11"/>
    <w:rPr>
      <w:rFonts w:eastAsia="Times New Roman"/>
      <w:b/>
      <w:bCs/>
      <w:szCs w:val="22"/>
    </w:rPr>
  </w:style>
  <w:style w:type="character" w:customStyle="1" w:styleId="Heading7Char">
    <w:name w:val="Heading 7 Char"/>
    <w:basedOn w:val="DefaultParagraphFont"/>
    <w:link w:val="Heading7"/>
    <w:rsid w:val="00812C11"/>
    <w:rPr>
      <w:rFonts w:eastAsia="Times New Roman"/>
      <w:b/>
    </w:rPr>
  </w:style>
  <w:style w:type="character" w:customStyle="1" w:styleId="Heading8Char">
    <w:name w:val="Heading 8 Char"/>
    <w:basedOn w:val="DefaultParagraphFont"/>
    <w:link w:val="Heading8"/>
    <w:rsid w:val="00812C11"/>
    <w:rPr>
      <w:rFonts w:eastAsia="Times New Roman"/>
      <w:b/>
      <w:iCs/>
    </w:rPr>
  </w:style>
  <w:style w:type="character" w:customStyle="1" w:styleId="Heading9Char">
    <w:name w:val="Heading 9 Char"/>
    <w:basedOn w:val="DefaultParagraphFont"/>
    <w:link w:val="Heading9"/>
    <w:rsid w:val="00812C11"/>
    <w:rPr>
      <w:rFonts w:eastAsia="Times New Roman"/>
      <w:b/>
      <w:szCs w:val="22"/>
    </w:rPr>
  </w:style>
  <w:style w:type="paragraph" w:styleId="ListBullet4">
    <w:name w:val="List Bullet 4"/>
    <w:aliases w:val="b4"/>
    <w:basedOn w:val="Normal"/>
    <w:rsid w:val="00CA4094"/>
    <w:pPr>
      <w:numPr>
        <w:numId w:val="7"/>
      </w:numPr>
      <w:spacing w:after="240"/>
      <w:jc w:val="both"/>
    </w:pPr>
    <w:rPr>
      <w:szCs w:val="20"/>
    </w:rPr>
  </w:style>
  <w:style w:type="table" w:styleId="TableGrid">
    <w:name w:val="Table Grid"/>
    <w:basedOn w:val="TableNormal"/>
    <w:rsid w:val="00580B8E"/>
    <w:pPr>
      <w:spacing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Single">
    <w:name w:val="Indent Single"/>
    <w:basedOn w:val="Normal"/>
    <w:next w:val="BodyText"/>
    <w:rsid w:val="003A562B"/>
    <w:pPr>
      <w:spacing w:after="240"/>
      <w:ind w:left="1440" w:right="1440"/>
      <w:jc w:val="both"/>
    </w:pPr>
  </w:style>
  <w:style w:type="paragraph" w:styleId="ListParagraph">
    <w:name w:val="List Paragraph"/>
    <w:basedOn w:val="Normal"/>
    <w:uiPriority w:val="34"/>
    <w:qFormat/>
    <w:rsid w:val="001050F4"/>
    <w:pPr>
      <w:ind w:left="720"/>
      <w:contextualSpacing/>
    </w:pPr>
  </w:style>
  <w:style w:type="paragraph" w:styleId="NormalWeb">
    <w:name w:val="Normal (Web)"/>
    <w:basedOn w:val="Normal"/>
    <w:uiPriority w:val="99"/>
    <w:semiHidden/>
    <w:unhideWhenUsed/>
    <w:rsid w:val="00003F2B"/>
    <w:pPr>
      <w:spacing w:before="100" w:beforeAutospacing="1" w:after="100" w:afterAutospacing="1" w:line="240" w:lineRule="auto"/>
      <w:jc w:val="left"/>
    </w:pPr>
  </w:style>
  <w:style w:type="paragraph" w:styleId="TOC1">
    <w:name w:val="toc 1"/>
    <w:basedOn w:val="Normal"/>
    <w:next w:val="Normal"/>
    <w:autoRedefine/>
    <w:uiPriority w:val="39"/>
    <w:unhideWhenUsed/>
    <w:rsid w:val="00560264"/>
    <w:pPr>
      <w:tabs>
        <w:tab w:val="left" w:pos="720"/>
        <w:tab w:val="right" w:leader="dot" w:pos="9350"/>
      </w:tabs>
      <w:jc w:val="left"/>
    </w:pPr>
  </w:style>
  <w:style w:type="paragraph" w:styleId="TOC2">
    <w:name w:val="toc 2"/>
    <w:basedOn w:val="Normal"/>
    <w:next w:val="Normal"/>
    <w:autoRedefine/>
    <w:uiPriority w:val="39"/>
    <w:unhideWhenUsed/>
    <w:rsid w:val="00560264"/>
    <w:pPr>
      <w:tabs>
        <w:tab w:val="left" w:pos="1440"/>
        <w:tab w:val="right" w:leader="dot" w:pos="9350"/>
      </w:tabs>
      <w:ind w:left="720"/>
      <w:jc w:val="left"/>
    </w:pPr>
  </w:style>
  <w:style w:type="paragraph" w:styleId="TOC3">
    <w:name w:val="toc 3"/>
    <w:basedOn w:val="Normal"/>
    <w:next w:val="Normal"/>
    <w:autoRedefine/>
    <w:uiPriority w:val="39"/>
    <w:unhideWhenUsed/>
    <w:rsid w:val="00691719"/>
    <w:pPr>
      <w:tabs>
        <w:tab w:val="left" w:pos="2160"/>
        <w:tab w:val="right" w:leader="dot" w:pos="9350"/>
      </w:tabs>
      <w:ind w:left="2160" w:hanging="720"/>
      <w:jc w:val="left"/>
    </w:pPr>
  </w:style>
  <w:style w:type="paragraph" w:styleId="TOC4">
    <w:name w:val="toc 4"/>
    <w:basedOn w:val="Normal"/>
    <w:next w:val="Normal"/>
    <w:autoRedefine/>
    <w:uiPriority w:val="39"/>
    <w:unhideWhenUsed/>
    <w:rsid w:val="00691719"/>
    <w:pPr>
      <w:tabs>
        <w:tab w:val="left" w:pos="2880"/>
        <w:tab w:val="right" w:leader="dot" w:pos="9350"/>
      </w:tabs>
      <w:ind w:left="2880" w:hanging="720"/>
      <w:jc w:val="left"/>
    </w:pPr>
  </w:style>
  <w:style w:type="paragraph" w:styleId="TOC5">
    <w:name w:val="toc 5"/>
    <w:basedOn w:val="Normal"/>
    <w:next w:val="Normal"/>
    <w:autoRedefine/>
    <w:uiPriority w:val="39"/>
    <w:unhideWhenUsed/>
    <w:rsid w:val="00691719"/>
    <w:pPr>
      <w:tabs>
        <w:tab w:val="left" w:pos="3600"/>
        <w:tab w:val="right" w:leader="dot" w:pos="9350"/>
      </w:tabs>
      <w:ind w:left="3600" w:hanging="72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List Number" w:uiPriority="0"/>
    <w:lsdException w:name="List Bullet 2" w:uiPriority="0"/>
    <w:lsdException w:name="List Bullet 4"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034"/>
    <w:rPr>
      <w:rFonts w:eastAsia="Times New Roman"/>
    </w:rPr>
  </w:style>
  <w:style w:type="paragraph" w:styleId="Heading1">
    <w:name w:val="heading 1"/>
    <w:basedOn w:val="Normal"/>
    <w:next w:val="BodyText2"/>
    <w:link w:val="Heading1Char"/>
    <w:qFormat/>
    <w:rsid w:val="00812C11"/>
    <w:pPr>
      <w:keepLines/>
      <w:numPr>
        <w:numId w:val="6"/>
      </w:numPr>
      <w:tabs>
        <w:tab w:val="clear" w:pos="720"/>
      </w:tabs>
      <w:spacing w:after="240"/>
      <w:jc w:val="both"/>
      <w:outlineLvl w:val="0"/>
    </w:pPr>
    <w:rPr>
      <w:b/>
      <w:bCs/>
      <w:caps/>
      <w:szCs w:val="32"/>
      <w:u w:val="single"/>
    </w:rPr>
  </w:style>
  <w:style w:type="paragraph" w:styleId="Heading2">
    <w:name w:val="heading 2"/>
    <w:basedOn w:val="Normal"/>
    <w:next w:val="BodyText2"/>
    <w:link w:val="Heading2Char"/>
    <w:qFormat/>
    <w:rsid w:val="00812C11"/>
    <w:pPr>
      <w:keepLines/>
      <w:numPr>
        <w:ilvl w:val="1"/>
        <w:numId w:val="6"/>
      </w:numPr>
      <w:spacing w:after="240"/>
      <w:jc w:val="both"/>
      <w:outlineLvl w:val="1"/>
    </w:pPr>
    <w:rPr>
      <w:b/>
      <w:bCs/>
      <w:iCs/>
      <w:caps/>
      <w:szCs w:val="28"/>
    </w:rPr>
  </w:style>
  <w:style w:type="paragraph" w:styleId="Heading3">
    <w:name w:val="heading 3"/>
    <w:basedOn w:val="Normal"/>
    <w:next w:val="BodyText2"/>
    <w:link w:val="Heading3Char"/>
    <w:qFormat/>
    <w:rsid w:val="00812C11"/>
    <w:pPr>
      <w:numPr>
        <w:ilvl w:val="2"/>
        <w:numId w:val="6"/>
      </w:numPr>
      <w:tabs>
        <w:tab w:val="clear" w:pos="2070"/>
        <w:tab w:val="num" w:pos="2160"/>
      </w:tabs>
      <w:spacing w:after="240"/>
      <w:ind w:left="2160"/>
      <w:jc w:val="both"/>
      <w:outlineLvl w:val="2"/>
    </w:pPr>
    <w:rPr>
      <w:b/>
      <w:bCs/>
      <w:szCs w:val="26"/>
    </w:rPr>
  </w:style>
  <w:style w:type="paragraph" w:styleId="Heading4">
    <w:name w:val="heading 4"/>
    <w:basedOn w:val="Normal"/>
    <w:next w:val="BodyText2"/>
    <w:link w:val="Heading4Char"/>
    <w:qFormat/>
    <w:rsid w:val="00812C11"/>
    <w:pPr>
      <w:numPr>
        <w:ilvl w:val="3"/>
        <w:numId w:val="6"/>
      </w:numPr>
      <w:spacing w:after="240"/>
      <w:jc w:val="both"/>
      <w:outlineLvl w:val="3"/>
    </w:pPr>
    <w:rPr>
      <w:b/>
      <w:bCs/>
      <w:szCs w:val="28"/>
    </w:rPr>
  </w:style>
  <w:style w:type="paragraph" w:styleId="Heading5">
    <w:name w:val="heading 5"/>
    <w:basedOn w:val="Normal"/>
    <w:next w:val="BodyText2"/>
    <w:link w:val="Heading5Char"/>
    <w:qFormat/>
    <w:rsid w:val="00812C11"/>
    <w:pPr>
      <w:numPr>
        <w:ilvl w:val="4"/>
        <w:numId w:val="6"/>
      </w:numPr>
      <w:spacing w:after="240"/>
      <w:jc w:val="both"/>
      <w:outlineLvl w:val="4"/>
    </w:pPr>
    <w:rPr>
      <w:b/>
      <w:bCs/>
      <w:iCs/>
      <w:szCs w:val="26"/>
    </w:rPr>
  </w:style>
  <w:style w:type="paragraph" w:styleId="Heading6">
    <w:name w:val="heading 6"/>
    <w:basedOn w:val="Normal"/>
    <w:next w:val="BodyText2"/>
    <w:link w:val="Heading6Char"/>
    <w:qFormat/>
    <w:rsid w:val="00812C11"/>
    <w:pPr>
      <w:numPr>
        <w:ilvl w:val="5"/>
        <w:numId w:val="6"/>
      </w:numPr>
      <w:spacing w:after="240"/>
      <w:outlineLvl w:val="5"/>
    </w:pPr>
    <w:rPr>
      <w:b/>
      <w:bCs/>
      <w:szCs w:val="22"/>
    </w:rPr>
  </w:style>
  <w:style w:type="paragraph" w:styleId="Heading7">
    <w:name w:val="heading 7"/>
    <w:basedOn w:val="Normal"/>
    <w:next w:val="BodyText2"/>
    <w:link w:val="Heading7Char"/>
    <w:qFormat/>
    <w:rsid w:val="00812C11"/>
    <w:pPr>
      <w:numPr>
        <w:ilvl w:val="6"/>
        <w:numId w:val="6"/>
      </w:numPr>
      <w:spacing w:after="240"/>
      <w:outlineLvl w:val="6"/>
    </w:pPr>
    <w:rPr>
      <w:b/>
    </w:rPr>
  </w:style>
  <w:style w:type="paragraph" w:styleId="Heading8">
    <w:name w:val="heading 8"/>
    <w:basedOn w:val="Normal"/>
    <w:next w:val="BodyText2"/>
    <w:link w:val="Heading8Char"/>
    <w:qFormat/>
    <w:rsid w:val="00812C11"/>
    <w:pPr>
      <w:numPr>
        <w:ilvl w:val="7"/>
        <w:numId w:val="6"/>
      </w:numPr>
      <w:spacing w:after="240"/>
      <w:jc w:val="both"/>
      <w:outlineLvl w:val="7"/>
    </w:pPr>
    <w:rPr>
      <w:b/>
      <w:iCs/>
    </w:rPr>
  </w:style>
  <w:style w:type="paragraph" w:styleId="Heading9">
    <w:name w:val="heading 9"/>
    <w:basedOn w:val="Normal"/>
    <w:next w:val="BodyText2"/>
    <w:link w:val="Heading9Char"/>
    <w:qFormat/>
    <w:rsid w:val="00812C11"/>
    <w:pPr>
      <w:numPr>
        <w:ilvl w:val="8"/>
        <w:numId w:val="6"/>
      </w:numPr>
      <w:spacing w:after="24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DD5958"/>
    <w:pPr>
      <w:numPr>
        <w:numId w:val="1"/>
      </w:numPr>
      <w:tabs>
        <w:tab w:val="num" w:pos="1170"/>
      </w:tabs>
      <w:spacing w:line="480" w:lineRule="auto"/>
      <w:ind w:left="0" w:firstLine="720"/>
    </w:pPr>
  </w:style>
  <w:style w:type="paragraph" w:customStyle="1" w:styleId="Pleading2L1">
    <w:name w:val="Pleading2_L1"/>
    <w:basedOn w:val="Normal"/>
    <w:next w:val="BodyText"/>
    <w:rsid w:val="00DD5958"/>
    <w:pPr>
      <w:numPr>
        <w:numId w:val="2"/>
      </w:numPr>
      <w:spacing w:after="240"/>
      <w:outlineLvl w:val="0"/>
    </w:pPr>
    <w:rPr>
      <w:b/>
      <w:caps/>
      <w:szCs w:val="20"/>
      <w:u w:val="single"/>
    </w:rPr>
  </w:style>
  <w:style w:type="paragraph" w:customStyle="1" w:styleId="Pleading2L2">
    <w:name w:val="Pleading2_L2"/>
    <w:basedOn w:val="Pleading2L1"/>
    <w:rsid w:val="00DD5958"/>
    <w:pPr>
      <w:numPr>
        <w:ilvl w:val="1"/>
      </w:numPr>
      <w:spacing w:after="0" w:line="480" w:lineRule="auto"/>
      <w:jc w:val="left"/>
      <w:outlineLvl w:val="1"/>
    </w:pPr>
    <w:rPr>
      <w:b w:val="0"/>
      <w:caps w:val="0"/>
      <w:u w:val="none"/>
    </w:rPr>
  </w:style>
  <w:style w:type="paragraph" w:customStyle="1" w:styleId="Pleading2L3">
    <w:name w:val="Pleading2_L3"/>
    <w:basedOn w:val="Pleading2L2"/>
    <w:rsid w:val="00DD5958"/>
    <w:pPr>
      <w:numPr>
        <w:ilvl w:val="2"/>
      </w:numPr>
      <w:outlineLvl w:val="2"/>
    </w:pPr>
  </w:style>
  <w:style w:type="paragraph" w:customStyle="1" w:styleId="Pleading2L4">
    <w:name w:val="Pleading2_L4"/>
    <w:basedOn w:val="Pleading2L3"/>
    <w:rsid w:val="00DD5958"/>
    <w:pPr>
      <w:numPr>
        <w:ilvl w:val="3"/>
      </w:numPr>
      <w:outlineLvl w:val="3"/>
    </w:pPr>
  </w:style>
  <w:style w:type="paragraph" w:customStyle="1" w:styleId="Pleading2L5">
    <w:name w:val="Pleading2_L5"/>
    <w:basedOn w:val="Pleading2L4"/>
    <w:rsid w:val="00DD5958"/>
    <w:pPr>
      <w:keepNext/>
      <w:keepLines/>
      <w:widowControl w:val="0"/>
      <w:numPr>
        <w:ilvl w:val="4"/>
      </w:numPr>
      <w:spacing w:after="240" w:line="240" w:lineRule="auto"/>
      <w:outlineLvl w:val="4"/>
    </w:pPr>
  </w:style>
  <w:style w:type="paragraph" w:customStyle="1" w:styleId="Pleading2L6">
    <w:name w:val="Pleading2_L6"/>
    <w:basedOn w:val="Pleading2L5"/>
    <w:rsid w:val="00DD5958"/>
    <w:pPr>
      <w:numPr>
        <w:ilvl w:val="5"/>
      </w:numPr>
      <w:outlineLvl w:val="5"/>
    </w:pPr>
  </w:style>
  <w:style w:type="paragraph" w:customStyle="1" w:styleId="Pleading2L7">
    <w:name w:val="Pleading2_L7"/>
    <w:basedOn w:val="Pleading2L6"/>
    <w:rsid w:val="00DD5958"/>
    <w:pPr>
      <w:numPr>
        <w:ilvl w:val="6"/>
      </w:numPr>
      <w:outlineLvl w:val="6"/>
    </w:pPr>
  </w:style>
  <w:style w:type="paragraph" w:customStyle="1" w:styleId="Pleading2L8">
    <w:name w:val="Pleading2_L8"/>
    <w:basedOn w:val="Pleading2L7"/>
    <w:rsid w:val="00DD5958"/>
    <w:pPr>
      <w:numPr>
        <w:ilvl w:val="7"/>
      </w:numPr>
      <w:outlineLvl w:val="7"/>
    </w:pPr>
  </w:style>
  <w:style w:type="paragraph" w:customStyle="1" w:styleId="Pleading2L9">
    <w:name w:val="Pleading2_L9"/>
    <w:basedOn w:val="Pleading2L8"/>
    <w:rsid w:val="00DD5958"/>
    <w:pPr>
      <w:numPr>
        <w:ilvl w:val="8"/>
      </w:numPr>
      <w:outlineLvl w:val="8"/>
    </w:pPr>
  </w:style>
  <w:style w:type="paragraph" w:styleId="BodyText">
    <w:name w:val="Body Text"/>
    <w:basedOn w:val="Normal"/>
    <w:link w:val="BodyTextChar"/>
    <w:uiPriority w:val="99"/>
    <w:semiHidden/>
    <w:unhideWhenUsed/>
    <w:rsid w:val="00DD5958"/>
    <w:pPr>
      <w:spacing w:after="120"/>
    </w:pPr>
  </w:style>
  <w:style w:type="character" w:customStyle="1" w:styleId="BodyTextChar">
    <w:name w:val="Body Text Char"/>
    <w:basedOn w:val="DefaultParagraphFont"/>
    <w:link w:val="BodyText"/>
    <w:uiPriority w:val="99"/>
    <w:semiHidden/>
    <w:rsid w:val="00DD5958"/>
    <w:rPr>
      <w:rFonts w:eastAsia="Times New Roman"/>
    </w:rPr>
  </w:style>
  <w:style w:type="paragraph" w:styleId="BalloonText">
    <w:name w:val="Balloon Text"/>
    <w:basedOn w:val="Normal"/>
    <w:link w:val="BalloonTextChar"/>
    <w:uiPriority w:val="99"/>
    <w:semiHidden/>
    <w:unhideWhenUsed/>
    <w:rsid w:val="00305F5C"/>
    <w:rPr>
      <w:rFonts w:ascii="Tahoma" w:hAnsi="Tahoma" w:cs="Tahoma"/>
      <w:sz w:val="16"/>
      <w:szCs w:val="16"/>
    </w:rPr>
  </w:style>
  <w:style w:type="character" w:customStyle="1" w:styleId="BalloonTextChar">
    <w:name w:val="Balloon Text Char"/>
    <w:basedOn w:val="DefaultParagraphFont"/>
    <w:link w:val="BalloonText"/>
    <w:uiPriority w:val="99"/>
    <w:semiHidden/>
    <w:rsid w:val="00305F5C"/>
    <w:rPr>
      <w:rFonts w:ascii="Tahoma" w:eastAsia="Times New Roman" w:hAnsi="Tahoma" w:cs="Tahoma"/>
      <w:sz w:val="16"/>
      <w:szCs w:val="16"/>
    </w:rPr>
  </w:style>
  <w:style w:type="paragraph" w:styleId="BodyText2">
    <w:name w:val="Body Text 2"/>
    <w:basedOn w:val="Normal"/>
    <w:link w:val="BodyText2Char"/>
    <w:uiPriority w:val="99"/>
    <w:unhideWhenUsed/>
    <w:rsid w:val="0088641D"/>
    <w:pPr>
      <w:spacing w:after="120" w:line="480" w:lineRule="auto"/>
    </w:pPr>
  </w:style>
  <w:style w:type="character" w:customStyle="1" w:styleId="BodyText2Char">
    <w:name w:val="Body Text 2 Char"/>
    <w:basedOn w:val="DefaultParagraphFont"/>
    <w:link w:val="BodyText2"/>
    <w:uiPriority w:val="99"/>
    <w:rsid w:val="0088641D"/>
    <w:rPr>
      <w:rFonts w:eastAsia="Times New Roman"/>
    </w:rPr>
  </w:style>
  <w:style w:type="paragraph" w:styleId="FootnoteText">
    <w:name w:val="footnote text"/>
    <w:aliases w:val="Footnote Text Char2,Footnote Text Char Char,Footnote Text Char1 Char Char,Footnote Text Char Char Char Char,Footnote Text Char1 Char1,Footnote Text Char Char1 Char"/>
    <w:basedOn w:val="Normal"/>
    <w:link w:val="FootnoteTextChar"/>
    <w:uiPriority w:val="99"/>
    <w:semiHidden/>
    <w:rsid w:val="0088641D"/>
    <w:pPr>
      <w:ind w:firstLine="720"/>
    </w:pPr>
    <w:rPr>
      <w:szCs w:val="20"/>
    </w:rPr>
  </w:style>
  <w:style w:type="character" w:customStyle="1" w:styleId="FootnoteTextChar">
    <w:name w:val="Footnote Text Char"/>
    <w:aliases w:val="Footnote Text Char2 Char,Footnote Text Char Char Char,Footnote Text Char1 Char Char Char,Footnote Text Char Char Char Char Char,Footnote Text Char1 Char1 Char,Footnote Text Char Char1 Char Char"/>
    <w:basedOn w:val="DefaultParagraphFont"/>
    <w:link w:val="FootnoteText"/>
    <w:uiPriority w:val="99"/>
    <w:semiHidden/>
    <w:rsid w:val="0088641D"/>
    <w:rPr>
      <w:rFonts w:eastAsia="Times New Roman"/>
      <w:szCs w:val="20"/>
    </w:rPr>
  </w:style>
  <w:style w:type="paragraph" w:styleId="ListBullet2">
    <w:name w:val="List Bullet 2"/>
    <w:aliases w:val="b2"/>
    <w:basedOn w:val="Normal"/>
    <w:rsid w:val="0088641D"/>
    <w:pPr>
      <w:numPr>
        <w:numId w:val="3"/>
      </w:numPr>
      <w:spacing w:after="240"/>
      <w:jc w:val="both"/>
    </w:pPr>
    <w:rPr>
      <w:szCs w:val="20"/>
    </w:rPr>
  </w:style>
  <w:style w:type="character" w:styleId="FootnoteReference">
    <w:name w:val="footnote reference"/>
    <w:basedOn w:val="DefaultParagraphFont"/>
    <w:semiHidden/>
    <w:rsid w:val="0088641D"/>
    <w:rPr>
      <w:vertAlign w:val="superscript"/>
    </w:rPr>
  </w:style>
  <w:style w:type="paragraph" w:styleId="Header">
    <w:name w:val="header"/>
    <w:basedOn w:val="Normal"/>
    <w:link w:val="HeaderChar"/>
    <w:uiPriority w:val="99"/>
    <w:unhideWhenUsed/>
    <w:rsid w:val="00BD137A"/>
    <w:pPr>
      <w:tabs>
        <w:tab w:val="center" w:pos="4680"/>
        <w:tab w:val="right" w:pos="9360"/>
      </w:tabs>
    </w:pPr>
  </w:style>
  <w:style w:type="character" w:customStyle="1" w:styleId="HeaderChar">
    <w:name w:val="Header Char"/>
    <w:basedOn w:val="DefaultParagraphFont"/>
    <w:link w:val="Header"/>
    <w:uiPriority w:val="99"/>
    <w:rsid w:val="00BD137A"/>
    <w:rPr>
      <w:rFonts w:eastAsia="Times New Roman"/>
    </w:rPr>
  </w:style>
  <w:style w:type="paragraph" w:styleId="Footer">
    <w:name w:val="footer"/>
    <w:basedOn w:val="Normal"/>
    <w:link w:val="FooterChar"/>
    <w:uiPriority w:val="99"/>
    <w:unhideWhenUsed/>
    <w:rsid w:val="00BD137A"/>
    <w:pPr>
      <w:tabs>
        <w:tab w:val="center" w:pos="4680"/>
        <w:tab w:val="right" w:pos="9360"/>
      </w:tabs>
    </w:pPr>
  </w:style>
  <w:style w:type="character" w:customStyle="1" w:styleId="FooterChar">
    <w:name w:val="Footer Char"/>
    <w:basedOn w:val="DefaultParagraphFont"/>
    <w:link w:val="Footer"/>
    <w:uiPriority w:val="99"/>
    <w:rsid w:val="00BD137A"/>
    <w:rPr>
      <w:rFonts w:eastAsia="Times New Roman"/>
    </w:rPr>
  </w:style>
  <w:style w:type="paragraph" w:styleId="BlockText">
    <w:name w:val="Block Text"/>
    <w:basedOn w:val="Normal"/>
    <w:rsid w:val="00AC2D77"/>
    <w:pPr>
      <w:spacing w:after="240"/>
      <w:ind w:left="1440" w:right="1440"/>
      <w:jc w:val="both"/>
    </w:pPr>
  </w:style>
  <w:style w:type="paragraph" w:styleId="Quote">
    <w:name w:val="Quote"/>
    <w:basedOn w:val="Normal"/>
    <w:link w:val="QuoteChar"/>
    <w:qFormat/>
    <w:rsid w:val="008E5FDC"/>
    <w:pPr>
      <w:spacing w:after="240"/>
      <w:ind w:left="2160" w:right="720" w:hanging="720"/>
      <w:jc w:val="both"/>
    </w:pPr>
  </w:style>
  <w:style w:type="character" w:customStyle="1" w:styleId="QuoteChar">
    <w:name w:val="Quote Char"/>
    <w:basedOn w:val="DefaultParagraphFont"/>
    <w:link w:val="Quote"/>
    <w:rsid w:val="008E5FDC"/>
    <w:rPr>
      <w:rFonts w:eastAsia="Times New Roman"/>
    </w:rPr>
  </w:style>
  <w:style w:type="character" w:styleId="Hyperlink">
    <w:name w:val="Hyperlink"/>
    <w:basedOn w:val="DefaultParagraphFont"/>
    <w:uiPriority w:val="99"/>
    <w:unhideWhenUsed/>
    <w:rsid w:val="00884093"/>
    <w:rPr>
      <w:color w:val="0000FF" w:themeColor="hyperlink"/>
      <w:u w:val="single"/>
    </w:rPr>
  </w:style>
  <w:style w:type="paragraph" w:styleId="ListBullet">
    <w:name w:val="List Bullet"/>
    <w:aliases w:val="b1"/>
    <w:basedOn w:val="Normal"/>
    <w:unhideWhenUsed/>
    <w:rsid w:val="002E5717"/>
    <w:pPr>
      <w:numPr>
        <w:numId w:val="5"/>
      </w:numPr>
      <w:contextualSpacing/>
    </w:pPr>
  </w:style>
  <w:style w:type="character" w:customStyle="1" w:styleId="Heading1Char">
    <w:name w:val="Heading 1 Char"/>
    <w:basedOn w:val="DefaultParagraphFont"/>
    <w:link w:val="Heading1"/>
    <w:rsid w:val="00812C11"/>
    <w:rPr>
      <w:rFonts w:eastAsia="Times New Roman"/>
      <w:b/>
      <w:bCs/>
      <w:caps/>
      <w:szCs w:val="32"/>
      <w:u w:val="single"/>
    </w:rPr>
  </w:style>
  <w:style w:type="character" w:customStyle="1" w:styleId="Heading2Char">
    <w:name w:val="Heading 2 Char"/>
    <w:basedOn w:val="DefaultParagraphFont"/>
    <w:link w:val="Heading2"/>
    <w:rsid w:val="00812C11"/>
    <w:rPr>
      <w:rFonts w:eastAsia="Times New Roman"/>
      <w:b/>
      <w:bCs/>
      <w:iCs/>
      <w:caps/>
      <w:szCs w:val="28"/>
    </w:rPr>
  </w:style>
  <w:style w:type="character" w:customStyle="1" w:styleId="Heading3Char">
    <w:name w:val="Heading 3 Char"/>
    <w:basedOn w:val="DefaultParagraphFont"/>
    <w:link w:val="Heading3"/>
    <w:rsid w:val="00812C11"/>
    <w:rPr>
      <w:rFonts w:eastAsia="Times New Roman"/>
      <w:b/>
      <w:bCs/>
      <w:szCs w:val="26"/>
    </w:rPr>
  </w:style>
  <w:style w:type="character" w:customStyle="1" w:styleId="Heading4Char">
    <w:name w:val="Heading 4 Char"/>
    <w:basedOn w:val="DefaultParagraphFont"/>
    <w:link w:val="Heading4"/>
    <w:rsid w:val="00812C11"/>
    <w:rPr>
      <w:rFonts w:eastAsia="Times New Roman"/>
      <w:b/>
      <w:bCs/>
      <w:szCs w:val="28"/>
    </w:rPr>
  </w:style>
  <w:style w:type="character" w:customStyle="1" w:styleId="Heading5Char">
    <w:name w:val="Heading 5 Char"/>
    <w:basedOn w:val="DefaultParagraphFont"/>
    <w:link w:val="Heading5"/>
    <w:rsid w:val="00812C11"/>
    <w:rPr>
      <w:rFonts w:eastAsia="Times New Roman"/>
      <w:b/>
      <w:bCs/>
      <w:iCs/>
      <w:szCs w:val="26"/>
    </w:rPr>
  </w:style>
  <w:style w:type="character" w:customStyle="1" w:styleId="Heading6Char">
    <w:name w:val="Heading 6 Char"/>
    <w:basedOn w:val="DefaultParagraphFont"/>
    <w:link w:val="Heading6"/>
    <w:rsid w:val="00812C11"/>
    <w:rPr>
      <w:rFonts w:eastAsia="Times New Roman"/>
      <w:b/>
      <w:bCs/>
      <w:szCs w:val="22"/>
    </w:rPr>
  </w:style>
  <w:style w:type="character" w:customStyle="1" w:styleId="Heading7Char">
    <w:name w:val="Heading 7 Char"/>
    <w:basedOn w:val="DefaultParagraphFont"/>
    <w:link w:val="Heading7"/>
    <w:rsid w:val="00812C11"/>
    <w:rPr>
      <w:rFonts w:eastAsia="Times New Roman"/>
      <w:b/>
    </w:rPr>
  </w:style>
  <w:style w:type="character" w:customStyle="1" w:styleId="Heading8Char">
    <w:name w:val="Heading 8 Char"/>
    <w:basedOn w:val="DefaultParagraphFont"/>
    <w:link w:val="Heading8"/>
    <w:rsid w:val="00812C11"/>
    <w:rPr>
      <w:rFonts w:eastAsia="Times New Roman"/>
      <w:b/>
      <w:iCs/>
    </w:rPr>
  </w:style>
  <w:style w:type="character" w:customStyle="1" w:styleId="Heading9Char">
    <w:name w:val="Heading 9 Char"/>
    <w:basedOn w:val="DefaultParagraphFont"/>
    <w:link w:val="Heading9"/>
    <w:rsid w:val="00812C11"/>
    <w:rPr>
      <w:rFonts w:eastAsia="Times New Roman"/>
      <w:b/>
      <w:szCs w:val="22"/>
    </w:rPr>
  </w:style>
  <w:style w:type="paragraph" w:styleId="ListBullet4">
    <w:name w:val="List Bullet 4"/>
    <w:aliases w:val="b4"/>
    <w:basedOn w:val="Normal"/>
    <w:rsid w:val="00CA4094"/>
    <w:pPr>
      <w:numPr>
        <w:numId w:val="7"/>
      </w:numPr>
      <w:spacing w:after="240"/>
      <w:jc w:val="both"/>
    </w:pPr>
    <w:rPr>
      <w:szCs w:val="20"/>
    </w:rPr>
  </w:style>
  <w:style w:type="table" w:styleId="TableGrid">
    <w:name w:val="Table Grid"/>
    <w:basedOn w:val="TableNormal"/>
    <w:rsid w:val="00580B8E"/>
    <w:pPr>
      <w:spacing w:line="240" w:lineRule="auto"/>
      <w:jc w:val="left"/>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dentSingle">
    <w:name w:val="Indent Single"/>
    <w:basedOn w:val="Normal"/>
    <w:next w:val="BodyText"/>
    <w:rsid w:val="003A562B"/>
    <w:pPr>
      <w:spacing w:after="240"/>
      <w:ind w:left="1440" w:right="1440"/>
      <w:jc w:val="both"/>
    </w:pPr>
  </w:style>
  <w:style w:type="paragraph" w:styleId="ListParagraph">
    <w:name w:val="List Paragraph"/>
    <w:basedOn w:val="Normal"/>
    <w:uiPriority w:val="34"/>
    <w:qFormat/>
    <w:rsid w:val="001050F4"/>
    <w:pPr>
      <w:ind w:left="720"/>
      <w:contextualSpacing/>
    </w:pPr>
  </w:style>
  <w:style w:type="paragraph" w:styleId="NormalWeb">
    <w:name w:val="Normal (Web)"/>
    <w:basedOn w:val="Normal"/>
    <w:uiPriority w:val="99"/>
    <w:semiHidden/>
    <w:unhideWhenUsed/>
    <w:rsid w:val="00003F2B"/>
    <w:pPr>
      <w:spacing w:before="100" w:beforeAutospacing="1" w:after="100" w:afterAutospacing="1" w:line="240" w:lineRule="auto"/>
      <w:jc w:val="left"/>
    </w:pPr>
  </w:style>
  <w:style w:type="paragraph" w:styleId="TOC1">
    <w:name w:val="toc 1"/>
    <w:basedOn w:val="Normal"/>
    <w:next w:val="Normal"/>
    <w:autoRedefine/>
    <w:uiPriority w:val="39"/>
    <w:unhideWhenUsed/>
    <w:rsid w:val="00560264"/>
    <w:pPr>
      <w:tabs>
        <w:tab w:val="left" w:pos="720"/>
        <w:tab w:val="right" w:leader="dot" w:pos="9350"/>
      </w:tabs>
      <w:jc w:val="left"/>
    </w:pPr>
  </w:style>
  <w:style w:type="paragraph" w:styleId="TOC2">
    <w:name w:val="toc 2"/>
    <w:basedOn w:val="Normal"/>
    <w:next w:val="Normal"/>
    <w:autoRedefine/>
    <w:uiPriority w:val="39"/>
    <w:unhideWhenUsed/>
    <w:rsid w:val="00560264"/>
    <w:pPr>
      <w:tabs>
        <w:tab w:val="left" w:pos="1440"/>
        <w:tab w:val="right" w:leader="dot" w:pos="9350"/>
      </w:tabs>
      <w:ind w:left="720"/>
      <w:jc w:val="left"/>
    </w:pPr>
  </w:style>
  <w:style w:type="paragraph" w:styleId="TOC3">
    <w:name w:val="toc 3"/>
    <w:basedOn w:val="Normal"/>
    <w:next w:val="Normal"/>
    <w:autoRedefine/>
    <w:uiPriority w:val="39"/>
    <w:unhideWhenUsed/>
    <w:rsid w:val="00691719"/>
    <w:pPr>
      <w:tabs>
        <w:tab w:val="left" w:pos="2160"/>
        <w:tab w:val="right" w:leader="dot" w:pos="9350"/>
      </w:tabs>
      <w:ind w:left="2160" w:hanging="720"/>
      <w:jc w:val="left"/>
    </w:pPr>
  </w:style>
  <w:style w:type="paragraph" w:styleId="TOC4">
    <w:name w:val="toc 4"/>
    <w:basedOn w:val="Normal"/>
    <w:next w:val="Normal"/>
    <w:autoRedefine/>
    <w:uiPriority w:val="39"/>
    <w:unhideWhenUsed/>
    <w:rsid w:val="00691719"/>
    <w:pPr>
      <w:tabs>
        <w:tab w:val="left" w:pos="2880"/>
        <w:tab w:val="right" w:leader="dot" w:pos="9350"/>
      </w:tabs>
      <w:ind w:left="2880" w:hanging="720"/>
      <w:jc w:val="left"/>
    </w:pPr>
  </w:style>
  <w:style w:type="paragraph" w:styleId="TOC5">
    <w:name w:val="toc 5"/>
    <w:basedOn w:val="Normal"/>
    <w:next w:val="Normal"/>
    <w:autoRedefine/>
    <w:uiPriority w:val="39"/>
    <w:unhideWhenUsed/>
    <w:rsid w:val="00691719"/>
    <w:pPr>
      <w:tabs>
        <w:tab w:val="left" w:pos="3600"/>
        <w:tab w:val="right" w:leader="dot" w:pos="9350"/>
      </w:tabs>
      <w:ind w:left="3600" w:hanging="72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38903">
      <w:bodyDiv w:val="1"/>
      <w:marLeft w:val="0"/>
      <w:marRight w:val="0"/>
      <w:marTop w:val="0"/>
      <w:marBottom w:val="0"/>
      <w:divBdr>
        <w:top w:val="none" w:sz="0" w:space="0" w:color="auto"/>
        <w:left w:val="none" w:sz="0" w:space="0" w:color="auto"/>
        <w:bottom w:val="none" w:sz="0" w:space="0" w:color="auto"/>
        <w:right w:val="none" w:sz="0" w:space="0" w:color="auto"/>
      </w:divBdr>
      <w:divsChild>
        <w:div w:id="52706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2030011">
      <w:bodyDiv w:val="1"/>
      <w:marLeft w:val="0"/>
      <w:marRight w:val="0"/>
      <w:marTop w:val="0"/>
      <w:marBottom w:val="0"/>
      <w:divBdr>
        <w:top w:val="none" w:sz="0" w:space="0" w:color="auto"/>
        <w:left w:val="none" w:sz="0" w:space="0" w:color="auto"/>
        <w:bottom w:val="none" w:sz="0" w:space="0" w:color="auto"/>
        <w:right w:val="none" w:sz="0" w:space="0" w:color="auto"/>
      </w:divBdr>
      <w:divsChild>
        <w:div w:id="1310742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886878">
      <w:bodyDiv w:val="1"/>
      <w:marLeft w:val="0"/>
      <w:marRight w:val="0"/>
      <w:marTop w:val="0"/>
      <w:marBottom w:val="0"/>
      <w:divBdr>
        <w:top w:val="none" w:sz="0" w:space="0" w:color="auto"/>
        <w:left w:val="none" w:sz="0" w:space="0" w:color="auto"/>
        <w:bottom w:val="none" w:sz="0" w:space="0" w:color="auto"/>
        <w:right w:val="none" w:sz="0" w:space="0" w:color="auto"/>
      </w:divBdr>
      <w:divsChild>
        <w:div w:id="1992906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1DCC4-BD5D-4E41-8C29-65870A959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173</Pages>
  <Words>52195</Words>
  <Characters>297512</Characters>
  <Application>Microsoft Office Word</Application>
  <DocSecurity>0</DocSecurity>
  <Lines>2479</Lines>
  <Paragraphs>698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349009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Reitenbach, Dawn</cp:lastModifiedBy>
  <cp:revision>10</cp:revision>
  <cp:lastPrinted>2012-11-15T18:58:00Z</cp:lastPrinted>
  <dcterms:created xsi:type="dcterms:W3CDTF">2012-11-14T19:08:00Z</dcterms:created>
  <dcterms:modified xsi:type="dcterms:W3CDTF">2012-11-15T18:58:00Z</dcterms:modified>
</cp:coreProperties>
</file>