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EF" w:rsidRPr="007629EF" w:rsidRDefault="007629EF" w:rsidP="007629EF">
      <w:pPr>
        <w:jc w:val="center"/>
        <w:outlineLvl w:val="0"/>
        <w:rPr>
          <w:b/>
        </w:rPr>
      </w:pPr>
      <w:bookmarkStart w:id="0" w:name="_GoBack"/>
      <w:bookmarkEnd w:id="0"/>
      <w:r w:rsidRPr="007629EF">
        <w:rPr>
          <w:b/>
        </w:rPr>
        <w:t>BEFORE THE</w:t>
      </w:r>
    </w:p>
    <w:p w:rsidR="007629EF" w:rsidRPr="007629EF" w:rsidRDefault="007629EF" w:rsidP="007629EF">
      <w:pPr>
        <w:jc w:val="center"/>
        <w:outlineLvl w:val="0"/>
        <w:rPr>
          <w:b/>
        </w:rPr>
      </w:pPr>
      <w:r w:rsidRPr="007629EF">
        <w:rPr>
          <w:b/>
        </w:rPr>
        <w:t>PENNSYLVANIA PUBLIC UTILITY COMMISSION</w:t>
      </w:r>
    </w:p>
    <w:p w:rsidR="007629EF" w:rsidRPr="007629EF" w:rsidRDefault="007629EF" w:rsidP="007629EF">
      <w:pPr>
        <w:jc w:val="both"/>
        <w:rPr>
          <w:b/>
        </w:rPr>
      </w:pPr>
    </w:p>
    <w:p w:rsidR="007629EF" w:rsidRPr="007629EF" w:rsidRDefault="007629EF" w:rsidP="007629EF">
      <w:pPr>
        <w:jc w:val="both"/>
        <w:rPr>
          <w:b/>
        </w:rPr>
      </w:pPr>
    </w:p>
    <w:p w:rsidR="007629EF" w:rsidRPr="007629EF" w:rsidRDefault="007629EF" w:rsidP="007629EF">
      <w:pPr>
        <w:jc w:val="both"/>
        <w:rPr>
          <w:b/>
        </w:rPr>
      </w:pPr>
    </w:p>
    <w:p w:rsidR="007629EF" w:rsidRPr="007629EF" w:rsidRDefault="007629EF" w:rsidP="007629EF">
      <w:pPr>
        <w:jc w:val="both"/>
      </w:pPr>
      <w:r w:rsidRPr="007629EF">
        <w:t xml:space="preserve">Petition of  </w:t>
      </w:r>
      <w:r w:rsidRPr="007629EF">
        <w:tab/>
      </w:r>
      <w:r w:rsidRPr="007629EF">
        <w:tab/>
      </w:r>
      <w:r w:rsidRPr="007629EF">
        <w:tab/>
      </w:r>
      <w:r w:rsidRPr="007629EF">
        <w:tab/>
      </w:r>
      <w:r w:rsidRPr="007629EF">
        <w:tab/>
      </w:r>
      <w:r w:rsidRPr="007629EF">
        <w:tab/>
        <w:t>:</w:t>
      </w:r>
    </w:p>
    <w:p w:rsidR="007629EF" w:rsidRPr="007629EF" w:rsidRDefault="007629EF" w:rsidP="007629EF">
      <w:pPr>
        <w:jc w:val="both"/>
      </w:pPr>
      <w:r w:rsidRPr="007629EF">
        <w:t>Duquesne Light Company</w:t>
      </w:r>
      <w:r w:rsidRPr="007629EF">
        <w:tab/>
      </w:r>
      <w:r w:rsidRPr="007629EF">
        <w:tab/>
      </w:r>
      <w:r w:rsidRPr="007629EF">
        <w:tab/>
      </w:r>
      <w:r w:rsidRPr="007629EF">
        <w:tab/>
        <w:t>:</w:t>
      </w:r>
      <w:r w:rsidRPr="007629EF">
        <w:tab/>
      </w:r>
      <w:r w:rsidRPr="007629EF">
        <w:tab/>
        <w:t>P-2012-2301664</w:t>
      </w:r>
    </w:p>
    <w:p w:rsidR="007629EF" w:rsidRPr="007629EF" w:rsidRDefault="007629EF" w:rsidP="007629EF">
      <w:r w:rsidRPr="007629EF">
        <w:t>For Approval of the Default Service Program</w:t>
      </w:r>
      <w:r w:rsidRPr="007629EF">
        <w:tab/>
        <w:t>:</w:t>
      </w:r>
    </w:p>
    <w:p w:rsidR="007629EF" w:rsidRPr="007629EF" w:rsidRDefault="007629EF" w:rsidP="007629EF"/>
    <w:p w:rsidR="007629EF" w:rsidRPr="007629EF" w:rsidRDefault="007629EF" w:rsidP="007629EF"/>
    <w:p w:rsidR="007629EF" w:rsidRPr="007629EF" w:rsidRDefault="007629EF" w:rsidP="007629EF"/>
    <w:p w:rsidR="007629EF" w:rsidRPr="007629EF" w:rsidRDefault="007629EF" w:rsidP="007629EF">
      <w:pPr>
        <w:tabs>
          <w:tab w:val="center" w:pos="4680"/>
        </w:tabs>
        <w:suppressAutoHyphens/>
        <w:jc w:val="center"/>
        <w:rPr>
          <w:b/>
          <w:spacing w:val="-3"/>
          <w:u w:val="single"/>
        </w:rPr>
      </w:pPr>
      <w:r w:rsidRPr="007629EF">
        <w:rPr>
          <w:b/>
          <w:spacing w:val="-3"/>
          <w:u w:val="single"/>
        </w:rPr>
        <w:t>RECOMMENDED DECISION</w:t>
      </w:r>
    </w:p>
    <w:p w:rsidR="007629EF" w:rsidRPr="007629EF" w:rsidRDefault="007629EF" w:rsidP="007629EF">
      <w:pPr>
        <w:tabs>
          <w:tab w:val="center" w:pos="4680"/>
        </w:tabs>
        <w:suppressAutoHyphens/>
        <w:jc w:val="center"/>
        <w:rPr>
          <w:b/>
          <w:spacing w:val="-3"/>
          <w:u w:val="single"/>
        </w:rPr>
      </w:pPr>
    </w:p>
    <w:p w:rsidR="007629EF" w:rsidRPr="007629EF" w:rsidRDefault="007629EF" w:rsidP="007629EF">
      <w:pPr>
        <w:tabs>
          <w:tab w:val="center" w:pos="4680"/>
        </w:tabs>
        <w:suppressAutoHyphens/>
        <w:jc w:val="center"/>
        <w:rPr>
          <w:b/>
          <w:spacing w:val="-3"/>
          <w:u w:val="single"/>
        </w:rPr>
      </w:pPr>
    </w:p>
    <w:p w:rsidR="007629EF" w:rsidRPr="007629EF" w:rsidRDefault="007629EF" w:rsidP="007629EF">
      <w:pPr>
        <w:tabs>
          <w:tab w:val="center" w:pos="4680"/>
        </w:tabs>
        <w:suppressAutoHyphens/>
        <w:jc w:val="center"/>
        <w:rPr>
          <w:spacing w:val="-3"/>
        </w:rPr>
      </w:pPr>
      <w:r w:rsidRPr="007629EF">
        <w:rPr>
          <w:spacing w:val="-3"/>
        </w:rPr>
        <w:t>Before</w:t>
      </w:r>
    </w:p>
    <w:p w:rsidR="007629EF" w:rsidRPr="007629EF" w:rsidRDefault="007629EF" w:rsidP="007629EF">
      <w:pPr>
        <w:tabs>
          <w:tab w:val="center" w:pos="4680"/>
        </w:tabs>
        <w:suppressAutoHyphens/>
        <w:jc w:val="center"/>
        <w:rPr>
          <w:spacing w:val="-3"/>
        </w:rPr>
      </w:pPr>
      <w:r w:rsidRPr="007629EF">
        <w:rPr>
          <w:spacing w:val="-3"/>
        </w:rPr>
        <w:t>Katrina L. Dunderdale</w:t>
      </w:r>
    </w:p>
    <w:p w:rsidR="007629EF" w:rsidRPr="007629EF" w:rsidRDefault="007629EF" w:rsidP="007629EF">
      <w:pPr>
        <w:tabs>
          <w:tab w:val="center" w:pos="4680"/>
        </w:tabs>
        <w:suppressAutoHyphens/>
        <w:jc w:val="center"/>
        <w:rPr>
          <w:spacing w:val="-3"/>
        </w:rPr>
      </w:pPr>
      <w:r w:rsidRPr="007629EF">
        <w:rPr>
          <w:spacing w:val="-3"/>
        </w:rPr>
        <w:t>Administrative Law Judge</w:t>
      </w:r>
    </w:p>
    <w:p w:rsidR="007629EF" w:rsidRPr="007629EF" w:rsidRDefault="007629EF" w:rsidP="007629EF">
      <w:pPr>
        <w:tabs>
          <w:tab w:val="center" w:pos="4680"/>
        </w:tabs>
        <w:suppressAutoHyphens/>
        <w:jc w:val="center"/>
        <w:rPr>
          <w:spacing w:val="-3"/>
        </w:rPr>
      </w:pPr>
    </w:p>
    <w:p w:rsidR="007629EF" w:rsidRPr="007629EF" w:rsidRDefault="007629EF" w:rsidP="007629EF">
      <w:pPr>
        <w:tabs>
          <w:tab w:val="center" w:pos="4680"/>
        </w:tabs>
        <w:suppressAutoHyphens/>
        <w:jc w:val="both"/>
        <w:rPr>
          <w:spacing w:val="-3"/>
        </w:rPr>
      </w:pPr>
    </w:p>
    <w:p w:rsidR="007629EF" w:rsidRPr="007629EF" w:rsidRDefault="007629EF" w:rsidP="007629EF">
      <w:pPr>
        <w:tabs>
          <w:tab w:val="center" w:pos="4680"/>
        </w:tabs>
        <w:suppressAutoHyphens/>
        <w:spacing w:line="360" w:lineRule="auto"/>
        <w:jc w:val="both"/>
        <w:rPr>
          <w:spacing w:val="-3"/>
        </w:rPr>
        <w:sectPr w:rsidR="007629EF" w:rsidRPr="007629EF" w:rsidSect="006C6975">
          <w:footerReference w:type="default" r:id="rId9"/>
          <w:pgSz w:w="12240" w:h="15840" w:code="1"/>
          <w:pgMar w:top="1440" w:right="1440" w:bottom="1440" w:left="1440" w:header="720" w:footer="720" w:gutter="0"/>
          <w:pgNumType w:start="1"/>
          <w:cols w:space="720"/>
          <w:formProt w:val="0"/>
          <w:titlePg/>
          <w:docGrid w:linePitch="360"/>
        </w:sectPr>
      </w:pPr>
    </w:p>
    <w:p w:rsidR="007629EF" w:rsidRPr="007629EF" w:rsidRDefault="007629EF" w:rsidP="007629EF">
      <w:pPr>
        <w:tabs>
          <w:tab w:val="left" w:pos="720"/>
          <w:tab w:val="left" w:pos="1440"/>
        </w:tabs>
        <w:spacing w:line="360" w:lineRule="auto"/>
        <w:jc w:val="center"/>
        <w:rPr>
          <w:b/>
          <w:u w:val="single"/>
        </w:rPr>
      </w:pPr>
      <w:r w:rsidRPr="007629EF">
        <w:rPr>
          <w:b/>
          <w:u w:val="single"/>
        </w:rPr>
        <w:lastRenderedPageBreak/>
        <w:t>TABLE OF CONTENTS</w:t>
      </w:r>
    </w:p>
    <w:p w:rsidR="007629EF" w:rsidRPr="007629EF" w:rsidRDefault="007629EF" w:rsidP="007629EF">
      <w:pPr>
        <w:tabs>
          <w:tab w:val="left" w:pos="720"/>
          <w:tab w:val="left" w:pos="1440"/>
          <w:tab w:val="left" w:pos="2160"/>
        </w:tabs>
        <w:spacing w:line="360" w:lineRule="auto"/>
      </w:pPr>
    </w:p>
    <w:p w:rsidR="007629EF" w:rsidRPr="007629EF" w:rsidRDefault="007629EF" w:rsidP="007629EF">
      <w:pPr>
        <w:tabs>
          <w:tab w:val="left" w:pos="720"/>
          <w:tab w:val="left" w:pos="1440"/>
          <w:tab w:val="left" w:pos="2160"/>
          <w:tab w:val="right" w:leader="dot" w:pos="9360"/>
        </w:tabs>
        <w:spacing w:line="360" w:lineRule="auto"/>
      </w:pPr>
      <w:r w:rsidRPr="007629EF">
        <w:t>I.</w:t>
      </w:r>
      <w:r w:rsidRPr="007629EF">
        <w:tab/>
      </w:r>
      <w:r w:rsidRPr="007629EF">
        <w:rPr>
          <w:caps/>
        </w:rPr>
        <w:t>history of the proceeding</w:t>
      </w:r>
      <w:r w:rsidRPr="007629EF">
        <w:tab/>
        <w:t>1</w:t>
      </w:r>
    </w:p>
    <w:p w:rsidR="007629EF" w:rsidRPr="007629EF" w:rsidRDefault="007629EF" w:rsidP="007629EF">
      <w:pPr>
        <w:tabs>
          <w:tab w:val="left" w:pos="720"/>
          <w:tab w:val="left" w:pos="1440"/>
          <w:tab w:val="left" w:pos="2160"/>
          <w:tab w:val="right" w:leader="dot" w:pos="9360"/>
        </w:tabs>
        <w:spacing w:line="360" w:lineRule="auto"/>
      </w:pPr>
      <w:r w:rsidRPr="007629EF">
        <w:t>II.</w:t>
      </w:r>
      <w:r w:rsidRPr="007629EF">
        <w:tab/>
        <w:t>FINDINGS OF FACT</w:t>
      </w:r>
      <w:r w:rsidRPr="007629EF">
        <w:tab/>
        <w:t>2</w:t>
      </w:r>
    </w:p>
    <w:p w:rsidR="007629EF" w:rsidRPr="007629EF" w:rsidRDefault="007629EF" w:rsidP="007629EF">
      <w:pPr>
        <w:tabs>
          <w:tab w:val="left" w:pos="720"/>
          <w:tab w:val="left" w:pos="1440"/>
          <w:tab w:val="left" w:pos="2160"/>
          <w:tab w:val="right" w:leader="dot" w:pos="9360"/>
        </w:tabs>
        <w:spacing w:line="360" w:lineRule="auto"/>
      </w:pPr>
      <w:r w:rsidRPr="007629EF">
        <w:t>III.</w:t>
      </w:r>
      <w:r w:rsidRPr="007629EF">
        <w:tab/>
        <w:t>DESCRIPTION OF DEFAULT SERVICE PROVIDER</w:t>
      </w:r>
      <w:r w:rsidRPr="007629EF">
        <w:tab/>
        <w:t>6</w:t>
      </w:r>
    </w:p>
    <w:p w:rsidR="007629EF" w:rsidRPr="007629EF" w:rsidRDefault="007629EF" w:rsidP="007629EF">
      <w:pPr>
        <w:tabs>
          <w:tab w:val="left" w:pos="720"/>
          <w:tab w:val="left" w:pos="1440"/>
          <w:tab w:val="left" w:pos="2160"/>
          <w:tab w:val="right" w:leader="dot" w:pos="9360"/>
        </w:tabs>
        <w:spacing w:line="360" w:lineRule="auto"/>
      </w:pPr>
      <w:r w:rsidRPr="007629EF">
        <w:t>IV.</w:t>
      </w:r>
      <w:r w:rsidRPr="007629EF">
        <w:tab/>
        <w:t>DISCUSSION</w:t>
      </w:r>
      <w:r w:rsidRPr="007629EF">
        <w:tab/>
      </w:r>
      <w:r w:rsidRPr="007629EF">
        <w:tab/>
        <w:t>7</w:t>
      </w:r>
    </w:p>
    <w:p w:rsidR="007629EF" w:rsidRPr="007629EF" w:rsidRDefault="007629EF" w:rsidP="007629EF">
      <w:pPr>
        <w:tabs>
          <w:tab w:val="left" w:pos="720"/>
          <w:tab w:val="left" w:pos="1440"/>
          <w:tab w:val="right" w:leader="dot" w:pos="9360"/>
        </w:tabs>
        <w:spacing w:line="360" w:lineRule="auto"/>
      </w:pPr>
      <w:r w:rsidRPr="007629EF">
        <w:tab/>
        <w:t>A.</w:t>
      </w:r>
      <w:r w:rsidRPr="007629EF">
        <w:tab/>
        <w:t>Legal Standards</w:t>
      </w:r>
      <w:r w:rsidRPr="007629EF">
        <w:tab/>
        <w:t>7</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Burden of Proof</w:t>
      </w:r>
      <w:r w:rsidRPr="007629EF">
        <w:tab/>
        <w:t>7</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2.</w:t>
      </w:r>
      <w:r w:rsidRPr="007629EF">
        <w:tab/>
        <w:t>Legal Standards Applicable to Default Service Plans</w:t>
      </w:r>
      <w:r w:rsidRPr="007629EF">
        <w:tab/>
        <w:t>8</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3.</w:t>
      </w:r>
      <w:r w:rsidRPr="007629EF">
        <w:tab/>
        <w:t>Act 129</w:t>
      </w:r>
      <w:r w:rsidRPr="007629EF">
        <w:tab/>
        <w:t>9</w:t>
      </w:r>
    </w:p>
    <w:p w:rsidR="007629EF" w:rsidRPr="007629EF" w:rsidRDefault="007629EF" w:rsidP="007629EF">
      <w:pPr>
        <w:tabs>
          <w:tab w:val="left" w:pos="720"/>
          <w:tab w:val="left" w:pos="1440"/>
          <w:tab w:val="left" w:pos="2160"/>
          <w:tab w:val="right" w:leader="dot" w:pos="9360"/>
        </w:tabs>
        <w:spacing w:line="360" w:lineRule="auto"/>
      </w:pPr>
      <w:r w:rsidRPr="007629EF">
        <w:tab/>
        <w:t>B.</w:t>
      </w:r>
      <w:r w:rsidRPr="007629EF">
        <w:tab/>
        <w:t>Default Service Procurement Plan Issues</w:t>
      </w:r>
      <w:r w:rsidRPr="007629EF">
        <w:tab/>
        <w:t>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Residential Procurement</w:t>
      </w:r>
      <w:r w:rsidRPr="007629EF">
        <w:tab/>
        <w:t>15</w:t>
      </w:r>
    </w:p>
    <w:p w:rsidR="007629EF" w:rsidRPr="007629EF" w:rsidRDefault="007629EF" w:rsidP="007629EF">
      <w:pPr>
        <w:tabs>
          <w:tab w:val="left" w:pos="720"/>
          <w:tab w:val="left" w:pos="1440"/>
          <w:tab w:val="left" w:pos="2160"/>
          <w:tab w:val="left" w:pos="2880"/>
          <w:tab w:val="right" w:leader="dot" w:pos="9360"/>
        </w:tabs>
        <w:spacing w:line="360" w:lineRule="auto"/>
      </w:pPr>
      <w:r w:rsidRPr="007629EF">
        <w:tab/>
      </w:r>
      <w:r w:rsidRPr="007629EF">
        <w:tab/>
      </w:r>
      <w:r w:rsidRPr="007629EF">
        <w:tab/>
        <w:t>a.</w:t>
      </w:r>
      <w:r w:rsidRPr="007629EF">
        <w:tab/>
        <w:t>Products and Product Terms</w:t>
      </w:r>
      <w:r w:rsidRPr="007629EF">
        <w:tab/>
        <w:t>15</w:t>
      </w:r>
    </w:p>
    <w:p w:rsidR="007629EF" w:rsidRPr="007629EF" w:rsidRDefault="007629EF" w:rsidP="007629EF">
      <w:pPr>
        <w:numPr>
          <w:ilvl w:val="0"/>
          <w:numId w:val="19"/>
        </w:numPr>
        <w:tabs>
          <w:tab w:val="left" w:pos="720"/>
          <w:tab w:val="left" w:pos="1440"/>
          <w:tab w:val="left" w:pos="2160"/>
          <w:tab w:val="left" w:pos="2880"/>
          <w:tab w:val="left" w:pos="3600"/>
          <w:tab w:val="right" w:leader="dot" w:pos="9360"/>
        </w:tabs>
        <w:spacing w:line="360" w:lineRule="auto"/>
      </w:pPr>
      <w:r w:rsidRPr="007629EF">
        <w:t>DLC’s Proposal</w:t>
      </w:r>
      <w:r w:rsidRPr="007629EF">
        <w:tab/>
        <w:t>15</w:t>
      </w:r>
    </w:p>
    <w:p w:rsidR="007629EF" w:rsidRPr="007629EF" w:rsidRDefault="007629EF" w:rsidP="007629EF">
      <w:pPr>
        <w:numPr>
          <w:ilvl w:val="0"/>
          <w:numId w:val="19"/>
        </w:numPr>
        <w:tabs>
          <w:tab w:val="left" w:pos="720"/>
          <w:tab w:val="left" w:pos="1440"/>
          <w:tab w:val="left" w:pos="2160"/>
          <w:tab w:val="left" w:pos="2880"/>
          <w:tab w:val="left" w:pos="3600"/>
          <w:tab w:val="right" w:leader="dot" w:pos="9360"/>
        </w:tabs>
        <w:spacing w:line="360" w:lineRule="auto"/>
      </w:pPr>
      <w:r w:rsidRPr="007629EF">
        <w:t>OCA’s Position</w:t>
      </w:r>
      <w:r w:rsidRPr="007629EF">
        <w:tab/>
        <w:t>17</w:t>
      </w:r>
    </w:p>
    <w:p w:rsidR="00616B3F" w:rsidRDefault="007629EF" w:rsidP="007629EF">
      <w:pPr>
        <w:numPr>
          <w:ilvl w:val="0"/>
          <w:numId w:val="19"/>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4E2F83">
        <w:t>20</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4E2F83">
        <w:t>22</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4E2F83">
        <w:t>22</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4E2F83">
        <w:t>22</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4E2F83">
        <w:t>22</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4E2F83">
        <w:t>2</w:t>
      </w:r>
      <w:r w:rsidR="007B1766">
        <w:t>3</w:t>
      </w:r>
    </w:p>
    <w:p w:rsidR="00616B3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4E2F83">
        <w:t>2</w:t>
      </w:r>
      <w:r w:rsidR="009314F5">
        <w:t>4</w:t>
      </w:r>
    </w:p>
    <w:p w:rsidR="007629EF" w:rsidRPr="007629EF" w:rsidRDefault="00616B3F" w:rsidP="00616B3F">
      <w:pPr>
        <w:numPr>
          <w:ilvl w:val="0"/>
          <w:numId w:val="19"/>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4E2F83">
        <w:t>2</w:t>
      </w:r>
      <w:r w:rsidR="00C816A0">
        <w:t>8</w:t>
      </w:r>
      <w:r w:rsidR="007629EF" w:rsidRPr="007629EF">
        <w:tab/>
      </w:r>
      <w:r w:rsidR="007629EF" w:rsidRPr="007629EF">
        <w:tab/>
      </w:r>
      <w:r w:rsidR="007629EF" w:rsidRPr="007629EF">
        <w:tab/>
      </w:r>
      <w:r w:rsidR="007629EF" w:rsidRPr="007629EF">
        <w:tab/>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Procurement Dates</w:t>
      </w:r>
      <w:r w:rsidRPr="007629EF">
        <w:tab/>
      </w:r>
      <w:r w:rsidR="004E2F83">
        <w:t>29</w:t>
      </w:r>
    </w:p>
    <w:p w:rsidR="007629EF" w:rsidRPr="007629EF" w:rsidRDefault="007629EF" w:rsidP="007629EF">
      <w:pPr>
        <w:numPr>
          <w:ilvl w:val="0"/>
          <w:numId w:val="38"/>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4E2F83">
        <w:t>29</w:t>
      </w:r>
    </w:p>
    <w:p w:rsidR="007629EF" w:rsidRPr="007629EF" w:rsidRDefault="007629EF" w:rsidP="007629EF">
      <w:pPr>
        <w:numPr>
          <w:ilvl w:val="0"/>
          <w:numId w:val="38"/>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4E2F83">
        <w:t>30</w:t>
      </w:r>
    </w:p>
    <w:p w:rsidR="007629EF" w:rsidRDefault="007629EF" w:rsidP="007629EF">
      <w:pPr>
        <w:numPr>
          <w:ilvl w:val="0"/>
          <w:numId w:val="38"/>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4E2F83">
        <w:t>31</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4E2F83">
        <w:t>32</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4E2F83">
        <w:t>32</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4E2F83">
        <w:t>32</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4E2F83">
        <w:t>33</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lastRenderedPageBreak/>
        <w:t>EGS Parties’ Position</w:t>
      </w:r>
      <w:r w:rsidRPr="007629EF">
        <w:tab/>
      </w:r>
      <w:r w:rsidR="004E2F83">
        <w:t>33</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4E2F83">
        <w:t>33</w:t>
      </w:r>
    </w:p>
    <w:p w:rsidR="00616B3F" w:rsidRPr="007629EF" w:rsidRDefault="00616B3F" w:rsidP="00616B3F">
      <w:pPr>
        <w:numPr>
          <w:ilvl w:val="0"/>
          <w:numId w:val="38"/>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4E2F83">
        <w:t>33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Reserving Supply For Retail Opt-In Customer Participation</w:t>
      </w:r>
      <w:r w:rsidRPr="007629EF">
        <w:tab/>
      </w:r>
      <w:r w:rsidR="004E2F83">
        <w:t>34</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4E2F83">
        <w:t>34</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4E2F83">
        <w:t>35</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4E2F83">
        <w:t>37</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4E2F83">
        <w:t>38</w:t>
      </w:r>
    </w:p>
    <w:p w:rsidR="007629EF" w:rsidRPr="007629EF" w:rsidRDefault="007629EF" w:rsidP="007629EF">
      <w:pPr>
        <w:numPr>
          <w:ilvl w:val="0"/>
          <w:numId w:val="39"/>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4E2F83">
        <w:t>38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2.</w:t>
      </w:r>
      <w:r w:rsidRPr="007629EF">
        <w:tab/>
        <w:t>Small C&amp;I Procurement Product(s), Product Terms and Dates</w:t>
      </w:r>
      <w:r w:rsidRPr="007629EF">
        <w:tab/>
      </w:r>
      <w:r w:rsidR="004E2F83">
        <w:t>39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4E2F83">
        <w:t>39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4E2F83">
        <w:t>40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4E2F83">
        <w:t>41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4E2F83">
        <w:t>41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4E2F83">
        <w:t>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4E2F83">
        <w:t>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4E2F83">
        <w:t>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4E2F83">
        <w:t>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4E2F83">
        <w:t>43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4E2F83">
        <w:t>43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3.</w:t>
      </w:r>
      <w:r w:rsidRPr="007629EF">
        <w:tab/>
        <w:t>Medium C&amp;I Procurement Product(s), Product Terms and Dates</w:t>
      </w:r>
      <w:r w:rsidRPr="007629EF">
        <w:tab/>
      </w:r>
      <w:r w:rsidR="004E2F83">
        <w:t>44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4E2F83">
        <w:t>44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4E2F83">
        <w:t>44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4E2F83">
        <w:t>45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4E2F83">
        <w:t>46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4E2F83">
        <w:t>46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Pr="007629EF">
        <w:tab/>
        <w:t>f.</w:t>
      </w:r>
      <w:r w:rsidRPr="007629EF">
        <w:tab/>
        <w:t>Citizen Power’s Position</w:t>
      </w:r>
      <w:r w:rsidRPr="007629EF">
        <w:tab/>
      </w:r>
      <w:r w:rsidR="005E6D13">
        <w:t>47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5E6D13">
        <w:t>47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5E6D13">
        <w:t>47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5E6D13">
        <w:t>47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5E6D13">
        <w:t>48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4.</w:t>
      </w:r>
      <w:r w:rsidRPr="007629EF">
        <w:tab/>
        <w:t>Large C&amp;I Procurement Issues</w:t>
      </w:r>
      <w:r w:rsidRPr="007629EF">
        <w:tab/>
      </w:r>
      <w:r w:rsidR="005E6D13">
        <w:t>48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5.</w:t>
      </w:r>
      <w:r w:rsidRPr="007629EF">
        <w:tab/>
        <w:t>Default Supply Load CAP Issues</w:t>
      </w:r>
      <w:r w:rsidRPr="007629EF">
        <w:tab/>
      </w:r>
      <w:r w:rsidR="005E6D13">
        <w:t>49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5E6D13">
        <w:t>49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5E6D13">
        <w:t>50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5E6D13">
        <w:t>50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5E6D13">
        <w:t>50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5E6D13">
        <w:t>50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5E6D13">
        <w:t>51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5E6D13">
        <w:t>51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5E6D13">
        <w:t>51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5E6D13">
        <w:t>51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5E6D13">
        <w:t>52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6.</w:t>
      </w:r>
      <w:r w:rsidRPr="007629EF">
        <w:tab/>
        <w:t>Procurements for Delivery Beyond May 31, 2015</w:t>
      </w:r>
      <w:r w:rsidRPr="007629EF">
        <w:tab/>
      </w:r>
      <w:r w:rsidR="005E6D13">
        <w:t>53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5E6D13">
        <w:t>53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5E6D13">
        <w:t>54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5E6D13">
        <w:t>54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5E6D13">
        <w:t>55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5E6D13">
        <w:t>55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5E6D13">
        <w:t>56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5E6D13">
        <w:t>56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5E6D13">
        <w:t>56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5E6D13">
        <w:t>56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5E6D13">
        <w:t>56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7.</w:t>
      </w:r>
      <w:r w:rsidRPr="007629EF">
        <w:tab/>
        <w:t>Miscellaneous Procurement Issues</w:t>
      </w:r>
      <w:r w:rsidRPr="007629EF">
        <w:tab/>
      </w:r>
      <w:r w:rsidR="005E6D13">
        <w:t>57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t>C.</w:t>
      </w:r>
      <w:r w:rsidRPr="007629EF">
        <w:tab/>
        <w:t>Market Enhancement Programs</w:t>
      </w:r>
      <w:r w:rsidRPr="007629EF">
        <w:tab/>
      </w:r>
      <w:r w:rsidR="005E6D13">
        <w:t>57</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Retail Opt-In Program</w:t>
      </w:r>
      <w:r w:rsidRPr="007629EF">
        <w:tab/>
      </w:r>
      <w:r w:rsidR="005E6D13">
        <w:t>57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Pr="007629EF">
        <w:tab/>
        <w:t>a.</w:t>
      </w:r>
      <w:r w:rsidRPr="007629EF">
        <w:tab/>
        <w:t>Auction versus ROI Program</w:t>
      </w:r>
      <w:r w:rsidRPr="007629EF">
        <w:tab/>
      </w:r>
      <w:r w:rsidR="005E6D13">
        <w:t>57</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E6D13">
        <w:t>57</w:t>
      </w:r>
      <w:r w:rsidRPr="007629EF">
        <w:tab/>
      </w:r>
      <w:r w:rsidRPr="007629EF">
        <w:tab/>
      </w:r>
      <w:r w:rsidRPr="007629EF">
        <w:tab/>
        <w:t>DLC’s Proposal</w:t>
      </w:r>
      <w:r w:rsidRPr="007629EF">
        <w:tab/>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E6D13">
        <w:t>60</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E6D13">
        <w:t>60</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E6D13">
        <w:t>61</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E6D13">
        <w:t>61</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E6D13">
        <w:t>62</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5E6D13">
        <w:t>63</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E6D13">
        <w:t>63</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5E6D13">
        <w:t>64</w:t>
      </w:r>
    </w:p>
    <w:p w:rsidR="007629EF" w:rsidRPr="007629EF" w:rsidRDefault="007629EF" w:rsidP="007629EF">
      <w:pPr>
        <w:numPr>
          <w:ilvl w:val="0"/>
          <w:numId w:val="20"/>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5E6D13">
        <w:t>65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Term of Offer</w:t>
      </w:r>
      <w:r w:rsidRPr="007629EF">
        <w:tab/>
      </w:r>
      <w:r w:rsidR="005E6D13">
        <w:t>66</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DLC’s Proposal</w:t>
      </w:r>
      <w:r w:rsidRPr="007629EF">
        <w:tab/>
      </w:r>
      <w:r>
        <w:t>66</w:t>
      </w:r>
      <w:r w:rsidRPr="007629EF">
        <w:tab/>
      </w:r>
      <w:r w:rsidRPr="007629EF">
        <w:tab/>
      </w:r>
      <w:r w:rsidRPr="007629EF">
        <w:tab/>
        <w:t>DLC’s Proposal</w:t>
      </w:r>
      <w:r w:rsidRPr="007629EF">
        <w:tab/>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OCA’s Position</w:t>
      </w:r>
      <w:r w:rsidRPr="007629EF">
        <w:tab/>
      </w:r>
      <w:r>
        <w:t>67</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t>68</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t>69</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t>70</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t>70</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t>71</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t>71</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t>71</w:t>
      </w:r>
    </w:p>
    <w:p w:rsidR="005E6D13" w:rsidRPr="007629EF" w:rsidRDefault="005E6D13" w:rsidP="005E6D13">
      <w:pPr>
        <w:numPr>
          <w:ilvl w:val="0"/>
          <w:numId w:val="46"/>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t>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Discount Percentage</w:t>
      </w:r>
      <w:r w:rsidRPr="007629EF">
        <w:tab/>
      </w:r>
      <w:r w:rsidR="005E6D13">
        <w:t>72</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E6D13">
        <w:t>72</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E6D13">
        <w:t>73</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E6D13">
        <w:t>73</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E6D13">
        <w:t>74</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E6D13">
        <w:t>74</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E6D13">
        <w:t>74</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5E6D13">
        <w:t>74</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E6D13">
        <w:t>74</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lastRenderedPageBreak/>
        <w:t>FirstEnergy Solutions’ Position</w:t>
      </w:r>
      <w:r w:rsidRPr="007629EF">
        <w:tab/>
      </w:r>
      <w:r w:rsidR="005E6D13">
        <w:t>75</w:t>
      </w:r>
    </w:p>
    <w:p w:rsidR="007629EF" w:rsidRPr="007629EF" w:rsidRDefault="007629EF" w:rsidP="007629EF">
      <w:pPr>
        <w:numPr>
          <w:ilvl w:val="0"/>
          <w:numId w:val="21"/>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5E6D13">
        <w:t>75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$50 Bonus Payment</w:t>
      </w:r>
      <w:r w:rsidRPr="007629EF">
        <w:tab/>
      </w:r>
      <w:r w:rsidR="005E6D13">
        <w:t>75</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E6D13">
        <w:t>75</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E6D13">
        <w:t>76</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E6D13">
        <w:t>77</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E6D13">
        <w:t>77</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E6D13">
        <w:t>77</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E6D13">
        <w:t>78</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5E6D13">
        <w:t>78</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E6D13">
        <w:t>78</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5E6D13">
        <w:t>78</w:t>
      </w:r>
    </w:p>
    <w:p w:rsidR="007629EF" w:rsidRPr="007629EF" w:rsidRDefault="007629EF" w:rsidP="007629EF">
      <w:pPr>
        <w:numPr>
          <w:ilvl w:val="0"/>
          <w:numId w:val="22"/>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5E6D13">
        <w:t>78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Guaranteed Savings</w:t>
      </w:r>
      <w:r w:rsidRPr="007629EF">
        <w:tab/>
      </w:r>
      <w:r w:rsidR="005E6D13">
        <w:t>79</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E6D13">
        <w:t>79</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E6D13">
        <w:t>79</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E6D13">
        <w:t>80</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E6D13">
        <w:t>80</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E6D13">
        <w:t>80</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E6D13">
        <w:t>81</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5E6D13">
        <w:t>81</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E6D13">
        <w:t>81</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5E6D13">
        <w:t>81</w:t>
      </w:r>
    </w:p>
    <w:p w:rsidR="007629EF" w:rsidRPr="007629EF" w:rsidRDefault="007629EF" w:rsidP="007629EF">
      <w:pPr>
        <w:numPr>
          <w:ilvl w:val="0"/>
          <w:numId w:val="23"/>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5E6D13">
        <w:t>81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Customer Participation Cap</w:t>
      </w:r>
      <w:r w:rsidRPr="007629EF">
        <w:tab/>
      </w:r>
      <w:r w:rsidR="005E6D13">
        <w:t>82</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E6D13">
        <w:t>82</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E6D13">
        <w:t>83</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E6D13">
        <w:t>84</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E6D13">
        <w:t>85</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E6D13">
        <w:t>8</w:t>
      </w:r>
      <w:r w:rsidR="002A41AC">
        <w:t>5</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E6D13">
        <w:t>86</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lastRenderedPageBreak/>
        <w:t>Duquesne Industrial Intervenors’ Position</w:t>
      </w:r>
      <w:r w:rsidRPr="007629EF">
        <w:tab/>
      </w:r>
      <w:r w:rsidR="005E6D13">
        <w:t>86</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E6D13">
        <w:t>86</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5E6D13">
        <w:t>86</w:t>
      </w:r>
    </w:p>
    <w:p w:rsidR="007629EF" w:rsidRPr="007629EF" w:rsidRDefault="007629EF" w:rsidP="007629EF">
      <w:pPr>
        <w:numPr>
          <w:ilvl w:val="0"/>
          <w:numId w:val="24"/>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5E6D13">
        <w:t>87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Supplier Load Cap</w:t>
      </w:r>
      <w:r w:rsidRPr="007629EF">
        <w:tab/>
      </w:r>
      <w:r w:rsidR="005E6D13">
        <w:t>87</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A80158">
        <w:t>87</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A80158">
        <w:t>88</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A80158">
        <w:t>88</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A80158">
        <w:t>89</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A80158">
        <w:t>89</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A80158">
        <w:t>89</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A80158">
        <w:t>90</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A80158">
        <w:t>90</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A80158">
        <w:t>90</w:t>
      </w:r>
    </w:p>
    <w:p w:rsidR="007629EF" w:rsidRPr="007629EF" w:rsidRDefault="007629EF" w:rsidP="007629EF">
      <w:pPr>
        <w:numPr>
          <w:ilvl w:val="0"/>
          <w:numId w:val="25"/>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A80158">
        <w:t>92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Enrollment Process</w:t>
      </w:r>
      <w:r w:rsidRPr="007629EF">
        <w:tab/>
      </w:r>
      <w:r w:rsidR="00A80158">
        <w:t>92</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A80158">
        <w:t>92</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A80158">
        <w:t>92</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A80158">
        <w:t>94</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A80158">
        <w:t>95</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036BAE">
        <w:t>95</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036BAE">
        <w:t>95</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036BAE">
        <w:t>95</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036BAE">
        <w:t>96</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036BAE">
        <w:t>96</w:t>
      </w:r>
    </w:p>
    <w:p w:rsidR="007629EF" w:rsidRPr="007629EF" w:rsidRDefault="007629EF" w:rsidP="007629EF">
      <w:pPr>
        <w:numPr>
          <w:ilvl w:val="0"/>
          <w:numId w:val="26"/>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E467E5">
        <w:t>97</w:t>
      </w:r>
    </w:p>
    <w:p w:rsidR="007629EF" w:rsidRPr="007629EF" w:rsidRDefault="007629EF" w:rsidP="007629EF">
      <w:pPr>
        <w:numPr>
          <w:ilvl w:val="0"/>
          <w:numId w:val="27"/>
        </w:numPr>
        <w:tabs>
          <w:tab w:val="left" w:pos="720"/>
          <w:tab w:val="left" w:pos="1440"/>
          <w:tab w:val="left" w:pos="2160"/>
          <w:tab w:val="left" w:pos="2880"/>
          <w:tab w:val="left" w:pos="3600"/>
          <w:tab w:val="right" w:leader="dot" w:pos="9360"/>
        </w:tabs>
        <w:spacing w:line="360" w:lineRule="auto"/>
      </w:pPr>
      <w:r w:rsidRPr="007629EF">
        <w:t>Mailings and Communications</w:t>
      </w:r>
      <w:r w:rsidRPr="007629EF">
        <w:tab/>
      </w:r>
      <w:r w:rsidR="00E467E5">
        <w:t>98</w:t>
      </w:r>
    </w:p>
    <w:p w:rsidR="007629EF" w:rsidRPr="007629EF" w:rsidRDefault="007629EF" w:rsidP="007629EF">
      <w:pPr>
        <w:numPr>
          <w:ilvl w:val="0"/>
          <w:numId w:val="28"/>
        </w:numPr>
        <w:tabs>
          <w:tab w:val="left" w:pos="720"/>
          <w:tab w:val="left" w:pos="1440"/>
          <w:tab w:val="left" w:pos="2160"/>
          <w:tab w:val="left" w:pos="3600"/>
          <w:tab w:val="right" w:leader="dot" w:pos="9360"/>
        </w:tabs>
        <w:spacing w:line="360" w:lineRule="auto"/>
        <w:ind w:left="3600"/>
      </w:pPr>
      <w:r w:rsidRPr="007629EF">
        <w:t>DLC’s Proposal</w:t>
      </w:r>
      <w:r w:rsidRPr="007629EF">
        <w:tab/>
      </w:r>
      <w:r w:rsidR="00E467E5">
        <w:t>98</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OCA’s Position</w:t>
      </w:r>
      <w:r w:rsidRPr="007629EF">
        <w:tab/>
      </w:r>
      <w:r w:rsidR="00E467E5">
        <w:t>98</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RESA’s Position</w:t>
      </w:r>
      <w:r w:rsidRPr="007629EF">
        <w:tab/>
      </w:r>
      <w:r w:rsidR="00E467E5">
        <w:t>99</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OSBA’s Position</w:t>
      </w:r>
      <w:r w:rsidRPr="007629EF">
        <w:tab/>
      </w:r>
      <w:r w:rsidR="00E467E5">
        <w:t>100</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lastRenderedPageBreak/>
        <w:t>CAUSE’s Position</w:t>
      </w:r>
      <w:r w:rsidRPr="007629EF">
        <w:tab/>
      </w:r>
      <w:r w:rsidR="005F3D91">
        <w:t>100</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Citizen Power’s Position</w:t>
      </w:r>
      <w:r w:rsidRPr="007629EF">
        <w:tab/>
      </w:r>
      <w:r w:rsidR="005F3D91">
        <w:t>101</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Duquesne Industrial Intervenors’ Position</w:t>
      </w:r>
      <w:r w:rsidRPr="007629EF">
        <w:tab/>
      </w:r>
      <w:r w:rsidR="005F3D91">
        <w:t>101</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EGS Parties’ Position</w:t>
      </w:r>
      <w:r w:rsidRPr="007629EF">
        <w:tab/>
      </w:r>
      <w:r w:rsidR="005F3D91">
        <w:t>101</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FirstEnergy Solutions’ Position</w:t>
      </w:r>
      <w:r w:rsidRPr="007629EF">
        <w:tab/>
      </w:r>
      <w:r w:rsidR="005F3D91">
        <w:t>101</w:t>
      </w:r>
    </w:p>
    <w:p w:rsidR="007629EF" w:rsidRPr="007629EF" w:rsidRDefault="007629EF" w:rsidP="007629EF">
      <w:pPr>
        <w:numPr>
          <w:ilvl w:val="0"/>
          <w:numId w:val="28"/>
        </w:numPr>
        <w:tabs>
          <w:tab w:val="left" w:pos="720"/>
          <w:tab w:val="left" w:pos="1440"/>
          <w:tab w:val="left" w:pos="2160"/>
          <w:tab w:val="left" w:pos="2880"/>
          <w:tab w:val="left" w:pos="3600"/>
          <w:tab w:val="right" w:leader="dot" w:pos="9360"/>
        </w:tabs>
        <w:spacing w:line="360" w:lineRule="auto"/>
        <w:ind w:left="3600"/>
      </w:pPr>
      <w:r w:rsidRPr="007629EF">
        <w:t>Joint Suppliers’ Position</w:t>
      </w:r>
      <w:r w:rsidRPr="007629EF">
        <w:tab/>
      </w:r>
      <w:r w:rsidR="005F3D91">
        <w:t>101</w:t>
      </w:r>
    </w:p>
    <w:p w:rsidR="007629EF" w:rsidRPr="007629EF" w:rsidRDefault="007629EF" w:rsidP="007629EF">
      <w:pPr>
        <w:tabs>
          <w:tab w:val="left" w:pos="720"/>
          <w:tab w:val="left" w:pos="1440"/>
          <w:tab w:val="left" w:pos="2160"/>
          <w:tab w:val="left" w:pos="2880"/>
          <w:tab w:val="left" w:pos="3600"/>
          <w:tab w:val="right" w:leader="dot" w:pos="9360"/>
        </w:tabs>
        <w:spacing w:after="120"/>
        <w:ind w:left="2880" w:hanging="2880"/>
      </w:pPr>
      <w:r w:rsidRPr="007629EF">
        <w:tab/>
      </w:r>
      <w:r w:rsidRPr="007629EF">
        <w:tab/>
      </w:r>
      <w:r w:rsidRPr="007629EF">
        <w:tab/>
        <w:t>j.</w:t>
      </w:r>
      <w:r w:rsidRPr="007629EF">
        <w:tab/>
        <w:t>Opt-In Electric Generation Supplier Service Program Request for Proposals and Agreement Between Duquesne Light and Electric Generation Suppliers</w:t>
      </w:r>
      <w:r w:rsidRPr="007629EF">
        <w:tab/>
      </w:r>
      <w:r w:rsidR="005F3D91">
        <w:t>102</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5F3D91">
        <w:t>102</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5F3D91">
        <w:t>103</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5F3D91">
        <w:t>103</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5F3D91">
        <w:t>104</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5F3D91">
        <w:t>104</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5F3D91">
        <w:t>104</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5F3D91">
        <w:t>104</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5F3D91">
        <w:t>105</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B97143">
        <w:t>105</w:t>
      </w:r>
    </w:p>
    <w:p w:rsidR="007629EF" w:rsidRPr="007629EF" w:rsidRDefault="007629EF" w:rsidP="007629EF">
      <w:pPr>
        <w:numPr>
          <w:ilvl w:val="0"/>
          <w:numId w:val="29"/>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332AC7">
        <w:t>105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2.</w:t>
      </w:r>
      <w:r w:rsidRPr="007629EF">
        <w:tab/>
        <w:t>Standard Offer Program</w:t>
      </w:r>
      <w:r w:rsidRPr="007629EF">
        <w:tab/>
      </w:r>
      <w:r w:rsidR="00332AC7">
        <w:t>106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Term of Offer</w:t>
      </w:r>
      <w:r w:rsidRPr="007629EF">
        <w:tab/>
      </w:r>
      <w:r w:rsidR="00332AC7">
        <w:t>106</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332AC7">
        <w:t>106</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332AC7">
        <w:t>107</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332AC7">
        <w:t>108</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332AC7">
        <w:t>109</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332AC7">
        <w:t>109</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332AC7">
        <w:t>109</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332AC7">
        <w:t>109</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332AC7">
        <w:t>109</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332AC7">
        <w:t>110</w:t>
      </w:r>
    </w:p>
    <w:p w:rsidR="007629EF" w:rsidRPr="007629EF" w:rsidRDefault="007629EF" w:rsidP="007629EF">
      <w:pPr>
        <w:numPr>
          <w:ilvl w:val="0"/>
          <w:numId w:val="30"/>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332AC7">
        <w:t>110</w:t>
      </w:r>
    </w:p>
    <w:p w:rsidR="00CE0BAD"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r>
    </w:p>
    <w:p w:rsidR="007629EF" w:rsidRPr="007629EF" w:rsidRDefault="00CE0BAD" w:rsidP="007629EF">
      <w:pPr>
        <w:tabs>
          <w:tab w:val="left" w:pos="720"/>
          <w:tab w:val="left" w:pos="1440"/>
          <w:tab w:val="left" w:pos="2160"/>
          <w:tab w:val="left" w:pos="2880"/>
          <w:tab w:val="left" w:pos="3600"/>
          <w:tab w:val="right" w:leader="dot" w:pos="9360"/>
        </w:tabs>
        <w:spacing w:line="360" w:lineRule="auto"/>
      </w:pPr>
      <w:r>
        <w:lastRenderedPageBreak/>
        <w:tab/>
      </w:r>
      <w:r>
        <w:tab/>
      </w:r>
      <w:r>
        <w:tab/>
      </w:r>
      <w:r w:rsidR="007629EF" w:rsidRPr="007629EF">
        <w:t>b.</w:t>
      </w:r>
      <w:r w:rsidR="007629EF" w:rsidRPr="007629EF">
        <w:tab/>
        <w:t>Discount Percentage</w:t>
      </w:r>
      <w:r w:rsidR="007629EF" w:rsidRPr="007629EF">
        <w:tab/>
      </w:r>
      <w:r w:rsidR="00303DB0">
        <w:t>112</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303DB0">
        <w:t>112</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303DB0">
        <w:t>112</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303DB0">
        <w:t>113</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303DB0">
        <w:t>113</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303DB0">
        <w:t>113</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303DB0">
        <w:t>114</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303DB0">
        <w:t>114</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303DB0">
        <w:t>114</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303DB0">
        <w:t>114</w:t>
      </w:r>
    </w:p>
    <w:p w:rsidR="007629EF" w:rsidRPr="007629EF" w:rsidRDefault="007629EF" w:rsidP="007629EF">
      <w:pPr>
        <w:numPr>
          <w:ilvl w:val="0"/>
          <w:numId w:val="31"/>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303DB0">
        <w:t>114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Guaranteed Savings</w:t>
      </w:r>
      <w:r w:rsidRPr="007629EF">
        <w:tab/>
      </w:r>
      <w:r w:rsidR="00303DB0">
        <w:t>115</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303DB0">
        <w:t>115</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303DB0">
        <w:t>117</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303DB0">
        <w:t>117</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303DB0">
        <w:t>117</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303DB0">
        <w:t>117</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303DB0">
        <w:t>118</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303DB0">
        <w:t>118</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303DB0">
        <w:t>119</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303DB0">
        <w:t>119</w:t>
      </w:r>
    </w:p>
    <w:p w:rsidR="007629EF" w:rsidRPr="007629EF" w:rsidRDefault="007629EF" w:rsidP="007629EF">
      <w:pPr>
        <w:numPr>
          <w:ilvl w:val="0"/>
          <w:numId w:val="32"/>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303DB0">
        <w:t>119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Program Start Date</w:t>
      </w:r>
      <w:r w:rsidRPr="007629EF">
        <w:tab/>
      </w:r>
      <w:r w:rsidR="00303DB0">
        <w:t>120</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303DB0">
        <w:t>120</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303DB0">
        <w:t>123</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303DB0">
        <w:t>124</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303DB0">
        <w:t>126</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7D012E">
        <w:t>126</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7D012E">
        <w:t>127</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7D012E">
        <w:t>127</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7D012E">
        <w:t>127</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lastRenderedPageBreak/>
        <w:t>FirstEnergy Solutions’ Position</w:t>
      </w:r>
      <w:r w:rsidRPr="007629EF">
        <w:tab/>
      </w:r>
      <w:r w:rsidR="007073DE">
        <w:t>128</w:t>
      </w:r>
    </w:p>
    <w:p w:rsidR="007629EF" w:rsidRPr="007629EF" w:rsidRDefault="007629EF" w:rsidP="007629EF">
      <w:pPr>
        <w:numPr>
          <w:ilvl w:val="0"/>
          <w:numId w:val="33"/>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7073DE">
        <w:t>128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Program Suspension</w:t>
      </w:r>
      <w:r w:rsidRPr="007629EF">
        <w:tab/>
      </w:r>
      <w:r w:rsidR="007073DE">
        <w:t>129</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7073DE">
        <w:t>129</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7073DE">
        <w:t>129</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7073DE">
        <w:t>130</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7073DE">
        <w:t>131</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7073DE">
        <w:t>131</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7073DE">
        <w:t>131</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7073DE">
        <w:t>132</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7073DE">
        <w:t>132</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7073DE">
        <w:t>132</w:t>
      </w:r>
    </w:p>
    <w:p w:rsidR="007629EF" w:rsidRPr="007629EF" w:rsidRDefault="007629EF" w:rsidP="007629EF">
      <w:pPr>
        <w:numPr>
          <w:ilvl w:val="0"/>
          <w:numId w:val="34"/>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7073DE">
        <w:t>132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High Bill Callers</w:t>
      </w:r>
      <w:r w:rsidRPr="007629EF">
        <w:tab/>
      </w:r>
      <w:r w:rsidR="006B08DA">
        <w:t>133</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6B08DA">
        <w:t>133</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6B08DA">
        <w:t>133</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6B08DA">
        <w:t>134</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6B08DA">
        <w:t>135</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6B08DA">
        <w:t>135</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6D5797">
        <w:t>135</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6D5797">
        <w:t>135</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6D5797">
        <w:t>136</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6D5797">
        <w:t>136</w:t>
      </w:r>
    </w:p>
    <w:p w:rsidR="007629EF" w:rsidRPr="007629EF" w:rsidRDefault="007629EF" w:rsidP="007629EF">
      <w:pPr>
        <w:numPr>
          <w:ilvl w:val="0"/>
          <w:numId w:val="35"/>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6D5797">
        <w:t>136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Choice Referral Team</w:t>
      </w:r>
      <w:r w:rsidRPr="007629EF">
        <w:tab/>
      </w:r>
      <w:r w:rsidR="00031878">
        <w:t>137</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031878">
        <w:t>137</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031878">
        <w:t>137</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031878">
        <w:t>138</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031878">
        <w:t>138</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031878">
        <w:t>138</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031878">
        <w:t>138</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lastRenderedPageBreak/>
        <w:t>Duquesne Industrial Intervenors’ Position</w:t>
      </w:r>
      <w:r w:rsidRPr="007629EF">
        <w:tab/>
      </w:r>
      <w:r w:rsidR="00A74DF0">
        <w:t>138</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A74DF0">
        <w:t>139</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A74DF0">
        <w:t>139</w:t>
      </w:r>
    </w:p>
    <w:p w:rsidR="007629EF" w:rsidRPr="007629EF" w:rsidRDefault="007629EF" w:rsidP="007629EF">
      <w:pPr>
        <w:numPr>
          <w:ilvl w:val="0"/>
          <w:numId w:val="36"/>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A74DF0">
        <w:t>139</w:t>
      </w:r>
    </w:p>
    <w:p w:rsidR="007629EF" w:rsidRPr="007629EF" w:rsidRDefault="007629EF" w:rsidP="007629EF">
      <w:pPr>
        <w:tabs>
          <w:tab w:val="left" w:pos="720"/>
          <w:tab w:val="left" w:pos="1440"/>
          <w:tab w:val="left" w:pos="2160"/>
          <w:tab w:val="left" w:pos="2880"/>
          <w:tab w:val="left" w:pos="3600"/>
          <w:tab w:val="right" w:leader="dot" w:pos="9360"/>
        </w:tabs>
        <w:spacing w:after="120"/>
        <w:ind w:left="2880" w:hanging="2880"/>
      </w:pPr>
      <w:r w:rsidRPr="007629EF">
        <w:tab/>
      </w:r>
      <w:r w:rsidRPr="007629EF">
        <w:tab/>
      </w:r>
      <w:r w:rsidRPr="007629EF">
        <w:tab/>
        <w:t>h.</w:t>
      </w:r>
      <w:r w:rsidRPr="007629EF">
        <w:tab/>
        <w:t>Standard Offer Customer Referral Program Rules and Supplier Agreement Between Duquesne Light and Electric Generation Suppliers</w:t>
      </w:r>
      <w:r w:rsidRPr="007629EF">
        <w:tab/>
      </w:r>
      <w:r w:rsidR="00A74DF0">
        <w:t>139</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DLC’s Proposal</w:t>
      </w:r>
      <w:r w:rsidRPr="007629EF">
        <w:tab/>
      </w:r>
      <w:r w:rsidR="00A74DF0">
        <w:t>139</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OCA’s Position</w:t>
      </w:r>
      <w:r w:rsidRPr="007629EF">
        <w:tab/>
      </w:r>
      <w:r w:rsidR="00A74DF0">
        <w:t>140</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RESA’s Position</w:t>
      </w:r>
      <w:r w:rsidRPr="007629EF">
        <w:tab/>
      </w:r>
      <w:r w:rsidR="00A74DF0">
        <w:t>140</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OSBA’s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CAUSE’s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Citizen Power’s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Duquesne Industrial Intervenors’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EGS Parties’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FirstEnergy Solutions’ Position</w:t>
      </w:r>
      <w:r w:rsidRPr="007629EF">
        <w:tab/>
      </w:r>
      <w:r w:rsidR="00A74DF0">
        <w:t>141</w:t>
      </w:r>
    </w:p>
    <w:p w:rsidR="007629EF" w:rsidRPr="007629EF" w:rsidRDefault="007629EF" w:rsidP="007629EF">
      <w:pPr>
        <w:numPr>
          <w:ilvl w:val="0"/>
          <w:numId w:val="37"/>
        </w:numPr>
        <w:tabs>
          <w:tab w:val="left" w:pos="720"/>
          <w:tab w:val="left" w:pos="1440"/>
          <w:tab w:val="left" w:pos="2160"/>
          <w:tab w:val="left" w:pos="2880"/>
          <w:tab w:val="left" w:pos="3600"/>
          <w:tab w:val="right" w:leader="dot" w:pos="9360"/>
        </w:tabs>
        <w:spacing w:line="360" w:lineRule="auto"/>
      </w:pPr>
      <w:r w:rsidRPr="007629EF">
        <w:t>Joint Suppliers’ Position</w:t>
      </w:r>
      <w:r w:rsidRPr="007629EF">
        <w:tab/>
      </w:r>
      <w:r w:rsidR="00A74DF0">
        <w:t>141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3.</w:t>
      </w:r>
      <w:r w:rsidRPr="007629EF">
        <w:tab/>
        <w:t>Market Enhancement Program Cost Recovery</w:t>
      </w:r>
      <w:r w:rsidRPr="007629EF">
        <w:tab/>
      </w:r>
      <w:r w:rsidR="00A74DF0">
        <w:t>142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A74DF0">
        <w:t>142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A74DF0">
        <w:t>144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A74DF0">
        <w:t>145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A74DF0">
        <w:t>147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A74DF0">
        <w:t>148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A74DF0">
        <w:t>148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A74DF0">
        <w:t>148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A74DF0">
        <w:t>149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A74DF0">
        <w:t>150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A74DF0">
        <w:t>152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4.</w:t>
      </w:r>
      <w:r w:rsidRPr="007629EF">
        <w:tab/>
        <w:t>CAP Customer Participation in Market Enhancement Programs</w:t>
      </w:r>
      <w:r w:rsidRPr="007629EF">
        <w:tab/>
      </w:r>
      <w:r w:rsidR="00A74DF0">
        <w:t>153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A74DF0">
        <w:t>153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A74DF0">
        <w:t>154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A74DF0">
        <w:t>155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Pr="007629EF">
        <w:tab/>
        <w:t>d.</w:t>
      </w:r>
      <w:r w:rsidRPr="007629EF">
        <w:tab/>
        <w:t>OSBA’s Position</w:t>
      </w:r>
      <w:r w:rsidRPr="007629EF">
        <w:tab/>
      </w:r>
      <w:r w:rsidR="001D3F3F">
        <w:t>155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1D3F3F">
        <w:t>155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1D3F3F">
        <w:t>158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1D3F3F">
        <w:t>159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1D3F3F">
        <w:t>159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1D3F3F">
        <w:t>159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1D3F3F">
        <w:t>159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5.</w:t>
      </w:r>
      <w:r w:rsidRPr="007629EF">
        <w:tab/>
        <w:t>Shopping Customer Participation in Market Enhancement Programs</w:t>
      </w:r>
      <w:r w:rsidRPr="007629EF">
        <w:tab/>
      </w:r>
      <w:r w:rsidR="001D3F3F">
        <w:t>160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1D3F3F">
        <w:t>160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1D3F3F">
        <w:t>160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1D3F3F">
        <w:t>161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1D3F3F">
        <w:t>162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1D3F3F">
        <w:t>162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1D3F3F">
        <w:t>163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7E6AF7">
        <w:t>163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7E6AF7">
        <w:t>163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7E6AF7">
        <w:t>163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7E6AF7">
        <w:t>163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6.</w:t>
      </w:r>
      <w:r w:rsidRPr="007629EF">
        <w:tab/>
        <w:t>Small C&amp;I Customer Participation in Market Enhancement Programs</w:t>
      </w:r>
      <w:r w:rsidRPr="007629EF">
        <w:tab/>
      </w:r>
      <w:r w:rsidR="007E6AF7">
        <w:t>165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7E6AF7">
        <w:t>165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7E6AF7">
        <w:t>165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7E6AF7">
        <w:t>166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7E6AF7">
        <w:t>166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7E6AF7">
        <w:t>167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7.</w:t>
      </w:r>
      <w:r w:rsidRPr="007629EF">
        <w:tab/>
        <w:t>Customer Status at the End of the Market Enhancement Product</w:t>
      </w:r>
      <w:r w:rsidRPr="007629EF">
        <w:tab/>
      </w:r>
      <w:r w:rsidR="007E6AF7">
        <w:t>168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7E6AF7">
        <w:t>168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Pr="007629EF">
        <w:tab/>
        <w:t>b.</w:t>
      </w:r>
      <w:r w:rsidRPr="007629EF">
        <w:tab/>
        <w:t>OCA’s Position</w:t>
      </w:r>
      <w:r w:rsidRPr="007629EF">
        <w:tab/>
      </w:r>
      <w:r w:rsidR="00210873">
        <w:t>168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210873">
        <w:t>170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210873">
        <w:t>170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210873">
        <w:t>171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210873">
        <w:t>171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210873">
        <w:t>171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210873">
        <w:t>171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210873">
        <w:t>172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210873">
        <w:t>172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t>8.</w:t>
      </w:r>
      <w:r w:rsidRPr="007629EF">
        <w:tab/>
        <w:t>Miscellaneous Market Enhancement Program Issues</w:t>
      </w:r>
      <w:r w:rsidRPr="007629EF">
        <w:tab/>
      </w:r>
      <w:r w:rsidR="00210873">
        <w:t>172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210873">
        <w:t>172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210873">
        <w:t>172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210873">
        <w:t>173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210873">
        <w:t>175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210873">
        <w:t>177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210873">
        <w:t>177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210873">
        <w:t>178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210873">
        <w:t>179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210873">
        <w:t>179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210873">
        <w:t>179</w:t>
      </w:r>
    </w:p>
    <w:p w:rsidR="007629EF" w:rsidRPr="007629EF" w:rsidRDefault="007629EF" w:rsidP="007629EF">
      <w:pPr>
        <w:tabs>
          <w:tab w:val="left" w:pos="720"/>
          <w:tab w:val="left" w:pos="1440"/>
          <w:tab w:val="right" w:leader="dot" w:pos="9360"/>
        </w:tabs>
        <w:spacing w:line="360" w:lineRule="auto"/>
      </w:pPr>
      <w:r w:rsidRPr="007629EF">
        <w:tab/>
        <w:t>D.</w:t>
      </w:r>
      <w:r w:rsidRPr="007629EF">
        <w:tab/>
        <w:t>Rate Design</w:t>
      </w:r>
      <w:r w:rsidRPr="007629EF">
        <w:tab/>
      </w:r>
      <w:r w:rsidR="00210873">
        <w:t>180</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Reconciliation Issues</w:t>
      </w:r>
      <w:r w:rsidRPr="007629EF">
        <w:tab/>
      </w:r>
      <w:r w:rsidR="00210873">
        <w:t>180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210873">
        <w:t>180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210873">
        <w:t>181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210873">
        <w:t>181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210873">
        <w:t>182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210873">
        <w:t>182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210873">
        <w:t>182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210873">
        <w:t>183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210873">
        <w:t>183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210873">
        <w:t>183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Pr="007629EF">
        <w:tab/>
        <w:t>j.</w:t>
      </w:r>
      <w:r w:rsidRPr="007629EF">
        <w:tab/>
        <w:t>Joint Suppliers’ Position</w:t>
      </w:r>
      <w:r w:rsidRPr="007629EF">
        <w:tab/>
      </w:r>
      <w:r w:rsidR="00116E62">
        <w:t>183</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2.</w:t>
      </w:r>
      <w:r w:rsidRPr="007629EF">
        <w:tab/>
        <w:t>Price to Compare Calculation Date</w:t>
      </w:r>
      <w:r w:rsidRPr="007629EF">
        <w:tab/>
      </w:r>
      <w:r w:rsidR="00116E62">
        <w:t>184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116E62">
        <w:t>184</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116E62">
        <w:t>185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116E62">
        <w:t>185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116E62">
        <w:t>186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116E62">
        <w:t>186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116E62">
        <w:t>186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116E62">
        <w:t>186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116E62">
        <w:t>187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116E62">
        <w:t>187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116E62">
        <w:t>187</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3.</w:t>
      </w:r>
      <w:r w:rsidRPr="007629EF">
        <w:tab/>
        <w:t>Non-Bypassable Charge to Recover PJM Charges</w:t>
      </w:r>
      <w:r w:rsidRPr="007629EF">
        <w:tab/>
      </w:r>
      <w:r w:rsidR="00116E62">
        <w:t>187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a.</w:t>
      </w:r>
      <w:r w:rsidRPr="007629EF">
        <w:tab/>
        <w:t>DLC’s Proposal</w:t>
      </w:r>
      <w:r w:rsidRPr="007629EF">
        <w:tab/>
      </w:r>
      <w:r w:rsidR="00116E62">
        <w:t>187</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b.</w:t>
      </w:r>
      <w:r w:rsidRPr="007629EF">
        <w:tab/>
        <w:t>OCA’s Position</w:t>
      </w:r>
      <w:r w:rsidRPr="007629EF">
        <w:tab/>
      </w:r>
      <w:r w:rsidR="00116E62">
        <w:t>189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c.</w:t>
      </w:r>
      <w:r w:rsidRPr="007629EF">
        <w:tab/>
        <w:t>RESA’s Position</w:t>
      </w:r>
      <w:r w:rsidRPr="007629EF">
        <w:tab/>
      </w:r>
      <w:r w:rsidR="00AF3CA5">
        <w:t>189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d.</w:t>
      </w:r>
      <w:r w:rsidRPr="007629EF">
        <w:tab/>
        <w:t>OSBA’s Position</w:t>
      </w:r>
      <w:r w:rsidRPr="007629EF">
        <w:tab/>
      </w:r>
      <w:r w:rsidR="00AF3CA5">
        <w:t>191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e.</w:t>
      </w:r>
      <w:r w:rsidRPr="007629EF">
        <w:tab/>
        <w:t>CAUSE’s Position</w:t>
      </w:r>
      <w:r w:rsidRPr="007629EF">
        <w:tab/>
      </w:r>
      <w:r w:rsidR="00AF3CA5">
        <w:t>191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f.</w:t>
      </w:r>
      <w:r w:rsidRPr="007629EF">
        <w:tab/>
        <w:t>Citizen Power’s Position</w:t>
      </w:r>
      <w:r w:rsidRPr="007629EF">
        <w:tab/>
      </w:r>
      <w:r w:rsidR="00AF3CA5">
        <w:t>191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g.</w:t>
      </w:r>
      <w:r w:rsidRPr="007629EF">
        <w:tab/>
        <w:t>Duquesne Industrial Intervenors’ Position</w:t>
      </w:r>
      <w:r w:rsidRPr="007629EF">
        <w:tab/>
      </w:r>
      <w:r w:rsidR="00AF3CA5">
        <w:t>192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h.</w:t>
      </w:r>
      <w:r w:rsidRPr="007629EF">
        <w:tab/>
        <w:t>EGS Parties’ Position</w:t>
      </w:r>
      <w:r w:rsidRPr="007629EF">
        <w:tab/>
      </w:r>
      <w:r w:rsidR="00AF3CA5">
        <w:t>195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i.</w:t>
      </w:r>
      <w:r w:rsidRPr="007629EF">
        <w:tab/>
        <w:t>FirstEnergy Solutions’ Position</w:t>
      </w:r>
      <w:r w:rsidRPr="007629EF">
        <w:tab/>
      </w:r>
      <w:r w:rsidR="00AF3CA5">
        <w:t>195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Pr="007629EF">
        <w:tab/>
        <w:t>j.</w:t>
      </w:r>
      <w:r w:rsidRPr="007629EF">
        <w:tab/>
        <w:t>Joint Suppliers’ Position</w:t>
      </w:r>
      <w:r w:rsidRPr="007629EF">
        <w:tab/>
      </w:r>
      <w:r w:rsidR="00AF3CA5">
        <w:t>195</w:t>
      </w:r>
    </w:p>
    <w:p w:rsidR="007629EF" w:rsidRPr="007629EF" w:rsidRDefault="007629EF" w:rsidP="007629EF">
      <w:pPr>
        <w:tabs>
          <w:tab w:val="left" w:pos="720"/>
          <w:tab w:val="left" w:pos="1440"/>
          <w:tab w:val="left" w:pos="2160"/>
          <w:tab w:val="right" w:leader="dot" w:pos="9360"/>
        </w:tabs>
        <w:spacing w:line="360" w:lineRule="auto"/>
      </w:pPr>
      <w:r w:rsidRPr="007629EF">
        <w:tab/>
        <w:t>E.</w:t>
      </w:r>
      <w:r w:rsidRPr="007629EF">
        <w:tab/>
        <w:t>Time-of-Use Program</w:t>
      </w:r>
      <w:r w:rsidRPr="007629EF">
        <w:tab/>
      </w:r>
      <w:r w:rsidR="00AF3CA5">
        <w:t>196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w:t>
      </w:r>
      <w:r w:rsidRPr="007629EF">
        <w:t>.</w:t>
      </w:r>
      <w:r w:rsidRPr="007629EF">
        <w:tab/>
        <w:t>DLC’s Proposal</w:t>
      </w:r>
      <w:r w:rsidRPr="007629EF">
        <w:tab/>
      </w:r>
      <w:r w:rsidR="00AF3CA5">
        <w:t>196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2</w:t>
      </w:r>
      <w:r w:rsidRPr="007629EF">
        <w:t>.</w:t>
      </w:r>
      <w:r w:rsidRPr="007629EF">
        <w:tab/>
        <w:t>OCA’s Position</w:t>
      </w:r>
      <w:r w:rsidRPr="007629EF">
        <w:tab/>
      </w:r>
      <w:r w:rsidR="00AF3CA5">
        <w:t>198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3</w:t>
      </w:r>
      <w:r w:rsidRPr="007629EF">
        <w:t>.</w:t>
      </w:r>
      <w:r w:rsidRPr="007629EF">
        <w:tab/>
        <w:t>RESA’s Position</w:t>
      </w:r>
      <w:r w:rsidRPr="007629EF">
        <w:tab/>
      </w:r>
      <w:r w:rsidR="00AF3CA5">
        <w:t>198</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4</w:t>
      </w:r>
      <w:r w:rsidRPr="007629EF">
        <w:t>.</w:t>
      </w:r>
      <w:r w:rsidRPr="007629EF">
        <w:tab/>
        <w:t>OSBA’s Position</w:t>
      </w:r>
      <w:r w:rsidRPr="007629EF">
        <w:tab/>
      </w:r>
      <w:r w:rsidR="00AF3CA5">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5</w:t>
      </w:r>
      <w:r w:rsidRPr="007629EF">
        <w:t>.</w:t>
      </w:r>
      <w:r w:rsidRPr="007629EF">
        <w:tab/>
        <w:t>CAUSE’s Position</w:t>
      </w:r>
      <w:r w:rsidRPr="007629EF">
        <w:tab/>
      </w:r>
      <w:r w:rsidR="00AF3CA5">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6</w:t>
      </w:r>
      <w:r w:rsidRPr="007629EF">
        <w:t>.</w:t>
      </w:r>
      <w:r w:rsidRPr="007629EF">
        <w:tab/>
        <w:t>Citizen Power’s Position</w:t>
      </w:r>
      <w:r w:rsidRPr="007629EF">
        <w:tab/>
      </w:r>
      <w:r w:rsidR="00AF3CA5">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7</w:t>
      </w:r>
      <w:r w:rsidRPr="007629EF">
        <w:t>.</w:t>
      </w:r>
      <w:r w:rsidRPr="007629EF">
        <w:tab/>
        <w:t>Duquesne Industrial Intervenors’ Position</w:t>
      </w:r>
      <w:r w:rsidRPr="007629EF">
        <w:tab/>
      </w:r>
      <w:r w:rsidR="00AF3CA5">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lastRenderedPageBreak/>
        <w:tab/>
      </w:r>
      <w:r w:rsidRPr="007629EF">
        <w:tab/>
      </w:r>
      <w:r w:rsidR="00C4517C">
        <w:t>8</w:t>
      </w:r>
      <w:r w:rsidRPr="007629EF">
        <w:t>.</w:t>
      </w:r>
      <w:r w:rsidRPr="007629EF">
        <w:tab/>
        <w:t>EGS Parties’ Position</w:t>
      </w:r>
      <w:r w:rsidRPr="007629EF">
        <w:tab/>
      </w:r>
      <w:r w:rsidR="00E22F49">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9</w:t>
      </w:r>
      <w:r w:rsidRPr="007629EF">
        <w:t>.</w:t>
      </w:r>
      <w:r w:rsidRPr="007629EF">
        <w:tab/>
        <w:t>FirstEnergy Solutions’ Position</w:t>
      </w:r>
      <w:r w:rsidRPr="007629EF">
        <w:tab/>
      </w:r>
      <w:r w:rsidR="00E22F49">
        <w:t>200</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10</w:t>
      </w:r>
      <w:r w:rsidRPr="007629EF">
        <w:t>.</w:t>
      </w:r>
      <w:r w:rsidRPr="007629EF">
        <w:tab/>
        <w:t>Joint Suppliers’ Position</w:t>
      </w:r>
      <w:r w:rsidRPr="007629EF">
        <w:tab/>
      </w:r>
      <w:r w:rsidR="00E22F49">
        <w:t>202</w:t>
      </w:r>
    </w:p>
    <w:p w:rsidR="007629EF" w:rsidRPr="007629EF" w:rsidRDefault="007629EF" w:rsidP="007629EF">
      <w:pPr>
        <w:tabs>
          <w:tab w:val="left" w:pos="720"/>
          <w:tab w:val="left" w:pos="1440"/>
          <w:tab w:val="left" w:pos="2160"/>
          <w:tab w:val="right" w:leader="dot" w:pos="9360"/>
        </w:tabs>
        <w:spacing w:line="360" w:lineRule="auto"/>
      </w:pPr>
      <w:r w:rsidRPr="007629EF">
        <w:tab/>
        <w:t>F.</w:t>
      </w:r>
      <w:r w:rsidRPr="007629EF">
        <w:tab/>
        <w:t>Supply Master Agreement Issues</w:t>
      </w:r>
      <w:r w:rsidRPr="007629EF">
        <w:tab/>
      </w:r>
      <w:r w:rsidR="00E22F49">
        <w:t>203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w:t>
      </w:r>
      <w:r w:rsidRPr="007629EF">
        <w:t>.</w:t>
      </w:r>
      <w:r w:rsidRPr="007629EF">
        <w:tab/>
        <w:t>DLC’s Proposal</w:t>
      </w:r>
      <w:r w:rsidRPr="007629EF">
        <w:tab/>
      </w:r>
      <w:r w:rsidR="00E22F49">
        <w:t>203</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2</w:t>
      </w:r>
      <w:r w:rsidRPr="007629EF">
        <w:t>.</w:t>
      </w:r>
      <w:r w:rsidRPr="007629EF">
        <w:tab/>
        <w:t>OCA’s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3</w:t>
      </w:r>
      <w:r w:rsidRPr="007629EF">
        <w:t>.</w:t>
      </w:r>
      <w:r w:rsidRPr="007629EF">
        <w:tab/>
        <w:t>RESA’s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4</w:t>
      </w:r>
      <w:r w:rsidRPr="007629EF">
        <w:t>.</w:t>
      </w:r>
      <w:r w:rsidRPr="007629EF">
        <w:tab/>
        <w:t>OSBA’s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5</w:t>
      </w:r>
      <w:r w:rsidRPr="007629EF">
        <w:t>.</w:t>
      </w:r>
      <w:r w:rsidRPr="007629EF">
        <w:tab/>
        <w:t>CAUSE’s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6</w:t>
      </w:r>
      <w:r w:rsidRPr="007629EF">
        <w:t>.</w:t>
      </w:r>
      <w:r w:rsidRPr="007629EF">
        <w:tab/>
        <w:t>Citizen Power’s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7</w:t>
      </w:r>
      <w:r w:rsidRPr="007629EF">
        <w:t>.</w:t>
      </w:r>
      <w:r w:rsidRPr="007629EF">
        <w:tab/>
        <w:t>Duquesne Industrial Intervenors’ Position</w:t>
      </w:r>
      <w:r w:rsidRPr="007629EF">
        <w:tab/>
      </w:r>
      <w:r w:rsidR="00E22F49">
        <w:t>205</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8</w:t>
      </w:r>
      <w:r w:rsidRPr="007629EF">
        <w:t>.</w:t>
      </w:r>
      <w:r w:rsidRPr="007629EF">
        <w:tab/>
        <w:t>EGS Parties’ Position</w:t>
      </w:r>
      <w:r w:rsidRPr="007629EF">
        <w:tab/>
      </w:r>
      <w:r w:rsidR="00E22F49">
        <w:t>206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9</w:t>
      </w:r>
      <w:r w:rsidRPr="007629EF">
        <w:t>.</w:t>
      </w:r>
      <w:r w:rsidRPr="007629EF">
        <w:tab/>
        <w:t>FirstEnergy Solutions’ Position</w:t>
      </w:r>
      <w:r w:rsidRPr="007629EF">
        <w:tab/>
      </w:r>
      <w:r w:rsidR="00E22F49">
        <w:t>206</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10</w:t>
      </w:r>
      <w:r w:rsidRPr="007629EF">
        <w:t>.</w:t>
      </w:r>
      <w:r w:rsidRPr="007629EF">
        <w:tab/>
        <w:t>Joint Suppliers’ Position</w:t>
      </w:r>
      <w:r w:rsidRPr="007629EF">
        <w:tab/>
      </w:r>
      <w:r w:rsidR="00E22F49">
        <w:t>206</w:t>
      </w:r>
    </w:p>
    <w:p w:rsidR="007629EF" w:rsidRPr="007629EF" w:rsidRDefault="007629EF" w:rsidP="007629EF">
      <w:pPr>
        <w:tabs>
          <w:tab w:val="left" w:pos="720"/>
          <w:tab w:val="left" w:pos="1440"/>
          <w:tab w:val="left" w:pos="2160"/>
          <w:tab w:val="right" w:leader="dot" w:pos="9360"/>
        </w:tabs>
        <w:spacing w:line="360" w:lineRule="auto"/>
      </w:pPr>
      <w:r w:rsidRPr="007629EF">
        <w:tab/>
        <w:t>G.</w:t>
      </w:r>
      <w:r w:rsidRPr="007629EF">
        <w:tab/>
        <w:t>Data/Electric Generation Supply Coordination Issues</w:t>
      </w:r>
      <w:r w:rsidRPr="007629EF">
        <w:tab/>
      </w:r>
      <w:r w:rsidR="00E22F49">
        <w:t>209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w:t>
      </w:r>
      <w:r w:rsidRPr="007629EF">
        <w:t>.</w:t>
      </w:r>
      <w:r w:rsidRPr="007629EF">
        <w:tab/>
        <w:t>DLC’s Proposal</w:t>
      </w:r>
      <w:r w:rsidRPr="007629EF">
        <w:tab/>
      </w:r>
      <w:r w:rsidR="00E22F49">
        <w:t>209</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2</w:t>
      </w:r>
      <w:r w:rsidRPr="007629EF">
        <w:t>.</w:t>
      </w:r>
      <w:r w:rsidRPr="007629EF">
        <w:tab/>
        <w:t>OCA’s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3</w:t>
      </w:r>
      <w:r w:rsidRPr="007629EF">
        <w:t>.</w:t>
      </w:r>
      <w:r w:rsidRPr="007629EF">
        <w:tab/>
        <w:t>RESA’s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4</w:t>
      </w:r>
      <w:r w:rsidRPr="007629EF">
        <w:t>.</w:t>
      </w:r>
      <w:r w:rsidRPr="007629EF">
        <w:tab/>
        <w:t>OSBA’s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5</w:t>
      </w:r>
      <w:r w:rsidRPr="007629EF">
        <w:t>.</w:t>
      </w:r>
      <w:r w:rsidRPr="007629EF">
        <w:tab/>
        <w:t>CAUSE’s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6</w:t>
      </w:r>
      <w:r w:rsidRPr="007629EF">
        <w:t>.</w:t>
      </w:r>
      <w:r w:rsidRPr="007629EF">
        <w:tab/>
        <w:t>Citizen Power’s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7</w:t>
      </w:r>
      <w:r w:rsidRPr="007629EF">
        <w:t>.</w:t>
      </w:r>
      <w:r w:rsidRPr="007629EF">
        <w:tab/>
        <w:t>Duquesne Industrial Intervenors’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8</w:t>
      </w:r>
      <w:r w:rsidRPr="007629EF">
        <w:t>.</w:t>
      </w:r>
      <w:r w:rsidRPr="007629EF">
        <w:tab/>
        <w:t>EGS Parties’ Position</w:t>
      </w:r>
      <w:r w:rsidRPr="007629EF">
        <w:tab/>
      </w:r>
      <w:r w:rsidR="00E22F49">
        <w:t>211</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9</w:t>
      </w:r>
      <w:r w:rsidRPr="007629EF">
        <w:t>.</w:t>
      </w:r>
      <w:r w:rsidRPr="007629EF">
        <w:tab/>
        <w:t>FirstEnergy Solutions’ Position</w:t>
      </w:r>
      <w:r w:rsidRPr="007629EF">
        <w:tab/>
      </w:r>
      <w:r w:rsidR="00A80B7B">
        <w:t>212</w:t>
      </w:r>
    </w:p>
    <w:p w:rsidR="007629EF" w:rsidRPr="007629EF" w:rsidRDefault="007629EF" w:rsidP="007629EF">
      <w:pPr>
        <w:tabs>
          <w:tab w:val="left" w:pos="720"/>
          <w:tab w:val="left" w:pos="1440"/>
          <w:tab w:val="left" w:pos="2160"/>
          <w:tab w:val="left" w:pos="2880"/>
          <w:tab w:val="left" w:pos="3600"/>
          <w:tab w:val="right" w:leader="dot" w:pos="9360"/>
        </w:tabs>
        <w:spacing w:line="360" w:lineRule="auto"/>
      </w:pPr>
      <w:r w:rsidRPr="007629EF">
        <w:tab/>
      </w:r>
      <w:r w:rsidRPr="007629EF">
        <w:tab/>
      </w:r>
      <w:r w:rsidR="00C4517C">
        <w:t>10</w:t>
      </w:r>
      <w:r w:rsidRPr="007629EF">
        <w:t>.</w:t>
      </w:r>
      <w:r w:rsidRPr="007629EF">
        <w:tab/>
        <w:t>Joint Suppliers’ Position</w:t>
      </w:r>
      <w:r w:rsidRPr="007629EF">
        <w:tab/>
      </w:r>
      <w:r w:rsidR="00A80B7B">
        <w:t>212</w:t>
      </w:r>
    </w:p>
    <w:p w:rsidR="007629EF" w:rsidRPr="007629EF" w:rsidRDefault="007629EF" w:rsidP="007629EF">
      <w:pPr>
        <w:tabs>
          <w:tab w:val="left" w:pos="720"/>
          <w:tab w:val="left" w:pos="1440"/>
          <w:tab w:val="left" w:pos="2160"/>
          <w:tab w:val="right" w:leader="dot" w:pos="9360"/>
        </w:tabs>
        <w:spacing w:line="360" w:lineRule="auto"/>
      </w:pPr>
      <w:r w:rsidRPr="007629EF">
        <w:tab/>
        <w:t>H.</w:t>
      </w:r>
      <w:r w:rsidRPr="007629EF">
        <w:tab/>
        <w:t>General Miscellaneous Issues</w:t>
      </w:r>
      <w:r w:rsidRPr="007629EF">
        <w:tab/>
      </w:r>
      <w:r w:rsidR="00A80B7B">
        <w:t>214</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1.</w:t>
      </w:r>
      <w:r w:rsidRPr="007629EF">
        <w:tab/>
        <w:t>DLC’s Proposal</w:t>
      </w:r>
      <w:r w:rsidRPr="007629EF">
        <w:tab/>
      </w:r>
      <w:r w:rsidR="00A80B7B">
        <w:t>214</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2.</w:t>
      </w:r>
      <w:r w:rsidRPr="007629EF">
        <w:tab/>
        <w:t>OCA’s Position</w:t>
      </w:r>
      <w:r w:rsidRPr="007629EF">
        <w:tab/>
      </w:r>
      <w:r w:rsidR="00A80B7B">
        <w:t>214</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3.</w:t>
      </w:r>
      <w:r w:rsidRPr="007629EF">
        <w:tab/>
        <w:t>RESA’s Position</w:t>
      </w:r>
      <w:r w:rsidRPr="007629EF">
        <w:tab/>
      </w:r>
      <w:r w:rsidR="00A80B7B">
        <w:t>215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4.</w:t>
      </w:r>
      <w:r w:rsidRPr="007629EF">
        <w:tab/>
        <w:t>OSBA’s Position</w:t>
      </w:r>
      <w:r w:rsidRPr="007629EF">
        <w:tab/>
      </w:r>
      <w:r w:rsidR="00A80B7B">
        <w:t>215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5.</w:t>
      </w:r>
      <w:r w:rsidRPr="007629EF">
        <w:tab/>
        <w:t>CAUSE’s Position</w:t>
      </w:r>
      <w:r w:rsidRPr="007629EF">
        <w:tab/>
      </w:r>
      <w:r w:rsidR="00A80B7B">
        <w:t>215</w:t>
      </w:r>
    </w:p>
    <w:p w:rsidR="007629EF" w:rsidRPr="007629EF" w:rsidRDefault="007629EF" w:rsidP="007629EF">
      <w:pPr>
        <w:tabs>
          <w:tab w:val="left" w:pos="720"/>
          <w:tab w:val="left" w:pos="1440"/>
          <w:tab w:val="left" w:pos="2160"/>
          <w:tab w:val="right" w:leader="dot" w:pos="9360"/>
        </w:tabs>
        <w:spacing w:line="360" w:lineRule="auto"/>
      </w:pPr>
      <w:r w:rsidRPr="007629EF">
        <w:lastRenderedPageBreak/>
        <w:tab/>
      </w:r>
      <w:r w:rsidRPr="007629EF">
        <w:tab/>
        <w:t>6.</w:t>
      </w:r>
      <w:r w:rsidRPr="007629EF">
        <w:tab/>
        <w:t>Citizen Power’s Position</w:t>
      </w:r>
      <w:r w:rsidRPr="007629EF">
        <w:tab/>
      </w:r>
      <w:r w:rsidR="007C717D">
        <w:t>215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7.</w:t>
      </w:r>
      <w:r w:rsidRPr="007629EF">
        <w:tab/>
        <w:t>Duquesne Industrial Intervenors’ Position</w:t>
      </w:r>
      <w:r w:rsidRPr="007629EF">
        <w:tab/>
      </w:r>
      <w:r w:rsidR="007C717D">
        <w:t>215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8.</w:t>
      </w:r>
      <w:r w:rsidRPr="007629EF">
        <w:tab/>
        <w:t>EGS Parties’ Position</w:t>
      </w:r>
      <w:r w:rsidRPr="007629EF">
        <w:tab/>
      </w:r>
      <w:r w:rsidR="007C717D">
        <w:t>215</w:t>
      </w:r>
    </w:p>
    <w:p w:rsidR="007629EF" w:rsidRPr="007629EF" w:rsidRDefault="007629EF" w:rsidP="007629EF">
      <w:pPr>
        <w:tabs>
          <w:tab w:val="left" w:pos="720"/>
          <w:tab w:val="left" w:pos="1440"/>
          <w:tab w:val="left" w:pos="2160"/>
          <w:tab w:val="right" w:leader="dot" w:pos="9360"/>
        </w:tabs>
        <w:spacing w:line="360" w:lineRule="auto"/>
      </w:pPr>
      <w:r w:rsidRPr="007629EF">
        <w:tab/>
      </w:r>
      <w:r w:rsidRPr="007629EF">
        <w:tab/>
        <w:t>9.</w:t>
      </w:r>
      <w:r w:rsidRPr="007629EF">
        <w:tab/>
        <w:t>FirstEnergy Solutions’ Position</w:t>
      </w:r>
      <w:r w:rsidRPr="007629EF">
        <w:tab/>
      </w:r>
      <w:r w:rsidR="007C717D">
        <w:t>215</w:t>
      </w:r>
    </w:p>
    <w:p w:rsidR="007629EF" w:rsidRDefault="007629EF" w:rsidP="007629EF">
      <w:pPr>
        <w:tabs>
          <w:tab w:val="left" w:pos="720"/>
          <w:tab w:val="left" w:pos="1440"/>
          <w:tab w:val="left" w:pos="2160"/>
          <w:tab w:val="right" w:leader="dot" w:pos="9360"/>
        </w:tabs>
        <w:spacing w:line="360" w:lineRule="auto"/>
      </w:pPr>
      <w:r w:rsidRPr="007629EF">
        <w:tab/>
      </w:r>
      <w:r w:rsidRPr="007629EF">
        <w:tab/>
        <w:t>10.</w:t>
      </w:r>
      <w:r w:rsidRPr="007629EF">
        <w:tab/>
        <w:t>Joint Suppliers’ Position</w:t>
      </w:r>
      <w:r w:rsidRPr="007629EF">
        <w:tab/>
      </w:r>
      <w:r w:rsidR="007C717D">
        <w:t>216</w:t>
      </w:r>
    </w:p>
    <w:p w:rsidR="00CD4067" w:rsidRDefault="00CD4067" w:rsidP="007629EF">
      <w:pPr>
        <w:tabs>
          <w:tab w:val="left" w:pos="720"/>
          <w:tab w:val="left" w:pos="1440"/>
          <w:tab w:val="left" w:pos="2160"/>
          <w:tab w:val="right" w:leader="dot" w:pos="9360"/>
        </w:tabs>
        <w:spacing w:line="360" w:lineRule="auto"/>
      </w:pPr>
      <w:r>
        <w:t>V.</w:t>
      </w:r>
      <w:r>
        <w:tab/>
        <w:t>CONCLUSION</w:t>
      </w:r>
      <w:r>
        <w:tab/>
      </w:r>
      <w:r w:rsidR="007C717D">
        <w:t>216</w:t>
      </w:r>
    </w:p>
    <w:p w:rsidR="00CD4067" w:rsidRDefault="00CD4067" w:rsidP="007629EF">
      <w:pPr>
        <w:tabs>
          <w:tab w:val="left" w:pos="720"/>
          <w:tab w:val="left" w:pos="1440"/>
          <w:tab w:val="left" w:pos="2160"/>
          <w:tab w:val="right" w:leader="dot" w:pos="9360"/>
        </w:tabs>
        <w:spacing w:line="360" w:lineRule="auto"/>
      </w:pPr>
      <w:r>
        <w:t>VI.</w:t>
      </w:r>
      <w:r>
        <w:tab/>
        <w:t>CONCLUSIONS OF LAW</w:t>
      </w:r>
      <w:r>
        <w:tab/>
      </w:r>
      <w:r w:rsidR="007C717D">
        <w:t>217</w:t>
      </w:r>
    </w:p>
    <w:p w:rsidR="007629EF" w:rsidRPr="007629EF" w:rsidRDefault="00CD4067" w:rsidP="007629EF">
      <w:pPr>
        <w:tabs>
          <w:tab w:val="left" w:pos="720"/>
          <w:tab w:val="left" w:pos="1440"/>
          <w:tab w:val="right" w:leader="dot" w:pos="9360"/>
        </w:tabs>
        <w:spacing w:line="360" w:lineRule="auto"/>
      </w:pPr>
      <w:r>
        <w:t>VII</w:t>
      </w:r>
      <w:r w:rsidR="007629EF" w:rsidRPr="007629EF">
        <w:t>.</w:t>
      </w:r>
      <w:r w:rsidR="007629EF" w:rsidRPr="007629EF">
        <w:tab/>
        <w:t>RECOMMENDED ORDER</w:t>
      </w:r>
      <w:r w:rsidR="007629EF" w:rsidRPr="007629EF">
        <w:tab/>
      </w:r>
      <w:r w:rsidR="007C717D">
        <w:t>218</w:t>
      </w:r>
    </w:p>
    <w:p w:rsidR="007629EF" w:rsidRPr="007629EF" w:rsidRDefault="007629EF" w:rsidP="007629EF">
      <w:pPr>
        <w:tabs>
          <w:tab w:val="left" w:pos="720"/>
          <w:tab w:val="left" w:pos="1440"/>
          <w:tab w:val="right" w:leader="dot" w:pos="9360"/>
        </w:tabs>
        <w:spacing w:line="360" w:lineRule="auto"/>
      </w:pPr>
      <w:r w:rsidRPr="007629EF">
        <w:t>APPENDIX A</w:t>
      </w:r>
    </w:p>
    <w:p w:rsidR="007629EF" w:rsidRPr="007629EF" w:rsidRDefault="007629EF" w:rsidP="007629EF">
      <w:pPr>
        <w:tabs>
          <w:tab w:val="left" w:pos="720"/>
          <w:tab w:val="left" w:pos="1440"/>
          <w:tab w:val="right" w:leader="dot" w:pos="9360"/>
        </w:tabs>
        <w:spacing w:line="360" w:lineRule="auto"/>
      </w:pPr>
      <w:r w:rsidRPr="007629EF">
        <w:t>APPENDIX  B</w:t>
      </w:r>
    </w:p>
    <w:p w:rsidR="007629EF" w:rsidRPr="007629EF" w:rsidRDefault="007629EF" w:rsidP="007629EF">
      <w:pPr>
        <w:spacing w:line="360" w:lineRule="auto"/>
        <w:sectPr w:rsidR="007629EF" w:rsidRPr="007629EF" w:rsidSect="00CD4067">
          <w:pgSz w:w="12240" w:h="15840"/>
          <w:pgMar w:top="1440" w:right="1440" w:bottom="1440" w:left="1440" w:header="0" w:footer="576" w:gutter="0"/>
          <w:pgNumType w:fmt="lowerRoman" w:start="1"/>
          <w:cols w:space="720"/>
          <w:titlePg/>
          <w:docGrid w:linePitch="326"/>
        </w:sectPr>
      </w:pPr>
    </w:p>
    <w:p w:rsidR="007629EF" w:rsidRPr="007629EF" w:rsidRDefault="007629EF" w:rsidP="007205BD">
      <w:pPr>
        <w:autoSpaceDE/>
        <w:autoSpaceDN/>
        <w:spacing w:line="360" w:lineRule="auto"/>
        <w:jc w:val="center"/>
        <w:rPr>
          <w:b/>
          <w:spacing w:val="-3"/>
          <w:u w:val="single"/>
        </w:rPr>
      </w:pPr>
      <w:r w:rsidRPr="007629EF">
        <w:rPr>
          <w:b/>
          <w:spacing w:val="-3"/>
        </w:rPr>
        <w:lastRenderedPageBreak/>
        <w:t>I.</w:t>
      </w:r>
      <w:r w:rsidRPr="007629EF">
        <w:rPr>
          <w:b/>
          <w:spacing w:val="-3"/>
        </w:rPr>
        <w:tab/>
      </w:r>
      <w:r w:rsidRPr="007629EF">
        <w:rPr>
          <w:b/>
          <w:spacing w:val="-3"/>
          <w:u w:val="single"/>
        </w:rPr>
        <w:t>HISTORY OF THE PROCEEDING</w:t>
      </w:r>
    </w:p>
    <w:p w:rsidR="007629EF" w:rsidRPr="007629EF" w:rsidRDefault="007629EF" w:rsidP="007205BD">
      <w:pPr>
        <w:tabs>
          <w:tab w:val="center" w:pos="4680"/>
        </w:tabs>
        <w:suppressAutoHyphens/>
        <w:spacing w:line="360" w:lineRule="auto"/>
        <w:jc w:val="center"/>
        <w:rPr>
          <w:b/>
          <w:spacing w:val="-3"/>
          <w:u w:val="single"/>
        </w:rPr>
      </w:pPr>
    </w:p>
    <w:p w:rsidR="007629EF" w:rsidRPr="007629EF" w:rsidRDefault="007629EF" w:rsidP="007205BD">
      <w:pPr>
        <w:spacing w:line="360" w:lineRule="auto"/>
        <w:rPr>
          <w:lang w:val="x-none" w:eastAsia="x-none"/>
        </w:rPr>
      </w:pPr>
      <w:r w:rsidRPr="007629EF">
        <w:rPr>
          <w:lang w:val="x-none" w:eastAsia="x-none"/>
        </w:rPr>
        <w:tab/>
      </w:r>
      <w:r w:rsidRPr="007629EF">
        <w:rPr>
          <w:lang w:val="x-none" w:eastAsia="x-none"/>
        </w:rPr>
        <w:tab/>
        <w:t>Duquesne Light Company (</w:t>
      </w:r>
      <w:r w:rsidRPr="007629EF">
        <w:rPr>
          <w:lang w:eastAsia="x-none"/>
        </w:rPr>
        <w:t xml:space="preserve">“Duquesne Light,” “Duquesne,” “Company,” or </w:t>
      </w:r>
      <w:r w:rsidRPr="007629EF">
        <w:rPr>
          <w:lang w:val="x-none" w:eastAsia="x-none"/>
        </w:rPr>
        <w:t>“DLC”) filed a Petition on April 27, 2012 seeking approval from the Commission of its Default Service Plan (“DSP”) for the period from June 1, 2012 through May 31, 2015</w:t>
      </w:r>
      <w:r w:rsidRPr="007629EF">
        <w:rPr>
          <w:lang w:eastAsia="x-none"/>
        </w:rPr>
        <w:t xml:space="preserve"> </w:t>
      </w:r>
      <w:r w:rsidRPr="007629EF">
        <w:rPr>
          <w:lang w:val="x-none" w:eastAsia="x-none"/>
        </w:rPr>
        <w:t xml:space="preserve">and </w:t>
      </w:r>
      <w:r w:rsidR="00335D62">
        <w:rPr>
          <w:lang w:eastAsia="x-none"/>
        </w:rPr>
        <w:t xml:space="preserve">a </w:t>
      </w:r>
      <w:r w:rsidRPr="007629EF">
        <w:rPr>
          <w:lang w:val="x-none" w:eastAsia="x-none"/>
        </w:rPr>
        <w:t>find</w:t>
      </w:r>
      <w:r w:rsidR="00335D62">
        <w:rPr>
          <w:lang w:eastAsia="x-none"/>
        </w:rPr>
        <w:t>ing</w:t>
      </w:r>
      <w:r w:rsidRPr="007629EF">
        <w:rPr>
          <w:lang w:val="x-none" w:eastAsia="x-none"/>
        </w:rPr>
        <w:t xml:space="preserve"> the DSP satisf</w:t>
      </w:r>
      <w:r w:rsidRPr="007629EF">
        <w:rPr>
          <w:lang w:eastAsia="x-none"/>
        </w:rPr>
        <w:t>ies</w:t>
      </w:r>
      <w:r w:rsidRPr="007629EF">
        <w:rPr>
          <w:lang w:val="x-none" w:eastAsia="x-none"/>
        </w:rPr>
        <w:t xml:space="preserve"> the criteria set forth at </w:t>
      </w:r>
      <w:bookmarkStart w:id="1" w:name="_BA_Cite_79"/>
      <w:r w:rsidRPr="007629EF">
        <w:rPr>
          <w:color w:val="000000"/>
          <w:lang w:val="x-none" w:eastAsia="x-none"/>
        </w:rPr>
        <w:t>66 Pa.</w:t>
      </w:r>
      <w:r w:rsidRPr="007629EF">
        <w:rPr>
          <w:color w:val="000000"/>
          <w:lang w:eastAsia="x-none"/>
        </w:rPr>
        <w:t xml:space="preserve"> </w:t>
      </w:r>
      <w:r w:rsidRPr="007629EF">
        <w:rPr>
          <w:color w:val="000000"/>
          <w:lang w:val="x-none" w:eastAsia="x-none"/>
        </w:rPr>
        <w:t>C.S</w:t>
      </w:r>
      <w:r w:rsidRPr="007629EF">
        <w:rPr>
          <w:color w:val="000000"/>
          <w:lang w:eastAsia="x-none"/>
        </w:rPr>
        <w:t>.A.</w:t>
      </w:r>
      <w:r w:rsidRPr="007629EF">
        <w:rPr>
          <w:color w:val="000000"/>
          <w:lang w:val="x-none" w:eastAsia="x-none"/>
        </w:rPr>
        <w:t xml:space="preserve"> §2807(e)(3.7)</w:t>
      </w:r>
      <w:bookmarkEnd w:id="1"/>
      <w:r w:rsidRPr="007629EF">
        <w:rPr>
          <w:lang w:val="x-none" w:eastAsia="x-none"/>
        </w:rPr>
        <w:t xml:space="preserve">.  </w:t>
      </w:r>
      <w:r w:rsidRPr="007629EF">
        <w:rPr>
          <w:lang w:eastAsia="x-none"/>
        </w:rPr>
        <w:t>The Commission is under a statutory requirement under 66 Pa. C.S.A. §2807(e)(3.6) to make a decision regarding these proposed default service plans before January 27, 2013.  Duquesne Light avers the</w:t>
      </w:r>
      <w:r w:rsidRPr="007629EF">
        <w:rPr>
          <w:lang w:val="x-none" w:eastAsia="x-none"/>
        </w:rPr>
        <w:t xml:space="preserve"> DSP</w:t>
      </w:r>
      <w:r w:rsidRPr="007629EF">
        <w:rPr>
          <w:lang w:eastAsia="x-none"/>
        </w:rPr>
        <w:t xml:space="preserve"> was</w:t>
      </w:r>
      <w:r w:rsidRPr="007629EF">
        <w:rPr>
          <w:lang w:val="x-none" w:eastAsia="x-none"/>
        </w:rPr>
        <w:t xml:space="preserve"> designed to provide default service customers </w:t>
      </w:r>
      <w:r w:rsidRPr="007629EF">
        <w:rPr>
          <w:lang w:eastAsia="x-none"/>
        </w:rPr>
        <w:t xml:space="preserve">with </w:t>
      </w:r>
      <w:r w:rsidRPr="007629EF">
        <w:rPr>
          <w:lang w:val="x-none" w:eastAsia="x-none"/>
        </w:rPr>
        <w:t xml:space="preserve">access to an adequate, reliable generation supply at the least cost over time and to enable </w:t>
      </w:r>
      <w:r w:rsidRPr="007629EF">
        <w:rPr>
          <w:lang w:eastAsia="x-none"/>
        </w:rPr>
        <w:t>Duquesne Light</w:t>
      </w:r>
      <w:r w:rsidRPr="007629EF">
        <w:rPr>
          <w:lang w:val="x-none" w:eastAsia="x-none"/>
        </w:rPr>
        <w:t xml:space="preserve"> to recover the costs of furnishing that service in accordance with the Commission’s default service regulations (</w:t>
      </w:r>
      <w:bookmarkStart w:id="2" w:name="_BA_Cite_80"/>
      <w:r w:rsidRPr="007629EF">
        <w:rPr>
          <w:color w:val="000000"/>
          <w:lang w:val="x-none" w:eastAsia="x-none"/>
        </w:rPr>
        <w:t>52 Pa. Code §§54.181</w:t>
      </w:r>
      <w:bookmarkEnd w:id="2"/>
      <w:r w:rsidRPr="007629EF">
        <w:rPr>
          <w:lang w:val="x-none" w:eastAsia="x-none"/>
        </w:rPr>
        <w:t xml:space="preserve"> – 54.189) and </w:t>
      </w:r>
      <w:r w:rsidRPr="007629EF">
        <w:rPr>
          <w:lang w:eastAsia="x-none"/>
        </w:rPr>
        <w:t>with the Commission’s</w:t>
      </w:r>
      <w:r w:rsidRPr="007629EF">
        <w:rPr>
          <w:lang w:val="x-none" w:eastAsia="x-none"/>
        </w:rPr>
        <w:t xml:space="preserve"> </w:t>
      </w:r>
      <w:bookmarkStart w:id="3" w:name="_BA_Cite_81"/>
      <w:r w:rsidRPr="007629EF">
        <w:rPr>
          <w:color w:val="000000"/>
          <w:lang w:val="x-none" w:eastAsia="x-none"/>
        </w:rPr>
        <w:t>Policy Statement on Default Service (52 Pa. Code §§69.1801- 69.1817)</w:t>
      </w:r>
      <w:bookmarkEnd w:id="3"/>
      <w:r w:rsidRPr="007629EF">
        <w:rPr>
          <w:lang w:val="x-none" w:eastAsia="x-none"/>
        </w:rPr>
        <w:t xml:space="preserve">, including implementation plans, procurement plans, contingency plans, rate design plans, and associated tariff pages.  In addition, </w:t>
      </w:r>
      <w:r w:rsidRPr="007629EF">
        <w:rPr>
          <w:lang w:eastAsia="x-none"/>
        </w:rPr>
        <w:t>Duquesne Light contends</w:t>
      </w:r>
      <w:r w:rsidRPr="007629EF">
        <w:rPr>
          <w:lang w:val="x-none" w:eastAsia="x-none"/>
        </w:rPr>
        <w:t xml:space="preserve"> the DSP contain</w:t>
      </w:r>
      <w:r w:rsidRPr="007629EF">
        <w:rPr>
          <w:lang w:eastAsia="x-none"/>
        </w:rPr>
        <w:t>s</w:t>
      </w:r>
      <w:r w:rsidRPr="007629EF">
        <w:rPr>
          <w:lang w:val="x-none" w:eastAsia="x-none"/>
        </w:rPr>
        <w:t xml:space="preserve"> certain competitive market enhancements in accordance with the Commission’s recent Final Order in the case of</w:t>
      </w:r>
      <w:r w:rsidRPr="007629EF">
        <w:rPr>
          <w:i/>
          <w:lang w:val="x-none" w:eastAsia="x-none"/>
        </w:rPr>
        <w:t xml:space="preserve"> Investigation of Pennsylvania’s Retail Electricity Market: Intermediate Work Plan</w:t>
      </w:r>
      <w:r w:rsidRPr="007629EF">
        <w:rPr>
          <w:lang w:val="x-none" w:eastAsia="x-none"/>
        </w:rPr>
        <w:t xml:space="preserve">, I-2011-2237952, March 2, 2012.  </w:t>
      </w:r>
    </w:p>
    <w:p w:rsidR="007629EF" w:rsidRPr="007629EF" w:rsidRDefault="007629EF" w:rsidP="007629EF">
      <w:pPr>
        <w:spacing w:line="360" w:lineRule="auto"/>
        <w:rPr>
          <w:lang w:val="x-none" w:eastAsia="x-none"/>
        </w:rPr>
      </w:pPr>
    </w:p>
    <w:p w:rsidR="0033380D" w:rsidRDefault="007C60EF" w:rsidP="00FF319C">
      <w:pPr>
        <w:spacing w:line="360" w:lineRule="auto"/>
        <w:ind w:firstLine="1440"/>
      </w:pPr>
      <w:r w:rsidRPr="00244823">
        <w:t xml:space="preserve">Copies of the Petition were served in accordance with </w:t>
      </w:r>
      <w:bookmarkStart w:id="4" w:name="_BA_Cite_82"/>
      <w:r w:rsidR="006F7984">
        <w:rPr>
          <w:color w:val="000000"/>
        </w:rPr>
        <w:t>52 Pa. Code §</w:t>
      </w:r>
      <w:r w:rsidRPr="00244823">
        <w:rPr>
          <w:color w:val="000000"/>
        </w:rPr>
        <w:t>54.185(b)</w:t>
      </w:r>
      <w:bookmarkEnd w:id="4"/>
      <w:r w:rsidRPr="00244823">
        <w:t xml:space="preserve">.  Additionally, on </w:t>
      </w:r>
      <w:r w:rsidR="006F01A1">
        <w:t>Saturday, May 19, 2012</w:t>
      </w:r>
      <w:r w:rsidRPr="00244823">
        <w:t xml:space="preserve">, the </w:t>
      </w:r>
      <w:r w:rsidRPr="00244823">
        <w:rPr>
          <w:i/>
        </w:rPr>
        <w:t>Pennsylvania Bulletin</w:t>
      </w:r>
      <w:r w:rsidRPr="00244823">
        <w:t xml:space="preserve"> published the Commission’s notice setting a deadline for filing protests, complaints or petitions to intervene as of </w:t>
      </w:r>
      <w:r w:rsidR="006F01A1">
        <w:t>June 4, 2012</w:t>
      </w:r>
      <w:r w:rsidRPr="00244823">
        <w:t xml:space="preserve"> and scheduling a Prehearing Conference for </w:t>
      </w:r>
      <w:r w:rsidR="00FF319C">
        <w:t>June 8, 2012</w:t>
      </w:r>
      <w:r w:rsidRPr="00244823">
        <w:t xml:space="preserve"> before this presiding officer wherein the following intervenors </w:t>
      </w:r>
      <w:r w:rsidR="00FF319C">
        <w:t xml:space="preserve">or entities </w:t>
      </w:r>
      <w:r w:rsidRPr="00244823">
        <w:t>were afforded active party status in this case</w:t>
      </w:r>
      <w:r w:rsidR="00FF319C">
        <w:t>: Bureau of Investigation and Enforcement (“BIE”); Coalition for Affordable Utility Services and Energy Efficiency in PA (“CAUSE”); Citizen Power, Inc. (“Citizen Power”); Constellation NewEnergy, Inc. and Exelon Generation Corp., LLC (“</w:t>
      </w:r>
      <w:r w:rsidR="00347C26">
        <w:t>Constellation/Exelon”)</w:t>
      </w:r>
      <w:r w:rsidR="00FF319C">
        <w:t>; Dominion Retail, d/b/a Dominion Energy Solutions and Interstate Gas Sup</w:t>
      </w:r>
      <w:r w:rsidR="00347C26">
        <w:t>ply, d/b/a Interstate Energy (“E</w:t>
      </w:r>
      <w:r w:rsidR="00FF319C">
        <w:t xml:space="preserve">GS </w:t>
      </w:r>
      <w:r w:rsidR="00347C26">
        <w:t>Parties</w:t>
      </w:r>
      <w:r w:rsidR="00FF319C">
        <w:t>”); Duquesne Industrial Intervenors</w:t>
      </w:r>
      <w:r w:rsidR="00347C26">
        <w:t xml:space="preserve"> (“DII”)</w:t>
      </w:r>
      <w:r w:rsidR="00FF319C">
        <w:t>; FirstEnergy Solutions Corp.</w:t>
      </w:r>
      <w:r w:rsidR="00347C26">
        <w:t xml:space="preserve"> (“FirstEnergy”</w:t>
      </w:r>
      <w:r w:rsidR="00B9484E">
        <w:t>)</w:t>
      </w:r>
      <w:r w:rsidR="00FF319C">
        <w:t>; NextEra Energy Services Pennsylvania, LLC</w:t>
      </w:r>
      <w:r w:rsidR="00347C26">
        <w:t xml:space="preserve"> (“NextEra”)</w:t>
      </w:r>
      <w:r w:rsidR="00FF319C">
        <w:t xml:space="preserve">; Noble Americas Energy Solutions, </w:t>
      </w:r>
      <w:r w:rsidR="00347C26">
        <w:t>L</w:t>
      </w:r>
      <w:r w:rsidR="00FF319C">
        <w:t>LC</w:t>
      </w:r>
      <w:r w:rsidR="00347C26">
        <w:t xml:space="preserve"> (“Noble Americas”)</w:t>
      </w:r>
      <w:r w:rsidR="00FF319C">
        <w:t>; Office of Consumer Advocate</w:t>
      </w:r>
      <w:r w:rsidR="00347C26">
        <w:t xml:space="preserve"> (“OCA”)</w:t>
      </w:r>
      <w:r w:rsidR="00FF319C">
        <w:t>; Office of Small Business Advocate</w:t>
      </w:r>
      <w:r w:rsidR="00347C26">
        <w:t xml:space="preserve"> (“OSBA”)</w:t>
      </w:r>
      <w:r w:rsidR="00FF319C">
        <w:t>; and Retail Energy Supply Association</w:t>
      </w:r>
      <w:r w:rsidR="00347C26">
        <w:t xml:space="preserve"> (“RESA”</w:t>
      </w:r>
      <w:r w:rsidR="004C6A25">
        <w:t>).</w:t>
      </w:r>
    </w:p>
    <w:p w:rsidR="00154532" w:rsidRPr="00244823" w:rsidRDefault="00AE6FA6" w:rsidP="008E6311">
      <w:pPr>
        <w:pStyle w:val="BodyText2"/>
        <w:keepLines/>
        <w:spacing w:after="0" w:line="360" w:lineRule="auto"/>
      </w:pPr>
      <w:r w:rsidRPr="00244823">
        <w:lastRenderedPageBreak/>
        <w:tab/>
      </w:r>
      <w:r w:rsidR="006D0480" w:rsidRPr="00244823">
        <w:tab/>
      </w:r>
      <w:r w:rsidR="007C60EF" w:rsidRPr="00244823">
        <w:t>At the Prehearing Conference, a schedule was established for submitting written testimony, holding evidentiary hearings and filing briefs.</w:t>
      </w:r>
      <w:r w:rsidR="00347C26">
        <w:rPr>
          <w:rStyle w:val="FootnoteReference"/>
        </w:rPr>
        <w:footnoteReference w:id="1"/>
      </w:r>
      <w:r w:rsidR="007C60EF" w:rsidRPr="00244823">
        <w:t xml:space="preserve">  </w:t>
      </w:r>
      <w:r w:rsidR="00347C26">
        <w:rPr>
          <w:lang w:val="en-US"/>
        </w:rPr>
        <w:t>Duquesne Light’s</w:t>
      </w:r>
      <w:r w:rsidR="003606CC" w:rsidRPr="00244823">
        <w:t xml:space="preserve"> direct testimony of </w:t>
      </w:r>
      <w:r w:rsidR="00603978">
        <w:rPr>
          <w:lang w:val="en-US"/>
        </w:rPr>
        <w:t>Frederick J. Eichenmiller, James E. Wilson, Neil S. Fisher, William V. Pfrommer, Michele R. Sandoe, David G. Wolfe, and Joseph H. Vallarian</w:t>
      </w:r>
      <w:r w:rsidR="003606CC" w:rsidRPr="00244823">
        <w:t xml:space="preserve"> was submitted on </w:t>
      </w:r>
      <w:r w:rsidR="00603978">
        <w:rPr>
          <w:lang w:val="en-US"/>
        </w:rPr>
        <w:t>April 27, 2012</w:t>
      </w:r>
      <w:r w:rsidR="003606CC" w:rsidRPr="00244823">
        <w:t xml:space="preserve">.  </w:t>
      </w:r>
      <w:r w:rsidR="00347C26">
        <w:rPr>
          <w:lang w:val="en-US"/>
        </w:rPr>
        <w:t>Various parties submitted w</w:t>
      </w:r>
      <w:r w:rsidR="007C60EF" w:rsidRPr="00244823">
        <w:t xml:space="preserve">ritten direct, rebuttal and surrebuttal testimony on the dates established for each submission.  The parties to this case also engaged in </w:t>
      </w:r>
      <w:r w:rsidR="00347C26">
        <w:t xml:space="preserve">discovery.  </w:t>
      </w:r>
      <w:r w:rsidR="00347C26">
        <w:rPr>
          <w:lang w:val="en-US"/>
        </w:rPr>
        <w:t>The e</w:t>
      </w:r>
      <w:r w:rsidR="007C60EF" w:rsidRPr="00244823">
        <w:t>videntiary hearing</w:t>
      </w:r>
      <w:r w:rsidR="00347C26">
        <w:rPr>
          <w:lang w:val="en-US"/>
        </w:rPr>
        <w:t xml:space="preserve"> was</w:t>
      </w:r>
      <w:r w:rsidR="007C60EF" w:rsidRPr="00244823">
        <w:t xml:space="preserve"> held </w:t>
      </w:r>
      <w:r w:rsidR="00347C26">
        <w:rPr>
          <w:lang w:val="en-US"/>
        </w:rPr>
        <w:t>from</w:t>
      </w:r>
      <w:r w:rsidR="007C60EF" w:rsidRPr="00244823">
        <w:t xml:space="preserve"> </w:t>
      </w:r>
      <w:r w:rsidR="00347C26">
        <w:rPr>
          <w:lang w:val="en-US"/>
        </w:rPr>
        <w:t>Pittsburgh</w:t>
      </w:r>
      <w:r w:rsidR="007C60EF" w:rsidRPr="00244823">
        <w:t xml:space="preserve"> on </w:t>
      </w:r>
      <w:r w:rsidR="00347C26" w:rsidRPr="00347C26">
        <w:rPr>
          <w:lang w:val="en-US"/>
        </w:rPr>
        <w:t>September 13, 2012</w:t>
      </w:r>
      <w:r w:rsidR="00347C26">
        <w:rPr>
          <w:lang w:val="en-US"/>
        </w:rPr>
        <w:t>, at which the parties stipulated to the admission of each other parties’ testimonies and exhibits without cross-examination</w:t>
      </w:r>
      <w:r w:rsidR="007C60EF" w:rsidRPr="00244823">
        <w:t xml:space="preserve">.  </w:t>
      </w:r>
      <w:r w:rsidR="00347C26">
        <w:rPr>
          <w:lang w:val="en-US"/>
        </w:rPr>
        <w:t>The parties</w:t>
      </w:r>
      <w:r w:rsidR="002C3CFF">
        <w:rPr>
          <w:lang w:val="en-US"/>
        </w:rPr>
        <w:t>,</w:t>
      </w:r>
      <w:r w:rsidR="00347C26">
        <w:rPr>
          <w:lang w:val="en-US"/>
        </w:rPr>
        <w:t xml:space="preserve"> </w:t>
      </w:r>
      <w:r w:rsidR="002C3CFF">
        <w:rPr>
          <w:lang w:val="en-US"/>
        </w:rPr>
        <w:t xml:space="preserve">who elected to do so, </w:t>
      </w:r>
      <w:r w:rsidR="00347C26">
        <w:rPr>
          <w:lang w:val="en-US"/>
        </w:rPr>
        <w:t>submitted Main Briefs on Octob</w:t>
      </w:r>
      <w:r w:rsidR="002C3CFF">
        <w:rPr>
          <w:lang w:val="en-US"/>
        </w:rPr>
        <w:t xml:space="preserve">er 5, 2012 and submitted Reply </w:t>
      </w:r>
      <w:r w:rsidR="00347C26">
        <w:rPr>
          <w:lang w:val="en-US"/>
        </w:rPr>
        <w:t>Briefs on October 22, 2012</w:t>
      </w:r>
      <w:r w:rsidR="002C3CFF">
        <w:rPr>
          <w:lang w:val="en-US"/>
        </w:rPr>
        <w:t xml:space="preserve">, pursuant to the schedule determined at </w:t>
      </w:r>
      <w:r w:rsidR="007C60EF" w:rsidRPr="00244823">
        <w:t xml:space="preserve">the </w:t>
      </w:r>
      <w:r w:rsidR="00347C26">
        <w:rPr>
          <w:lang w:val="en-US"/>
        </w:rPr>
        <w:t>Pre</w:t>
      </w:r>
      <w:r w:rsidR="007C60EF" w:rsidRPr="00244823">
        <w:t xml:space="preserve">hearing </w:t>
      </w:r>
      <w:r w:rsidR="00347C26">
        <w:rPr>
          <w:lang w:val="en-US"/>
        </w:rPr>
        <w:t>Conference</w:t>
      </w:r>
      <w:r w:rsidR="007C60EF" w:rsidRPr="00244823">
        <w:t>.</w:t>
      </w:r>
      <w:r w:rsidR="00180239" w:rsidRPr="00244823">
        <w:t xml:space="preserve"> </w:t>
      </w:r>
      <w:r w:rsidR="007C60EF" w:rsidRPr="00244823">
        <w:t xml:space="preserve"> All briefs were considered timely filed and the record closed on </w:t>
      </w:r>
      <w:r w:rsidR="002C3CFF">
        <w:rPr>
          <w:lang w:val="en-US"/>
        </w:rPr>
        <w:t>October 22</w:t>
      </w:r>
      <w:r w:rsidR="007C60EF" w:rsidRPr="00244823">
        <w:t>, 2012.</w:t>
      </w:r>
      <w:r w:rsidR="004C6A25">
        <w:rPr>
          <w:rStyle w:val="FootnoteReference"/>
        </w:rPr>
        <w:footnoteReference w:id="2"/>
      </w:r>
    </w:p>
    <w:p w:rsidR="00154532" w:rsidRPr="00244823" w:rsidRDefault="00154532" w:rsidP="008E6311">
      <w:pPr>
        <w:pStyle w:val="BodyText2"/>
        <w:keepLines/>
        <w:spacing w:after="0" w:line="360" w:lineRule="auto"/>
      </w:pPr>
    </w:p>
    <w:p w:rsidR="00B10D9D" w:rsidRPr="00CC1B40" w:rsidRDefault="00C57D29" w:rsidP="008E6311">
      <w:pPr>
        <w:suppressAutoHyphens/>
        <w:spacing w:line="360" w:lineRule="auto"/>
        <w:jc w:val="center"/>
        <w:rPr>
          <w:b/>
          <w:spacing w:val="-3"/>
          <w:u w:val="single"/>
        </w:rPr>
      </w:pPr>
      <w:r w:rsidRPr="00CC1B40">
        <w:rPr>
          <w:b/>
          <w:spacing w:val="-3"/>
        </w:rPr>
        <w:t>II.</w:t>
      </w:r>
      <w:r w:rsidR="00154532" w:rsidRPr="00CC1B40">
        <w:rPr>
          <w:b/>
          <w:spacing w:val="-3"/>
        </w:rPr>
        <w:tab/>
      </w:r>
      <w:r w:rsidR="007C60EF" w:rsidRPr="00CC1B40">
        <w:rPr>
          <w:b/>
          <w:spacing w:val="-3"/>
          <w:u w:val="single"/>
        </w:rPr>
        <w:t>FINDINGS OF FACT</w:t>
      </w:r>
      <w:r w:rsidR="005D2E99">
        <w:rPr>
          <w:b/>
          <w:spacing w:val="-3"/>
          <w:u w:val="single"/>
        </w:rPr>
        <w:fldChar w:fldCharType="begin"/>
      </w:r>
      <w:r w:rsidR="005D2E99">
        <w:instrText xml:space="preserve"> TC "</w:instrText>
      </w:r>
      <w:bookmarkStart w:id="5" w:name="_Toc327430223"/>
      <w:bookmarkStart w:id="6" w:name="_Toc327438692"/>
      <w:bookmarkStart w:id="7" w:name="_Toc327439160"/>
      <w:r w:rsidR="005D2E99" w:rsidRPr="002A1620">
        <w:rPr>
          <w:b/>
          <w:spacing w:val="-3"/>
        </w:rPr>
        <w:instrText>II.</w:instrText>
      </w:r>
      <w:r w:rsidR="005D2E99" w:rsidRPr="002A1620">
        <w:rPr>
          <w:b/>
          <w:spacing w:val="-3"/>
        </w:rPr>
        <w:tab/>
      </w:r>
      <w:r w:rsidR="005D2E99" w:rsidRPr="002A1620">
        <w:rPr>
          <w:b/>
          <w:spacing w:val="-3"/>
          <w:u w:val="single"/>
        </w:rPr>
        <w:instrText>FINDINGS OF FACT</w:instrText>
      </w:r>
      <w:bookmarkEnd w:id="5"/>
      <w:bookmarkEnd w:id="6"/>
      <w:bookmarkEnd w:id="7"/>
      <w:r w:rsidR="005D2E99">
        <w:instrText xml:space="preserve">" \f C \l "1" </w:instrText>
      </w:r>
      <w:r w:rsidR="005D2E99">
        <w:rPr>
          <w:b/>
          <w:spacing w:val="-3"/>
          <w:u w:val="single"/>
        </w:rPr>
        <w:fldChar w:fldCharType="end"/>
      </w:r>
    </w:p>
    <w:p w:rsidR="00154532" w:rsidRPr="00244823" w:rsidRDefault="00154532" w:rsidP="008E6311">
      <w:pPr>
        <w:suppressAutoHyphens/>
        <w:spacing w:line="360" w:lineRule="auto"/>
        <w:jc w:val="center"/>
        <w:rPr>
          <w:spacing w:val="-3"/>
        </w:rPr>
      </w:pPr>
    </w:p>
    <w:p w:rsidR="004855ED" w:rsidRDefault="004855ED" w:rsidP="004855ED">
      <w:pPr>
        <w:suppressAutoHyphens/>
        <w:spacing w:line="360" w:lineRule="auto"/>
        <w:ind w:firstLine="1440"/>
      </w:pPr>
      <w:r w:rsidRPr="00244823">
        <w:rPr>
          <w:spacing w:val="-3"/>
        </w:rPr>
        <w:t>1.</w:t>
      </w:r>
      <w:r w:rsidRPr="00244823">
        <w:rPr>
          <w:spacing w:val="-3"/>
        </w:rPr>
        <w:tab/>
      </w:r>
      <w:r>
        <w:t>Duquesne Light Company (“DLC”) is a public utility certified by the Commission to provide electric service in the City of Pittsburgh, in Allegheny County and in Beaver County in Pennsylvania as an “electric distribution company” (“EDC”) and as a “default service provider” (“DSP”).  DLC currently provides electric distribution service to approximately 579,000 customers.</w:t>
      </w:r>
    </w:p>
    <w:p w:rsidR="004855ED" w:rsidRDefault="004855ED" w:rsidP="004855ED">
      <w:pPr>
        <w:suppressAutoHyphens/>
        <w:spacing w:line="360" w:lineRule="auto"/>
        <w:ind w:firstLine="1440"/>
        <w:rPr>
          <w:spacing w:val="-3"/>
        </w:rPr>
      </w:pPr>
    </w:p>
    <w:p w:rsidR="000866D3" w:rsidRPr="00F10CD3" w:rsidRDefault="000866D3" w:rsidP="000866D3">
      <w:pPr>
        <w:pStyle w:val="BodyText2"/>
        <w:keepNext/>
        <w:keepLines/>
        <w:spacing w:after="0" w:line="360" w:lineRule="auto"/>
        <w:ind w:firstLine="1440"/>
        <w:rPr>
          <w:lang w:val="en-US"/>
        </w:rPr>
      </w:pPr>
      <w:r>
        <w:rPr>
          <w:lang w:val="en-US"/>
        </w:rPr>
        <w:t>2.</w:t>
      </w:r>
      <w:r>
        <w:rPr>
          <w:lang w:val="en-US"/>
        </w:rPr>
        <w:tab/>
        <w:t>On April 27, 2012, Duquesne Light filed a Petition for Approval of a Default Service Program and Procurement Plan for the Period June 1, 2013 through May 31, 2015.  (Duquesne Light Ex. No. 1).</w:t>
      </w:r>
    </w:p>
    <w:p w:rsidR="000866D3" w:rsidRDefault="000866D3" w:rsidP="004855ED">
      <w:pPr>
        <w:suppressAutoHyphens/>
        <w:spacing w:line="360" w:lineRule="auto"/>
        <w:ind w:firstLine="1440"/>
        <w:rPr>
          <w:spacing w:val="-3"/>
        </w:rPr>
      </w:pPr>
    </w:p>
    <w:p w:rsidR="004855ED" w:rsidRDefault="00DF23B4" w:rsidP="004855ED">
      <w:pPr>
        <w:suppressAutoHyphens/>
        <w:spacing w:line="360" w:lineRule="auto"/>
        <w:ind w:firstLine="1440"/>
      </w:pPr>
      <w:r>
        <w:rPr>
          <w:spacing w:val="-3"/>
        </w:rPr>
        <w:t>3</w:t>
      </w:r>
      <w:r w:rsidR="004855ED">
        <w:rPr>
          <w:spacing w:val="-3"/>
        </w:rPr>
        <w:t>.</w:t>
      </w:r>
      <w:r w:rsidR="004855ED">
        <w:rPr>
          <w:spacing w:val="-3"/>
        </w:rPr>
        <w:tab/>
        <w:t xml:space="preserve">Currently, 97% of DLC’s Large </w:t>
      </w:r>
      <w:r w:rsidR="004855ED">
        <w:t>C&amp;I load shops with an EGS; 42% of its Small C&amp;I Customers (less than 25 kW) shop as of August 2012 (up from 34% in March 2012); and 43% of the Residential load shop as of July 2012 (up from 39% in March 2012). (Duquesne Light St. No. 8-R, p. 41; Duquesne Light Main Brief, p. 4).</w:t>
      </w:r>
    </w:p>
    <w:p w:rsidR="004855ED" w:rsidRPr="00244823" w:rsidRDefault="004855ED" w:rsidP="004855ED">
      <w:pPr>
        <w:tabs>
          <w:tab w:val="center" w:pos="4680"/>
        </w:tabs>
        <w:suppressAutoHyphens/>
        <w:spacing w:line="360" w:lineRule="auto"/>
        <w:rPr>
          <w:spacing w:val="-3"/>
        </w:rPr>
      </w:pPr>
    </w:p>
    <w:p w:rsidR="004855ED" w:rsidRPr="00244823" w:rsidRDefault="005250FA" w:rsidP="004855ED">
      <w:pPr>
        <w:suppressAutoHyphens/>
        <w:spacing w:line="360" w:lineRule="auto"/>
        <w:ind w:firstLine="1440"/>
        <w:rPr>
          <w:spacing w:val="-3"/>
        </w:rPr>
      </w:pPr>
      <w:r>
        <w:rPr>
          <w:spacing w:val="-3"/>
        </w:rPr>
        <w:lastRenderedPageBreak/>
        <w:t>4</w:t>
      </w:r>
      <w:r w:rsidR="004855ED" w:rsidRPr="00244823">
        <w:rPr>
          <w:spacing w:val="-3"/>
        </w:rPr>
        <w:t>.</w:t>
      </w:r>
      <w:r w:rsidR="004855ED" w:rsidRPr="00244823">
        <w:rPr>
          <w:spacing w:val="-3"/>
        </w:rPr>
        <w:tab/>
      </w:r>
      <w:r w:rsidR="004855ED">
        <w:rPr>
          <w:spacing w:val="-3"/>
        </w:rPr>
        <w:t xml:space="preserve">A </w:t>
      </w:r>
      <w:r w:rsidR="004855ED">
        <w:t>full requirements contract requires a supplier to provide energy, capacity, ancillary services, and any other services or products necessary to serve a specified percentage of default service load 24 hours a day, for the term of the contract.  Because the contract is “load-following,” the amount of energy and other services and products a supplier must provide will vary depending upon Duquesne Light’s actual default service load.  (Duquesne Light Ex. No. 1, p. 4).</w:t>
      </w:r>
    </w:p>
    <w:p w:rsidR="004855ED" w:rsidRDefault="004855ED" w:rsidP="004855ED">
      <w:pPr>
        <w:tabs>
          <w:tab w:val="center" w:pos="4680"/>
        </w:tabs>
        <w:suppressAutoHyphens/>
        <w:spacing w:line="360" w:lineRule="auto"/>
        <w:rPr>
          <w:spacing w:val="-3"/>
        </w:rPr>
      </w:pPr>
    </w:p>
    <w:p w:rsidR="004855ED" w:rsidRPr="00244823" w:rsidRDefault="004855ED" w:rsidP="004855ED">
      <w:pPr>
        <w:tabs>
          <w:tab w:val="center" w:pos="1440"/>
        </w:tabs>
        <w:suppressAutoHyphens/>
        <w:spacing w:line="360" w:lineRule="auto"/>
        <w:rPr>
          <w:spacing w:val="-3"/>
        </w:rPr>
      </w:pPr>
      <w:r>
        <w:rPr>
          <w:spacing w:val="-3"/>
        </w:rPr>
        <w:tab/>
      </w:r>
      <w:r w:rsidR="005250FA">
        <w:rPr>
          <w:spacing w:val="-3"/>
        </w:rPr>
        <w:t>5</w:t>
      </w:r>
      <w:r>
        <w:rPr>
          <w:spacing w:val="-3"/>
        </w:rPr>
        <w:t>.</w:t>
      </w:r>
      <w:r>
        <w:rPr>
          <w:spacing w:val="-3"/>
        </w:rPr>
        <w:tab/>
        <w:t xml:space="preserve">Use of </w:t>
      </w:r>
      <w:r>
        <w:t xml:space="preserve">full requirements contracts for residential customers is prudent because it provides significant price stability benefits, which is consistent with one of the Legislature’s stated objectives of Act 129.  (Duquesne Light St. No. 8-R, p. 11). </w:t>
      </w:r>
    </w:p>
    <w:p w:rsidR="004855ED" w:rsidRDefault="004855ED" w:rsidP="004855ED">
      <w:pPr>
        <w:suppressAutoHyphens/>
        <w:spacing w:line="360" w:lineRule="auto"/>
        <w:ind w:firstLine="1440"/>
        <w:rPr>
          <w:spacing w:val="-3"/>
        </w:rPr>
      </w:pPr>
    </w:p>
    <w:p w:rsidR="004855ED" w:rsidRPr="000211EE" w:rsidRDefault="005250FA" w:rsidP="004855ED">
      <w:pPr>
        <w:suppressAutoHyphens/>
        <w:spacing w:line="360" w:lineRule="auto"/>
        <w:ind w:firstLine="1440"/>
      </w:pPr>
      <w:r>
        <w:rPr>
          <w:spacing w:val="-3"/>
        </w:rPr>
        <w:t>6</w:t>
      </w:r>
      <w:r w:rsidR="004855ED" w:rsidRPr="00244823">
        <w:rPr>
          <w:spacing w:val="-3"/>
        </w:rPr>
        <w:t>.</w:t>
      </w:r>
      <w:r w:rsidR="004855ED" w:rsidRPr="00244823">
        <w:rPr>
          <w:spacing w:val="-3"/>
        </w:rPr>
        <w:tab/>
      </w:r>
      <w:r w:rsidR="004855ED">
        <w:t>Duquesne Light’s proposed Residential default service rate is more market responsive than the rate under its currently effective default service plan.  (Duquesne Light Ex. No. 1, p. 6).</w:t>
      </w:r>
    </w:p>
    <w:p w:rsidR="004855ED" w:rsidRPr="00244823" w:rsidRDefault="004855ED" w:rsidP="004855ED">
      <w:pPr>
        <w:pStyle w:val="BodyText2"/>
        <w:spacing w:after="0" w:line="360" w:lineRule="auto"/>
      </w:pPr>
    </w:p>
    <w:p w:rsidR="004855ED" w:rsidRPr="000211EE" w:rsidRDefault="005250FA" w:rsidP="004855ED">
      <w:pPr>
        <w:pStyle w:val="BodyText2"/>
        <w:spacing w:after="0" w:line="360" w:lineRule="auto"/>
        <w:ind w:firstLine="1440"/>
        <w:rPr>
          <w:lang w:val="en-US"/>
        </w:rPr>
      </w:pPr>
      <w:r>
        <w:rPr>
          <w:lang w:val="en-US"/>
        </w:rPr>
        <w:t>7</w:t>
      </w:r>
      <w:r w:rsidR="004855ED" w:rsidRPr="00244823">
        <w:t>.</w:t>
      </w:r>
      <w:r w:rsidR="004855ED" w:rsidRPr="00244823">
        <w:tab/>
      </w:r>
      <w:r w:rsidR="004855ED">
        <w:t xml:space="preserve">The price stability and transparency provided through </w:t>
      </w:r>
      <w:r w:rsidR="004855ED">
        <w:rPr>
          <w:lang w:val="en-US"/>
        </w:rPr>
        <w:t>DLC’s</w:t>
      </w:r>
      <w:r w:rsidR="004855ED">
        <w:t xml:space="preserve"> 29-month DSP V rate </w:t>
      </w:r>
      <w:r w:rsidR="004855ED">
        <w:rPr>
          <w:lang w:val="en-US"/>
        </w:rPr>
        <w:t>successfully promoted</w:t>
      </w:r>
      <w:r w:rsidR="004855ED">
        <w:t xml:space="preserve"> </w:t>
      </w:r>
      <w:r w:rsidR="004855ED">
        <w:rPr>
          <w:lang w:val="en-US"/>
        </w:rPr>
        <w:t>r</w:t>
      </w:r>
      <w:r w:rsidR="004855ED">
        <w:t>esidential customer shopping in the Company’s service area</w:t>
      </w:r>
      <w:r w:rsidR="004855ED">
        <w:rPr>
          <w:lang w:val="en-US"/>
        </w:rPr>
        <w:t xml:space="preserve">.  </w:t>
      </w:r>
      <w:r w:rsidR="004855ED">
        <w:t>(Duquesne Light St. No. 8-R, p. 41</w:t>
      </w:r>
      <w:r w:rsidR="004855ED">
        <w:rPr>
          <w:lang w:val="en-US"/>
        </w:rPr>
        <w:t>; Duquesne Light St. No. 2, p. 7).</w:t>
      </w:r>
    </w:p>
    <w:p w:rsidR="004855ED" w:rsidRPr="00244823" w:rsidRDefault="004855ED" w:rsidP="004855ED">
      <w:pPr>
        <w:pStyle w:val="BodyText2"/>
        <w:spacing w:after="0" w:line="360" w:lineRule="auto"/>
        <w:ind w:firstLine="1440"/>
      </w:pPr>
    </w:p>
    <w:p w:rsidR="004855ED" w:rsidRPr="000211EE" w:rsidRDefault="005250FA" w:rsidP="004855ED">
      <w:pPr>
        <w:pStyle w:val="BodyText2"/>
        <w:spacing w:after="0" w:line="360" w:lineRule="auto"/>
        <w:ind w:firstLine="1440"/>
        <w:rPr>
          <w:lang w:val="en-US"/>
        </w:rPr>
      </w:pPr>
      <w:r>
        <w:rPr>
          <w:lang w:val="en-US"/>
        </w:rPr>
        <w:t>8</w:t>
      </w:r>
      <w:r w:rsidR="004855ED" w:rsidRPr="00244823">
        <w:t>.</w:t>
      </w:r>
      <w:r w:rsidR="004855ED" w:rsidRPr="00244823">
        <w:tab/>
      </w:r>
      <w:r w:rsidR="004855ED">
        <w:t xml:space="preserve">Thirty-four active EGSs serve 43% of the residential load in Duquesne Light’s service territory, which is one of the highest </w:t>
      </w:r>
      <w:r w:rsidR="004855ED">
        <w:rPr>
          <w:lang w:val="en-US"/>
        </w:rPr>
        <w:t>r</w:t>
      </w:r>
      <w:r w:rsidR="004855ED">
        <w:t>esidential customer switching percentages in the U.S.  (Duquesne Light St. No. 8-R, p. 41</w:t>
      </w:r>
      <w:r w:rsidR="004855ED">
        <w:rPr>
          <w:lang w:val="en-US"/>
        </w:rPr>
        <w:t>).</w:t>
      </w:r>
    </w:p>
    <w:p w:rsidR="004855ED" w:rsidRPr="009469A0" w:rsidRDefault="004855ED" w:rsidP="004855ED">
      <w:pPr>
        <w:pStyle w:val="BodyText2"/>
        <w:spacing w:after="0" w:line="360" w:lineRule="auto"/>
        <w:ind w:firstLine="1440"/>
        <w:rPr>
          <w:lang w:val="en-US"/>
        </w:rPr>
      </w:pPr>
    </w:p>
    <w:p w:rsidR="004855ED" w:rsidRPr="002854BA" w:rsidRDefault="005250FA" w:rsidP="004855ED">
      <w:pPr>
        <w:pStyle w:val="BodyText2"/>
        <w:spacing w:after="0" w:line="360" w:lineRule="auto"/>
        <w:ind w:firstLine="1440"/>
        <w:rPr>
          <w:lang w:val="en-US"/>
        </w:rPr>
      </w:pPr>
      <w:r>
        <w:rPr>
          <w:lang w:val="en-US"/>
        </w:rPr>
        <w:t>9</w:t>
      </w:r>
      <w:r w:rsidR="004855ED" w:rsidRPr="00244823">
        <w:t>.</w:t>
      </w:r>
      <w:r w:rsidR="004855ED" w:rsidRPr="00244823">
        <w:tab/>
        <w:t xml:space="preserve">  </w:t>
      </w:r>
      <w:r w:rsidR="004855ED">
        <w:t>Duquesne Light</w:t>
      </w:r>
      <w:r w:rsidR="004855ED">
        <w:rPr>
          <w:lang w:val="en-US"/>
        </w:rPr>
        <w:t>’s</w:t>
      </w:r>
      <w:r w:rsidR="004855ED">
        <w:t xml:space="preserve"> Small C&amp;I customers</w:t>
      </w:r>
      <w:r w:rsidR="004855ED">
        <w:rPr>
          <w:lang w:val="en-US"/>
        </w:rPr>
        <w:t xml:space="preserve"> are n</w:t>
      </w:r>
      <w:r w:rsidR="004855ED">
        <w:t>on-residential customers with monthly metered demands less than 25 kW</w:t>
      </w:r>
      <w:r w:rsidR="004855ED">
        <w:rPr>
          <w:lang w:val="en-US"/>
        </w:rPr>
        <w:t xml:space="preserve"> and DLC’s </w:t>
      </w:r>
      <w:r w:rsidR="004855ED">
        <w:t>Small C&amp;I procurement plan provides Small C&amp;I default service customers with 6-month rate changes.</w:t>
      </w:r>
      <w:r w:rsidR="004855ED">
        <w:rPr>
          <w:lang w:val="en-US"/>
        </w:rPr>
        <w:t xml:space="preserve">  </w:t>
      </w:r>
      <w:r w:rsidR="004855ED">
        <w:t>(Duquesne Light Ex. No. 1, pp. 8-</w:t>
      </w:r>
      <w:r w:rsidR="004855ED">
        <w:rPr>
          <w:lang w:val="en-US"/>
        </w:rPr>
        <w:t>10).</w:t>
      </w:r>
    </w:p>
    <w:p w:rsidR="004855ED" w:rsidRPr="00244823" w:rsidRDefault="004855ED" w:rsidP="004855ED">
      <w:pPr>
        <w:pStyle w:val="BodyText2"/>
        <w:spacing w:after="0" w:line="360" w:lineRule="auto"/>
        <w:ind w:firstLine="1440"/>
      </w:pPr>
    </w:p>
    <w:p w:rsidR="004855ED" w:rsidRPr="002854BA" w:rsidRDefault="005250FA" w:rsidP="004855ED">
      <w:pPr>
        <w:pStyle w:val="BodyText2"/>
        <w:spacing w:after="0" w:line="360" w:lineRule="auto"/>
        <w:ind w:firstLine="1440"/>
        <w:rPr>
          <w:lang w:val="en-US"/>
        </w:rPr>
      </w:pPr>
      <w:r>
        <w:rPr>
          <w:lang w:val="en-US"/>
        </w:rPr>
        <w:t>10</w:t>
      </w:r>
      <w:r w:rsidR="004855ED" w:rsidRPr="00244823">
        <w:t>.</w:t>
      </w:r>
      <w:r w:rsidR="004855ED" w:rsidRPr="00244823">
        <w:tab/>
        <w:t xml:space="preserve">  </w:t>
      </w:r>
      <w:r w:rsidR="004855ED">
        <w:rPr>
          <w:lang w:val="en-US"/>
        </w:rPr>
        <w:t xml:space="preserve">DLC’s </w:t>
      </w:r>
      <w:r w:rsidR="004855ED">
        <w:t xml:space="preserve">proposed procurement approach for Small C&amp;I default service customers is similar to the approach that is currently being used for Medium C&amp;I customers </w:t>
      </w:r>
      <w:r w:rsidR="004855ED">
        <w:lastRenderedPageBreak/>
        <w:t>under DSP V and is part of the Company’s transition to more frequent rate adjustments for smaller customers.  (Duquesne Light St. No. 2, p. 12</w:t>
      </w:r>
      <w:r w:rsidR="004855ED">
        <w:rPr>
          <w:lang w:val="en-US"/>
        </w:rPr>
        <w:t>).</w:t>
      </w:r>
    </w:p>
    <w:p w:rsidR="004855ED" w:rsidRPr="00244823" w:rsidRDefault="004855ED" w:rsidP="004855ED">
      <w:pPr>
        <w:pStyle w:val="BodyText2"/>
        <w:spacing w:after="0" w:line="360" w:lineRule="auto"/>
        <w:ind w:firstLine="1440"/>
      </w:pPr>
    </w:p>
    <w:p w:rsidR="004855ED" w:rsidRPr="002854BA" w:rsidRDefault="004855ED" w:rsidP="004855ED">
      <w:pPr>
        <w:pStyle w:val="BodyText2"/>
        <w:spacing w:after="0" w:line="360" w:lineRule="auto"/>
        <w:ind w:firstLine="1440"/>
        <w:rPr>
          <w:lang w:val="en-US"/>
        </w:rPr>
      </w:pPr>
      <w:r w:rsidRPr="00244823">
        <w:t>1</w:t>
      </w:r>
      <w:r w:rsidR="00E629EC">
        <w:rPr>
          <w:lang w:val="en-US"/>
        </w:rPr>
        <w:t>1</w:t>
      </w:r>
      <w:r w:rsidRPr="00244823">
        <w:t>.</w:t>
      </w:r>
      <w:r w:rsidRPr="00244823">
        <w:tab/>
        <w:t xml:space="preserve"> </w:t>
      </w:r>
      <w:r>
        <w:t>Duquesne Light’s Medium C&amp;I customers are those customers with monthly metered demands equal to or greater than 25 kW and less than 300 kW</w:t>
      </w:r>
      <w:r>
        <w:rPr>
          <w:lang w:val="en-US"/>
        </w:rPr>
        <w:t xml:space="preserve"> </w:t>
      </w:r>
      <w:r>
        <w:t xml:space="preserve">where </w:t>
      </w:r>
      <w:r>
        <w:rPr>
          <w:lang w:val="en-US"/>
        </w:rPr>
        <w:t xml:space="preserve">57.6% of DLC’s Medium C&amp;I customers (representing </w:t>
      </w:r>
      <w:r>
        <w:t>6</w:t>
      </w:r>
      <w:r>
        <w:rPr>
          <w:lang w:val="en-US"/>
        </w:rPr>
        <w:t>7</w:t>
      </w:r>
      <w:r>
        <w:t>% of the load</w:t>
      </w:r>
      <w:r>
        <w:rPr>
          <w:lang w:val="en-US"/>
        </w:rPr>
        <w:t xml:space="preserve">) </w:t>
      </w:r>
      <w:r>
        <w:t>already receiv</w:t>
      </w:r>
      <w:r>
        <w:rPr>
          <w:lang w:val="en-US"/>
        </w:rPr>
        <w:t>e</w:t>
      </w:r>
      <w:r>
        <w:t xml:space="preserve"> supply from </w:t>
      </w:r>
      <w:r>
        <w:rPr>
          <w:lang w:val="en-US"/>
        </w:rPr>
        <w:t>one of 46</w:t>
      </w:r>
      <w:r>
        <w:t xml:space="preserve"> EGS</w:t>
      </w:r>
      <w:r>
        <w:rPr>
          <w:lang w:val="en-US"/>
        </w:rPr>
        <w:t>s</w:t>
      </w:r>
      <w:r>
        <w:t>.  (Duquesne Light Ex. No. 1, p. 11</w:t>
      </w:r>
      <w:r>
        <w:rPr>
          <w:lang w:val="en-US"/>
        </w:rPr>
        <w:t>-12; RESA St. No. 1, p. 9).</w:t>
      </w:r>
    </w:p>
    <w:p w:rsidR="004855ED" w:rsidRPr="00244823" w:rsidRDefault="004855ED" w:rsidP="004855ED">
      <w:pPr>
        <w:pStyle w:val="BodyText2"/>
        <w:spacing w:after="0" w:line="360" w:lineRule="auto"/>
        <w:ind w:firstLine="1440"/>
      </w:pPr>
    </w:p>
    <w:p w:rsidR="004855ED" w:rsidRPr="002854BA" w:rsidRDefault="004855ED" w:rsidP="004855ED">
      <w:pPr>
        <w:pStyle w:val="BodyText2"/>
        <w:spacing w:after="0" w:line="360" w:lineRule="auto"/>
        <w:ind w:firstLine="1440"/>
        <w:rPr>
          <w:lang w:val="en-US"/>
        </w:rPr>
      </w:pPr>
      <w:r w:rsidRPr="00244823">
        <w:rPr>
          <w:spacing w:val="-3"/>
        </w:rPr>
        <w:t>1</w:t>
      </w:r>
      <w:r w:rsidR="00E629EC">
        <w:rPr>
          <w:spacing w:val="-3"/>
          <w:lang w:val="en-US"/>
        </w:rPr>
        <w:t>2</w:t>
      </w:r>
      <w:r w:rsidRPr="00244823">
        <w:rPr>
          <w:spacing w:val="-3"/>
        </w:rPr>
        <w:t>.</w:t>
      </w:r>
      <w:r w:rsidRPr="00244823">
        <w:rPr>
          <w:spacing w:val="-3"/>
        </w:rPr>
        <w:tab/>
      </w:r>
      <w:r>
        <w:t>Major EGSs serving residential customers in the Company’s service area support the Company’s proposed fixed ROI price for a 12-month term.  (Dominion/IGS St. No. 1, p. 5, FES St. No. 1, p. 3</w:t>
      </w:r>
      <w:r>
        <w:rPr>
          <w:lang w:val="en-US"/>
        </w:rPr>
        <w:t>).</w:t>
      </w:r>
    </w:p>
    <w:p w:rsidR="004855ED" w:rsidRDefault="004855ED" w:rsidP="004855ED">
      <w:pPr>
        <w:pStyle w:val="BodyText2"/>
        <w:spacing w:after="0" w:line="360" w:lineRule="auto"/>
        <w:ind w:firstLine="1440"/>
      </w:pPr>
    </w:p>
    <w:p w:rsidR="004855ED" w:rsidRPr="00721C2D" w:rsidRDefault="004855ED" w:rsidP="004855ED">
      <w:pPr>
        <w:pStyle w:val="BodyText2"/>
        <w:spacing w:after="0" w:line="360" w:lineRule="auto"/>
        <w:ind w:firstLine="1440"/>
        <w:rPr>
          <w:lang w:val="en-US"/>
        </w:rPr>
      </w:pPr>
      <w:r w:rsidRPr="00244823">
        <w:t xml:space="preserve"> </w:t>
      </w:r>
      <w:r>
        <w:t>1</w:t>
      </w:r>
      <w:r w:rsidR="00E629EC">
        <w:rPr>
          <w:lang w:val="en-US"/>
        </w:rPr>
        <w:t>3</w:t>
      </w:r>
      <w:r>
        <w:t>.</w:t>
      </w:r>
      <w:r>
        <w:tab/>
        <w:t xml:space="preserve">Duquesne Light’s estimated costs for the ROI program are $355,000, </w:t>
      </w:r>
      <w:r>
        <w:rPr>
          <w:lang w:val="en-US"/>
        </w:rPr>
        <w:t>but</w:t>
      </w:r>
      <w:r>
        <w:t xml:space="preserve"> mailing costs </w:t>
      </w:r>
      <w:r>
        <w:rPr>
          <w:lang w:val="en-US"/>
        </w:rPr>
        <w:t xml:space="preserve">comprise the largest portion of the cost </w:t>
      </w:r>
      <w:r>
        <w:t>to provide the offer to customers post RFP.  (Duquesne Light St. No. 4</w:t>
      </w:r>
      <w:r w:rsidR="00B70220">
        <w:rPr>
          <w:lang w:val="en-US"/>
        </w:rPr>
        <w:t>,</w:t>
      </w:r>
      <w:r>
        <w:t xml:space="preserve"> p. 21</w:t>
      </w:r>
      <w:r>
        <w:rPr>
          <w:lang w:val="en-US"/>
        </w:rPr>
        <w:t>).</w:t>
      </w:r>
    </w:p>
    <w:p w:rsidR="004855ED" w:rsidRPr="00244823" w:rsidRDefault="004855ED" w:rsidP="004855ED">
      <w:pPr>
        <w:pStyle w:val="BodyText2"/>
        <w:spacing w:after="0" w:line="360" w:lineRule="auto"/>
        <w:ind w:firstLine="1440"/>
      </w:pPr>
    </w:p>
    <w:p w:rsidR="004855ED" w:rsidRPr="00721C2D" w:rsidRDefault="004855ED" w:rsidP="004855ED">
      <w:pPr>
        <w:pStyle w:val="BodyText2"/>
        <w:spacing w:after="0" w:line="360" w:lineRule="auto"/>
        <w:ind w:firstLine="1440"/>
        <w:rPr>
          <w:lang w:val="en-US"/>
        </w:rPr>
      </w:pPr>
      <w:r w:rsidRPr="00244823">
        <w:t>1</w:t>
      </w:r>
      <w:r w:rsidR="00E629EC">
        <w:rPr>
          <w:lang w:val="en-US"/>
        </w:rPr>
        <w:t>4</w:t>
      </w:r>
      <w:r>
        <w:rPr>
          <w:lang w:val="en-US"/>
        </w:rPr>
        <w:t>.</w:t>
      </w:r>
      <w:r w:rsidRPr="00244823">
        <w:tab/>
        <w:t xml:space="preserve">  </w:t>
      </w:r>
      <w:r>
        <w:t>Duquesne Light cannot feasibly implement the SO Program on June 1, 2013 due to significant IT constraints.  The Company is currently in the process of implementing a new Customer Information System (“CIS”) and this project will not be completed until the second quarter of 2013.  (Duquesne Light St. No. 6-R, p. 6</w:t>
      </w:r>
      <w:r>
        <w:rPr>
          <w:lang w:val="en-US"/>
        </w:rPr>
        <w:t>).</w:t>
      </w:r>
    </w:p>
    <w:p w:rsidR="004855ED" w:rsidRDefault="004855ED" w:rsidP="004855ED">
      <w:pPr>
        <w:pStyle w:val="BodyText2"/>
        <w:spacing w:after="0" w:line="360" w:lineRule="auto"/>
        <w:ind w:firstLine="1440"/>
        <w:rPr>
          <w:lang w:val="en-US"/>
        </w:rPr>
      </w:pPr>
    </w:p>
    <w:p w:rsidR="004855ED" w:rsidRPr="00E25CCC" w:rsidRDefault="004855ED" w:rsidP="004855ED">
      <w:pPr>
        <w:pStyle w:val="BodyText2"/>
        <w:spacing w:after="0" w:line="360" w:lineRule="auto"/>
        <w:ind w:firstLine="1440"/>
        <w:rPr>
          <w:lang w:val="en-US"/>
        </w:rPr>
      </w:pPr>
      <w:r>
        <w:rPr>
          <w:lang w:val="en-US"/>
        </w:rPr>
        <w:t>1</w:t>
      </w:r>
      <w:r w:rsidR="00E629EC">
        <w:rPr>
          <w:lang w:val="en-US"/>
        </w:rPr>
        <w:t>5</w:t>
      </w:r>
      <w:r>
        <w:rPr>
          <w:lang w:val="en-US"/>
        </w:rPr>
        <w:t>.</w:t>
      </w:r>
      <w:r>
        <w:rPr>
          <w:lang w:val="en-US"/>
        </w:rPr>
        <w:tab/>
        <w:t xml:space="preserve">DLC </w:t>
      </w:r>
      <w:r>
        <w:t>plans to replace its existing CIS and CC&amp;B system during the second quarter of 2013.  The new CIS provides</w:t>
      </w:r>
      <w:r>
        <w:rPr>
          <w:lang w:val="en-US"/>
        </w:rPr>
        <w:t>:</w:t>
      </w:r>
      <w:r>
        <w:t xml:space="preserve"> enhanced functionality where customers will affirmatively elect to join the budget billing program</w:t>
      </w:r>
      <w:r>
        <w:rPr>
          <w:lang w:val="en-US"/>
        </w:rPr>
        <w:t xml:space="preserve">; </w:t>
      </w:r>
      <w:r>
        <w:t>once they elect, they will only have the option to pay the budget bill every month</w:t>
      </w:r>
      <w:r>
        <w:rPr>
          <w:lang w:val="en-US"/>
        </w:rPr>
        <w:t xml:space="preserve">; the new system </w:t>
      </w:r>
      <w:r>
        <w:t>eliminates the collection of PJM residual amounts through EDI transactions</w:t>
      </w:r>
      <w:r>
        <w:rPr>
          <w:lang w:val="en-US"/>
        </w:rPr>
        <w:t>;</w:t>
      </w:r>
      <w:r>
        <w:t xml:space="preserve"> and will be implemented prior to June 1, 2013.  (Duquesne Light St. No. 6-R, </w:t>
      </w:r>
      <w:r w:rsidR="00B70220">
        <w:rPr>
          <w:lang w:val="en-US"/>
        </w:rPr>
        <w:t>p</w:t>
      </w:r>
      <w:r>
        <w:t xml:space="preserve">p. </w:t>
      </w:r>
      <w:r>
        <w:rPr>
          <w:lang w:val="en-US"/>
        </w:rPr>
        <w:t>9-</w:t>
      </w:r>
      <w:r>
        <w:t>10</w:t>
      </w:r>
      <w:r>
        <w:rPr>
          <w:lang w:val="en-US"/>
        </w:rPr>
        <w:t>).</w:t>
      </w:r>
    </w:p>
    <w:p w:rsidR="004855ED" w:rsidRDefault="004855ED" w:rsidP="004855ED">
      <w:pPr>
        <w:pStyle w:val="BodyText2"/>
        <w:spacing w:after="0" w:line="360" w:lineRule="auto"/>
        <w:ind w:firstLine="1440"/>
        <w:rPr>
          <w:lang w:val="en-US"/>
        </w:rPr>
      </w:pPr>
    </w:p>
    <w:p w:rsidR="004855ED" w:rsidRDefault="004855ED" w:rsidP="004855ED">
      <w:pPr>
        <w:pStyle w:val="BodyText2"/>
        <w:spacing w:after="0" w:line="360" w:lineRule="auto"/>
        <w:ind w:firstLine="1440"/>
        <w:rPr>
          <w:lang w:val="en-US"/>
        </w:rPr>
      </w:pPr>
      <w:r>
        <w:rPr>
          <w:lang w:val="en-US"/>
        </w:rPr>
        <w:t>1</w:t>
      </w:r>
      <w:r w:rsidR="00E629EC">
        <w:rPr>
          <w:lang w:val="en-US"/>
        </w:rPr>
        <w:t>6</w:t>
      </w:r>
      <w:r>
        <w:rPr>
          <w:lang w:val="en-US"/>
        </w:rPr>
        <w:t>.</w:t>
      </w:r>
      <w:r>
        <w:rPr>
          <w:lang w:val="en-US"/>
        </w:rPr>
        <w:tab/>
      </w:r>
      <w:r>
        <w:t>The new CC&amp;B system will be bill</w:t>
      </w:r>
      <w:r>
        <w:rPr>
          <w:lang w:val="en-US"/>
        </w:rPr>
        <w:t>-</w:t>
      </w:r>
      <w:r>
        <w:t xml:space="preserve">ready capable but the functionality will not be available upon implementation because it was not part of the scope of the initial </w:t>
      </w:r>
      <w:r>
        <w:lastRenderedPageBreak/>
        <w:t xml:space="preserve">project.  Additional system development work cannot begin until the new CIS is </w:t>
      </w:r>
      <w:r>
        <w:rPr>
          <w:lang w:val="en-US"/>
        </w:rPr>
        <w:t xml:space="preserve">fully </w:t>
      </w:r>
      <w:r>
        <w:t xml:space="preserve">implemented and </w:t>
      </w:r>
      <w:r>
        <w:rPr>
          <w:lang w:val="en-US"/>
        </w:rPr>
        <w:t>operational</w:t>
      </w:r>
      <w:r>
        <w:t>.  (Duquesne Light St. No. 6-R, p. 11</w:t>
      </w:r>
      <w:r>
        <w:rPr>
          <w:lang w:val="en-US"/>
        </w:rPr>
        <w:t xml:space="preserve">). </w:t>
      </w:r>
    </w:p>
    <w:p w:rsidR="004855ED" w:rsidRDefault="004855ED" w:rsidP="004855ED">
      <w:pPr>
        <w:pStyle w:val="BodyText2"/>
        <w:spacing w:after="0" w:line="360" w:lineRule="auto"/>
        <w:ind w:firstLine="1440"/>
        <w:rPr>
          <w:lang w:val="en-US"/>
        </w:rPr>
      </w:pPr>
    </w:p>
    <w:p w:rsidR="004855ED" w:rsidRDefault="004855ED" w:rsidP="004855ED">
      <w:pPr>
        <w:pStyle w:val="BodyText2"/>
        <w:spacing w:after="0" w:line="360" w:lineRule="auto"/>
        <w:ind w:firstLine="1440"/>
        <w:rPr>
          <w:lang w:val="en-US"/>
        </w:rPr>
      </w:pPr>
      <w:r w:rsidRPr="00244823">
        <w:t>1</w:t>
      </w:r>
      <w:r w:rsidR="00E629EC">
        <w:rPr>
          <w:lang w:val="en-US"/>
        </w:rPr>
        <w:t>7</w:t>
      </w:r>
      <w:r w:rsidRPr="00244823">
        <w:t>.</w:t>
      </w:r>
      <w:r w:rsidRPr="00244823">
        <w:tab/>
      </w:r>
      <w:r>
        <w:rPr>
          <w:lang w:val="en-US"/>
        </w:rPr>
        <w:t>DLC needs</w:t>
      </w:r>
      <w:r>
        <w:t xml:space="preserve"> 9-12 months (</w:t>
      </w:r>
      <w:r>
        <w:rPr>
          <w:lang w:val="en-US"/>
        </w:rPr>
        <w:t xml:space="preserve">or </w:t>
      </w:r>
      <w:r>
        <w:t xml:space="preserve">until the end of the first quarter of 2014) </w:t>
      </w:r>
      <w:r>
        <w:rPr>
          <w:lang w:val="en-US"/>
        </w:rPr>
        <w:t>after</w:t>
      </w:r>
      <w:r>
        <w:t xml:space="preserve"> completion of the CIS system</w:t>
      </w:r>
      <w:r>
        <w:rPr>
          <w:lang w:val="en-US"/>
        </w:rPr>
        <w:t xml:space="preserve"> in order </w:t>
      </w:r>
      <w:r>
        <w:t>to complete the IT development and testing necessary to implement the SO Program, including accelerated switching enhancements.  (Duquesne Light St. No. 6-RJ, p. 2</w:t>
      </w:r>
      <w:r>
        <w:rPr>
          <w:lang w:val="en-US"/>
        </w:rPr>
        <w:t xml:space="preserve">).  </w:t>
      </w:r>
    </w:p>
    <w:p w:rsidR="004855ED" w:rsidRDefault="004855ED" w:rsidP="004855ED">
      <w:pPr>
        <w:pStyle w:val="BodyText2"/>
        <w:spacing w:after="0" w:line="360" w:lineRule="auto"/>
        <w:ind w:firstLine="1440"/>
        <w:rPr>
          <w:lang w:val="en-US"/>
        </w:rPr>
      </w:pPr>
    </w:p>
    <w:p w:rsidR="004855ED" w:rsidRDefault="004855ED" w:rsidP="004855ED">
      <w:pPr>
        <w:pStyle w:val="BodyText2"/>
        <w:spacing w:after="0" w:line="360" w:lineRule="auto"/>
        <w:ind w:firstLine="1440"/>
        <w:rPr>
          <w:lang w:val="en-US"/>
        </w:rPr>
      </w:pPr>
      <w:r w:rsidRPr="00244823">
        <w:t>1</w:t>
      </w:r>
      <w:r w:rsidR="00E629EC">
        <w:rPr>
          <w:lang w:val="en-US"/>
        </w:rPr>
        <w:t>8</w:t>
      </w:r>
      <w:r w:rsidRPr="00244823">
        <w:t>.</w:t>
      </w:r>
      <w:r w:rsidRPr="00244823">
        <w:tab/>
        <w:t xml:space="preserve">  </w:t>
      </w:r>
      <w:r>
        <w:rPr>
          <w:lang w:val="en-US"/>
        </w:rPr>
        <w:t xml:space="preserve">Currently DLC </w:t>
      </w:r>
      <w:r>
        <w:t>has</w:t>
      </w:r>
      <w:r>
        <w:rPr>
          <w:lang w:val="en-US"/>
        </w:rPr>
        <w:t xml:space="preserve"> only a</w:t>
      </w:r>
      <w:r>
        <w:t xml:space="preserve"> few customers with smart meters</w:t>
      </w:r>
      <w:r>
        <w:rPr>
          <w:lang w:val="en-US"/>
        </w:rPr>
        <w:t xml:space="preserve"> but th</w:t>
      </w:r>
      <w:r>
        <w:t>e Company has filed its Final Smart Meter Plan with the Commission</w:t>
      </w:r>
      <w:r>
        <w:rPr>
          <w:lang w:val="en-US"/>
        </w:rPr>
        <w:t xml:space="preserve"> at Docket M-2009-2123948</w:t>
      </w:r>
      <w:r>
        <w:t xml:space="preserve">, and the Plan is currently pending Commission approval.  </w:t>
      </w:r>
      <w:r>
        <w:rPr>
          <w:lang w:val="en-US"/>
        </w:rPr>
        <w:t>DLC hope</w:t>
      </w:r>
      <w:r w:rsidR="00567999">
        <w:rPr>
          <w:lang w:val="en-US"/>
        </w:rPr>
        <w:t>s</w:t>
      </w:r>
      <w:r>
        <w:rPr>
          <w:lang w:val="en-US"/>
        </w:rPr>
        <w:t xml:space="preserve"> to install approximately 2,000 smart meters by June 2014 and 35,000 smart meters by June 2015.  </w:t>
      </w:r>
      <w:r>
        <w:t>(Duquesne Light St. No. 4-R, p. 4</w:t>
      </w:r>
      <w:r>
        <w:rPr>
          <w:lang w:val="en-US"/>
        </w:rPr>
        <w:t>).</w:t>
      </w:r>
    </w:p>
    <w:p w:rsidR="004855ED" w:rsidRDefault="004855ED" w:rsidP="004855ED">
      <w:pPr>
        <w:pStyle w:val="BodyText2"/>
        <w:spacing w:after="0" w:line="360" w:lineRule="auto"/>
        <w:ind w:firstLine="1440"/>
        <w:rPr>
          <w:lang w:val="en-US"/>
        </w:rPr>
      </w:pPr>
    </w:p>
    <w:p w:rsidR="004855ED" w:rsidRDefault="004855ED" w:rsidP="004855ED">
      <w:pPr>
        <w:pStyle w:val="BodyText2"/>
        <w:spacing w:after="0" w:line="360" w:lineRule="auto"/>
        <w:ind w:firstLine="1440"/>
        <w:rPr>
          <w:lang w:val="en-US"/>
        </w:rPr>
      </w:pPr>
      <w:r>
        <w:rPr>
          <w:lang w:val="en-US"/>
        </w:rPr>
        <w:t>1</w:t>
      </w:r>
      <w:r w:rsidR="00E629EC">
        <w:rPr>
          <w:lang w:val="en-US"/>
        </w:rPr>
        <w:t>9</w:t>
      </w:r>
      <w:r>
        <w:rPr>
          <w:lang w:val="en-US"/>
        </w:rPr>
        <w:t>.</w:t>
      </w:r>
      <w:r>
        <w:rPr>
          <w:lang w:val="en-US"/>
        </w:rPr>
        <w:tab/>
      </w:r>
      <w:r>
        <w:t>Duquesne Light developed its unsecured credit thresholds by conducting a review of multiple utility companies to determine the industry standards.  (Duquesne Light St. No. 9-R, p. 5</w:t>
      </w:r>
      <w:r>
        <w:rPr>
          <w:lang w:val="en-US"/>
        </w:rPr>
        <w:t xml:space="preserve">).  </w:t>
      </w:r>
    </w:p>
    <w:p w:rsidR="004855ED" w:rsidRDefault="004855ED" w:rsidP="004855ED">
      <w:pPr>
        <w:pStyle w:val="BodyText2"/>
        <w:spacing w:after="0" w:line="360" w:lineRule="auto"/>
        <w:ind w:firstLine="1440"/>
        <w:rPr>
          <w:lang w:val="en-US"/>
        </w:rPr>
      </w:pPr>
    </w:p>
    <w:p w:rsidR="004855ED" w:rsidRDefault="00E629EC" w:rsidP="004855ED">
      <w:pPr>
        <w:pStyle w:val="BodyText2"/>
        <w:spacing w:after="0" w:line="360" w:lineRule="auto"/>
        <w:ind w:firstLine="1440"/>
        <w:rPr>
          <w:lang w:val="en-US"/>
        </w:rPr>
      </w:pPr>
      <w:r>
        <w:rPr>
          <w:lang w:val="en-US"/>
        </w:rPr>
        <w:t>20</w:t>
      </w:r>
      <w:r w:rsidR="004855ED">
        <w:rPr>
          <w:lang w:val="en-US"/>
        </w:rPr>
        <w:t>.</w:t>
      </w:r>
      <w:r w:rsidR="004855ED">
        <w:rPr>
          <w:lang w:val="en-US"/>
        </w:rPr>
        <w:tab/>
      </w:r>
      <w:r w:rsidR="004855ED">
        <w:t>Higher amounts of unsecured credit provide less protection for default service customers against financial damage in the event of supplier default.  (Duquesne Light St. No. 9-R, p. 6</w:t>
      </w:r>
      <w:r w:rsidR="004855ED">
        <w:rPr>
          <w:lang w:val="en-US"/>
        </w:rPr>
        <w:t xml:space="preserve">).  </w:t>
      </w:r>
    </w:p>
    <w:p w:rsidR="004855ED" w:rsidRDefault="004855ED" w:rsidP="004855ED">
      <w:pPr>
        <w:pStyle w:val="BodyText2"/>
        <w:spacing w:after="0" w:line="360" w:lineRule="auto"/>
        <w:ind w:firstLine="1440"/>
        <w:rPr>
          <w:lang w:val="en-US"/>
        </w:rPr>
      </w:pPr>
    </w:p>
    <w:p w:rsidR="004855ED" w:rsidRPr="00667EEC" w:rsidRDefault="004855ED" w:rsidP="004855ED">
      <w:pPr>
        <w:pStyle w:val="BodyText2"/>
        <w:spacing w:after="0" w:line="360" w:lineRule="auto"/>
        <w:ind w:firstLine="1440"/>
        <w:rPr>
          <w:lang w:val="en-US"/>
        </w:rPr>
      </w:pPr>
      <w:r>
        <w:rPr>
          <w:lang w:val="en-US"/>
        </w:rPr>
        <w:t>2</w:t>
      </w:r>
      <w:r w:rsidR="00E629EC">
        <w:rPr>
          <w:lang w:val="en-US"/>
        </w:rPr>
        <w:t>1</w:t>
      </w:r>
      <w:r>
        <w:rPr>
          <w:lang w:val="en-US"/>
        </w:rPr>
        <w:t>.</w:t>
      </w:r>
      <w:r>
        <w:rPr>
          <w:lang w:val="en-US"/>
        </w:rPr>
        <w:tab/>
        <w:t xml:space="preserve">A tranche </w:t>
      </w:r>
      <w:r>
        <w:t xml:space="preserve">is a slice of </w:t>
      </w:r>
      <w:r>
        <w:rPr>
          <w:lang w:val="en-US"/>
        </w:rPr>
        <w:t xml:space="preserve">the residential class </w:t>
      </w:r>
      <w:r>
        <w:t xml:space="preserve">load </w:t>
      </w:r>
      <w:r>
        <w:rPr>
          <w:lang w:val="en-US"/>
        </w:rPr>
        <w:t xml:space="preserve">and </w:t>
      </w:r>
      <w:r>
        <w:t>represents a fixed percentage of the total residential Default Service load.  With 24 tranches, each tranche equates to approximately 4.2 percent of the total residential Default Service load</w:t>
      </w:r>
      <w:r>
        <w:rPr>
          <w:lang w:val="en-US"/>
        </w:rPr>
        <w:t>.  (OCA St. 1 at 13).</w:t>
      </w:r>
    </w:p>
    <w:p w:rsidR="004855ED" w:rsidRDefault="004855ED" w:rsidP="004855ED">
      <w:pPr>
        <w:pStyle w:val="BodyText2"/>
        <w:keepNext/>
        <w:keepLines/>
        <w:spacing w:after="0" w:line="360" w:lineRule="auto"/>
        <w:ind w:firstLine="1440"/>
        <w:rPr>
          <w:lang w:val="en-US"/>
        </w:rPr>
      </w:pPr>
    </w:p>
    <w:p w:rsidR="004855ED" w:rsidRDefault="004855ED" w:rsidP="004855ED">
      <w:pPr>
        <w:pStyle w:val="BodyText2"/>
        <w:keepNext/>
        <w:keepLines/>
        <w:spacing w:after="0" w:line="360" w:lineRule="auto"/>
        <w:ind w:firstLine="1440"/>
        <w:rPr>
          <w:lang w:val="en-US"/>
        </w:rPr>
      </w:pPr>
    </w:p>
    <w:p w:rsidR="004855ED" w:rsidRDefault="004855ED">
      <w:pPr>
        <w:autoSpaceDE/>
        <w:autoSpaceDN/>
        <w:rPr>
          <w:b/>
          <w:spacing w:val="-3"/>
        </w:rPr>
      </w:pPr>
      <w:r>
        <w:rPr>
          <w:b/>
          <w:spacing w:val="-3"/>
        </w:rPr>
        <w:br w:type="page"/>
      </w:r>
    </w:p>
    <w:p w:rsidR="00603978" w:rsidRDefault="009E3632" w:rsidP="007A18C9">
      <w:pPr>
        <w:autoSpaceDE/>
        <w:autoSpaceDN/>
        <w:spacing w:line="360" w:lineRule="auto"/>
        <w:jc w:val="center"/>
        <w:rPr>
          <w:b/>
          <w:spacing w:val="-3"/>
          <w:u w:val="single"/>
        </w:rPr>
      </w:pPr>
      <w:r w:rsidRPr="00CC1B40">
        <w:rPr>
          <w:b/>
          <w:spacing w:val="-3"/>
        </w:rPr>
        <w:lastRenderedPageBreak/>
        <w:t>I</w:t>
      </w:r>
      <w:r>
        <w:rPr>
          <w:b/>
          <w:spacing w:val="-3"/>
        </w:rPr>
        <w:t>II</w:t>
      </w:r>
      <w:r w:rsidRPr="00CC1B40">
        <w:rPr>
          <w:b/>
          <w:spacing w:val="-3"/>
        </w:rPr>
        <w:t>.</w:t>
      </w:r>
      <w:r w:rsidRPr="00CC1B40">
        <w:rPr>
          <w:b/>
          <w:spacing w:val="-3"/>
        </w:rPr>
        <w:tab/>
      </w:r>
      <w:r>
        <w:rPr>
          <w:b/>
          <w:spacing w:val="-3"/>
          <w:u w:val="single"/>
        </w:rPr>
        <w:t>DESCRIPTION OF DEFAULT SERVICE PROVIDER</w:t>
      </w:r>
    </w:p>
    <w:p w:rsidR="004F1055" w:rsidRDefault="00603978" w:rsidP="007A18C9">
      <w:pPr>
        <w:autoSpaceDE/>
        <w:autoSpaceDN/>
        <w:spacing w:line="360" w:lineRule="auto"/>
        <w:jc w:val="center"/>
        <w:rPr>
          <w:b/>
          <w:spacing w:val="-3"/>
          <w:u w:val="single"/>
        </w:rPr>
      </w:pPr>
      <w:r>
        <w:rPr>
          <w:b/>
          <w:spacing w:val="-3"/>
        </w:rPr>
        <w:t>Duquesne Light Company</w:t>
      </w:r>
      <w:r w:rsidR="009E3632">
        <w:rPr>
          <w:b/>
          <w:spacing w:val="-3"/>
          <w:u w:val="single"/>
        </w:rPr>
        <w:fldChar w:fldCharType="begin"/>
      </w:r>
      <w:r w:rsidR="009E3632">
        <w:instrText xml:space="preserve"> TC "</w:instrText>
      </w:r>
      <w:r w:rsidR="009E3632" w:rsidRPr="002A1620">
        <w:rPr>
          <w:b/>
          <w:spacing w:val="-3"/>
        </w:rPr>
        <w:instrText>I.</w:instrText>
      </w:r>
      <w:r w:rsidR="009E3632" w:rsidRPr="002A1620">
        <w:rPr>
          <w:b/>
          <w:spacing w:val="-3"/>
        </w:rPr>
        <w:tab/>
      </w:r>
      <w:r w:rsidR="009E3632" w:rsidRPr="002A1620">
        <w:rPr>
          <w:b/>
          <w:spacing w:val="-3"/>
          <w:u w:val="single"/>
        </w:rPr>
        <w:instrText>HISTORY OF THE PROCEEDING</w:instrText>
      </w:r>
      <w:r w:rsidR="009E3632">
        <w:instrText xml:space="preserve">" \f C \l "1" </w:instrText>
      </w:r>
      <w:r w:rsidR="009E3632">
        <w:rPr>
          <w:b/>
          <w:spacing w:val="-3"/>
          <w:u w:val="single"/>
        </w:rPr>
        <w:fldChar w:fldCharType="end"/>
      </w:r>
    </w:p>
    <w:p w:rsidR="00BC7E4E" w:rsidRDefault="00BC7E4E" w:rsidP="00BC7E4E">
      <w:pPr>
        <w:autoSpaceDE/>
        <w:autoSpaceDN/>
        <w:spacing w:line="360" w:lineRule="auto"/>
        <w:rPr>
          <w:spacing w:val="-3"/>
        </w:rPr>
      </w:pPr>
    </w:p>
    <w:p w:rsidR="007A18C9" w:rsidRPr="00244823" w:rsidRDefault="007A18C9" w:rsidP="007A18C9">
      <w:pPr>
        <w:spacing w:line="360" w:lineRule="auto"/>
        <w:ind w:firstLine="1440"/>
      </w:pPr>
      <w:r>
        <w:t>Duquesne Light is a public utility as that term is defined under Section 102 of the Public Utility Code, 66 Pa. C.S.</w:t>
      </w:r>
      <w:r w:rsidR="007A68F1">
        <w:t>A.</w:t>
      </w:r>
      <w:r>
        <w:t xml:space="preserve"> §102, certified by the Commission to provide electric service in the City of Pittsburgh and in Allegheny and Beaver Counties in Pennsylvania.  Duquesne Light is also an “electric distribution company” (“EDC”) and a “default service provider” (“DSP”), as those terms are defined under Section 2803 of the Public Utility Code,</w:t>
      </w:r>
      <w:r>
        <w:rPr>
          <w:rStyle w:val="FootnoteReference"/>
        </w:rPr>
        <w:footnoteReference w:id="3"/>
      </w:r>
      <w:r>
        <w:t xml:space="preserve"> </w:t>
      </w:r>
      <w:r w:rsidR="00633321">
        <w:t xml:space="preserve">and </w:t>
      </w:r>
      <w:r>
        <w:t>which currently provides electric distribution service to approximately 579,000 customers.</w:t>
      </w:r>
    </w:p>
    <w:p w:rsidR="007A18C9" w:rsidRDefault="007A18C9" w:rsidP="00BC7E4E">
      <w:pPr>
        <w:autoSpaceDE/>
        <w:autoSpaceDN/>
        <w:spacing w:line="360" w:lineRule="auto"/>
        <w:rPr>
          <w:spacing w:val="-3"/>
        </w:rPr>
      </w:pPr>
    </w:p>
    <w:p w:rsidR="00BC7E4E" w:rsidRDefault="00BC7E4E" w:rsidP="00BC7E4E">
      <w:pPr>
        <w:autoSpaceDE/>
        <w:autoSpaceDN/>
        <w:spacing w:line="360" w:lineRule="auto"/>
      </w:pPr>
      <w:r>
        <w:rPr>
          <w:spacing w:val="-3"/>
        </w:rPr>
        <w:tab/>
      </w:r>
      <w:r>
        <w:rPr>
          <w:spacing w:val="-3"/>
        </w:rPr>
        <w:tab/>
      </w:r>
      <w:r>
        <w:t xml:space="preserve">Duquesne Light has been a leader among utilities across the country in developing default service plans that promote high levels of competition and provide reasonable default service prices, while providing appropriate levels of rate stability for customers who choose not to shop.  Duquesne Light currently has one of the most successful retail access programs in the country, with 74% of the Company’s load receiving supply from an EGS, as of March 31, 2012.  Duquesne Light is among the top </w:t>
      </w:r>
      <w:r w:rsidR="009115A9">
        <w:t>10</w:t>
      </w:r>
      <w:r>
        <w:t xml:space="preserve"> elective service areas in the United States in terms of percentage of load receiving service from a competitive supplier.  The Company has slightly higher levels of total shopping than two electric service areas in Texas and has higher levels of shopping than all of the service areas in New York.</w:t>
      </w:r>
    </w:p>
    <w:p w:rsidR="00BC7E4E" w:rsidRDefault="00BC7E4E" w:rsidP="00BC7E4E">
      <w:pPr>
        <w:autoSpaceDE/>
        <w:autoSpaceDN/>
        <w:spacing w:line="360" w:lineRule="auto"/>
      </w:pPr>
    </w:p>
    <w:p w:rsidR="00BC7E4E" w:rsidRDefault="00BC7E4E" w:rsidP="00BC7E4E">
      <w:pPr>
        <w:pStyle w:val="BodyText2"/>
        <w:spacing w:after="0" w:line="360" w:lineRule="auto"/>
        <w:rPr>
          <w:lang w:val="en-US"/>
        </w:rPr>
      </w:pPr>
      <w:r>
        <w:rPr>
          <w:lang w:val="en-US"/>
        </w:rPr>
        <w:tab/>
      </w:r>
      <w:r>
        <w:rPr>
          <w:lang w:val="en-US"/>
        </w:rPr>
        <w:tab/>
      </w:r>
      <w:r>
        <w:t xml:space="preserve">Duquesne Light was one of the first utilities in the nation to offer hourly priced default service to all customers with demand equal to or greater than 300 kW, and has one of the lowest kilowatt demand thresholds for hourly priced default service for </w:t>
      </w:r>
      <w:r w:rsidR="00530DF3">
        <w:rPr>
          <w:lang w:val="en-US"/>
        </w:rPr>
        <w:t>L</w:t>
      </w:r>
      <w:r>
        <w:t xml:space="preserve">arge C&amp;I customers in the U.S.  Moreover, 97% of the Company’s </w:t>
      </w:r>
      <w:r w:rsidR="00530DF3">
        <w:rPr>
          <w:lang w:val="en-US"/>
        </w:rPr>
        <w:t>L</w:t>
      </w:r>
      <w:r>
        <w:t>arge C&amp;I load is shopping with an EGS.</w:t>
      </w:r>
      <w:r w:rsidR="00563841">
        <w:rPr>
          <w:lang w:val="en-US"/>
        </w:rPr>
        <w:t xml:space="preserve">  </w:t>
      </w:r>
      <w:r>
        <w:t>Duquesne Light’s success in promoting customer shopping is not limited to larger customers.  As of March 2012, approximately 39% of the Company’s residential load was being served by an EGS.  As of July 2012, this percentage has increased to 43%.  In addition, there are currently 34</w:t>
      </w:r>
      <w:r w:rsidR="00FE287F">
        <w:rPr>
          <w:lang w:val="en-US"/>
        </w:rPr>
        <w:t> </w:t>
      </w:r>
      <w:r>
        <w:t xml:space="preserve">active EGSs offering to provide service to residential customers in the Company’s service territory.  </w:t>
      </w:r>
      <w:r>
        <w:lastRenderedPageBreak/>
        <w:t xml:space="preserve">Moreover, customer shopping among </w:t>
      </w:r>
      <w:r w:rsidR="00F710BC">
        <w:rPr>
          <w:lang w:val="en-US"/>
        </w:rPr>
        <w:t>S</w:t>
      </w:r>
      <w:r>
        <w:t>mall C&amp;I Customers (less than 25 kW) has increased from 34% in March 2012 to 42% as of August 2012.</w:t>
      </w:r>
    </w:p>
    <w:p w:rsidR="00BC7E4E" w:rsidRPr="00BC7E4E" w:rsidRDefault="00BC7E4E" w:rsidP="00BC7E4E">
      <w:pPr>
        <w:pStyle w:val="BodyText2"/>
        <w:spacing w:after="0" w:line="360" w:lineRule="auto"/>
        <w:rPr>
          <w:lang w:val="en-US"/>
        </w:rPr>
      </w:pPr>
    </w:p>
    <w:p w:rsidR="00BC7E4E" w:rsidRDefault="00BC7E4E" w:rsidP="00BC7E4E">
      <w:pPr>
        <w:pStyle w:val="BodyText2"/>
        <w:spacing w:after="0" w:line="360" w:lineRule="auto"/>
        <w:rPr>
          <w:lang w:val="en-US"/>
        </w:rPr>
      </w:pPr>
      <w:r>
        <w:rPr>
          <w:lang w:val="en-US"/>
        </w:rPr>
        <w:tab/>
      </w:r>
      <w:r>
        <w:rPr>
          <w:lang w:val="en-US"/>
        </w:rPr>
        <w:tab/>
      </w:r>
      <w:r>
        <w:t xml:space="preserve">Duquesne Light moved Residential customers to more market responsive rates over time, from 36-month fixed rates under DSP IV, to 29-month fixed rates under DSP V, to proposed 12-month rates based on 12-month contracts in this proceeding.  Likewise, Duquesne Light </w:t>
      </w:r>
      <w:r>
        <w:rPr>
          <w:lang w:val="en-US"/>
        </w:rPr>
        <w:t>propose</w:t>
      </w:r>
      <w:r w:rsidR="008A6D50">
        <w:rPr>
          <w:lang w:val="en-US"/>
        </w:rPr>
        <w:t>d</w:t>
      </w:r>
      <w:r>
        <w:t xml:space="preserve"> to move </w:t>
      </w:r>
      <w:r w:rsidR="00F710BC">
        <w:rPr>
          <w:lang w:val="en-US"/>
        </w:rPr>
        <w:t>S</w:t>
      </w:r>
      <w:r>
        <w:t xml:space="preserve">mall C&amp;I customers from 12-month rates to rates that change every </w:t>
      </w:r>
      <w:r w:rsidR="00BC4E90">
        <w:rPr>
          <w:lang w:val="en-US"/>
        </w:rPr>
        <w:t>six </w:t>
      </w:r>
      <w:r>
        <w:t xml:space="preserve">months based on 12-month laddered contracts.  For </w:t>
      </w:r>
      <w:r w:rsidR="00902695">
        <w:rPr>
          <w:lang w:val="en-US"/>
        </w:rPr>
        <w:t>M</w:t>
      </w:r>
      <w:r>
        <w:t>edium C&amp;I customers, the Company propos</w:t>
      </w:r>
      <w:r>
        <w:rPr>
          <w:lang w:val="en-US"/>
        </w:rPr>
        <w:t>e</w:t>
      </w:r>
      <w:r w:rsidR="008A6D50">
        <w:rPr>
          <w:lang w:val="en-US"/>
        </w:rPr>
        <w:t>d</w:t>
      </w:r>
      <w:r>
        <w:t xml:space="preserve"> to move from 6-month rates derived from 12-month laddered contracts to 6-month rates derived from 6-month contracts, which are nearly all procured within 60 days of the start of the delivery period.  </w:t>
      </w:r>
    </w:p>
    <w:p w:rsidR="00BC7E4E" w:rsidRPr="00BC7E4E" w:rsidRDefault="00BC7E4E" w:rsidP="00BC7E4E">
      <w:pPr>
        <w:pStyle w:val="BodyText2"/>
        <w:spacing w:after="0" w:line="360" w:lineRule="auto"/>
        <w:rPr>
          <w:lang w:val="en-US"/>
        </w:rPr>
      </w:pPr>
    </w:p>
    <w:p w:rsidR="00BC7E4E" w:rsidRDefault="00BC7E4E" w:rsidP="00BC7E4E">
      <w:pPr>
        <w:pStyle w:val="BodyText2"/>
        <w:spacing w:after="0" w:line="360" w:lineRule="auto"/>
        <w:rPr>
          <w:lang w:val="en-US"/>
        </w:rPr>
      </w:pPr>
      <w:r>
        <w:rPr>
          <w:lang w:val="en-US"/>
        </w:rPr>
        <w:tab/>
      </w:r>
      <w:r>
        <w:rPr>
          <w:lang w:val="en-US"/>
        </w:rPr>
        <w:tab/>
      </w:r>
      <w:r>
        <w:t xml:space="preserve">Most </w:t>
      </w:r>
      <w:r>
        <w:rPr>
          <w:lang w:val="en-US"/>
        </w:rPr>
        <w:t xml:space="preserve">of the </w:t>
      </w:r>
      <w:r>
        <w:t xml:space="preserve">parties in this proceeding support Duquesne Light’s general approach </w:t>
      </w:r>
      <w:r>
        <w:rPr>
          <w:lang w:val="en-US"/>
        </w:rPr>
        <w:t>to</w:t>
      </w:r>
      <w:r>
        <w:t xml:space="preserve"> gradually mov</w:t>
      </w:r>
      <w:r>
        <w:rPr>
          <w:lang w:val="en-US"/>
        </w:rPr>
        <w:t>e</w:t>
      </w:r>
      <w:r>
        <w:t xml:space="preserve"> customer classes to more market</w:t>
      </w:r>
      <w:r>
        <w:rPr>
          <w:lang w:val="en-US"/>
        </w:rPr>
        <w:t>-</w:t>
      </w:r>
      <w:r>
        <w:t xml:space="preserve">responsive pricing.  For the convenience of the </w:t>
      </w:r>
      <w:r>
        <w:rPr>
          <w:lang w:val="en-US"/>
        </w:rPr>
        <w:t>Commission</w:t>
      </w:r>
      <w:r>
        <w:t xml:space="preserve">, Duquesne Light prepared a table </w:t>
      </w:r>
      <w:r w:rsidR="008A6D50">
        <w:rPr>
          <w:lang w:val="en-US"/>
        </w:rPr>
        <w:t>which</w:t>
      </w:r>
      <w:r>
        <w:t xml:space="preserve"> sets forth each procurement issue, Duquesne Light’s proposal, whether Duquesne Light</w:t>
      </w:r>
      <w:r w:rsidR="00441E17">
        <w:rPr>
          <w:lang w:val="en-US"/>
        </w:rPr>
        <w:t xml:space="preserve"> considers its </w:t>
      </w:r>
      <w:r>
        <w:t xml:space="preserve">proposal </w:t>
      </w:r>
      <w:r w:rsidR="00441E17">
        <w:rPr>
          <w:lang w:val="en-US"/>
        </w:rPr>
        <w:t>to be</w:t>
      </w:r>
      <w:r>
        <w:t xml:space="preserve"> consistent with relevant Commission guidance, the degree to which other parties support the Company’s proposal and a summary of </w:t>
      </w:r>
      <w:r w:rsidR="00441E17">
        <w:rPr>
          <w:lang w:val="en-US"/>
        </w:rPr>
        <w:t xml:space="preserve">the Company’s </w:t>
      </w:r>
      <w:r>
        <w:t>reasons why the Company</w:t>
      </w:r>
      <w:r w:rsidR="00441E17">
        <w:rPr>
          <w:lang w:val="en-US"/>
        </w:rPr>
        <w:t xml:space="preserve"> believe</w:t>
      </w:r>
      <w:r>
        <w:t>s</w:t>
      </w:r>
      <w:r w:rsidR="00441E17">
        <w:rPr>
          <w:lang w:val="en-US"/>
        </w:rPr>
        <w:t xml:space="preserve"> its</w:t>
      </w:r>
      <w:r>
        <w:t xml:space="preserve"> proposal is appropria</w:t>
      </w:r>
      <w:r w:rsidR="008A6D50">
        <w:t xml:space="preserve">te.  This table </w:t>
      </w:r>
      <w:r w:rsidR="004C6A25">
        <w:rPr>
          <w:lang w:val="en-US"/>
        </w:rPr>
        <w:t>is attached</w:t>
      </w:r>
      <w:r>
        <w:t xml:space="preserve"> as Appendix </w:t>
      </w:r>
      <w:r w:rsidR="001B34D0">
        <w:rPr>
          <w:lang w:val="en-US"/>
        </w:rPr>
        <w:t>B</w:t>
      </w:r>
      <w:r>
        <w:t xml:space="preserve"> to this </w:t>
      </w:r>
      <w:r w:rsidR="004C6A25">
        <w:rPr>
          <w:lang w:val="en-US"/>
        </w:rPr>
        <w:t>Recommended Decision</w:t>
      </w:r>
      <w:r>
        <w:t>.</w:t>
      </w:r>
    </w:p>
    <w:p w:rsidR="00BC7E4E" w:rsidRPr="00BC7E4E" w:rsidRDefault="00BC7E4E" w:rsidP="00BC7E4E">
      <w:pPr>
        <w:autoSpaceDE/>
        <w:autoSpaceDN/>
        <w:spacing w:line="360" w:lineRule="auto"/>
        <w:rPr>
          <w:b/>
          <w:spacing w:val="-3"/>
          <w:u w:val="single"/>
        </w:rPr>
      </w:pPr>
    </w:p>
    <w:p w:rsidR="00215ED3" w:rsidRPr="00CC1B40" w:rsidRDefault="009E3632" w:rsidP="008E6311">
      <w:pPr>
        <w:pStyle w:val="BodyText2"/>
        <w:spacing w:after="0" w:line="360" w:lineRule="auto"/>
        <w:jc w:val="center"/>
        <w:rPr>
          <w:b/>
          <w:u w:val="single"/>
        </w:rPr>
      </w:pPr>
      <w:r>
        <w:rPr>
          <w:b/>
        </w:rPr>
        <w:t>I</w:t>
      </w:r>
      <w:r>
        <w:rPr>
          <w:b/>
          <w:lang w:val="en-US"/>
        </w:rPr>
        <w:t>V</w:t>
      </w:r>
      <w:r w:rsidR="00C57D29" w:rsidRPr="00CC1B40">
        <w:rPr>
          <w:b/>
        </w:rPr>
        <w:t>.</w:t>
      </w:r>
      <w:r w:rsidR="00154532" w:rsidRPr="00CC1B40">
        <w:rPr>
          <w:b/>
        </w:rPr>
        <w:tab/>
      </w:r>
      <w:r>
        <w:rPr>
          <w:b/>
          <w:u w:val="single"/>
          <w:lang w:val="en-US"/>
        </w:rPr>
        <w:t>DISCUSSION</w:t>
      </w:r>
      <w:r w:rsidR="005D2E99">
        <w:rPr>
          <w:b/>
          <w:u w:val="single"/>
        </w:rPr>
        <w:fldChar w:fldCharType="begin"/>
      </w:r>
      <w:r w:rsidR="005D2E99">
        <w:instrText xml:space="preserve"> TC "</w:instrText>
      </w:r>
      <w:bookmarkStart w:id="8" w:name="_Toc327430224"/>
      <w:bookmarkStart w:id="9" w:name="_Toc327438693"/>
      <w:bookmarkStart w:id="10" w:name="_Toc327439161"/>
      <w:r w:rsidR="005D2E99" w:rsidRPr="002A1620">
        <w:rPr>
          <w:b/>
        </w:rPr>
        <w:instrText>III.</w:instrText>
      </w:r>
      <w:r w:rsidR="005D2E99" w:rsidRPr="002A1620">
        <w:rPr>
          <w:b/>
        </w:rPr>
        <w:tab/>
      </w:r>
      <w:r w:rsidR="005D2E99" w:rsidRPr="002A1620">
        <w:rPr>
          <w:b/>
          <w:u w:val="single"/>
        </w:rPr>
        <w:instrText>STANDARDS APPLICABLE TO DEFAULT SERVICE</w:instrText>
      </w:r>
      <w:bookmarkEnd w:id="8"/>
      <w:bookmarkEnd w:id="9"/>
      <w:bookmarkEnd w:id="10"/>
      <w:r w:rsidR="005D2E99">
        <w:instrText xml:space="preserve">" \f C \l "1" </w:instrText>
      </w:r>
      <w:r w:rsidR="005D2E99">
        <w:rPr>
          <w:b/>
          <w:u w:val="single"/>
        </w:rPr>
        <w:fldChar w:fldCharType="end"/>
      </w:r>
    </w:p>
    <w:p w:rsidR="004C6A25" w:rsidRDefault="004C6A25" w:rsidP="009E3632">
      <w:pPr>
        <w:pStyle w:val="BodyText2"/>
        <w:spacing w:after="0" w:line="360" w:lineRule="auto"/>
        <w:rPr>
          <w:b/>
          <w:lang w:val="en-US"/>
        </w:rPr>
      </w:pPr>
    </w:p>
    <w:p w:rsidR="00C57D29" w:rsidRDefault="00EE639F" w:rsidP="009E3632">
      <w:pPr>
        <w:pStyle w:val="BodyText2"/>
        <w:spacing w:after="0" w:line="360" w:lineRule="auto"/>
        <w:rPr>
          <w:lang w:val="en-US"/>
        </w:rPr>
      </w:pPr>
      <w:r>
        <w:rPr>
          <w:b/>
          <w:lang w:val="en-US"/>
        </w:rPr>
        <w:t>A.</w:t>
      </w:r>
      <w:r>
        <w:rPr>
          <w:b/>
          <w:lang w:val="en-US"/>
        </w:rPr>
        <w:tab/>
        <w:t>Legal Standards</w:t>
      </w:r>
    </w:p>
    <w:p w:rsidR="00EE639F" w:rsidRDefault="00EE639F" w:rsidP="009E3632">
      <w:pPr>
        <w:pStyle w:val="BodyText2"/>
        <w:spacing w:after="0" w:line="360" w:lineRule="auto"/>
        <w:rPr>
          <w:lang w:val="en-US"/>
        </w:rPr>
      </w:pPr>
    </w:p>
    <w:p w:rsidR="00EE639F" w:rsidRPr="00EE639F" w:rsidRDefault="00EE639F" w:rsidP="009E3632">
      <w:pPr>
        <w:pStyle w:val="BodyText2"/>
        <w:spacing w:after="0" w:line="360" w:lineRule="auto"/>
        <w:rPr>
          <w:b/>
          <w:lang w:val="en-US"/>
        </w:rPr>
      </w:pPr>
      <w:r>
        <w:rPr>
          <w:lang w:val="en-US"/>
        </w:rPr>
        <w:tab/>
      </w:r>
      <w:r w:rsidRPr="00EE639F">
        <w:rPr>
          <w:b/>
          <w:lang w:val="en-US"/>
        </w:rPr>
        <w:t>1.</w:t>
      </w:r>
      <w:r w:rsidRPr="00EE639F">
        <w:rPr>
          <w:b/>
          <w:lang w:val="en-US"/>
        </w:rPr>
        <w:tab/>
        <w:t>Burden of Proof</w:t>
      </w:r>
    </w:p>
    <w:p w:rsidR="00EE639F" w:rsidRPr="00EE639F" w:rsidRDefault="00EE639F" w:rsidP="009E3632">
      <w:pPr>
        <w:pStyle w:val="BodyText2"/>
        <w:spacing w:after="0" w:line="360" w:lineRule="auto"/>
        <w:rPr>
          <w:lang w:val="en-US"/>
        </w:rPr>
      </w:pPr>
    </w:p>
    <w:p w:rsidR="00107561" w:rsidRDefault="00CC60E7" w:rsidP="00107561">
      <w:pPr>
        <w:spacing w:line="360" w:lineRule="auto"/>
        <w:ind w:firstLine="1440"/>
        <w:rPr>
          <w:color w:val="000000"/>
        </w:rPr>
      </w:pPr>
      <w:r w:rsidRPr="00244823">
        <w:rPr>
          <w:color w:val="000000"/>
        </w:rPr>
        <w:t xml:space="preserve">In this case, </w:t>
      </w:r>
      <w:r>
        <w:rPr>
          <w:color w:val="000000"/>
        </w:rPr>
        <w:t>Duquesne Light requests</w:t>
      </w:r>
      <w:r w:rsidRPr="00244823">
        <w:t xml:space="preserve"> the Commission approve </w:t>
      </w:r>
      <w:r>
        <w:t>its petition</w:t>
      </w:r>
      <w:r w:rsidRPr="00244823">
        <w:t xml:space="preserve"> establishing the proposed DSPs.</w:t>
      </w:r>
      <w:r>
        <w:t xml:space="preserve">  </w:t>
      </w:r>
      <w:r>
        <w:rPr>
          <w:color w:val="000000"/>
        </w:rPr>
        <w:t>Duquesne Light has</w:t>
      </w:r>
      <w:r w:rsidR="00C57D29" w:rsidRPr="00244823">
        <w:rPr>
          <w:color w:val="000000"/>
        </w:rPr>
        <w:t xml:space="preserve"> the burden of proof to establish </w:t>
      </w:r>
      <w:r>
        <w:rPr>
          <w:color w:val="000000"/>
        </w:rPr>
        <w:t>it is</w:t>
      </w:r>
      <w:r w:rsidR="00C57D29" w:rsidRPr="00244823">
        <w:rPr>
          <w:color w:val="000000"/>
        </w:rPr>
        <w:t xml:space="preserve"> entitled to the relief </w:t>
      </w:r>
      <w:r>
        <w:rPr>
          <w:color w:val="000000"/>
        </w:rPr>
        <w:t>sought, and it must meet that burden of proof by a preponderance of the</w:t>
      </w:r>
    </w:p>
    <w:p w:rsidR="00C57D29" w:rsidRDefault="00CC60E7" w:rsidP="00107561">
      <w:pPr>
        <w:spacing w:line="360" w:lineRule="auto"/>
        <w:rPr>
          <w:color w:val="000000"/>
        </w:rPr>
      </w:pPr>
      <w:r>
        <w:rPr>
          <w:color w:val="000000"/>
        </w:rPr>
        <w:lastRenderedPageBreak/>
        <w:t>evidence</w:t>
      </w:r>
      <w:r w:rsidR="00C57D29" w:rsidRPr="00244823">
        <w:rPr>
          <w:color w:val="000000"/>
        </w:rPr>
        <w:t>.</w:t>
      </w:r>
      <w:r>
        <w:rPr>
          <w:rStyle w:val="FootnoteReference"/>
          <w:color w:val="000000"/>
        </w:rPr>
        <w:footnoteReference w:id="4"/>
      </w:r>
      <w:r w:rsidR="00C57D29" w:rsidRPr="00244823">
        <w:rPr>
          <w:color w:val="000000"/>
        </w:rPr>
        <w:t xml:space="preserve">  To meet </w:t>
      </w:r>
      <w:r>
        <w:rPr>
          <w:color w:val="000000"/>
        </w:rPr>
        <w:t>that</w:t>
      </w:r>
      <w:r w:rsidR="00C57D29" w:rsidRPr="00244823">
        <w:rPr>
          <w:color w:val="000000"/>
        </w:rPr>
        <w:t xml:space="preserve"> burden of proof, </w:t>
      </w:r>
      <w:r>
        <w:rPr>
          <w:color w:val="000000"/>
        </w:rPr>
        <w:t>DLC</w:t>
      </w:r>
      <w:r w:rsidR="00C57D29" w:rsidRPr="00244823">
        <w:rPr>
          <w:color w:val="000000"/>
        </w:rPr>
        <w:t xml:space="preserve"> must present evidence more convincing, by even the smallest amount, than that presented by any opposing party.  </w:t>
      </w:r>
      <w:r w:rsidR="00AE6FA6" w:rsidRPr="00244823">
        <w:rPr>
          <w:color w:val="000000"/>
          <w:u w:val="single"/>
        </w:rPr>
        <w:t>Se-Ling Hosiery v. Margulies</w:t>
      </w:r>
      <w:r w:rsidR="00AE6FA6" w:rsidRPr="00244823">
        <w:rPr>
          <w:color w:val="000000"/>
        </w:rPr>
        <w:t xml:space="preserve">, 70 A.2d 854 (Pa. 1950).  </w:t>
      </w:r>
    </w:p>
    <w:p w:rsidR="00BC7E4E" w:rsidRDefault="00BC7E4E" w:rsidP="007A18C9">
      <w:pPr>
        <w:spacing w:line="360" w:lineRule="auto"/>
        <w:ind w:firstLine="1440"/>
        <w:rPr>
          <w:color w:val="000000"/>
        </w:rPr>
      </w:pPr>
    </w:p>
    <w:p w:rsidR="007A18C9" w:rsidRDefault="007A18C9" w:rsidP="007A18C9">
      <w:pPr>
        <w:pStyle w:val="BodyText2"/>
        <w:spacing w:after="0" w:line="360" w:lineRule="auto"/>
        <w:rPr>
          <w:lang w:val="en-US"/>
        </w:rPr>
      </w:pPr>
      <w:r>
        <w:rPr>
          <w:lang w:val="en-US"/>
        </w:rPr>
        <w:tab/>
      </w:r>
      <w:r>
        <w:rPr>
          <w:lang w:val="en-US"/>
        </w:rPr>
        <w:tab/>
      </w:r>
      <w:r>
        <w:t xml:space="preserve">Although Duquesne Light bears the burden of proving that its proposals are in the public interest, </w:t>
      </w:r>
      <w:r>
        <w:rPr>
          <w:lang w:val="en-US"/>
        </w:rPr>
        <w:t xml:space="preserve">any </w:t>
      </w:r>
      <w:r>
        <w:t xml:space="preserve">party </w:t>
      </w:r>
      <w:r>
        <w:rPr>
          <w:lang w:val="en-US"/>
        </w:rPr>
        <w:t xml:space="preserve">making a proposal contrary to DLC’s proposal carries the </w:t>
      </w:r>
      <w:r>
        <w:t xml:space="preserve">burden of proof as to </w:t>
      </w:r>
      <w:r>
        <w:rPr>
          <w:lang w:val="en-US"/>
        </w:rPr>
        <w:t>that contrary</w:t>
      </w:r>
      <w:r>
        <w:t xml:space="preserve"> proposal.</w:t>
      </w:r>
      <w:r>
        <w:rPr>
          <w:rStyle w:val="FootnoteReference"/>
        </w:rPr>
        <w:footnoteReference w:id="5"/>
      </w:r>
      <w:r>
        <w:t xml:space="preserve">  </w:t>
      </w:r>
      <w:r>
        <w:rPr>
          <w:lang w:val="en-US"/>
        </w:rPr>
        <w:t>T</w:t>
      </w:r>
      <w:r>
        <w:t>he Public Utility Code cannot reasonably be read to place the burden of pro</w:t>
      </w:r>
      <w:r>
        <w:rPr>
          <w:lang w:val="en-US"/>
        </w:rPr>
        <w:t xml:space="preserve">ving the legality/illegality or reasonableness/unreasonableness of a contrary </w:t>
      </w:r>
      <w:r>
        <w:t xml:space="preserve">proposal the </w:t>
      </w:r>
      <w:r w:rsidR="006A2CDA">
        <w:rPr>
          <w:lang w:val="en-US"/>
        </w:rPr>
        <w:t xml:space="preserve">public </w:t>
      </w:r>
      <w:r>
        <w:t>utility did not include in its filing and which</w:t>
      </w:r>
      <w:r>
        <w:rPr>
          <w:lang w:val="en-US"/>
        </w:rPr>
        <w:t xml:space="preserve"> the public utility most frequently would oppose</w:t>
      </w:r>
      <w:r>
        <w:t>.</w:t>
      </w:r>
      <w:r>
        <w:rPr>
          <w:rStyle w:val="FootnoteReference"/>
        </w:rPr>
        <w:footnoteReference w:id="6"/>
      </w:r>
      <w:r>
        <w:t xml:space="preserve">  </w:t>
      </w:r>
    </w:p>
    <w:p w:rsidR="007A18C9" w:rsidRDefault="007A18C9" w:rsidP="007A18C9">
      <w:pPr>
        <w:pStyle w:val="BodyText2"/>
        <w:spacing w:after="0" w:line="360" w:lineRule="auto"/>
        <w:rPr>
          <w:lang w:val="en-US"/>
        </w:rPr>
      </w:pPr>
    </w:p>
    <w:p w:rsidR="00EE639F" w:rsidRPr="00EE639F" w:rsidRDefault="00EE639F" w:rsidP="008E6311">
      <w:pPr>
        <w:pStyle w:val="BodyText2"/>
        <w:spacing w:after="0" w:line="360" w:lineRule="auto"/>
        <w:rPr>
          <w:b/>
          <w:lang w:val="en-US"/>
        </w:rPr>
      </w:pPr>
      <w:r>
        <w:rPr>
          <w:b/>
          <w:lang w:val="en-US"/>
        </w:rPr>
        <w:tab/>
        <w:t>2.</w:t>
      </w:r>
      <w:r>
        <w:rPr>
          <w:b/>
          <w:lang w:val="en-US"/>
        </w:rPr>
        <w:tab/>
        <w:t>Legal Standards Applicable to Default Service Plans</w:t>
      </w:r>
    </w:p>
    <w:p w:rsidR="00EE639F" w:rsidRPr="00EE639F" w:rsidRDefault="00EE639F" w:rsidP="008E6311">
      <w:pPr>
        <w:pStyle w:val="BodyText2"/>
        <w:spacing w:after="0" w:line="360" w:lineRule="auto"/>
        <w:rPr>
          <w:b/>
          <w:u w:val="single"/>
          <w:lang w:val="en-US"/>
        </w:rPr>
      </w:pPr>
    </w:p>
    <w:p w:rsidR="00B1213A" w:rsidRDefault="00215ED3" w:rsidP="008E6311">
      <w:pPr>
        <w:pStyle w:val="BodyText2"/>
        <w:spacing w:after="0" w:line="360" w:lineRule="auto"/>
        <w:ind w:firstLine="1440"/>
        <w:rPr>
          <w:lang w:val="en-US"/>
        </w:rPr>
      </w:pPr>
      <w:r w:rsidRPr="00244823">
        <w:t xml:space="preserve">The </w:t>
      </w:r>
      <w:r w:rsidR="008E242A" w:rsidRPr="00244823">
        <w:t xml:space="preserve">Electricity Generation Customer Choice and </w:t>
      </w:r>
      <w:r w:rsidRPr="00244823">
        <w:t>Competition Act</w:t>
      </w:r>
      <w:r w:rsidRPr="00244823">
        <w:rPr>
          <w:rStyle w:val="FootnoteReference"/>
        </w:rPr>
        <w:footnoteReference w:id="7"/>
      </w:r>
      <w:r w:rsidRPr="00244823">
        <w:t xml:space="preserve"> (Act</w:t>
      </w:r>
      <w:r w:rsidR="00210F1C">
        <w:rPr>
          <w:lang w:val="en-US"/>
        </w:rPr>
        <w:t xml:space="preserve"> 138</w:t>
      </w:r>
      <w:r w:rsidRPr="00244823">
        <w:t>)</w:t>
      </w:r>
      <w:r w:rsidR="00CE2910">
        <w:rPr>
          <w:lang w:val="en-US"/>
        </w:rPr>
        <w:t xml:space="preserve"> does not specify a specific default service rate design methodology in its requirement that</w:t>
      </w:r>
      <w:r w:rsidRPr="00244823">
        <w:t xml:space="preserve"> default service providers acquire electric energy through a “prudent mix” of resources designed:</w:t>
      </w:r>
      <w:r w:rsidR="00F92CBB">
        <w:rPr>
          <w:lang w:val="en-US"/>
        </w:rPr>
        <w:t xml:space="preserve"> </w:t>
      </w:r>
      <w:r w:rsidRPr="00244823">
        <w:t xml:space="preserve"> (i) to provide adequate and reliable service; (ii) to provide the least cost to customers over time; and (iii) to achieve these results through competitive processes</w:t>
      </w:r>
      <w:r w:rsidR="00CE2910">
        <w:rPr>
          <w:lang w:val="en-US"/>
        </w:rPr>
        <w:t>, including</w:t>
      </w:r>
      <w:r w:rsidRPr="00244823">
        <w:t xml:space="preserve"> auctions, requests for proposals and/or bilateral agreements.</w:t>
      </w:r>
      <w:r w:rsidR="00CE2910">
        <w:rPr>
          <w:rStyle w:val="FootnoteReference"/>
        </w:rPr>
        <w:footnoteReference w:id="8"/>
      </w:r>
      <w:r w:rsidR="00CE2910">
        <w:rPr>
          <w:lang w:val="en-US"/>
        </w:rPr>
        <w:t xml:space="preserve">  Based </w:t>
      </w:r>
      <w:r w:rsidR="00CE2910" w:rsidRPr="00244823">
        <w:t xml:space="preserve">on the legislative finding that “competitive market forces are more effective than economic regulation in controlling the cost of generating </w:t>
      </w:r>
    </w:p>
    <w:p w:rsidR="00B1213A" w:rsidRDefault="00B1213A" w:rsidP="008E6311">
      <w:pPr>
        <w:pStyle w:val="BodyText2"/>
        <w:spacing w:after="0" w:line="360" w:lineRule="auto"/>
        <w:ind w:firstLine="1440"/>
        <w:rPr>
          <w:lang w:val="en-US"/>
        </w:rPr>
      </w:pPr>
    </w:p>
    <w:p w:rsidR="00215ED3" w:rsidRDefault="00CE2910" w:rsidP="00B1213A">
      <w:pPr>
        <w:pStyle w:val="BodyText2"/>
        <w:spacing w:after="0" w:line="360" w:lineRule="auto"/>
        <w:rPr>
          <w:lang w:val="en-US"/>
        </w:rPr>
      </w:pPr>
      <w:r w:rsidRPr="00244823">
        <w:lastRenderedPageBreak/>
        <w:t>electricity</w:t>
      </w:r>
      <w:r>
        <w:rPr>
          <w:lang w:val="en-US"/>
        </w:rPr>
        <w:t>,”</w:t>
      </w:r>
      <w:r>
        <w:rPr>
          <w:rStyle w:val="FootnoteReference"/>
          <w:lang w:val="en-US"/>
        </w:rPr>
        <w:footnoteReference w:id="9"/>
      </w:r>
      <w:r>
        <w:rPr>
          <w:lang w:val="en-US"/>
        </w:rPr>
        <w:t xml:space="preserve"> Act</w:t>
      </w:r>
      <w:r w:rsidR="00210F1C">
        <w:rPr>
          <w:lang w:val="en-US"/>
        </w:rPr>
        <w:t xml:space="preserve"> 138</w:t>
      </w:r>
      <w:r>
        <w:rPr>
          <w:lang w:val="en-US"/>
        </w:rPr>
        <w:t xml:space="preserve"> mandates </w:t>
      </w:r>
      <w:r w:rsidR="00215ED3" w:rsidRPr="00244823">
        <w:t>that customers have direct access to a competi</w:t>
      </w:r>
      <w:r>
        <w:t>tive retail generation market.</w:t>
      </w:r>
      <w:r>
        <w:rPr>
          <w:rStyle w:val="FootnoteReference"/>
        </w:rPr>
        <w:footnoteReference w:id="10"/>
      </w:r>
      <w:r w:rsidR="00215ED3" w:rsidRPr="00244823">
        <w:t xml:space="preserve">  </w:t>
      </w:r>
    </w:p>
    <w:p w:rsidR="00CD4B1C" w:rsidRPr="00CD4B1C" w:rsidRDefault="00CD4B1C" w:rsidP="00B1213A">
      <w:pPr>
        <w:pStyle w:val="BodyText2"/>
        <w:spacing w:after="0" w:line="360" w:lineRule="auto"/>
        <w:rPr>
          <w:lang w:val="en-US"/>
        </w:rPr>
      </w:pPr>
    </w:p>
    <w:p w:rsidR="00215ED3" w:rsidRPr="00244823" w:rsidRDefault="00215ED3" w:rsidP="008E6311">
      <w:pPr>
        <w:pStyle w:val="BodyText2"/>
        <w:spacing w:after="0" w:line="360" w:lineRule="auto"/>
        <w:ind w:firstLine="1440"/>
      </w:pPr>
      <w:r w:rsidRPr="00244823">
        <w:t xml:space="preserve">In </w:t>
      </w:r>
      <w:r w:rsidR="000B25FF">
        <w:rPr>
          <w:lang w:val="en-US"/>
        </w:rPr>
        <w:t>response</w:t>
      </w:r>
      <w:r w:rsidRPr="00244823">
        <w:t>, the Commission enacted default service regulations</w:t>
      </w:r>
      <w:r w:rsidR="000B25FF">
        <w:rPr>
          <w:lang w:val="en-US"/>
        </w:rPr>
        <w:t xml:space="preserve"> in 2007 at</w:t>
      </w:r>
      <w:r w:rsidRPr="00244823">
        <w:t xml:space="preserve"> 52 Pa. Code </w:t>
      </w:r>
      <w:r w:rsidR="000B25FF">
        <w:rPr>
          <w:lang w:val="en-US"/>
        </w:rPr>
        <w:t xml:space="preserve">Sections </w:t>
      </w:r>
      <w:r w:rsidRPr="00244823">
        <w:t xml:space="preserve">54.181 to 54.189, and </w:t>
      </w:r>
      <w:r w:rsidR="000B25FF">
        <w:rPr>
          <w:lang w:val="en-US"/>
        </w:rPr>
        <w:t xml:space="preserve">issued </w:t>
      </w:r>
      <w:r w:rsidRPr="00244823">
        <w:t>a policy statement</w:t>
      </w:r>
      <w:r w:rsidR="000B25FF">
        <w:rPr>
          <w:lang w:val="en-US"/>
        </w:rPr>
        <w:t xml:space="preserve"> at</w:t>
      </w:r>
      <w:r w:rsidRPr="00244823">
        <w:t xml:space="preserve"> 52 Pa. Code </w:t>
      </w:r>
      <w:r w:rsidR="000B25FF">
        <w:rPr>
          <w:lang w:val="en-US"/>
        </w:rPr>
        <w:t>Sections</w:t>
      </w:r>
      <w:r w:rsidRPr="00244823">
        <w:t xml:space="preserve"> 69.1802 to 69.1817, </w:t>
      </w:r>
      <w:r w:rsidR="000B25FF">
        <w:rPr>
          <w:lang w:val="en-US"/>
        </w:rPr>
        <w:t xml:space="preserve">to </w:t>
      </w:r>
      <w:r w:rsidRPr="00244823">
        <w:t xml:space="preserve">address default service plans.  The regulations </w:t>
      </w:r>
      <w:r w:rsidR="000B25FF">
        <w:rPr>
          <w:lang w:val="en-US"/>
        </w:rPr>
        <w:t>recently were</w:t>
      </w:r>
      <w:r w:rsidRPr="00244823">
        <w:t xml:space="preserve"> amended to incorporate the Act 129</w:t>
      </w:r>
      <w:r w:rsidR="00210F1C">
        <w:rPr>
          <w:rStyle w:val="FootnoteReference"/>
        </w:rPr>
        <w:footnoteReference w:id="11"/>
      </w:r>
      <w:r w:rsidRPr="00244823">
        <w:t xml:space="preserve"> amendments </w:t>
      </w:r>
      <w:r w:rsidR="00210F1C">
        <w:rPr>
          <w:lang w:val="en-US"/>
        </w:rPr>
        <w:t>into Act 138</w:t>
      </w:r>
      <w:r w:rsidRPr="00244823">
        <w:t>.</w:t>
      </w:r>
      <w:r w:rsidR="000B25FF">
        <w:rPr>
          <w:rStyle w:val="FootnoteReference"/>
        </w:rPr>
        <w:footnoteReference w:id="12"/>
      </w:r>
      <w:r w:rsidRPr="00244823">
        <w:t xml:space="preserve">  </w:t>
      </w:r>
    </w:p>
    <w:p w:rsidR="00215ED3" w:rsidRPr="00244823" w:rsidRDefault="00215ED3" w:rsidP="008E6311">
      <w:pPr>
        <w:autoSpaceDE/>
        <w:autoSpaceDN/>
        <w:spacing w:line="360" w:lineRule="auto"/>
      </w:pPr>
    </w:p>
    <w:p w:rsidR="00215ED3" w:rsidRPr="00244823" w:rsidRDefault="005D0E9C" w:rsidP="008E242A">
      <w:pPr>
        <w:spacing w:line="360" w:lineRule="auto"/>
        <w:ind w:firstLine="720"/>
        <w:rPr>
          <w:bCs/>
        </w:rPr>
      </w:pPr>
      <w:r>
        <w:rPr>
          <w:b/>
          <w:bCs/>
        </w:rPr>
        <w:t>3.</w:t>
      </w:r>
      <w:r>
        <w:rPr>
          <w:b/>
          <w:bCs/>
        </w:rPr>
        <w:tab/>
      </w:r>
      <w:r w:rsidR="00215ED3" w:rsidRPr="00244823">
        <w:rPr>
          <w:b/>
          <w:bCs/>
        </w:rPr>
        <w:t>Act 129</w:t>
      </w:r>
    </w:p>
    <w:p w:rsidR="00215ED3" w:rsidRPr="00244823" w:rsidRDefault="00215ED3" w:rsidP="008E242A">
      <w:pPr>
        <w:spacing w:line="360" w:lineRule="auto"/>
        <w:rPr>
          <w:bCs/>
        </w:rPr>
      </w:pPr>
    </w:p>
    <w:p w:rsidR="008E242A" w:rsidRDefault="008E242A" w:rsidP="008E242A">
      <w:pPr>
        <w:pStyle w:val="BodyText2"/>
        <w:spacing w:after="0" w:line="360" w:lineRule="auto"/>
        <w:rPr>
          <w:lang w:val="en-US"/>
        </w:rPr>
      </w:pPr>
      <w:r>
        <w:rPr>
          <w:lang w:val="en-US"/>
        </w:rPr>
        <w:tab/>
      </w:r>
      <w:r>
        <w:rPr>
          <w:lang w:val="en-US"/>
        </w:rPr>
        <w:tab/>
        <w:t xml:space="preserve">As an electric distribution company and a default service provider, </w:t>
      </w:r>
      <w:r>
        <w:t xml:space="preserve">Duquesne Light is obligated to provide electric generation supply service to customers </w:t>
      </w:r>
      <w:r>
        <w:rPr>
          <w:lang w:val="en-US"/>
        </w:rPr>
        <w:t>who</w:t>
      </w:r>
      <w:r>
        <w:t xml:space="preserve"> do not choose an EGS </w:t>
      </w:r>
      <w:r>
        <w:rPr>
          <w:lang w:val="en-US"/>
        </w:rPr>
        <w:t>as well as</w:t>
      </w:r>
      <w:r>
        <w:t xml:space="preserve"> to customers </w:t>
      </w:r>
      <w:r>
        <w:rPr>
          <w:lang w:val="en-US"/>
        </w:rPr>
        <w:t>who</w:t>
      </w:r>
      <w:r>
        <w:t xml:space="preserve"> contract with an EGS for supply service if the chosen EGS does not provide the service.</w:t>
      </w:r>
      <w:r>
        <w:rPr>
          <w:rStyle w:val="FootnoteReference"/>
        </w:rPr>
        <w:footnoteReference w:id="13"/>
      </w:r>
      <w:r>
        <w:t xml:space="preserve">  </w:t>
      </w:r>
      <w:r>
        <w:rPr>
          <w:lang w:val="en-US"/>
        </w:rPr>
        <w:t xml:space="preserve">Accordingly, </w:t>
      </w:r>
      <w:r w:rsidR="000B25FF">
        <w:rPr>
          <w:bCs/>
        </w:rPr>
        <w:t>Duquesne Light must prove</w:t>
      </w:r>
      <w:r w:rsidR="00215ED3" w:rsidRPr="00244823">
        <w:rPr>
          <w:bCs/>
        </w:rPr>
        <w:t xml:space="preserve"> its proposed default service plan is in compliance with Act 129</w:t>
      </w:r>
      <w:r w:rsidR="000B25FF">
        <w:rPr>
          <w:bCs/>
        </w:rPr>
        <w:t xml:space="preserve"> and with t</w:t>
      </w:r>
      <w:r w:rsidR="00215ED3" w:rsidRPr="00244823">
        <w:t xml:space="preserve">he policy goals </w:t>
      </w:r>
      <w:r w:rsidR="000B25FF">
        <w:t xml:space="preserve">established in Act 129.  </w:t>
      </w:r>
    </w:p>
    <w:p w:rsidR="008E242A" w:rsidRDefault="008E242A" w:rsidP="008E242A">
      <w:pPr>
        <w:pStyle w:val="BodyText2"/>
        <w:spacing w:after="0" w:line="360" w:lineRule="auto"/>
        <w:rPr>
          <w:lang w:val="en-US"/>
        </w:rPr>
      </w:pPr>
    </w:p>
    <w:p w:rsidR="00215ED3" w:rsidRPr="00244823" w:rsidRDefault="008E242A" w:rsidP="008E242A">
      <w:pPr>
        <w:pStyle w:val="BodyText2"/>
        <w:spacing w:after="0" w:line="360" w:lineRule="auto"/>
      </w:pPr>
      <w:r>
        <w:rPr>
          <w:lang w:val="en-US"/>
        </w:rPr>
        <w:tab/>
      </w:r>
      <w:r>
        <w:rPr>
          <w:lang w:val="en-US"/>
        </w:rPr>
        <w:tab/>
      </w:r>
      <w:r w:rsidR="000B25FF">
        <w:t>Price stability i</w:t>
      </w:r>
      <w:r w:rsidR="00215ED3" w:rsidRPr="00244823">
        <w:t>s a key concern to be addressed</w:t>
      </w:r>
      <w:r w:rsidR="000B25FF">
        <w:t xml:space="preserve"> in this proceeding by Duquesne Light, if its petition is to be approved</w:t>
      </w:r>
      <w:r w:rsidR="00215ED3" w:rsidRPr="00244823">
        <w:t>.</w:t>
      </w:r>
      <w:r w:rsidR="000B25FF">
        <w:rPr>
          <w:rStyle w:val="FootnoteReference"/>
        </w:rPr>
        <w:footnoteReference w:id="14"/>
      </w:r>
      <w:r w:rsidR="00215ED3" w:rsidRPr="00244823">
        <w:t xml:space="preserve">  The General </w:t>
      </w:r>
      <w:r w:rsidR="000B25FF">
        <w:t>Assembly made the following pertinent statements concerning price stability within the Preamble to Act 129</w:t>
      </w:r>
      <w:r w:rsidR="00215ED3" w:rsidRPr="00244823">
        <w:t xml:space="preserve">:  </w:t>
      </w:r>
    </w:p>
    <w:p w:rsidR="00215ED3" w:rsidRPr="00244823" w:rsidRDefault="00215ED3" w:rsidP="008E6311">
      <w:pPr>
        <w:ind w:left="1440" w:right="1440"/>
      </w:pPr>
    </w:p>
    <w:p w:rsidR="00215ED3" w:rsidRPr="00244823" w:rsidRDefault="00215ED3" w:rsidP="008E6311">
      <w:pPr>
        <w:ind w:left="2160" w:right="2160"/>
      </w:pPr>
      <w:r w:rsidRPr="00244823">
        <w:t>(1)</w:t>
      </w:r>
      <w:r w:rsidRPr="00244823">
        <w:tab/>
        <w:t xml:space="preserve">The health, safety and prosperity of all citizens of this Commonwealth are inherently dependent upon the availability of adequate, reliable, affordable, efficient and environmentally </w:t>
      </w:r>
      <w:r w:rsidRPr="00244823">
        <w:lastRenderedPageBreak/>
        <w:t xml:space="preserve">sustainable electric service at the least cost, </w:t>
      </w:r>
      <w:r w:rsidRPr="00244823">
        <w:rPr>
          <w:i/>
        </w:rPr>
        <w:t>taking into account any benefits of price stability over time</w:t>
      </w:r>
      <w:r w:rsidRPr="00244823">
        <w:t xml:space="preserve"> and the impact on the environment.</w:t>
      </w:r>
    </w:p>
    <w:p w:rsidR="00215ED3" w:rsidRPr="00244823" w:rsidRDefault="00215ED3" w:rsidP="008E6311">
      <w:pPr>
        <w:ind w:left="1440" w:right="1440"/>
      </w:pPr>
    </w:p>
    <w:p w:rsidR="00215ED3" w:rsidRPr="00244823" w:rsidRDefault="00215ED3" w:rsidP="000B25FF">
      <w:pPr>
        <w:ind w:left="2160" w:right="2160"/>
      </w:pPr>
      <w:r w:rsidRPr="00244823">
        <w:t>(2)</w:t>
      </w:r>
      <w:r w:rsidRPr="00244823">
        <w:tab/>
        <w:t xml:space="preserve">It is in the public interest to adopt energy efficiency and conservation measures and to implement energy procurement requirements designed to </w:t>
      </w:r>
      <w:r w:rsidRPr="00244823">
        <w:rPr>
          <w:i/>
        </w:rPr>
        <w:t>ensure that electricity obtained reduces the possibility of electric price instability</w:t>
      </w:r>
      <w:r w:rsidRPr="00244823">
        <w:t>, promotes economic growth and ensures affordable and available electric service to all residents.</w:t>
      </w:r>
      <w:r w:rsidR="008E242A">
        <w:rPr>
          <w:rStyle w:val="FootnoteReference"/>
        </w:rPr>
        <w:footnoteReference w:id="15"/>
      </w:r>
    </w:p>
    <w:p w:rsidR="00694BE9" w:rsidRDefault="00694BE9" w:rsidP="008E6311">
      <w:pPr>
        <w:spacing w:line="360" w:lineRule="auto"/>
      </w:pPr>
    </w:p>
    <w:p w:rsidR="00215ED3" w:rsidRPr="00244823" w:rsidRDefault="000B25FF" w:rsidP="00694BE9">
      <w:pPr>
        <w:spacing w:line="360" w:lineRule="auto"/>
        <w:ind w:firstLine="1440"/>
      </w:pPr>
      <w:r>
        <w:t xml:space="preserve">Therefore, </w:t>
      </w:r>
      <w:r w:rsidR="00215ED3" w:rsidRPr="00244823">
        <w:t xml:space="preserve">default service providers </w:t>
      </w:r>
      <w:r>
        <w:t>must endeavor</w:t>
      </w:r>
      <w:r w:rsidR="00215ED3" w:rsidRPr="00244823">
        <w:t xml:space="preserve"> to ensure price stability</w:t>
      </w:r>
      <w:r>
        <w:t xml:space="preserve"> and design a </w:t>
      </w:r>
      <w:r w:rsidR="00215ED3" w:rsidRPr="00244823">
        <w:t>default service</w:t>
      </w:r>
      <w:r>
        <w:t xml:space="preserve"> plan that will</w:t>
      </w:r>
      <w:r w:rsidR="00215ED3" w:rsidRPr="00244823">
        <w:t xml:space="preserve"> be adequate, reliable, affordable, efficient, and available</w:t>
      </w:r>
      <w:r>
        <w:t xml:space="preserve">, using </w:t>
      </w:r>
      <w:r w:rsidR="00215ED3" w:rsidRPr="00244823">
        <w:t xml:space="preserve">a series of policy objectives that each EDC must work to achieve through its default service plan.  </w:t>
      </w:r>
      <w:r w:rsidR="00215ED3" w:rsidRPr="00244823">
        <w:tab/>
      </w:r>
    </w:p>
    <w:p w:rsidR="00215ED3" w:rsidRPr="00244823" w:rsidRDefault="00215ED3" w:rsidP="008E6311">
      <w:pPr>
        <w:spacing w:line="360" w:lineRule="auto"/>
      </w:pPr>
    </w:p>
    <w:p w:rsidR="00215ED3" w:rsidRPr="00244823" w:rsidRDefault="00215ED3" w:rsidP="008E6311">
      <w:pPr>
        <w:spacing w:line="360" w:lineRule="auto"/>
      </w:pPr>
      <w:r w:rsidRPr="00244823">
        <w:tab/>
      </w:r>
      <w:r w:rsidR="0098258E" w:rsidRPr="00244823">
        <w:tab/>
      </w:r>
      <w:r w:rsidRPr="00244823">
        <w:t xml:space="preserve">The legal framework for default service is further defined in Act 129 and the Commission’s Regulations, and is set forth in detail in Section 2807(e) </w:t>
      </w:r>
      <w:r w:rsidRPr="00244823">
        <w:rPr>
          <w:u w:val="single"/>
        </w:rPr>
        <w:t>Obligation to serve</w:t>
      </w:r>
      <w:r w:rsidRPr="00244823">
        <w:t>.  66 Pa. C.S.</w:t>
      </w:r>
      <w:r w:rsidR="00603978">
        <w:t>A.</w:t>
      </w:r>
      <w:r w:rsidRPr="00244823">
        <w:t xml:space="preserve"> §2807(e).  </w:t>
      </w:r>
      <w:r w:rsidR="00AB3DBD">
        <w:t>Pursuant to</w:t>
      </w:r>
      <w:r w:rsidRPr="00244823">
        <w:t xml:space="preserve"> Section 2807, </w:t>
      </w:r>
      <w:r w:rsidR="00AB3DBD">
        <w:t>DLC must</w:t>
      </w:r>
      <w:r w:rsidRPr="00244823">
        <w:t xml:space="preserve"> provide electric generation supply service to all def</w:t>
      </w:r>
      <w:r w:rsidR="00CB37DE">
        <w:t xml:space="preserve">ault service customers through </w:t>
      </w:r>
      <w:r w:rsidRPr="00244823">
        <w:t>Commission-approved competitive procurement plans</w:t>
      </w:r>
      <w:r w:rsidR="00AB3DBD">
        <w:rPr>
          <w:rStyle w:val="FootnoteReference"/>
        </w:rPr>
        <w:footnoteReference w:id="16"/>
      </w:r>
      <w:r w:rsidR="00AB3DBD">
        <w:t>, with</w:t>
      </w:r>
      <w:r w:rsidRPr="00244823">
        <w:t xml:space="preserve"> generation procured through competitive procurement processes, such as auctions, requests for proposals, and bilateral agreements.</w:t>
      </w:r>
      <w:r w:rsidR="00AB3DBD">
        <w:rPr>
          <w:rStyle w:val="FootnoteReference"/>
        </w:rPr>
        <w:footnoteReference w:id="17"/>
      </w:r>
      <w:r w:rsidRPr="00244823">
        <w:t xml:space="preserve">  </w:t>
      </w:r>
    </w:p>
    <w:p w:rsidR="00215ED3" w:rsidRPr="00244823" w:rsidRDefault="00215ED3" w:rsidP="008E6311">
      <w:pPr>
        <w:spacing w:line="360" w:lineRule="auto"/>
      </w:pPr>
    </w:p>
    <w:p w:rsidR="00215ED3" w:rsidRPr="00244823" w:rsidRDefault="00AB3DBD" w:rsidP="006E7416">
      <w:pPr>
        <w:spacing w:line="360" w:lineRule="auto"/>
        <w:ind w:firstLine="1440"/>
      </w:pPr>
      <w:r>
        <w:t xml:space="preserve">Pursuant to Act 129, a default service provider, such as DLC, must utilize </w:t>
      </w:r>
      <w:r w:rsidR="00215ED3" w:rsidRPr="00244823">
        <w:t xml:space="preserve">a prudent mix of </w:t>
      </w:r>
      <w:r w:rsidR="00215ED3" w:rsidRPr="00AB3DBD">
        <w:rPr>
          <w:u w:val="single"/>
        </w:rPr>
        <w:t>procurement methods</w:t>
      </w:r>
      <w:r w:rsidR="00215ED3" w:rsidRPr="00244823">
        <w:t xml:space="preserve"> </w:t>
      </w:r>
      <w:r>
        <w:t>to include</w:t>
      </w:r>
      <w:r w:rsidR="00215ED3" w:rsidRPr="00244823">
        <w:t>:</w:t>
      </w:r>
      <w:r w:rsidR="009814C2">
        <w:t xml:space="preserve"> </w:t>
      </w:r>
      <w:r>
        <w:t xml:space="preserve"> (1) spot market purchases; (2) s</w:t>
      </w:r>
      <w:r w:rsidR="00215ED3" w:rsidRPr="00244823">
        <w:t>hort-term contract</w:t>
      </w:r>
      <w:r>
        <w:t xml:space="preserve">s; and </w:t>
      </w:r>
      <w:r w:rsidR="000F4767">
        <w:t xml:space="preserve">(3) </w:t>
      </w:r>
      <w:r>
        <w:t>l</w:t>
      </w:r>
      <w:r w:rsidR="00215ED3" w:rsidRPr="00244823">
        <w:t>ong-term purchase contracts, entered into as a result of an auction, request for proposal or bilateral contract that is free of undue influence, duress or favoritism, of more than four and not more than 20 years.</w:t>
      </w:r>
      <w:r>
        <w:rPr>
          <w:rStyle w:val="FootnoteReference"/>
        </w:rPr>
        <w:footnoteReference w:id="18"/>
      </w:r>
      <w:r>
        <w:t xml:space="preserve">  In addition, a default service provider must </w:t>
      </w:r>
      <w:r w:rsidR="00215ED3" w:rsidRPr="00244823">
        <w:t xml:space="preserve">include a prudent mix of the </w:t>
      </w:r>
      <w:r w:rsidR="00215ED3" w:rsidRPr="00AB3DBD">
        <w:rPr>
          <w:u w:val="single"/>
        </w:rPr>
        <w:t>various types of contracts</w:t>
      </w:r>
      <w:r>
        <w:t xml:space="preserve"> and that</w:t>
      </w:r>
      <w:r w:rsidR="00215ED3" w:rsidRPr="00244823">
        <w:t xml:space="preserve"> mix of contracts must be designed to achieve </w:t>
      </w:r>
      <w:r w:rsidR="00215ED3" w:rsidRPr="00AB3DBD">
        <w:rPr>
          <w:u w:val="single"/>
        </w:rPr>
        <w:lastRenderedPageBreak/>
        <w:t>certain goals</w:t>
      </w:r>
      <w:r w:rsidR="00215ED3" w:rsidRPr="00244823">
        <w:t xml:space="preserve">, </w:t>
      </w:r>
      <w:r w:rsidR="006E7416">
        <w:t xml:space="preserve">including: </w:t>
      </w:r>
      <w:r w:rsidR="00422F6D">
        <w:t xml:space="preserve"> </w:t>
      </w:r>
      <w:r w:rsidR="006E7416">
        <w:t>(1) a</w:t>
      </w:r>
      <w:r w:rsidR="00215ED3" w:rsidRPr="00244823">
        <w:t>dequate and reliable service</w:t>
      </w:r>
      <w:r w:rsidR="006E7416">
        <w:t>; (2) t</w:t>
      </w:r>
      <w:r w:rsidR="00215ED3" w:rsidRPr="00244823">
        <w:t>he le</w:t>
      </w:r>
      <w:r w:rsidR="006E7416">
        <w:t>ast cost to customers over time; and (3) c</w:t>
      </w:r>
      <w:r w:rsidR="00215ED3" w:rsidRPr="00244823">
        <w:t>ompliance with the requirements of paragraph (3.1).</w:t>
      </w:r>
      <w:r w:rsidR="006E7416">
        <w:rPr>
          <w:rStyle w:val="FootnoteReference"/>
        </w:rPr>
        <w:footnoteReference w:id="19"/>
      </w:r>
    </w:p>
    <w:p w:rsidR="00215ED3" w:rsidRPr="00244823" w:rsidRDefault="00215ED3" w:rsidP="008E6311">
      <w:pPr>
        <w:ind w:left="1440" w:right="1440"/>
      </w:pPr>
    </w:p>
    <w:p w:rsidR="00215ED3" w:rsidRPr="00244823" w:rsidRDefault="00215ED3" w:rsidP="008E6311">
      <w:pPr>
        <w:spacing w:line="360" w:lineRule="auto"/>
      </w:pPr>
      <w:r w:rsidRPr="00244823">
        <w:tab/>
      </w:r>
      <w:r w:rsidR="0098258E" w:rsidRPr="00244823">
        <w:tab/>
      </w:r>
      <w:r w:rsidR="006E7416">
        <w:t>Therefore, when petitioned by a public utility, as occurred in this proceeding, the</w:t>
      </w:r>
      <w:r w:rsidRPr="00244823">
        <w:t xml:space="preserve"> Commission </w:t>
      </w:r>
      <w:r w:rsidR="006E7416">
        <w:t xml:space="preserve">must </w:t>
      </w:r>
      <w:r w:rsidRPr="00244823">
        <w:t>evaluate whether the default supplier’s plan meets the requirements of Act</w:t>
      </w:r>
      <w:r w:rsidR="009A0061">
        <w:t> </w:t>
      </w:r>
      <w:r w:rsidR="00C10B97">
        <w:t>129</w:t>
      </w:r>
      <w:r w:rsidRPr="00244823">
        <w:t>.  The Commission must take several factors into consideration</w:t>
      </w:r>
      <w:r w:rsidR="006E7416">
        <w:t xml:space="preserve"> and specify whether </w:t>
      </w:r>
      <w:r w:rsidRPr="00244823">
        <w:t>the default supplier’s plan meets the requirements of the Act</w:t>
      </w:r>
      <w:r w:rsidR="006E7416">
        <w:t>.  Specifically, the Commission must determine if the plan will obtain the least cost generation supply while continuing to provide adequate and reliable service along with a prudent mix of contracts on a long-term, short-term and spot market basis.  Specifically, the Act requires the Commission to make the following specific findings prior to approving any default supply plan</w:t>
      </w:r>
      <w:r w:rsidRPr="00244823">
        <w:t>:</w:t>
      </w:r>
    </w:p>
    <w:p w:rsidR="00215ED3" w:rsidRPr="00244823" w:rsidRDefault="00215ED3" w:rsidP="008E6311">
      <w:pPr>
        <w:ind w:left="2160" w:right="2160"/>
      </w:pPr>
    </w:p>
    <w:p w:rsidR="00215ED3" w:rsidRPr="00244823" w:rsidRDefault="00215ED3" w:rsidP="00764553">
      <w:pPr>
        <w:numPr>
          <w:ilvl w:val="0"/>
          <w:numId w:val="3"/>
        </w:numPr>
        <w:ind w:right="2160" w:firstLine="0"/>
      </w:pPr>
      <w:r w:rsidRPr="00244823">
        <w:t xml:space="preserve">The default service provider’s plan includes prudent steps necessary to negotiate favorable generation supply contracts.  </w:t>
      </w:r>
    </w:p>
    <w:p w:rsidR="00215ED3" w:rsidRPr="00244823" w:rsidRDefault="00215ED3" w:rsidP="008E6311">
      <w:pPr>
        <w:ind w:left="2160" w:right="2160"/>
      </w:pPr>
    </w:p>
    <w:p w:rsidR="00215ED3" w:rsidRPr="00244823" w:rsidRDefault="00215ED3" w:rsidP="00764553">
      <w:pPr>
        <w:numPr>
          <w:ilvl w:val="0"/>
          <w:numId w:val="3"/>
        </w:numPr>
        <w:ind w:right="2160" w:firstLine="0"/>
      </w:pPr>
      <w:r w:rsidRPr="00244823">
        <w:t>The default service provider’s plan includes prudent steps necessary to obtain least cost generation supply contracts on a long-term, short-term and spot market basis.</w:t>
      </w:r>
    </w:p>
    <w:p w:rsidR="00215ED3" w:rsidRPr="00244823" w:rsidRDefault="00215ED3" w:rsidP="008E6311">
      <w:pPr>
        <w:ind w:left="2160" w:right="2160"/>
      </w:pPr>
    </w:p>
    <w:p w:rsidR="00215ED3" w:rsidRPr="00244823" w:rsidRDefault="00215ED3" w:rsidP="00764553">
      <w:pPr>
        <w:numPr>
          <w:ilvl w:val="0"/>
          <w:numId w:val="3"/>
        </w:numPr>
        <w:ind w:right="2160" w:firstLine="0"/>
      </w:pPr>
      <w:r w:rsidRPr="00244823">
        <w:t>Neither the default service provider nor its affiliated interest has withheld from the market any generation supply in a manner that violates Federal law.</w:t>
      </w:r>
      <w:r w:rsidR="006E7416">
        <w:rPr>
          <w:rStyle w:val="FootnoteReference"/>
        </w:rPr>
        <w:footnoteReference w:id="20"/>
      </w:r>
    </w:p>
    <w:p w:rsidR="00215ED3" w:rsidRPr="00244823" w:rsidRDefault="00215ED3" w:rsidP="008E6311">
      <w:pPr>
        <w:ind w:left="1440" w:right="1440"/>
      </w:pPr>
    </w:p>
    <w:p w:rsidR="00215ED3" w:rsidRPr="00244823" w:rsidRDefault="00215ED3" w:rsidP="00536F41">
      <w:pPr>
        <w:spacing w:line="360" w:lineRule="auto"/>
        <w:ind w:right="1440"/>
      </w:pPr>
      <w:r w:rsidRPr="00244823">
        <w:t xml:space="preserve">  </w:t>
      </w:r>
    </w:p>
    <w:p w:rsidR="009666DA" w:rsidRDefault="006E7416" w:rsidP="006E7416">
      <w:pPr>
        <w:spacing w:line="360" w:lineRule="auto"/>
        <w:ind w:firstLine="1440"/>
      </w:pPr>
      <w:r>
        <w:t>E</w:t>
      </w:r>
      <w:r w:rsidR="00215ED3" w:rsidRPr="00244823">
        <w:t xml:space="preserve">ach </w:t>
      </w:r>
      <w:r>
        <w:t>electric distribution company must</w:t>
      </w:r>
      <w:r w:rsidR="00215ED3" w:rsidRPr="00244823">
        <w:t xml:space="preserve"> take affirmative steps to ensure the goals of the Act are met.</w:t>
      </w:r>
      <w:r>
        <w:t xml:space="preserve">  To reflect this policy objective, the </w:t>
      </w:r>
      <w:r w:rsidR="00215ED3" w:rsidRPr="00244823">
        <w:t xml:space="preserve">Commission recently promulgated default service regulations </w:t>
      </w:r>
      <w:r>
        <w:t>at</w:t>
      </w:r>
      <w:r w:rsidR="00215ED3" w:rsidRPr="00244823">
        <w:t xml:space="preserve"> </w:t>
      </w:r>
      <w:r w:rsidR="00215ED3" w:rsidRPr="00244823">
        <w:rPr>
          <w:u w:val="single"/>
        </w:rPr>
        <w:t>Implementation of Act 129 of October 15, 2008; Default Service and Retail Electric Markets</w:t>
      </w:r>
      <w:r w:rsidR="00215ED3" w:rsidRPr="00244823">
        <w:t>, Docket No. L</w:t>
      </w:r>
      <w:r w:rsidR="00215ED3" w:rsidRPr="00244823">
        <w:noBreakHyphen/>
        <w:t>2009</w:t>
      </w:r>
      <w:r w:rsidR="00215ED3" w:rsidRPr="00244823">
        <w:noBreakHyphen/>
        <w:t xml:space="preserve">2095604 (Final Rulemaking Order entered </w:t>
      </w:r>
    </w:p>
    <w:p w:rsidR="009666DA" w:rsidRDefault="009666DA">
      <w:pPr>
        <w:autoSpaceDE/>
        <w:autoSpaceDN/>
      </w:pPr>
      <w:r>
        <w:br w:type="page"/>
      </w:r>
    </w:p>
    <w:p w:rsidR="00215ED3" w:rsidRPr="00244823" w:rsidRDefault="00215ED3" w:rsidP="009666DA">
      <w:pPr>
        <w:spacing w:line="360" w:lineRule="auto"/>
      </w:pPr>
      <w:r w:rsidRPr="00244823">
        <w:lastRenderedPageBreak/>
        <w:t>October 4, 2011).</w:t>
      </w:r>
      <w:r w:rsidRPr="00244823">
        <w:rPr>
          <w:vertAlign w:val="superscript"/>
        </w:rPr>
        <w:footnoteReference w:id="21"/>
      </w:r>
      <w:r w:rsidR="006E7416">
        <w:t xml:space="preserve">  Therein, t</w:t>
      </w:r>
      <w:r w:rsidRPr="00244823">
        <w:t>he Commission adopted modifications to its regulations to meet the requirements established in Act 129.  The Commission addressed these changes, as follows:</w:t>
      </w:r>
    </w:p>
    <w:p w:rsidR="00215ED3" w:rsidRPr="00244823" w:rsidRDefault="00215ED3" w:rsidP="008E6311">
      <w:pPr>
        <w:spacing w:line="360" w:lineRule="auto"/>
        <w:ind w:left="1440" w:right="1440"/>
      </w:pPr>
    </w:p>
    <w:p w:rsidR="00215ED3" w:rsidRPr="00244823" w:rsidRDefault="00215ED3" w:rsidP="008E6311">
      <w:pPr>
        <w:ind w:left="2160" w:right="2160"/>
      </w:pPr>
      <w:r w:rsidRPr="00244823">
        <w:t>Act 129 sets forth different standards from our current regulations that a DSP’s procurement plan must adhere to.  We propose deleting the old standard and replacing it with the “prudent mix” standard as outlined in Act 129.  For example, instead of a plan being “designed to acquire electric generation supply at prevailing market prices to meet the DSP’s anticipated default service obligation at reasonable costs,” as specified in Section 54.186, Act 129 now requires the plan “include a prudent mix” of: (a) spot market purchases; (b) short-term contracts; and (c) long-term (5-20 year) contracts.  66 Pa. C.</w:t>
      </w:r>
      <w:r w:rsidR="00C4768E">
        <w:t> </w:t>
      </w:r>
      <w:r w:rsidRPr="00244823">
        <w:t>S. § 2807(e)(3.2)(i),(ii), and (iii).</w:t>
      </w:r>
    </w:p>
    <w:p w:rsidR="00215ED3" w:rsidRPr="00244823" w:rsidRDefault="00215ED3" w:rsidP="008E6311">
      <w:pPr>
        <w:ind w:left="2160" w:right="2160"/>
      </w:pPr>
    </w:p>
    <w:p w:rsidR="00215ED3" w:rsidRPr="00244823" w:rsidRDefault="00215ED3" w:rsidP="008E6311">
      <w:pPr>
        <w:ind w:left="2160" w:right="2160"/>
      </w:pPr>
      <w:r w:rsidRPr="00244823">
        <w:t>In addition, the prudent mix of contracts must be designed to ensure: (1) adequate and reliable service; (2) the least cost to customers over time; and (3) compliance with the requirements of subsection (e)(3.1) regarding competitive procurement.  66 Pa. C.S. § 2807(e)(3.4).  We propose to add this language to our regulation.</w:t>
      </w:r>
      <w:r w:rsidR="006E7416">
        <w:rPr>
          <w:rStyle w:val="FootnoteReference"/>
        </w:rPr>
        <w:footnoteReference w:id="22"/>
      </w:r>
    </w:p>
    <w:p w:rsidR="00215ED3" w:rsidRDefault="00215ED3" w:rsidP="006E7416">
      <w:pPr>
        <w:ind w:right="1440"/>
      </w:pPr>
      <w:r w:rsidRPr="00244823">
        <w:t xml:space="preserve">  </w:t>
      </w:r>
    </w:p>
    <w:p w:rsidR="006E7416" w:rsidRPr="00244823" w:rsidRDefault="006E7416" w:rsidP="006E7416">
      <w:pPr>
        <w:ind w:right="1440"/>
      </w:pPr>
    </w:p>
    <w:p w:rsidR="00215ED3" w:rsidRPr="00244823" w:rsidRDefault="00215ED3" w:rsidP="008E6311">
      <w:pPr>
        <w:spacing w:line="360" w:lineRule="auto"/>
        <w:ind w:firstLine="1440"/>
      </w:pPr>
      <w:r w:rsidRPr="00244823">
        <w:t>The Commission recognized the General Assembly’s intent to move away from a “prevailing market price” standard and</w:t>
      </w:r>
      <w:r w:rsidR="006E7416">
        <w:t>, in its place,</w:t>
      </w:r>
      <w:r w:rsidRPr="00244823">
        <w:t xml:space="preserve"> to require each EDC to procure a prudent mix of products to achieve least cost over time.  The Commission recognized </w:t>
      </w:r>
      <w:r w:rsidR="006E7416">
        <w:t>this</w:t>
      </w:r>
      <w:r w:rsidRPr="00244823">
        <w:t xml:space="preserve"> “lowest cost” standard must be considered in conjunction with the Act’s requirements </w:t>
      </w:r>
      <w:r w:rsidR="006E7416">
        <w:t>to keep</w:t>
      </w:r>
      <w:r w:rsidRPr="00244823">
        <w:t xml:space="preserve"> prices stable and service reliable.  The Commission’s recent Final Rulemaking Order states:</w:t>
      </w:r>
    </w:p>
    <w:p w:rsidR="00215ED3" w:rsidRPr="00244823" w:rsidRDefault="00215ED3" w:rsidP="008E6311"/>
    <w:p w:rsidR="008C59DB" w:rsidRDefault="00215ED3" w:rsidP="008E6311">
      <w:pPr>
        <w:tabs>
          <w:tab w:val="left" w:pos="7200"/>
        </w:tabs>
        <w:ind w:left="2160" w:right="2160"/>
      </w:pPr>
      <w:r w:rsidRPr="00244823">
        <w:t xml:space="preserve">Finally, it should be noted that the “least cost over time” standard should not be confused with the notion that default prices will always equal the </w:t>
      </w:r>
    </w:p>
    <w:p w:rsidR="008C59DB" w:rsidRDefault="008C59DB" w:rsidP="008E6311">
      <w:pPr>
        <w:tabs>
          <w:tab w:val="left" w:pos="7200"/>
        </w:tabs>
        <w:ind w:left="2160" w:right="2160"/>
      </w:pPr>
    </w:p>
    <w:p w:rsidR="00215ED3" w:rsidRPr="00244823" w:rsidRDefault="00215ED3" w:rsidP="008E6311">
      <w:pPr>
        <w:tabs>
          <w:tab w:val="left" w:pos="7200"/>
        </w:tabs>
        <w:ind w:left="2160" w:right="2160"/>
      </w:pPr>
      <w:r w:rsidRPr="00244823">
        <w:lastRenderedPageBreak/>
        <w:t xml:space="preserve">lowest cost price for power at any particular point in time.  In implementing default service standards, Act 129 requires that the Commission be concerned about rate stability as well as other considerations such as ensuring a “prudent mix” of supply and ensuring safe and reliable service.  </w:t>
      </w:r>
      <w:r w:rsidRPr="00244823">
        <w:rPr>
          <w:i/>
        </w:rPr>
        <w:t>See</w:t>
      </w:r>
      <w:r w:rsidRPr="00244823">
        <w:t xml:space="preserve"> 66 Pa. C.S. §§ 2807(e)(3.2), (3.4) and (7).  In our view, a default service plan that meets the “least cost over time” standard in Act 129 should not have, as its singular focus, achieving the absolute lowest cost over the default service plan time frame but, rather, a cost for power that is both adequate and reliable and also economical relative to other options.</w:t>
      </w:r>
      <w:r w:rsidR="006F70A0">
        <w:rPr>
          <w:rStyle w:val="FootnoteReference"/>
        </w:rPr>
        <w:footnoteReference w:id="23"/>
      </w:r>
    </w:p>
    <w:p w:rsidR="00215ED3" w:rsidRPr="00244823" w:rsidRDefault="00215ED3" w:rsidP="008E6311">
      <w:pPr>
        <w:spacing w:line="360" w:lineRule="auto"/>
        <w:ind w:left="1440" w:right="1440"/>
      </w:pPr>
    </w:p>
    <w:p w:rsidR="006F70A0" w:rsidRDefault="00215ED3" w:rsidP="008E6311">
      <w:pPr>
        <w:spacing w:line="360" w:lineRule="auto"/>
        <w:ind w:firstLine="1440"/>
      </w:pPr>
      <w:r w:rsidRPr="00244823">
        <w:t>The current default service statutory and regulatory provisions require the default service provider to develop a procurement plan that</w:t>
      </w:r>
      <w:r w:rsidR="006F70A0">
        <w:t>:</w:t>
      </w:r>
      <w:r w:rsidRPr="00244823">
        <w:t xml:space="preserve"> </w:t>
      </w:r>
      <w:r w:rsidR="008871D7">
        <w:t xml:space="preserve"> </w:t>
      </w:r>
      <w:r w:rsidR="006F70A0">
        <w:t>(1) obtains</w:t>
      </w:r>
      <w:r w:rsidRPr="00244823">
        <w:t xml:space="preserve"> a prudent mix of supplies designed to provide service at the least cost to customers over time</w:t>
      </w:r>
      <w:r w:rsidR="006F70A0">
        <w:t>; and (2) provides d</w:t>
      </w:r>
      <w:r w:rsidRPr="00244823">
        <w:t xml:space="preserve">efault service </w:t>
      </w:r>
      <w:r w:rsidR="006F70A0">
        <w:t>which is</w:t>
      </w:r>
      <w:r w:rsidRPr="00244823">
        <w:t xml:space="preserve"> reliable, adequate, and designed to reduce price instability.  </w:t>
      </w:r>
    </w:p>
    <w:p w:rsidR="006F70A0" w:rsidRDefault="006F70A0" w:rsidP="008E6311">
      <w:pPr>
        <w:spacing w:line="360" w:lineRule="auto"/>
        <w:ind w:firstLine="1440"/>
      </w:pPr>
    </w:p>
    <w:p w:rsidR="00215ED3" w:rsidRPr="00244823" w:rsidRDefault="00215ED3" w:rsidP="008E6311">
      <w:pPr>
        <w:spacing w:line="360" w:lineRule="auto"/>
        <w:ind w:firstLine="1440"/>
      </w:pPr>
      <w:r w:rsidRPr="00244823">
        <w:t xml:space="preserve">The Commission has recognized that “least cost to customers over time” requires a consideration of price stability and reliability when determining whether the prudent mix standard is met.  The Commission </w:t>
      </w:r>
      <w:r w:rsidR="00884662" w:rsidRPr="00244823">
        <w:t>recently interpreted the “prudent mix” standard</w:t>
      </w:r>
      <w:r w:rsidR="007E7A74" w:rsidRPr="00244823">
        <w:t xml:space="preserve"> and</w:t>
      </w:r>
      <w:r w:rsidRPr="00244823">
        <w:t xml:space="preserve"> held a DSP </w:t>
      </w:r>
      <w:r w:rsidRPr="006F70A0">
        <w:rPr>
          <w:u w:val="single"/>
        </w:rPr>
        <w:t>can</w:t>
      </w:r>
      <w:r w:rsidRPr="00244823">
        <w:t xml:space="preserve"> have only one product which constitutes a “prudent mix” </w:t>
      </w:r>
      <w:r w:rsidRPr="006F70A0">
        <w:rPr>
          <w:b/>
          <w:u w:val="single"/>
        </w:rPr>
        <w:t>if</w:t>
      </w:r>
      <w:r w:rsidRPr="00244823">
        <w:t xml:space="preserve"> that product is the least cost over time.</w:t>
      </w:r>
      <w:r w:rsidR="006F70A0">
        <w:rPr>
          <w:rStyle w:val="FootnoteReference"/>
        </w:rPr>
        <w:footnoteReference w:id="24"/>
      </w:r>
      <w:r w:rsidRPr="00244823">
        <w:t xml:space="preserve">  The Commission found that requiring Pike County </w:t>
      </w:r>
      <w:r w:rsidR="00984416">
        <w:t xml:space="preserve">Light &amp; Power Company </w:t>
      </w:r>
      <w:r w:rsidRPr="00244823">
        <w:t>to include a hedge with its spot purchases did not appear to comply with least cost procurement, and thus found that requiring Pike County to obtain a hedge would produce an unreasonable result.  The Commission held that a</w:t>
      </w:r>
      <w:r w:rsidR="00EA6920">
        <w:t xml:space="preserve"> prudent mix of spot purchases and </w:t>
      </w:r>
      <w:r w:rsidRPr="00244823">
        <w:t>short and long</w:t>
      </w:r>
      <w:r w:rsidR="00CF74E6">
        <w:t>-</w:t>
      </w:r>
      <w:r w:rsidRPr="00244823">
        <w:t>term contracts should be designed in a flexible manner to permit default service providers to design their own combination of products to meet the requirements of the statute</w:t>
      </w:r>
      <w:r w:rsidR="006F70A0">
        <w:t xml:space="preserve"> and, thereafter, </w:t>
      </w:r>
      <w:r w:rsidRPr="00244823">
        <w:t>the Commission declined to determine the appropriate or approximate mix of default service load that should be</w:t>
      </w:r>
      <w:r w:rsidR="006F70A0">
        <w:t xml:space="preserve"> provided by various products. </w:t>
      </w:r>
    </w:p>
    <w:p w:rsidR="00215ED3" w:rsidRPr="00244823" w:rsidRDefault="00215ED3" w:rsidP="008E6311">
      <w:pPr>
        <w:pStyle w:val="NoSpacing"/>
        <w:spacing w:line="360" w:lineRule="auto"/>
        <w:jc w:val="both"/>
        <w:rPr>
          <w:rFonts w:ascii="Times New Roman" w:hAnsi="Times New Roman"/>
          <w:sz w:val="24"/>
          <w:szCs w:val="24"/>
        </w:rPr>
      </w:pPr>
    </w:p>
    <w:p w:rsidR="00215ED3" w:rsidRPr="00244823" w:rsidRDefault="00215ED3" w:rsidP="008E6311">
      <w:pPr>
        <w:pStyle w:val="NoSpacing"/>
        <w:spacing w:line="360" w:lineRule="auto"/>
        <w:ind w:firstLine="1440"/>
        <w:rPr>
          <w:rFonts w:ascii="Times New Roman" w:hAnsi="Times New Roman"/>
          <w:sz w:val="24"/>
          <w:szCs w:val="24"/>
        </w:rPr>
      </w:pPr>
      <w:r w:rsidRPr="00244823">
        <w:rPr>
          <w:rFonts w:ascii="Times New Roman" w:hAnsi="Times New Roman"/>
          <w:sz w:val="24"/>
          <w:szCs w:val="24"/>
        </w:rPr>
        <w:lastRenderedPageBreak/>
        <w:t>The Commission is charged with taking measures to develop a competitive retail market so that the market can function to drive the price of electricity down as low as possible for the benefit of consumers.  66 Pa. C.S.</w:t>
      </w:r>
      <w:r w:rsidR="00603978">
        <w:rPr>
          <w:rFonts w:ascii="Times New Roman" w:hAnsi="Times New Roman"/>
          <w:sz w:val="24"/>
          <w:szCs w:val="24"/>
        </w:rPr>
        <w:t xml:space="preserve">A. §2802(3) &amp; </w:t>
      </w:r>
      <w:r w:rsidRPr="00244823">
        <w:rPr>
          <w:rFonts w:ascii="Times New Roman" w:hAnsi="Times New Roman"/>
          <w:sz w:val="24"/>
          <w:szCs w:val="24"/>
        </w:rPr>
        <w:t xml:space="preserve">(5); </w:t>
      </w:r>
      <w:r w:rsidRPr="00244823">
        <w:rPr>
          <w:rFonts w:ascii="Times New Roman" w:hAnsi="Times New Roman"/>
          <w:i/>
          <w:sz w:val="24"/>
          <w:szCs w:val="24"/>
        </w:rPr>
        <w:t>Green Mountain Energy Company</w:t>
      </w:r>
      <w:r w:rsidR="00C05166">
        <w:rPr>
          <w:rFonts w:ascii="Times New Roman" w:hAnsi="Times New Roman"/>
          <w:i/>
          <w:sz w:val="24"/>
          <w:szCs w:val="24"/>
        </w:rPr>
        <w:t> </w:t>
      </w:r>
      <w:r w:rsidRPr="00244823">
        <w:rPr>
          <w:rFonts w:ascii="Times New Roman" w:hAnsi="Times New Roman"/>
          <w:i/>
          <w:sz w:val="24"/>
          <w:szCs w:val="24"/>
        </w:rPr>
        <w:t>v. Pa. PUC,</w:t>
      </w:r>
      <w:r w:rsidRPr="00244823">
        <w:rPr>
          <w:rFonts w:ascii="Times New Roman" w:hAnsi="Times New Roman"/>
          <w:sz w:val="24"/>
          <w:szCs w:val="24"/>
        </w:rPr>
        <w:t xml:space="preserve"> 812 A.2d 740, 742 (Pa. Cmwlth. 2002)</w:t>
      </w:r>
      <w:r w:rsidR="00A2010E">
        <w:rPr>
          <w:rFonts w:ascii="Times New Roman" w:hAnsi="Times New Roman"/>
          <w:sz w:val="24"/>
          <w:szCs w:val="24"/>
        </w:rPr>
        <w:t>.</w:t>
      </w:r>
    </w:p>
    <w:p w:rsidR="00215ED3" w:rsidRPr="00244823" w:rsidRDefault="00215ED3" w:rsidP="008E6311">
      <w:pPr>
        <w:pStyle w:val="NoSpacing"/>
        <w:spacing w:line="360" w:lineRule="auto"/>
        <w:jc w:val="both"/>
        <w:rPr>
          <w:rFonts w:ascii="Times New Roman" w:hAnsi="Times New Roman"/>
          <w:sz w:val="24"/>
          <w:szCs w:val="24"/>
        </w:rPr>
      </w:pPr>
    </w:p>
    <w:p w:rsidR="00215ED3" w:rsidRPr="00244823" w:rsidRDefault="00215ED3" w:rsidP="008E6311">
      <w:pPr>
        <w:spacing w:line="360" w:lineRule="auto"/>
        <w:ind w:firstLine="1440"/>
      </w:pPr>
      <w:r w:rsidRPr="00244823">
        <w:t xml:space="preserve">In the </w:t>
      </w:r>
      <w:r w:rsidRPr="00244823">
        <w:rPr>
          <w:i/>
        </w:rPr>
        <w:t>Act 129 Final Rulemaking Order</w:t>
      </w:r>
      <w:r w:rsidRPr="00244823">
        <w:t xml:space="preserve"> issued in October 2011, the Commission considered the statutory standards and the intent of the General Assembly when developing the final regulations.  In particular, when considering the “least cost over time” standard in Act 129, the Commission concluded as follows:</w:t>
      </w:r>
    </w:p>
    <w:p w:rsidR="00215ED3" w:rsidRPr="00244823" w:rsidRDefault="00215ED3" w:rsidP="00376162"/>
    <w:p w:rsidR="00215ED3" w:rsidRPr="00244823" w:rsidRDefault="00215ED3" w:rsidP="008E6311">
      <w:pPr>
        <w:ind w:left="1440" w:right="1440"/>
      </w:pPr>
      <w:r w:rsidRPr="00244823">
        <w:t xml:space="preserve">…that the Legislature, in utilizing the language “least cost over time” did not provide a clear-cut definition of the term.  As such, we must be guided by the comments received as well as our own experience and sound discretion in implementing both the Competition Act and Act 129 consistent with the plain language and, where ambiguous, </w:t>
      </w:r>
      <w:r w:rsidRPr="00244823">
        <w:rPr>
          <w:i/>
        </w:rPr>
        <w:t>the legislative intent</w:t>
      </w:r>
      <w:r w:rsidRPr="00244823">
        <w:t>.</w:t>
      </w:r>
    </w:p>
    <w:p w:rsidR="00215ED3" w:rsidRPr="00244823" w:rsidRDefault="00215ED3" w:rsidP="008E6311"/>
    <w:p w:rsidR="00215ED3" w:rsidRPr="00244823" w:rsidRDefault="00215ED3" w:rsidP="008E6311">
      <w:r w:rsidRPr="00244823">
        <w:rPr>
          <w:i/>
        </w:rPr>
        <w:t>Act 129 Final Rulemaking Order</w:t>
      </w:r>
      <w:r w:rsidRPr="00244823">
        <w:t xml:space="preserve"> at 37 (emphasis added).</w:t>
      </w:r>
    </w:p>
    <w:p w:rsidR="00215ED3" w:rsidRPr="00244823" w:rsidRDefault="00215ED3" w:rsidP="008E6311">
      <w:pPr>
        <w:spacing w:line="360" w:lineRule="auto"/>
      </w:pPr>
    </w:p>
    <w:p w:rsidR="00215ED3" w:rsidRPr="00244823" w:rsidRDefault="00215ED3" w:rsidP="008E6311">
      <w:pPr>
        <w:spacing w:line="360" w:lineRule="auto"/>
      </w:pPr>
      <w:r w:rsidRPr="00244823">
        <w:tab/>
      </w:r>
      <w:r w:rsidRPr="00244823">
        <w:tab/>
        <w:t>In reading the Act, the Commission has found rate stability to be an important goal when developing a prudent mix of supplies for default service.  The Commission recognized the benefits of rate stability as it relates to the “least cost over time” standard, as follows:</w:t>
      </w:r>
    </w:p>
    <w:p w:rsidR="008B36FD" w:rsidRDefault="008B36FD" w:rsidP="008E6311">
      <w:pPr>
        <w:ind w:left="1440" w:right="1440"/>
      </w:pPr>
    </w:p>
    <w:p w:rsidR="00215ED3" w:rsidRPr="00244823" w:rsidRDefault="00215ED3" w:rsidP="008E6311">
      <w:pPr>
        <w:ind w:left="1440" w:right="1440"/>
      </w:pPr>
      <w:r w:rsidRPr="00244823">
        <w:t xml:space="preserve">In our view, a default service plan that meets the “least cost over time” standard should not have, as its singular focus, the achievement of the absolute lowest cost over the default service plan time frame but rather a cost for power that is both </w:t>
      </w:r>
      <w:r w:rsidRPr="00244823">
        <w:rPr>
          <w:i/>
        </w:rPr>
        <w:t>relatively stable</w:t>
      </w:r>
      <w:r w:rsidRPr="00244823">
        <w:t xml:space="preserve"> and also economical relative to other options.</w:t>
      </w:r>
      <w:r w:rsidR="008E242A">
        <w:rPr>
          <w:rStyle w:val="FootnoteReference"/>
        </w:rPr>
        <w:footnoteReference w:id="25"/>
      </w:r>
    </w:p>
    <w:p w:rsidR="00215ED3" w:rsidRPr="00244823" w:rsidRDefault="00215ED3" w:rsidP="008E6311"/>
    <w:p w:rsidR="00215ED3" w:rsidRPr="00244823" w:rsidRDefault="00215ED3" w:rsidP="008E6311">
      <w:pPr>
        <w:spacing w:line="360" w:lineRule="auto"/>
      </w:pPr>
    </w:p>
    <w:p w:rsidR="00215ED3" w:rsidRPr="00244823" w:rsidRDefault="00215ED3" w:rsidP="008E6311">
      <w:pPr>
        <w:spacing w:line="360" w:lineRule="auto"/>
      </w:pPr>
      <w:r w:rsidRPr="00244823">
        <w:tab/>
      </w:r>
      <w:r w:rsidRPr="00244823">
        <w:tab/>
        <w:t>The Commission further elaborated on the importance of price stability, noting that the Act requires a prudent mix of a variety of products.  The Commission continued:</w:t>
      </w:r>
    </w:p>
    <w:p w:rsidR="00215ED3" w:rsidRPr="00244823" w:rsidRDefault="00215ED3" w:rsidP="008E6311">
      <w:pPr>
        <w:spacing w:line="360" w:lineRule="auto"/>
      </w:pPr>
    </w:p>
    <w:p w:rsidR="00215ED3" w:rsidRPr="00244823" w:rsidRDefault="00215ED3" w:rsidP="008E6311">
      <w:pPr>
        <w:ind w:left="1440" w:right="1440"/>
      </w:pPr>
      <w:r w:rsidRPr="00244823">
        <w:lastRenderedPageBreak/>
        <w:t>Price stability benefits are very important to some customer groups, so an interpretation of “least cost” that mandates subjecting all default service customers to significant price volatility through general reliance on short term pricing is inconsistent with Act 129’s objectives.  This is especially true given that the statute specifically enumerates short-term (up to 4 years) and long-term (over 4 to 20 years) contracts as part of the “prudent mix” of contracts that should be included in a default service plan.  66 Pa. C.S. § 2807(e)(3.2).</w:t>
      </w:r>
      <w:r w:rsidR="008E242A">
        <w:rPr>
          <w:rStyle w:val="FootnoteReference"/>
        </w:rPr>
        <w:footnoteReference w:id="26"/>
      </w:r>
    </w:p>
    <w:p w:rsidR="00215ED3" w:rsidRPr="00244823" w:rsidRDefault="00215ED3" w:rsidP="008E6311"/>
    <w:p w:rsidR="008E242A" w:rsidRDefault="008E242A" w:rsidP="008E6311">
      <w:pPr>
        <w:pStyle w:val="BriefL1"/>
        <w:numPr>
          <w:ilvl w:val="0"/>
          <w:numId w:val="0"/>
        </w:numPr>
        <w:spacing w:after="0" w:line="360" w:lineRule="auto"/>
        <w:jc w:val="left"/>
        <w:rPr>
          <w:szCs w:val="24"/>
        </w:rPr>
      </w:pPr>
      <w:bookmarkStart w:id="11" w:name="_Toc323736679"/>
    </w:p>
    <w:p w:rsidR="006C6975" w:rsidRPr="00265AAB" w:rsidRDefault="00EE639F" w:rsidP="008E6311">
      <w:pPr>
        <w:pStyle w:val="BriefL1"/>
        <w:numPr>
          <w:ilvl w:val="0"/>
          <w:numId w:val="0"/>
        </w:numPr>
        <w:spacing w:after="0" w:line="360" w:lineRule="auto"/>
        <w:jc w:val="left"/>
        <w:rPr>
          <w:szCs w:val="24"/>
        </w:rPr>
      </w:pPr>
      <w:r>
        <w:rPr>
          <w:szCs w:val="24"/>
        </w:rPr>
        <w:t>B</w:t>
      </w:r>
      <w:r w:rsidR="00C57D29" w:rsidRPr="00265AAB">
        <w:rPr>
          <w:szCs w:val="24"/>
        </w:rPr>
        <w:t>.</w:t>
      </w:r>
      <w:r w:rsidR="00C761F9" w:rsidRPr="00265AAB">
        <w:rPr>
          <w:caps w:val="0"/>
          <w:szCs w:val="24"/>
        </w:rPr>
        <w:tab/>
      </w:r>
      <w:bookmarkEnd w:id="11"/>
      <w:r w:rsidR="00C761F9">
        <w:rPr>
          <w:caps w:val="0"/>
          <w:szCs w:val="24"/>
        </w:rPr>
        <w:t>Default Service Procurement Plan Issues</w:t>
      </w:r>
    </w:p>
    <w:p w:rsidR="00154532" w:rsidRPr="00265AAB" w:rsidRDefault="00154532" w:rsidP="008E6311">
      <w:pPr>
        <w:pStyle w:val="BodyText"/>
        <w:spacing w:after="0" w:line="360" w:lineRule="auto"/>
        <w:rPr>
          <w:b/>
          <w:szCs w:val="24"/>
        </w:rPr>
      </w:pPr>
    </w:p>
    <w:p w:rsidR="00AD0AFA" w:rsidRDefault="005D2E99" w:rsidP="008E6311">
      <w:pPr>
        <w:pStyle w:val="BriefL3"/>
        <w:numPr>
          <w:ilvl w:val="0"/>
          <w:numId w:val="0"/>
        </w:numPr>
        <w:spacing w:after="0" w:line="360" w:lineRule="auto"/>
        <w:ind w:left="720"/>
        <w:rPr>
          <w:b/>
          <w:szCs w:val="24"/>
        </w:rPr>
      </w:pPr>
      <w:bookmarkStart w:id="12" w:name="_Toc323736681"/>
      <w:r>
        <w:rPr>
          <w:b/>
          <w:szCs w:val="24"/>
        </w:rPr>
        <w:t>1.</w:t>
      </w:r>
      <w:r>
        <w:rPr>
          <w:b/>
          <w:szCs w:val="24"/>
        </w:rPr>
        <w:tab/>
      </w:r>
      <w:bookmarkEnd w:id="12"/>
      <w:r w:rsidR="00EE639F">
        <w:rPr>
          <w:b/>
          <w:szCs w:val="24"/>
        </w:rPr>
        <w:t xml:space="preserve">Residential </w:t>
      </w:r>
      <w:r w:rsidR="00AD0AFA">
        <w:rPr>
          <w:b/>
          <w:szCs w:val="24"/>
        </w:rPr>
        <w:t xml:space="preserve">Procurement </w:t>
      </w:r>
    </w:p>
    <w:p w:rsidR="00AD0AFA" w:rsidRDefault="00AD0AFA" w:rsidP="00AD0AFA">
      <w:pPr>
        <w:pStyle w:val="BriefL3"/>
        <w:numPr>
          <w:ilvl w:val="0"/>
          <w:numId w:val="0"/>
        </w:numPr>
        <w:spacing w:after="0" w:line="360" w:lineRule="auto"/>
        <w:ind w:left="720" w:firstLine="720"/>
        <w:rPr>
          <w:b/>
          <w:szCs w:val="24"/>
        </w:rPr>
      </w:pPr>
    </w:p>
    <w:p w:rsidR="00884AFB" w:rsidRPr="00884AFB" w:rsidRDefault="00EA2976" w:rsidP="00764553">
      <w:pPr>
        <w:pStyle w:val="BriefL3"/>
        <w:numPr>
          <w:ilvl w:val="0"/>
          <w:numId w:val="10"/>
        </w:numPr>
        <w:spacing w:after="0" w:line="360" w:lineRule="auto"/>
        <w:rPr>
          <w:b/>
          <w:szCs w:val="24"/>
        </w:rPr>
      </w:pPr>
      <w:r>
        <w:rPr>
          <w:b/>
          <w:szCs w:val="24"/>
        </w:rPr>
        <w:t>Products and Product Terms</w:t>
      </w:r>
    </w:p>
    <w:p w:rsidR="00884AFB" w:rsidRDefault="00884AFB" w:rsidP="00884AFB">
      <w:pPr>
        <w:pStyle w:val="BriefL3"/>
        <w:numPr>
          <w:ilvl w:val="0"/>
          <w:numId w:val="0"/>
        </w:numPr>
        <w:spacing w:after="0" w:line="360" w:lineRule="auto"/>
        <w:ind w:left="2880"/>
        <w:rPr>
          <w:b/>
          <w:szCs w:val="24"/>
        </w:rPr>
      </w:pPr>
    </w:p>
    <w:p w:rsidR="00884AFB" w:rsidRDefault="00C761F9" w:rsidP="00FA1864">
      <w:pPr>
        <w:pStyle w:val="BriefL3"/>
        <w:numPr>
          <w:ilvl w:val="0"/>
          <w:numId w:val="0"/>
        </w:numPr>
        <w:spacing w:after="0" w:line="360" w:lineRule="auto"/>
        <w:ind w:left="2880" w:hanging="720"/>
        <w:rPr>
          <w:b/>
          <w:szCs w:val="24"/>
        </w:rPr>
      </w:pPr>
      <w:r>
        <w:rPr>
          <w:b/>
          <w:szCs w:val="24"/>
        </w:rPr>
        <w:t>i</w:t>
      </w:r>
      <w:r w:rsidR="00884AFB">
        <w:rPr>
          <w:b/>
          <w:szCs w:val="24"/>
        </w:rPr>
        <w:t>.</w:t>
      </w:r>
      <w:r w:rsidR="00884AFB">
        <w:rPr>
          <w:b/>
          <w:szCs w:val="24"/>
        </w:rPr>
        <w:tab/>
        <w:t>DLC’s Proposal</w:t>
      </w:r>
    </w:p>
    <w:p w:rsidR="00EA2976" w:rsidRDefault="00EA2976" w:rsidP="00EA2976">
      <w:pPr>
        <w:pStyle w:val="BodyText2"/>
        <w:spacing w:after="0" w:line="360" w:lineRule="auto"/>
        <w:rPr>
          <w:lang w:val="en-US"/>
        </w:rPr>
      </w:pPr>
    </w:p>
    <w:p w:rsidR="00EA2976" w:rsidRDefault="00EA2976" w:rsidP="00EA2976">
      <w:pPr>
        <w:pStyle w:val="BodyText2"/>
        <w:spacing w:after="0" w:line="360" w:lineRule="auto"/>
        <w:rPr>
          <w:lang w:val="en-US"/>
        </w:rPr>
      </w:pPr>
      <w:r>
        <w:rPr>
          <w:lang w:val="en-US"/>
        </w:rPr>
        <w:tab/>
      </w:r>
      <w:r>
        <w:rPr>
          <w:lang w:val="en-US"/>
        </w:rPr>
        <w:tab/>
      </w:r>
      <w:r>
        <w:t xml:space="preserve">Duquesne Light proposes to acquire default supplies for Residential and Lighting customers through 12-month full requirements contracts </w:t>
      </w:r>
      <w:r w:rsidR="00603978">
        <w:rPr>
          <w:lang w:val="en-US"/>
        </w:rPr>
        <w:t xml:space="preserve">(“FRCs”) </w:t>
      </w:r>
      <w:r>
        <w:t>from third party suppliers through competitive requests for proposals (“RFP”).  A full requirements contract requires a supplier to provide energy, capacity, ancillary services, and any other services or products necessary to serve a specified percentage of default service load 24 hours a day, for the term of the contract.  Because the contract is “load-following,” the amount of energy and other services and products a supplier must provide will vary depending upon Duquesne Light’s actual default service load.</w:t>
      </w:r>
    </w:p>
    <w:p w:rsidR="00EA2976" w:rsidRDefault="00EA2976" w:rsidP="00EA2976">
      <w:pPr>
        <w:pStyle w:val="BodyText2"/>
        <w:spacing w:after="0" w:line="360" w:lineRule="auto"/>
        <w:rPr>
          <w:lang w:val="en-US"/>
        </w:rPr>
      </w:pPr>
    </w:p>
    <w:p w:rsidR="00EA2976" w:rsidRDefault="00EA2976" w:rsidP="00EA2976">
      <w:pPr>
        <w:pStyle w:val="BodyText2"/>
        <w:spacing w:after="0" w:line="360" w:lineRule="auto"/>
      </w:pPr>
      <w:r>
        <w:rPr>
          <w:lang w:val="en-US"/>
        </w:rPr>
        <w:tab/>
      </w:r>
      <w:r>
        <w:rPr>
          <w:lang w:val="en-US"/>
        </w:rPr>
        <w:tab/>
      </w:r>
      <w:r>
        <w:t>The following table shows the proposed RFP Dates, Procurement Amounts, Contract Terms and Delivery Periods for Residential default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2160"/>
        <w:gridCol w:w="2628"/>
      </w:tblGrid>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spacing w:after="0" w:line="360" w:lineRule="auto"/>
              <w:ind w:left="0" w:firstLine="0"/>
              <w:rPr>
                <w:b/>
              </w:rPr>
            </w:pPr>
            <w:r>
              <w:rPr>
                <w:b/>
              </w:rPr>
              <w:lastRenderedPageBreak/>
              <w:t>RFP Date</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5A7A92">
            <w:pPr>
              <w:pStyle w:val="ListNumber"/>
              <w:keepNext/>
              <w:keepLines/>
              <w:spacing w:after="0" w:line="360" w:lineRule="auto"/>
              <w:ind w:left="-18" w:firstLine="0"/>
              <w:rPr>
                <w:b/>
              </w:rPr>
            </w:pPr>
            <w:r>
              <w:rPr>
                <w:b/>
              </w:rPr>
              <w:t xml:space="preserve">Procurement </w:t>
            </w:r>
            <w:r w:rsidR="00982465">
              <w:rPr>
                <w:b/>
                <w:lang w:val="en-US"/>
              </w:rPr>
              <w:t xml:space="preserve">        </w:t>
            </w:r>
            <w:r>
              <w:rPr>
                <w:b/>
              </w:rPr>
              <w:t>Amount</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spacing w:after="0" w:line="360" w:lineRule="auto"/>
              <w:ind w:left="0" w:firstLine="0"/>
              <w:rPr>
                <w:b/>
              </w:rPr>
            </w:pPr>
            <w:r>
              <w:rPr>
                <w:b/>
              </w:rPr>
              <w:t>Contract Term</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spacing w:after="0" w:line="360" w:lineRule="auto"/>
              <w:ind w:left="0" w:firstLine="0"/>
              <w:rPr>
                <w:b/>
              </w:rPr>
            </w:pPr>
            <w:r>
              <w:rPr>
                <w:b/>
              </w:rPr>
              <w:t>Delivery Period</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numPr>
                <w:ilvl w:val="0"/>
                <w:numId w:val="0"/>
              </w:numPr>
              <w:spacing w:after="0" w:line="360" w:lineRule="auto"/>
            </w:pPr>
            <w:r>
              <w:t>November 2012</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numPr>
                <w:ilvl w:val="0"/>
                <w:numId w:val="0"/>
              </w:numPr>
              <w:spacing w:after="0" w:line="360" w:lineRule="auto"/>
            </w:pPr>
            <w:r>
              <w:t>50%</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Next/>
              <w:keepLines/>
              <w:numPr>
                <w:ilvl w:val="0"/>
                <w:numId w:val="0"/>
              </w:numPr>
              <w:spacing w:after="0" w:line="360" w:lineRule="auto"/>
            </w:pPr>
            <w:r>
              <w:t>June 2013 – May 2014</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rPr>
                <w:lang w:val="en-US"/>
              </w:rPr>
              <w:t>A</w:t>
            </w:r>
            <w:r>
              <w:t>pril 2013</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50%</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June 2013 – May 2014</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April 2013</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50%</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June 2014 – May 2015</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November 2013</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25%</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June 2014 – May 2015</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April 2014</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25%</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June 2014 – May 2015</w:t>
            </w:r>
          </w:p>
        </w:tc>
      </w:tr>
      <w:tr w:rsidR="00EA2976" w:rsidTr="00415028">
        <w:tc>
          <w:tcPr>
            <w:tcW w:w="190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April 2014</w:t>
            </w:r>
          </w:p>
        </w:tc>
        <w:tc>
          <w:tcPr>
            <w:tcW w:w="288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25%</w:t>
            </w:r>
          </w:p>
        </w:tc>
        <w:tc>
          <w:tcPr>
            <w:tcW w:w="2160"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Default="00EA2976" w:rsidP="00EA2976">
            <w:pPr>
              <w:pStyle w:val="ListNumber"/>
              <w:keepLines/>
              <w:numPr>
                <w:ilvl w:val="0"/>
                <w:numId w:val="0"/>
              </w:numPr>
              <w:spacing w:after="0" w:line="360" w:lineRule="auto"/>
            </w:pPr>
            <w:r>
              <w:t>June 2015 – May 2016</w:t>
            </w:r>
          </w:p>
        </w:tc>
      </w:tr>
    </w:tbl>
    <w:p w:rsidR="00EA2976" w:rsidRDefault="00EA2976" w:rsidP="00415028">
      <w:pPr>
        <w:pStyle w:val="BodyText2"/>
        <w:spacing w:after="0" w:line="360" w:lineRule="auto"/>
        <w:ind w:left="360"/>
      </w:pPr>
      <w:r>
        <w:t>See Duquesne Light Exhibit No. 1, p. 4.</w:t>
      </w:r>
    </w:p>
    <w:p w:rsidR="00EA2976" w:rsidRDefault="00EA2976" w:rsidP="00415028">
      <w:pPr>
        <w:pStyle w:val="BodyText2"/>
        <w:spacing w:after="0" w:line="360" w:lineRule="auto"/>
        <w:ind w:left="360"/>
        <w:rPr>
          <w:lang w:val="en-US"/>
        </w:rPr>
      </w:pPr>
    </w:p>
    <w:p w:rsidR="00EA2976" w:rsidRDefault="00EA2976" w:rsidP="00436BCE">
      <w:pPr>
        <w:pStyle w:val="BodyText2"/>
        <w:spacing w:after="0" w:line="360" w:lineRule="auto"/>
        <w:rPr>
          <w:lang w:val="en-US"/>
        </w:rPr>
      </w:pPr>
      <w:r>
        <w:rPr>
          <w:lang w:val="en-US"/>
        </w:rPr>
        <w:tab/>
      </w:r>
      <w:r>
        <w:rPr>
          <w:lang w:val="en-US"/>
        </w:rPr>
        <w:tab/>
        <w:t>DLC contends its</w:t>
      </w:r>
      <w:r>
        <w:t xml:space="preserve"> proposed Residential Procurement Plan </w:t>
      </w:r>
      <w:r w:rsidR="00603978">
        <w:rPr>
          <w:lang w:val="en-US"/>
        </w:rPr>
        <w:t xml:space="preserve">(also referred to as “DSP VI”) </w:t>
      </w:r>
      <w:r>
        <w:t>will provide more market responsive rates than under its currently effective default service plan (also referred to as DSP V) which provides a fixed rate for a 29-month period.  Residential default service rates will change every 12 months to be consistent with the annual procurements.  In addition, Duquesne Light propos</w:t>
      </w:r>
      <w:r>
        <w:rPr>
          <w:lang w:val="en-US"/>
        </w:rPr>
        <w:t>es</w:t>
      </w:r>
      <w:r w:rsidR="00603978">
        <w:t xml:space="preserve"> to bid out the supply for </w:t>
      </w:r>
      <w:r w:rsidR="00603978">
        <w:rPr>
          <w:lang w:val="en-US"/>
        </w:rPr>
        <w:t>r</w:t>
      </w:r>
      <w:r>
        <w:t>esidential customers as opposed to the administratively</w:t>
      </w:r>
      <w:r>
        <w:rPr>
          <w:lang w:val="en-US"/>
        </w:rPr>
        <w:t>-</w:t>
      </w:r>
      <w:r>
        <w:t xml:space="preserve">determined rate under DSP V.  </w:t>
      </w:r>
      <w:r>
        <w:rPr>
          <w:lang w:val="en-US"/>
        </w:rPr>
        <w:t>DLC avers both</w:t>
      </w:r>
      <w:r>
        <w:t xml:space="preserve"> factors make </w:t>
      </w:r>
      <w:r>
        <w:rPr>
          <w:lang w:val="en-US"/>
        </w:rPr>
        <w:t>its</w:t>
      </w:r>
      <w:r w:rsidR="00603978">
        <w:t xml:space="preserve"> </w:t>
      </w:r>
      <w:r w:rsidR="00603978">
        <w:rPr>
          <w:lang w:val="en-US"/>
        </w:rPr>
        <w:t>r</w:t>
      </w:r>
      <w:r>
        <w:t>esidential default service rate more market</w:t>
      </w:r>
      <w:r>
        <w:rPr>
          <w:lang w:val="en-US"/>
        </w:rPr>
        <w:t>-</w:t>
      </w:r>
      <w:r>
        <w:t>responsive than the rate under its currently effective default service plan.  Duquesne Light Exhibit No. 1, p. 6.</w:t>
      </w:r>
    </w:p>
    <w:p w:rsidR="00EA2976" w:rsidRDefault="00EA2976" w:rsidP="00436BCE">
      <w:pPr>
        <w:pStyle w:val="BodyText2"/>
        <w:spacing w:after="0" w:line="360" w:lineRule="auto"/>
        <w:rPr>
          <w:lang w:val="en-US"/>
        </w:rPr>
      </w:pPr>
    </w:p>
    <w:p w:rsidR="00EA2976" w:rsidRDefault="00EA2976" w:rsidP="00436BCE">
      <w:pPr>
        <w:pStyle w:val="BodyText2"/>
        <w:spacing w:after="0" w:line="360" w:lineRule="auto"/>
        <w:rPr>
          <w:lang w:val="en-US"/>
        </w:rPr>
      </w:pPr>
      <w:r>
        <w:rPr>
          <w:lang w:val="en-US"/>
        </w:rPr>
        <w:tab/>
      </w:r>
      <w:r>
        <w:rPr>
          <w:lang w:val="en-US"/>
        </w:rPr>
        <w:tab/>
      </w:r>
      <w:r w:rsidR="00603978">
        <w:t xml:space="preserve">Duquesne Light’s </w:t>
      </w:r>
      <w:r w:rsidR="00603978">
        <w:rPr>
          <w:lang w:val="en-US"/>
        </w:rPr>
        <w:t>r</w:t>
      </w:r>
      <w:r>
        <w:t>esidential procurement plan also provides reasonable rate stability.  For example, by simultaneously procuring some supply products for an upcoming 12</w:t>
      </w:r>
      <w:r w:rsidR="00194D63">
        <w:rPr>
          <w:lang w:val="en-US"/>
        </w:rPr>
        <w:noBreakHyphen/>
      </w:r>
      <w:r>
        <w:t>month period and products for the subsequent 12-month period, the plan incorporates a hedge against energy price movements which otherwise could result in la</w:t>
      </w:r>
      <w:r w:rsidR="00603978">
        <w:t xml:space="preserve">rge unanticipated increases in </w:t>
      </w:r>
      <w:r w:rsidR="00603978">
        <w:rPr>
          <w:lang w:val="en-US"/>
        </w:rPr>
        <w:t>r</w:t>
      </w:r>
      <w:r>
        <w:t>esidential customers’ rates.  Duquesne Light St. No. 2, p. 8.  In addition, by not procuring all of the supply products within two months of the start of delivery, supply costs are locked in sooner leading to less uncertainty about customers’ rates, and Duquesne Light avoids relying upon single solicitations, soon before delivery begins, to procure a very large amount of the necessary default service supply.  Duquesne Light St. No. 8-SR, p. 11.</w:t>
      </w:r>
    </w:p>
    <w:p w:rsidR="00EA2976" w:rsidRDefault="00EA2976" w:rsidP="00436BCE">
      <w:pPr>
        <w:pStyle w:val="BodyText2"/>
        <w:spacing w:after="0" w:line="360" w:lineRule="auto"/>
        <w:rPr>
          <w:lang w:val="en-US"/>
        </w:rPr>
      </w:pPr>
    </w:p>
    <w:p w:rsidR="00EA2976" w:rsidRDefault="00EA2976" w:rsidP="007205BD">
      <w:pPr>
        <w:pStyle w:val="BodyText2"/>
        <w:spacing w:after="0" w:line="360" w:lineRule="auto"/>
      </w:pPr>
      <w:r>
        <w:rPr>
          <w:lang w:val="en-US"/>
        </w:rPr>
        <w:tab/>
      </w:r>
      <w:r>
        <w:rPr>
          <w:lang w:val="en-US"/>
        </w:rPr>
        <w:tab/>
      </w:r>
      <w:r w:rsidR="00603978">
        <w:rPr>
          <w:lang w:val="en-US"/>
        </w:rPr>
        <w:t>DLC asserts p</w:t>
      </w:r>
      <w:r>
        <w:t xml:space="preserve">rice stability and transparency are important, and can promote retail competition.  The price stability and transparency provided in Duquesne Light’s current and </w:t>
      </w:r>
      <w:r>
        <w:lastRenderedPageBreak/>
        <w:t xml:space="preserve">prior default service plans </w:t>
      </w:r>
      <w:r w:rsidR="00603978">
        <w:t>successful</w:t>
      </w:r>
      <w:r w:rsidR="00603978">
        <w:rPr>
          <w:lang w:val="en-US"/>
        </w:rPr>
        <w:t>ly promoted</w:t>
      </w:r>
      <w:r w:rsidR="00603978">
        <w:t xml:space="preserve"> </w:t>
      </w:r>
      <w:r w:rsidR="00603978">
        <w:rPr>
          <w:lang w:val="en-US"/>
        </w:rPr>
        <w:t>r</w:t>
      </w:r>
      <w:r>
        <w:t>esidential customer shopping in the Company’s service area, as EGSs currently serve approximately 43% of Residential customer load in Duquesne Light’s service area.  See Duquesne Light St. No. 8-R, p. 41.</w:t>
      </w:r>
    </w:p>
    <w:p w:rsidR="00EA2976" w:rsidRDefault="00EA2976" w:rsidP="007205BD">
      <w:pPr>
        <w:pStyle w:val="BriefL3"/>
        <w:numPr>
          <w:ilvl w:val="0"/>
          <w:numId w:val="0"/>
        </w:numPr>
        <w:spacing w:after="0" w:line="360" w:lineRule="auto"/>
        <w:rPr>
          <w:szCs w:val="24"/>
        </w:rPr>
      </w:pPr>
    </w:p>
    <w:p w:rsidR="00884AFB" w:rsidRDefault="007205BD" w:rsidP="007205BD">
      <w:pPr>
        <w:pStyle w:val="BriefL3"/>
        <w:numPr>
          <w:ilvl w:val="0"/>
          <w:numId w:val="0"/>
        </w:numPr>
        <w:spacing w:after="0" w:line="360" w:lineRule="auto"/>
        <w:ind w:left="1440" w:firstLine="720"/>
        <w:rPr>
          <w:b/>
          <w:szCs w:val="24"/>
        </w:rPr>
      </w:pPr>
      <w:r>
        <w:rPr>
          <w:b/>
          <w:szCs w:val="24"/>
        </w:rPr>
        <w:t>ii</w:t>
      </w:r>
      <w:r w:rsidR="00884AFB">
        <w:rPr>
          <w:b/>
          <w:szCs w:val="24"/>
        </w:rPr>
        <w:t>.</w:t>
      </w:r>
      <w:r w:rsidR="00884AFB">
        <w:rPr>
          <w:b/>
          <w:szCs w:val="24"/>
        </w:rPr>
        <w:tab/>
        <w:t>OCA’s Position</w:t>
      </w:r>
    </w:p>
    <w:p w:rsidR="007F42CA" w:rsidRDefault="007F42CA" w:rsidP="007205BD">
      <w:pPr>
        <w:pStyle w:val="BriefL3"/>
        <w:numPr>
          <w:ilvl w:val="0"/>
          <w:numId w:val="0"/>
        </w:numPr>
        <w:spacing w:after="0" w:line="360" w:lineRule="auto"/>
        <w:ind w:left="1440" w:hanging="720"/>
        <w:rPr>
          <w:b/>
          <w:szCs w:val="24"/>
        </w:rPr>
      </w:pPr>
    </w:p>
    <w:p w:rsidR="00493BC3" w:rsidRDefault="00493BC3" w:rsidP="00436BCE">
      <w:pPr>
        <w:spacing w:line="360" w:lineRule="auto"/>
      </w:pPr>
      <w:r>
        <w:tab/>
      </w:r>
      <w:r>
        <w:tab/>
      </w:r>
      <w:r w:rsidR="00EA2E1D">
        <w:t>W</w:t>
      </w:r>
      <w:r>
        <w:t>hile OCA is in general agreement with the framework of Duquesne</w:t>
      </w:r>
      <w:r w:rsidR="00EA2E1D">
        <w:t xml:space="preserve"> Light</w:t>
      </w:r>
      <w:r>
        <w:t>’s procurement plan, OCA recommend</w:t>
      </w:r>
      <w:r w:rsidR="00EA2E1D">
        <w:t>s</w:t>
      </w:r>
      <w:r>
        <w:t xml:space="preserve"> the addition of block and spot purchases as well as the lengthening of the term (to two years) of a small portion of the FRCs in order to provide a greater diversity of produc</w:t>
      </w:r>
      <w:r w:rsidR="00EA2E1D">
        <w:t xml:space="preserve">ts in the default supply mix.  </w:t>
      </w:r>
      <w:r>
        <w:t xml:space="preserve">OCA </w:t>
      </w:r>
      <w:r w:rsidR="00EA2E1D">
        <w:t xml:space="preserve">argues its </w:t>
      </w:r>
      <w:r>
        <w:t xml:space="preserve">recommended modifications ensure </w:t>
      </w:r>
      <w:r w:rsidR="00EA2E1D">
        <w:t>the Company</w:t>
      </w:r>
      <w:r>
        <w:t xml:space="preserve"> includes a prudent mix of products designed to ensure reliable, stable service at the least cost over time pursuant to Act 129.  </w:t>
      </w:r>
      <w:r>
        <w:rPr>
          <w:u w:val="single"/>
        </w:rPr>
        <w:t>See</w:t>
      </w:r>
      <w:r>
        <w:t xml:space="preserve"> </w:t>
      </w:r>
      <w:r>
        <w:rPr>
          <w:u w:val="single"/>
        </w:rPr>
        <w:t>gen’ly</w:t>
      </w:r>
      <w:r>
        <w:t xml:space="preserve"> OCA St. 1, 1-R and 1-S.  </w:t>
      </w:r>
      <w:r w:rsidR="00EA2E1D">
        <w:t>In addition, the</w:t>
      </w:r>
      <w:r>
        <w:t xml:space="preserve"> greater diversity is needed among Duquesne</w:t>
      </w:r>
      <w:r w:rsidR="00EA2E1D">
        <w:t xml:space="preserve"> Light</w:t>
      </w:r>
      <w:r>
        <w:t xml:space="preserve">’s residential default supply products if a prudent mix of resources, as mandated by Act 129, is to be achieved.   </w:t>
      </w:r>
    </w:p>
    <w:p w:rsidR="00EA2E1D" w:rsidRDefault="00EA2E1D" w:rsidP="00436BCE">
      <w:pPr>
        <w:spacing w:line="360" w:lineRule="auto"/>
      </w:pPr>
    </w:p>
    <w:p w:rsidR="00493BC3" w:rsidRDefault="00493BC3" w:rsidP="00436BCE">
      <w:pPr>
        <w:spacing w:line="360" w:lineRule="auto"/>
      </w:pPr>
      <w:r>
        <w:tab/>
      </w:r>
      <w:r>
        <w:tab/>
        <w:t>In order to realize such a mix, OCA proposed two modifications to the products and product terms proposed by Duquesne for residential default supply</w:t>
      </w:r>
      <w:r w:rsidR="00EA2E1D">
        <w:t xml:space="preserve">: (1) </w:t>
      </w:r>
      <w:r>
        <w:t>that approximately 17 percent of the residential default service load (4 of 24 tranches) should be procured through two-year FRCs rather than the one-year FRCs proposed by the Company</w:t>
      </w:r>
      <w:r w:rsidR="00EA2E1D">
        <w:t xml:space="preserve">; and (2) </w:t>
      </w:r>
      <w:r>
        <w:t xml:space="preserve">that approximately 21 percent (5 of 24 tranches) of the residential default service load in each year of DSP VI should be served through a block and spot supply arrangement.  This </w:t>
      </w:r>
      <w:r w:rsidR="001F1EAA">
        <w:t xml:space="preserve">proposal </w:t>
      </w:r>
      <w:r>
        <w:t xml:space="preserve">would be in lieu of Duquesne’s proposed 100 percent reliance on FRCs.  </w:t>
      </w:r>
      <w:r w:rsidR="001F1EAA">
        <w:t xml:space="preserve">OCA noted that, </w:t>
      </w:r>
      <w:r>
        <w:t xml:space="preserve">should </w:t>
      </w:r>
      <w:r w:rsidR="001F1EAA">
        <w:t>the</w:t>
      </w:r>
      <w:r>
        <w:t xml:space="preserve"> </w:t>
      </w:r>
      <w:r w:rsidR="00436BCE">
        <w:t xml:space="preserve">Commission not adopt the </w:t>
      </w:r>
      <w:r>
        <w:t xml:space="preserve">block and spot recommendation, </w:t>
      </w:r>
      <w:r w:rsidR="001F1EAA">
        <w:t>OCA</w:t>
      </w:r>
      <w:r>
        <w:t xml:space="preserve"> would continue to urge</w:t>
      </w:r>
      <w:r w:rsidR="001F1EAA">
        <w:t xml:space="preserve"> the Commission </w:t>
      </w:r>
      <w:r w:rsidR="00436BCE">
        <w:t xml:space="preserve">to </w:t>
      </w:r>
      <w:r w:rsidR="001F1EAA">
        <w:t>adopt</w:t>
      </w:r>
      <w:r>
        <w:t xml:space="preserve"> </w:t>
      </w:r>
      <w:r w:rsidR="001F1EAA">
        <w:t>its proposal f</w:t>
      </w:r>
      <w:r>
        <w:t>or two-year FRCs and that Duquesne’s proposal to purchase a portion of supply that would extend into the next DSP period be maintained.  OCA St. 1 at 19.</w:t>
      </w:r>
      <w:r w:rsidR="001F1EAA">
        <w:t xml:space="preserve">  O</w:t>
      </w:r>
      <w:r>
        <w:t xml:space="preserve">CA submits that the adoption of </w:t>
      </w:r>
      <w:r w:rsidR="00436BCE">
        <w:t>these</w:t>
      </w:r>
      <w:r>
        <w:t xml:space="preserve"> modifications will allow the Company’s procurement plan for residential customers to more closely adhere to the statutory requirement that default supply represent a prudent mix of contracts designed to ensure adequate and reliable service at least cost to customers over time.   </w:t>
      </w:r>
    </w:p>
    <w:p w:rsidR="00297E8C" w:rsidRDefault="00297E8C" w:rsidP="00436BCE">
      <w:pPr>
        <w:spacing w:line="360" w:lineRule="auto"/>
      </w:pPr>
    </w:p>
    <w:p w:rsidR="00297E8C" w:rsidRDefault="00297E8C" w:rsidP="00436BCE">
      <w:pPr>
        <w:tabs>
          <w:tab w:val="left" w:pos="0"/>
        </w:tabs>
        <w:spacing w:line="360" w:lineRule="auto"/>
      </w:pPr>
      <w:r>
        <w:lastRenderedPageBreak/>
        <w:tab/>
      </w:r>
      <w:r>
        <w:tab/>
        <w:t>The basis for OCA’s recommendation that a portion of the FRCs purchased for residential load have a two-year rather than a one-year term is that the two-year FRCs: (1) would provide an additional product that would enhance compliance with Act 129 by building product diversity; (2) would allow Duquesne to take advantage of favorable current forward market prices; and (3) could provide some degree of hedging against unantici</w:t>
      </w:r>
      <w:r w:rsidR="00436BCE">
        <w:t xml:space="preserve">pated future price increases.  </w:t>
      </w:r>
      <w:r>
        <w:t>OCA St. 1 at 15.</w:t>
      </w:r>
    </w:p>
    <w:p w:rsidR="00014A18" w:rsidRDefault="00297E8C" w:rsidP="00436BCE">
      <w:pPr>
        <w:tabs>
          <w:tab w:val="left" w:pos="0"/>
        </w:tabs>
        <w:spacing w:line="360" w:lineRule="auto"/>
      </w:pPr>
      <w:r>
        <w:tab/>
      </w:r>
      <w:r>
        <w:tab/>
      </w:r>
    </w:p>
    <w:p w:rsidR="00297E8C" w:rsidRDefault="00436BCE" w:rsidP="00436BCE">
      <w:pPr>
        <w:tabs>
          <w:tab w:val="left" w:pos="360"/>
        </w:tabs>
        <w:spacing w:line="360" w:lineRule="auto"/>
      </w:pPr>
      <w:r>
        <w:tab/>
      </w:r>
      <w:r>
        <w:tab/>
      </w:r>
      <w:r w:rsidR="00667EEC">
        <w:tab/>
      </w:r>
      <w:r>
        <w:t xml:space="preserve">OCA contends its recommendation to purchase a mix of one-year and two-year FRCs to satisfy the residential Default Service supply requirement is no more speculative than the Company’s recommendation to purchase only one-year FRCs” and specifically suggests “the market be relied upon, with the recognition that product diversification provides a measure of risk mitigation and that based on historical prices, the risk of potential price increases from current futures levels is greater than the risk of potential price declines.”  </w:t>
      </w:r>
      <w:r w:rsidR="00297E8C">
        <w:t xml:space="preserve">OCA St. 1-S at 20.  </w:t>
      </w:r>
    </w:p>
    <w:p w:rsidR="00014A18" w:rsidRDefault="00014A18" w:rsidP="00436BCE">
      <w:pPr>
        <w:spacing w:line="360" w:lineRule="auto"/>
      </w:pPr>
    </w:p>
    <w:p w:rsidR="00014A18" w:rsidRDefault="00014A18" w:rsidP="007205BD">
      <w:pPr>
        <w:spacing w:line="360" w:lineRule="auto"/>
        <w:ind w:firstLine="1440"/>
      </w:pPr>
      <w:r>
        <w:t xml:space="preserve">OCA contends its </w:t>
      </w:r>
      <w:r w:rsidR="00297E8C">
        <w:t>recommendation to have 4 of 24 tranches of the residential default service load procured through two-year FRCs should be adopted.</w:t>
      </w:r>
    </w:p>
    <w:p w:rsidR="00297E8C" w:rsidRDefault="00155068" w:rsidP="007205BD">
      <w:pPr>
        <w:spacing w:line="360" w:lineRule="auto"/>
        <w:rPr>
          <w:u w:val="single"/>
        </w:rPr>
      </w:pPr>
      <w:r>
        <w:rPr>
          <w:i/>
        </w:rPr>
        <w:tab/>
      </w:r>
    </w:p>
    <w:p w:rsidR="007205BD" w:rsidRDefault="00155068" w:rsidP="007205BD">
      <w:pPr>
        <w:spacing w:line="360" w:lineRule="auto"/>
      </w:pPr>
      <w:r>
        <w:tab/>
      </w:r>
      <w:r>
        <w:tab/>
      </w:r>
      <w:r w:rsidR="00297E8C">
        <w:t>OCA’s second modification for residential default service is to add a block and spot component to complement Duquesne</w:t>
      </w:r>
      <w:r w:rsidR="00014A18">
        <w:t xml:space="preserve"> Light</w:t>
      </w:r>
      <w:r w:rsidR="00297E8C">
        <w:t xml:space="preserve">’s sole reliance on FRCs.  Specifically, OCA proposed Duquesne </w:t>
      </w:r>
      <w:r w:rsidR="00014A18">
        <w:t xml:space="preserve">Light </w:t>
      </w:r>
      <w:r w:rsidR="00297E8C">
        <w:t xml:space="preserve">acquire one-year block energy products, that is, 12-month on-peak and off-peak strips (or alternatively, 12-month on-peak and 12-month all-hours strips), with the Company targeting the purchase of 80 percent of on-peak and off-peak MWhs for its block supply tranches.  Because the energy blocks purchased would not necessarily match the residential hourly load, Duquesne </w:t>
      </w:r>
      <w:r w:rsidR="00C30901">
        <w:t xml:space="preserve">Light </w:t>
      </w:r>
      <w:r w:rsidR="00297E8C">
        <w:t xml:space="preserve">would need to purchase the balancing energy from the spot market in hours when load exceeds the 80 percent block and sell energy into the spot market in hours when the block exceeds load.  </w:t>
      </w:r>
      <w:r w:rsidR="00C30901">
        <w:t xml:space="preserve">OCA </w:t>
      </w:r>
      <w:r>
        <w:t>contends the</w:t>
      </w:r>
      <w:r w:rsidR="00297E8C">
        <w:t xml:space="preserve"> two advantages to adding a block and spot element to Duquesne’s procurement portfolio</w:t>
      </w:r>
      <w:r>
        <w:t xml:space="preserve"> are</w:t>
      </w:r>
      <w:r w:rsidR="00BB3B01">
        <w:t xml:space="preserve">: </w:t>
      </w:r>
      <w:r>
        <w:t xml:space="preserve"> (1)</w:t>
      </w:r>
      <w:r w:rsidR="00C30901">
        <w:t xml:space="preserve"> “t</w:t>
      </w:r>
      <w:r w:rsidR="00297E8C">
        <w:t xml:space="preserve">his arrangement…would provide a </w:t>
      </w:r>
    </w:p>
    <w:p w:rsidR="007205BD" w:rsidRDefault="007205BD">
      <w:pPr>
        <w:autoSpaceDE/>
        <w:autoSpaceDN/>
      </w:pPr>
      <w:r>
        <w:br w:type="page"/>
      </w:r>
    </w:p>
    <w:p w:rsidR="00297E8C" w:rsidRDefault="00297E8C" w:rsidP="007205BD">
      <w:pPr>
        <w:spacing w:line="360" w:lineRule="auto"/>
      </w:pPr>
      <w:r>
        <w:lastRenderedPageBreak/>
        <w:t>greater mix of supply elements in the portfolio</w:t>
      </w:r>
      <w:r w:rsidR="00155068">
        <w:t xml:space="preserve">; and (2) the proposal is </w:t>
      </w:r>
      <w:r>
        <w:t>in closer conformance to the Act 129 guidelines.</w:t>
      </w:r>
      <w:r w:rsidR="00C30901">
        <w:t>”  (</w:t>
      </w:r>
      <w:r>
        <w:t>OCA St. 1 at 9.</w:t>
      </w:r>
      <w:r w:rsidR="00C30901">
        <w:t>)</w:t>
      </w:r>
      <w:r>
        <w:rPr>
          <w:rStyle w:val="FootnoteReference"/>
        </w:rPr>
        <w:t xml:space="preserve"> </w:t>
      </w:r>
      <w:r>
        <w:rPr>
          <w:rStyle w:val="FootnoteReference"/>
        </w:rPr>
        <w:footnoteReference w:id="27"/>
      </w:r>
      <w:r>
        <w:t xml:space="preserve"> </w:t>
      </w:r>
    </w:p>
    <w:p w:rsidR="00297E8C" w:rsidRDefault="00297E8C" w:rsidP="007205BD">
      <w:pPr>
        <w:tabs>
          <w:tab w:val="left" w:pos="0"/>
        </w:tabs>
        <w:spacing w:line="360" w:lineRule="auto"/>
        <w:jc w:val="both"/>
      </w:pPr>
    </w:p>
    <w:p w:rsidR="00297E8C" w:rsidRDefault="00297E8C" w:rsidP="007205BD">
      <w:pPr>
        <w:spacing w:line="360" w:lineRule="auto"/>
      </w:pPr>
      <w:r>
        <w:tab/>
      </w:r>
      <w:r>
        <w:tab/>
        <w:t>OCA submits that inclusion of a block and spot component in Duquesne</w:t>
      </w:r>
      <w:r w:rsidR="00C30901">
        <w:t xml:space="preserve"> Light</w:t>
      </w:r>
      <w:r>
        <w:t>’s procurement mix is consistent with Act 129 and adds elements that would enhance Duquesne</w:t>
      </w:r>
      <w:r w:rsidR="00C30901">
        <w:t xml:space="preserve"> Light</w:t>
      </w:r>
      <w:r>
        <w:t xml:space="preserve">’s ability to achieve the prudent mix of products required by Act 129.   </w:t>
      </w:r>
    </w:p>
    <w:p w:rsidR="00C30901" w:rsidRDefault="00C30901" w:rsidP="007205BD">
      <w:pPr>
        <w:spacing w:line="360" w:lineRule="auto"/>
      </w:pPr>
    </w:p>
    <w:p w:rsidR="00297E8C" w:rsidRDefault="00297E8C" w:rsidP="007205BD">
      <w:pPr>
        <w:spacing w:line="360" w:lineRule="auto"/>
      </w:pPr>
      <w:r>
        <w:tab/>
      </w:r>
      <w:r>
        <w:tab/>
      </w:r>
      <w:r w:rsidR="007205BD">
        <w:t>OCA noted the Company’s</w:t>
      </w:r>
      <w:r>
        <w:t xml:space="preserve"> argument might have merit if the block and spot component of the portfolio were very large or if the block and spot products were multi-year products, but neither is the case with the OCA proposal.  </w:t>
      </w:r>
      <w:r w:rsidR="00C30901">
        <w:t>As stated by OCA’s witness</w:t>
      </w:r>
      <w:r>
        <w:t>:</w:t>
      </w:r>
    </w:p>
    <w:p w:rsidR="00BE1713" w:rsidRDefault="00BE1713" w:rsidP="00A36646"/>
    <w:p w:rsidR="00297E8C" w:rsidRDefault="00297E8C" w:rsidP="00155068">
      <w:pPr>
        <w:ind w:left="1440" w:right="720"/>
        <w:jc w:val="both"/>
      </w:pPr>
      <w:r>
        <w:t xml:space="preserve">All block-and-spot products are of one-year duration and represent, in aggregate, approximately 25 percent of the residential Default Service load.  The relatively small proportion of load served through the block-and-spot arrangement and the fact that the block-and-spot products all have a one-year term effectively limits the exposure of residential Default Service customers to the kinds of adverse financial consequences identified by Mr. Scott Fisher.   </w:t>
      </w:r>
    </w:p>
    <w:p w:rsidR="00A36646" w:rsidRDefault="00A36646" w:rsidP="00436BCE">
      <w:pPr>
        <w:tabs>
          <w:tab w:val="left" w:pos="0"/>
        </w:tabs>
        <w:jc w:val="both"/>
      </w:pPr>
    </w:p>
    <w:p w:rsidR="00297E8C" w:rsidRDefault="00297E8C" w:rsidP="00436BCE">
      <w:pPr>
        <w:tabs>
          <w:tab w:val="left" w:pos="0"/>
        </w:tabs>
        <w:jc w:val="both"/>
      </w:pPr>
      <w:r>
        <w:t xml:space="preserve">OCA St. 1-S at 16.  </w:t>
      </w:r>
    </w:p>
    <w:p w:rsidR="00297E8C" w:rsidRDefault="00297E8C" w:rsidP="00436BCE">
      <w:pPr>
        <w:tabs>
          <w:tab w:val="left" w:pos="0"/>
        </w:tabs>
        <w:jc w:val="both"/>
      </w:pPr>
    </w:p>
    <w:p w:rsidR="00C30901" w:rsidRDefault="00C30901" w:rsidP="00436BCE">
      <w:pPr>
        <w:tabs>
          <w:tab w:val="left" w:pos="0"/>
        </w:tabs>
        <w:spacing w:line="360" w:lineRule="auto"/>
      </w:pPr>
    </w:p>
    <w:p w:rsidR="00297E8C" w:rsidRDefault="00297E8C" w:rsidP="00436BCE">
      <w:pPr>
        <w:tabs>
          <w:tab w:val="left" w:pos="0"/>
        </w:tabs>
        <w:spacing w:line="360" w:lineRule="auto"/>
      </w:pPr>
      <w:r>
        <w:tab/>
      </w:r>
      <w:r>
        <w:tab/>
      </w:r>
      <w:r w:rsidR="00C30901">
        <w:t>OCA</w:t>
      </w:r>
      <w:r>
        <w:t xml:space="preserve"> acknowledg</w:t>
      </w:r>
      <w:r w:rsidR="00C30901">
        <w:t>es</w:t>
      </w:r>
      <w:r>
        <w:t xml:space="preserve"> the potential for either a positive or negative deferral balance, but </w:t>
      </w:r>
      <w:r w:rsidR="00F150B2">
        <w:t>does</w:t>
      </w:r>
      <w:r>
        <w:t xml:space="preserve"> not expect the absolute value of any such balance to be large due to the small proportion of default service supply that would be purchased on the spot market.  OCA St. 1-S at 18.  OCA submits the various criticisms leveled by </w:t>
      </w:r>
      <w:r w:rsidR="00F150B2">
        <w:t>the Company</w:t>
      </w:r>
      <w:r>
        <w:t xml:space="preserve"> against inclusion of a block and spot component in Duquesne</w:t>
      </w:r>
      <w:r w:rsidR="00F150B2">
        <w:t xml:space="preserve"> Light</w:t>
      </w:r>
      <w:r>
        <w:t xml:space="preserve">’s procurement mix are not persuasive and do little to undercut the merit of incorporating a block and spot element into Duquesne’s mix.   Therefore, </w:t>
      </w:r>
      <w:r w:rsidR="00F150B2">
        <w:t xml:space="preserve">its </w:t>
      </w:r>
      <w:r>
        <w:t xml:space="preserve">recommendation should be adopted.   </w:t>
      </w:r>
    </w:p>
    <w:p w:rsidR="00BE1713" w:rsidRDefault="00BE1713" w:rsidP="00436BCE">
      <w:pPr>
        <w:tabs>
          <w:tab w:val="left" w:pos="0"/>
        </w:tabs>
        <w:spacing w:line="360" w:lineRule="auto"/>
      </w:pPr>
    </w:p>
    <w:p w:rsidR="00297E8C" w:rsidRDefault="00297E8C" w:rsidP="00436BCE">
      <w:pPr>
        <w:tabs>
          <w:tab w:val="left" w:pos="0"/>
        </w:tabs>
        <w:spacing w:line="360" w:lineRule="auto"/>
      </w:pPr>
      <w:r>
        <w:lastRenderedPageBreak/>
        <w:tab/>
      </w:r>
      <w:r>
        <w:tab/>
        <w:t>OCA note</w:t>
      </w:r>
      <w:r w:rsidR="00B27770">
        <w:t>s</w:t>
      </w:r>
      <w:r>
        <w:t xml:space="preserve"> the Commission declined to adopt OCA’s recommendation to use block and spot purchasing </w:t>
      </w:r>
      <w:r w:rsidR="004A6054">
        <w:t>in the case involving the First</w:t>
      </w:r>
      <w:r>
        <w:t>Energy operating companies</w:t>
      </w:r>
      <w:r w:rsidR="00B27770">
        <w:t>.  However, OCA points out</w:t>
      </w:r>
      <w:r>
        <w:t xml:space="preserve"> the Commission specifically stated it did not intend to establish a precedent in that proceeding regarding the utilization of block procurements for default service.</w:t>
      </w:r>
      <w:r>
        <w:rPr>
          <w:rStyle w:val="FootnoteReference"/>
        </w:rPr>
        <w:footnoteReference w:id="28"/>
      </w:r>
      <w:r>
        <w:t xml:space="preserve">   OCA </w:t>
      </w:r>
      <w:r w:rsidR="00B27770">
        <w:t>recommends the Commission</w:t>
      </w:r>
      <w:r>
        <w:t xml:space="preserve"> use block and spot purchasing as an element of a diverse and least cost default service procurement plan.  Nevertheless, if the Commission again declines to adopt OCA’s recommendation, OCA </w:t>
      </w:r>
      <w:r w:rsidR="00B27770">
        <w:t>contends</w:t>
      </w:r>
      <w:r>
        <w:t xml:space="preserve"> the Commission should adopt OCA’s proposal for using a mix of one and two-year FRCs. </w:t>
      </w:r>
    </w:p>
    <w:p w:rsidR="00884AFB" w:rsidRDefault="00884AFB" w:rsidP="00436BCE">
      <w:pPr>
        <w:tabs>
          <w:tab w:val="left" w:pos="0"/>
        </w:tabs>
        <w:spacing w:line="360" w:lineRule="auto"/>
        <w:rPr>
          <w:b/>
        </w:rPr>
      </w:pPr>
    </w:p>
    <w:p w:rsidR="00884AFB" w:rsidRDefault="005A3CD5" w:rsidP="001C6FC2">
      <w:pPr>
        <w:pStyle w:val="ListParagraph"/>
        <w:numPr>
          <w:ilvl w:val="0"/>
          <w:numId w:val="40"/>
        </w:numPr>
        <w:tabs>
          <w:tab w:val="left" w:pos="0"/>
        </w:tabs>
        <w:spacing w:line="360" w:lineRule="auto"/>
        <w:rPr>
          <w:b/>
        </w:rPr>
      </w:pPr>
      <w:r w:rsidRPr="001C6FC2">
        <w:rPr>
          <w:b/>
        </w:rPr>
        <w:t>RESA’s Position</w:t>
      </w:r>
    </w:p>
    <w:p w:rsidR="001C6FC2" w:rsidRPr="001C6FC2" w:rsidRDefault="001C6FC2" w:rsidP="001C6FC2">
      <w:pPr>
        <w:tabs>
          <w:tab w:val="left" w:pos="0"/>
        </w:tabs>
        <w:spacing w:line="360" w:lineRule="auto"/>
        <w:rPr>
          <w:b/>
        </w:rPr>
      </w:pPr>
    </w:p>
    <w:p w:rsidR="001C6FC2" w:rsidRDefault="001C6FC2" w:rsidP="001C6FC2">
      <w:pPr>
        <w:pStyle w:val="BodyText2"/>
        <w:spacing w:line="360" w:lineRule="auto"/>
        <w:ind w:firstLine="1440"/>
        <w:rPr>
          <w:lang w:val="en-US"/>
        </w:rPr>
      </w:pPr>
      <w:r>
        <w:t>RESA proposes a portfolio mix of 50% 12-month and 50% quarterly fixed priced full requirements products, in order to move closer to market-reflective prices for energy and to facilitate a reasonable transition to the Commission’s announced 2015 default service procurement mix,</w:t>
      </w:r>
      <w:r>
        <w:rPr>
          <w:rStyle w:val="FootnoteReference"/>
        </w:rPr>
        <w:footnoteReference w:id="29"/>
      </w:r>
      <w:r>
        <w:t xml:space="preserve"> where the terms of both the 12-month and quarterly products would end on May 31, 2015.  RESA argues the inclusion of quarterly procurements will result in default service rates that more accurately reflect the underlying wholesale cost of electricity and, in turn, enable customers to reap the benefits of a more competitive retail market.  </w:t>
      </w:r>
    </w:p>
    <w:p w:rsidR="001C6FC2" w:rsidRPr="001C6FC2" w:rsidRDefault="001C6FC2" w:rsidP="001C6FC2">
      <w:pPr>
        <w:pStyle w:val="BodyText2"/>
        <w:spacing w:line="360" w:lineRule="auto"/>
        <w:rPr>
          <w:lang w:val="en-US"/>
        </w:rPr>
      </w:pPr>
    </w:p>
    <w:p w:rsidR="001C6FC2" w:rsidRDefault="001C6FC2" w:rsidP="001C6FC2">
      <w:pPr>
        <w:pStyle w:val="BodyText2"/>
        <w:spacing w:line="360" w:lineRule="auto"/>
        <w:ind w:firstLine="1440"/>
        <w:rPr>
          <w:lang w:val="en-US"/>
        </w:rPr>
      </w:pPr>
      <w:r>
        <w:t>RESA argues strenuously using facts concerning Maryland utilities which conduct quarterly procurements and avers that state has seen improved customer shopping for their mid-size commercial customers since implementing quarterly procurements.</w:t>
      </w:r>
      <w:r>
        <w:rPr>
          <w:rStyle w:val="FootnoteReference"/>
        </w:rPr>
        <w:footnoteReference w:id="30"/>
      </w:r>
      <w:r>
        <w:t xml:space="preserve">  RESA insists that with more market reflective default service comes higher and continuous shopping as competition becomes more sustainable and robust, and that its proposal properly balances the policy concerns raised by the parties in this case relating to the objectives of default service – least cost over time, rate stability, and the creation of a sustainable competitive market.  </w:t>
      </w:r>
    </w:p>
    <w:p w:rsidR="001C6FC2" w:rsidRPr="001C6FC2" w:rsidRDefault="001C6FC2" w:rsidP="001C6FC2">
      <w:pPr>
        <w:pStyle w:val="BodyText2"/>
        <w:spacing w:line="360" w:lineRule="auto"/>
        <w:rPr>
          <w:lang w:val="en-US"/>
        </w:rPr>
      </w:pPr>
    </w:p>
    <w:p w:rsidR="001C6FC2" w:rsidRDefault="001C6FC2" w:rsidP="001C6FC2">
      <w:pPr>
        <w:pStyle w:val="BodyText2"/>
        <w:spacing w:line="360" w:lineRule="auto"/>
        <w:ind w:firstLine="1440"/>
        <w:rPr>
          <w:lang w:val="en-US"/>
        </w:rPr>
      </w:pPr>
      <w:r>
        <w:lastRenderedPageBreak/>
        <w:t>RESA asserts the desire for “price certainty” differs from customer to customer – there is no “one-size-fits-all” level of price certainty and predictability that meets all customers’ needs.  Customers have different preferences when it comes to price certainty and they can choose the product that provides the level of price certainty and predictability that meets their individual needs from EGSs that offer a wide array of pricing and product options that are available in a robust sustainable competitive market.</w:t>
      </w:r>
      <w:r>
        <w:rPr>
          <w:rStyle w:val="FootnoteReference"/>
        </w:rPr>
        <w:footnoteReference w:id="31"/>
      </w:r>
      <w:r>
        <w:t xml:space="preserve"> </w:t>
      </w:r>
    </w:p>
    <w:p w:rsidR="001C6FC2" w:rsidRPr="001C6FC2" w:rsidRDefault="001C6FC2" w:rsidP="001C6FC2">
      <w:pPr>
        <w:pStyle w:val="BodyText2"/>
        <w:spacing w:line="360" w:lineRule="auto"/>
        <w:rPr>
          <w:lang w:val="en-US"/>
        </w:rPr>
      </w:pPr>
    </w:p>
    <w:p w:rsidR="001C6FC2" w:rsidRDefault="001C6FC2" w:rsidP="001C6FC2">
      <w:pPr>
        <w:pStyle w:val="BodyText2"/>
        <w:spacing w:line="360" w:lineRule="auto"/>
        <w:ind w:firstLine="1440"/>
        <w:rPr>
          <w:lang w:val="en-US"/>
        </w:rPr>
      </w:pPr>
      <w:r>
        <w:t>RESA contends that, since the Commission has now indicated its view of default service beginning in 2015 is to transition to 100% 3-month contracts for residential customers, its proposed blend of 12-month and 3-month contracts would mean the quarterly default service rate changes would be cushioned since only 50% of the load would be bid out quarterly.</w:t>
      </w:r>
    </w:p>
    <w:p w:rsidR="001C6FC2" w:rsidRPr="001C6FC2" w:rsidRDefault="001C6FC2" w:rsidP="001C6FC2">
      <w:pPr>
        <w:pStyle w:val="BodyText2"/>
        <w:spacing w:line="360" w:lineRule="auto"/>
        <w:rPr>
          <w:lang w:val="en-US"/>
        </w:rPr>
      </w:pPr>
    </w:p>
    <w:p w:rsidR="001C6FC2" w:rsidRPr="001C6FC2" w:rsidRDefault="001C6FC2" w:rsidP="00C95999">
      <w:pPr>
        <w:pStyle w:val="BodyText2"/>
        <w:spacing w:line="360" w:lineRule="auto"/>
        <w:ind w:firstLine="1440"/>
        <w:rPr>
          <w:bCs/>
          <w:lang w:val="en-US"/>
        </w:rPr>
      </w:pPr>
      <w:r>
        <w:t>RESA opposes OCA’s requested modifications, arguing that t</w:t>
      </w:r>
      <w:r>
        <w:rPr>
          <w:bCs/>
        </w:rPr>
        <w:t>he inclusion of block contracts is inconsistent with establishing default service rates in a manner that promotes the development of a robust sustainable competitive retail market because the underlying design of such a default service procurement plan will not result in prices that more consistently reflect the underlying wholesale market price changes.</w:t>
      </w:r>
      <w:r>
        <w:rPr>
          <w:rStyle w:val="FootnoteReference"/>
          <w:bCs/>
        </w:rPr>
        <w:footnoteReference w:id="32"/>
      </w:r>
      <w:r>
        <w:rPr>
          <w:bCs/>
        </w:rPr>
        <w:t xml:space="preserve">  RESA also agrees with the testimony submitted by Dominion/IGS relating to the additional risks attributable to purchases of block power.</w:t>
      </w:r>
      <w:r>
        <w:rPr>
          <w:rStyle w:val="FootnoteReference"/>
          <w:bCs/>
        </w:rPr>
        <w:footnoteReference w:id="33"/>
      </w:r>
      <w:r>
        <w:rPr>
          <w:bCs/>
        </w:rPr>
        <w:t xml:space="preserve">  </w:t>
      </w:r>
    </w:p>
    <w:p w:rsidR="001C6FC2" w:rsidRDefault="001C6FC2" w:rsidP="001C6FC2">
      <w:pPr>
        <w:spacing w:line="360" w:lineRule="auto"/>
      </w:pPr>
    </w:p>
    <w:p w:rsidR="001C6FC2" w:rsidRDefault="001C6FC2" w:rsidP="00C95999">
      <w:pPr>
        <w:spacing w:line="360" w:lineRule="auto"/>
        <w:ind w:firstLine="1440"/>
      </w:pPr>
      <w:r>
        <w:t xml:space="preserve">RESA asserts that market reflective default service prices are necessary to facilitate the development of a robust sustainable competitive retail market that will provide the myriad of product and service offerings - including those that offer various levels of price certainty and predictability - from which customers can choose.  RESA requests that the Commission accept its modifications to Duquesne’s residential procurement proposal by using a blend of 12-month and 3-month procurements that better reflect market prices and will result in </w:t>
      </w:r>
      <w:r>
        <w:lastRenderedPageBreak/>
        <w:t>continuous and robust competition for customers, produce least cost procurement over time, and address rate stability concerns.</w:t>
      </w:r>
    </w:p>
    <w:p w:rsidR="00D160F3" w:rsidRDefault="00D160F3" w:rsidP="00C95999">
      <w:pPr>
        <w:spacing w:line="360" w:lineRule="auto"/>
        <w:ind w:firstLine="1440"/>
      </w:pPr>
    </w:p>
    <w:p w:rsidR="00D160F3" w:rsidRDefault="00D160F3" w:rsidP="00F5394E">
      <w:pPr>
        <w:pStyle w:val="ListParagraph"/>
        <w:numPr>
          <w:ilvl w:val="0"/>
          <w:numId w:val="40"/>
        </w:numPr>
        <w:spacing w:line="360" w:lineRule="auto"/>
        <w:rPr>
          <w:b/>
        </w:rPr>
      </w:pPr>
      <w:r w:rsidRPr="00D160F3">
        <w:rPr>
          <w:b/>
        </w:rPr>
        <w:t>OSBA’s Position</w:t>
      </w:r>
    </w:p>
    <w:p w:rsidR="00E773C3" w:rsidRDefault="00E773C3" w:rsidP="00E773C3">
      <w:pPr>
        <w:pStyle w:val="ListParagraph"/>
        <w:spacing w:line="360" w:lineRule="auto"/>
        <w:ind w:left="2880"/>
        <w:rPr>
          <w:b/>
        </w:rPr>
      </w:pPr>
    </w:p>
    <w:p w:rsidR="00F5394E" w:rsidRPr="00E773C3" w:rsidRDefault="00E773C3" w:rsidP="00E773C3">
      <w:pPr>
        <w:pStyle w:val="ListParagraph"/>
        <w:spacing w:line="360" w:lineRule="auto"/>
        <w:ind w:left="1440"/>
      </w:pPr>
      <w:r w:rsidRPr="00E773C3">
        <w:t>OSBA takes no position on this issue.</w:t>
      </w:r>
    </w:p>
    <w:p w:rsidR="00D160F3" w:rsidRPr="00D160F3" w:rsidRDefault="00D160F3" w:rsidP="00F5394E">
      <w:pPr>
        <w:spacing w:line="360" w:lineRule="auto"/>
        <w:rPr>
          <w:b/>
        </w:rPr>
      </w:pPr>
    </w:p>
    <w:p w:rsidR="00D160F3" w:rsidRDefault="00D160F3" w:rsidP="00F5394E">
      <w:pPr>
        <w:pStyle w:val="ListParagraph"/>
        <w:numPr>
          <w:ilvl w:val="0"/>
          <w:numId w:val="40"/>
        </w:numPr>
        <w:spacing w:line="360" w:lineRule="auto"/>
        <w:rPr>
          <w:b/>
        </w:rPr>
      </w:pPr>
      <w:r w:rsidRPr="00D160F3">
        <w:rPr>
          <w:b/>
        </w:rPr>
        <w:t>CAUSE’s Position</w:t>
      </w:r>
    </w:p>
    <w:p w:rsidR="00E773C3" w:rsidRPr="00E773C3" w:rsidRDefault="00E773C3" w:rsidP="00E773C3">
      <w:pPr>
        <w:spacing w:line="360" w:lineRule="auto"/>
        <w:ind w:left="2160"/>
        <w:rPr>
          <w:b/>
        </w:rPr>
      </w:pPr>
    </w:p>
    <w:p w:rsidR="00E773C3" w:rsidRPr="00E773C3" w:rsidRDefault="00E773C3" w:rsidP="00E773C3">
      <w:pPr>
        <w:spacing w:line="360" w:lineRule="auto"/>
        <w:ind w:left="1440"/>
      </w:pPr>
      <w:r w:rsidRPr="00E773C3">
        <w:t>CAUSE takes no position on this issue.</w:t>
      </w:r>
    </w:p>
    <w:p w:rsidR="00D160F3" w:rsidRPr="00D160F3" w:rsidRDefault="00D160F3" w:rsidP="00E773C3">
      <w:pPr>
        <w:pStyle w:val="ListParagraph"/>
        <w:spacing w:line="360" w:lineRule="auto"/>
        <w:ind w:left="0"/>
        <w:rPr>
          <w:b/>
        </w:rPr>
      </w:pPr>
    </w:p>
    <w:p w:rsidR="00D160F3" w:rsidRDefault="00D160F3" w:rsidP="00F47475">
      <w:pPr>
        <w:pStyle w:val="ListParagraph"/>
        <w:numPr>
          <w:ilvl w:val="0"/>
          <w:numId w:val="40"/>
        </w:numPr>
        <w:spacing w:line="360" w:lineRule="auto"/>
        <w:rPr>
          <w:b/>
        </w:rPr>
      </w:pPr>
      <w:r w:rsidRPr="00D160F3">
        <w:rPr>
          <w:b/>
        </w:rPr>
        <w:t>Citizen Power’s Position</w:t>
      </w:r>
    </w:p>
    <w:p w:rsidR="00F5394E" w:rsidRDefault="00F5394E" w:rsidP="00F47475">
      <w:pPr>
        <w:pStyle w:val="ListParagraph"/>
        <w:spacing w:line="360" w:lineRule="auto"/>
        <w:ind w:left="2880"/>
        <w:rPr>
          <w:b/>
        </w:rPr>
      </w:pPr>
    </w:p>
    <w:p w:rsidR="00F47475" w:rsidRDefault="00F47475" w:rsidP="00F47475">
      <w:pPr>
        <w:spacing w:line="360" w:lineRule="auto"/>
        <w:ind w:firstLine="720"/>
      </w:pPr>
      <w:r>
        <w:tab/>
        <w:t>Citizen Power generally supports the use of one-year full requirements contracts because these contracts provide a balanced amount of price stability and price responsiveness.  It agrees with OCA’s recommendation to include two-year full requirement contracts in the portfolio mix because the inclusion of a small number of these contracts would help smooth price differences between the first year and second year of the procurement that may result from a known large increase in the PJM capacity prices. Citizen Power contends RESA’s proposal - to procure 50% of the load through 3-month contracts - has two distinct disadvantages. First, it allows for the possibility of large price swings in response to changing electricity prices.  Second, it makes the Price to Compare (“PTC”) a moving target, potentially discouraging potential customers used to more stable default service.</w:t>
      </w:r>
    </w:p>
    <w:p w:rsidR="00D160F3" w:rsidRPr="00D160F3" w:rsidRDefault="00D160F3" w:rsidP="00F47475">
      <w:pPr>
        <w:spacing w:line="360" w:lineRule="auto"/>
        <w:rPr>
          <w:b/>
        </w:rPr>
      </w:pPr>
    </w:p>
    <w:p w:rsidR="00D160F3" w:rsidRDefault="00D160F3" w:rsidP="00F47475">
      <w:pPr>
        <w:pStyle w:val="ListParagraph"/>
        <w:numPr>
          <w:ilvl w:val="0"/>
          <w:numId w:val="40"/>
        </w:numPr>
        <w:spacing w:line="360" w:lineRule="auto"/>
        <w:rPr>
          <w:b/>
        </w:rPr>
      </w:pPr>
      <w:r w:rsidRPr="00D160F3">
        <w:rPr>
          <w:b/>
        </w:rPr>
        <w:t>Duquesne Industrial Intervenors’ Position</w:t>
      </w:r>
    </w:p>
    <w:p w:rsidR="00E773C3" w:rsidRDefault="00E773C3" w:rsidP="00E773C3">
      <w:pPr>
        <w:pStyle w:val="ListParagraph"/>
        <w:spacing w:line="360" w:lineRule="auto"/>
        <w:ind w:left="2880"/>
        <w:rPr>
          <w:b/>
        </w:rPr>
      </w:pPr>
    </w:p>
    <w:p w:rsidR="00D160F3" w:rsidRPr="00E773C3" w:rsidRDefault="00E773C3" w:rsidP="00E773C3">
      <w:pPr>
        <w:pStyle w:val="ListParagraph"/>
        <w:spacing w:line="360" w:lineRule="auto"/>
        <w:ind w:left="1440"/>
      </w:pPr>
      <w:r w:rsidRPr="00E773C3">
        <w:t>DII takes no position on this issue.</w:t>
      </w:r>
    </w:p>
    <w:p w:rsidR="00D160F3" w:rsidRDefault="00D160F3" w:rsidP="00F5394E">
      <w:pPr>
        <w:spacing w:line="360" w:lineRule="auto"/>
        <w:rPr>
          <w:b/>
        </w:rPr>
      </w:pPr>
    </w:p>
    <w:p w:rsidR="00057C65" w:rsidRDefault="00057C65" w:rsidP="00F5394E">
      <w:pPr>
        <w:spacing w:line="360" w:lineRule="auto"/>
        <w:rPr>
          <w:b/>
        </w:rPr>
      </w:pPr>
    </w:p>
    <w:p w:rsidR="00057C65" w:rsidRDefault="00057C65" w:rsidP="00F5394E">
      <w:pPr>
        <w:spacing w:line="360" w:lineRule="auto"/>
        <w:rPr>
          <w:b/>
        </w:rPr>
      </w:pPr>
    </w:p>
    <w:p w:rsidR="00057C65" w:rsidRPr="00D160F3" w:rsidRDefault="00057C65" w:rsidP="00F5394E">
      <w:pPr>
        <w:spacing w:line="360" w:lineRule="auto"/>
        <w:rPr>
          <w:b/>
        </w:rPr>
      </w:pPr>
    </w:p>
    <w:p w:rsidR="00D160F3" w:rsidRDefault="00D160F3" w:rsidP="00F5394E">
      <w:pPr>
        <w:pStyle w:val="ListParagraph"/>
        <w:numPr>
          <w:ilvl w:val="0"/>
          <w:numId w:val="40"/>
        </w:numPr>
        <w:spacing w:line="360" w:lineRule="auto"/>
        <w:rPr>
          <w:b/>
        </w:rPr>
      </w:pPr>
      <w:r w:rsidRPr="00D160F3">
        <w:rPr>
          <w:b/>
        </w:rPr>
        <w:lastRenderedPageBreak/>
        <w:t>EGS Parties’ Position</w:t>
      </w:r>
    </w:p>
    <w:p w:rsidR="00F5394E" w:rsidRDefault="00F5394E" w:rsidP="00F5394E">
      <w:pPr>
        <w:pStyle w:val="ListParagraph"/>
        <w:spacing w:line="360" w:lineRule="auto"/>
        <w:ind w:left="2880"/>
        <w:rPr>
          <w:b/>
        </w:rPr>
      </w:pPr>
    </w:p>
    <w:p w:rsidR="00D12A5B" w:rsidRDefault="00D12A5B" w:rsidP="00D12A5B">
      <w:pPr>
        <w:spacing w:line="360" w:lineRule="auto"/>
        <w:ind w:firstLine="1440"/>
      </w:pPr>
      <w:r>
        <w:t>Concerning the Company’s proposal on Residential procurement in general, t</w:t>
      </w:r>
      <w:r w:rsidRPr="000966F7">
        <w:t xml:space="preserve">he EGS Parties </w:t>
      </w:r>
      <w:r>
        <w:t>assert</w:t>
      </w:r>
      <w:r w:rsidRPr="000966F7">
        <w:t xml:space="preserve"> that Duquesne </w:t>
      </w:r>
      <w:r>
        <w:t>provides</w:t>
      </w:r>
      <w:r w:rsidRPr="000966F7">
        <w:t xml:space="preserve"> adequate diversity in its purchases for a relatively short default service period, and thus </w:t>
      </w:r>
      <w:r>
        <w:t xml:space="preserve">the EGS Parties </w:t>
      </w:r>
      <w:r w:rsidRPr="000966F7">
        <w:t>strongly support the plan to buy one-year full requirements contracts, staged over time, because it provides the least amount of risk for ratepayers in the current market regime.  Because long</w:t>
      </w:r>
      <w:r>
        <w:t>-</w:t>
      </w:r>
      <w:r w:rsidRPr="000966F7">
        <w:t>term prices continue to trade at premiums compared to short</w:t>
      </w:r>
      <w:r>
        <w:t>-</w:t>
      </w:r>
      <w:r w:rsidRPr="000966F7">
        <w:t xml:space="preserve">term prices, </w:t>
      </w:r>
      <w:r>
        <w:t xml:space="preserve">the EGS Parties believe </w:t>
      </w:r>
      <w:r w:rsidRPr="000966F7">
        <w:t xml:space="preserve">Duquesne’s plan is logical and prudent and meets the least cost requirements.  </w:t>
      </w:r>
    </w:p>
    <w:p w:rsidR="00D12A5B" w:rsidRDefault="00D12A5B" w:rsidP="00D12A5B">
      <w:pPr>
        <w:spacing w:line="360" w:lineRule="auto"/>
        <w:ind w:firstLine="720"/>
      </w:pPr>
    </w:p>
    <w:p w:rsidR="00D12A5B" w:rsidRPr="000966F7" w:rsidRDefault="00D12A5B" w:rsidP="00D12A5B">
      <w:pPr>
        <w:spacing w:line="360" w:lineRule="auto"/>
        <w:ind w:firstLine="720"/>
      </w:pPr>
      <w:r>
        <w:tab/>
      </w:r>
      <w:r w:rsidRPr="000966F7">
        <w:t xml:space="preserve">The EGS Parties agree that purchases of block power present additional risks of recovery and submit that mixing in block power presents additional risks for full requirements providers who are left serving the peak loads.  </w:t>
      </w:r>
      <w:r>
        <w:t>There</w:t>
      </w:r>
      <w:r w:rsidRPr="000966F7">
        <w:t xml:space="preserve"> are no additional benefits to be had by including block power purchases, as compared to full requirements power – given the additional risks added to the equation for full requirements providers.  </w:t>
      </w:r>
      <w:r>
        <w:t xml:space="preserve">In addition, the EGS Parties agree with the Company that </w:t>
      </w:r>
      <w:r w:rsidRPr="000966F7">
        <w:t xml:space="preserve">utilities </w:t>
      </w:r>
      <w:r>
        <w:t>which</w:t>
      </w:r>
      <w:r w:rsidRPr="000966F7">
        <w:t xml:space="preserve"> have mixed block purchases with full requirements purchases </w:t>
      </w:r>
      <w:r>
        <w:t xml:space="preserve">have had difficulty </w:t>
      </w:r>
      <w:r w:rsidRPr="000966F7">
        <w:t>accurately predict</w:t>
      </w:r>
      <w:r>
        <w:t>ing</w:t>
      </w:r>
      <w:r w:rsidRPr="000966F7">
        <w:t xml:space="preserve"> their default service prices, possibly leading to large over</w:t>
      </w:r>
      <w:r>
        <w:t>-</w:t>
      </w:r>
      <w:r w:rsidRPr="000966F7">
        <w:t xml:space="preserve"> or under</w:t>
      </w:r>
      <w:r>
        <w:t>-</w:t>
      </w:r>
      <w:r w:rsidRPr="000966F7">
        <w:t>collections, which can cause large swings in the Price to Compare and a great degree of unnecessary confusion in the retail market when dealing with everyday electricity custo</w:t>
      </w:r>
      <w:r>
        <w:t>mers. TJB St. No. 1, p. 3:5-21</w:t>
      </w:r>
      <w:r w:rsidRPr="000966F7">
        <w:t>.  Thus, the EGS Parties submit that laddering one-year purchases, as Duquesne proposed, provides adequate diversity, a reasonably predictable Price to Compare and thus is an acceptable plan for the coming period.  TJB St. No. 1, p</w:t>
      </w:r>
      <w:r>
        <w:t>.</w:t>
      </w:r>
      <w:r w:rsidRPr="000966F7">
        <w:t xml:space="preserve"> 3:5-21.  </w:t>
      </w:r>
    </w:p>
    <w:p w:rsidR="00D12A5B" w:rsidRDefault="00D12A5B" w:rsidP="00D12A5B">
      <w:pPr>
        <w:spacing w:line="360" w:lineRule="auto"/>
        <w:ind w:firstLine="720"/>
      </w:pPr>
    </w:p>
    <w:p w:rsidR="00D12A5B" w:rsidRPr="000966F7" w:rsidRDefault="00D12A5B" w:rsidP="00D12A5B">
      <w:pPr>
        <w:spacing w:line="360" w:lineRule="auto"/>
        <w:ind w:firstLine="1350"/>
      </w:pPr>
      <w:r>
        <w:t xml:space="preserve">The EGS parties point to recent Commission action in the PECO and FirstEnergy proceeding as support for </w:t>
      </w:r>
      <w:r w:rsidRPr="000966F7">
        <w:t xml:space="preserve">this result, </w:t>
      </w:r>
      <w:r>
        <w:t>and</w:t>
      </w:r>
      <w:r w:rsidRPr="000966F7">
        <w:t xml:space="preserve"> confirm that the Commission intends that default service plans, at least for the 2013 to 2015 period, should not include block or spot power, due to the volatility that such wholesale products can bring to default service rates.  Accordingly, the EGS Parties recommend approval of Duquesne’s procurement proposal in its entirety.</w:t>
      </w:r>
    </w:p>
    <w:p w:rsidR="00D160F3" w:rsidRDefault="00D160F3" w:rsidP="00D12A5B">
      <w:pPr>
        <w:spacing w:line="360" w:lineRule="auto"/>
      </w:pPr>
    </w:p>
    <w:p w:rsidR="00F17831" w:rsidRDefault="00F17831" w:rsidP="00D12A5B">
      <w:pPr>
        <w:spacing w:line="360" w:lineRule="auto"/>
      </w:pPr>
    </w:p>
    <w:p w:rsidR="00F17831" w:rsidRPr="00D12A5B" w:rsidRDefault="00F17831" w:rsidP="00D12A5B">
      <w:pPr>
        <w:spacing w:line="360" w:lineRule="auto"/>
      </w:pPr>
    </w:p>
    <w:p w:rsidR="00D160F3" w:rsidRDefault="00D160F3" w:rsidP="00F5394E">
      <w:pPr>
        <w:pStyle w:val="ListParagraph"/>
        <w:numPr>
          <w:ilvl w:val="0"/>
          <w:numId w:val="40"/>
        </w:numPr>
        <w:spacing w:line="360" w:lineRule="auto"/>
        <w:rPr>
          <w:b/>
        </w:rPr>
      </w:pPr>
      <w:r w:rsidRPr="00D160F3">
        <w:rPr>
          <w:b/>
        </w:rPr>
        <w:lastRenderedPageBreak/>
        <w:t>FirstEnergy Solutions’ Position</w:t>
      </w:r>
    </w:p>
    <w:p w:rsidR="00C31641" w:rsidRDefault="00C31641" w:rsidP="00C31641">
      <w:pPr>
        <w:pStyle w:val="BodyTextFirstLine5DS"/>
        <w:spacing w:line="360" w:lineRule="auto"/>
        <w:jc w:val="left"/>
      </w:pPr>
    </w:p>
    <w:p w:rsidR="00C31641" w:rsidRDefault="00C31641" w:rsidP="00C31641">
      <w:pPr>
        <w:pStyle w:val="BodyTextFirstLine5DS"/>
        <w:spacing w:line="360" w:lineRule="auto"/>
        <w:jc w:val="left"/>
      </w:pPr>
      <w:r>
        <w:tab/>
        <w:t>In general, FES supports Duquesne Light's use of FPFR supply contracts, which are well-known to bidders and beneficial for customers.  FES avers an FPFR procurement enables default service suppliers to insulate the default service customer from various risks relating to price uncertainty, volumetric uncertainty, customer shopping, and other sources.  As a result, FPFR procurements provide consumers with price certainty for the duration of the contract while providing customers with a benchmark price with which customers can more easily evaluate competitive retail offers.  FES St. No. 1-R at 5-6.</w:t>
      </w:r>
    </w:p>
    <w:p w:rsidR="00C31641" w:rsidRDefault="00C31641" w:rsidP="00ED2444">
      <w:pPr>
        <w:pStyle w:val="BodyTextFirstLine5DS"/>
        <w:spacing w:line="360" w:lineRule="auto"/>
        <w:jc w:val="left"/>
      </w:pPr>
    </w:p>
    <w:p w:rsidR="00C31641" w:rsidRDefault="00C31641" w:rsidP="00ED2444">
      <w:pPr>
        <w:pStyle w:val="BodyTextFirstLine5DS"/>
        <w:spacing w:line="360" w:lineRule="auto"/>
        <w:ind w:firstLine="1440"/>
        <w:jc w:val="left"/>
      </w:pPr>
      <w:r>
        <w:t>FES opposes OCA</w:t>
      </w:r>
      <w:r w:rsidR="00224561">
        <w:t>’</w:t>
      </w:r>
      <w:r>
        <w:t xml:space="preserve">s package of recommendations because it contends these recommendations would dramatically reduce the amount of </w:t>
      </w:r>
      <w:r w:rsidR="00224561">
        <w:t>r</w:t>
      </w:r>
      <w:r>
        <w:t>esidential default supply that Duquesne Light procures through fixed price full requirements contracts.  In addition, FES opposes RESA's recommendation that Duquesne Light's procurement of default supply for Residential customers be largely dependent on 3-month contracts.</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pPr>
      <w:r>
        <w:t>Given the level of Residential shopping in Duquesne Light</w:t>
      </w:r>
      <w:r w:rsidR="000E5A85">
        <w:t>’</w:t>
      </w:r>
      <w:r>
        <w:t>s service territory, which FES hopes will increase as a result of properly</w:t>
      </w:r>
      <w:r w:rsidR="00ED2444">
        <w:t>-</w:t>
      </w:r>
      <w:r>
        <w:t xml:space="preserve">designed </w:t>
      </w:r>
      <w:r w:rsidR="002B0E31">
        <w:t xml:space="preserve"> R</w:t>
      </w:r>
      <w:r>
        <w:t xml:space="preserve">etail </w:t>
      </w:r>
      <w:r w:rsidR="002B0E31">
        <w:t>M</w:t>
      </w:r>
      <w:r>
        <w:t xml:space="preserve">arket </w:t>
      </w:r>
      <w:r w:rsidR="002B0E31">
        <w:t>E</w:t>
      </w:r>
      <w:r>
        <w:t xml:space="preserve">nhancement </w:t>
      </w:r>
      <w:r w:rsidR="002B0E31">
        <w:t>P</w:t>
      </w:r>
      <w:r>
        <w:t>rograms, FES argues OCA</w:t>
      </w:r>
      <w:r w:rsidR="000E5A85">
        <w:t>’</w:t>
      </w:r>
      <w:r>
        <w:t>s proposals would substantially reduce the FPFR supply on which default suppliers could bid and the problem would be exacerbated by Duquesne Light</w:t>
      </w:r>
      <w:r w:rsidR="000E5A85">
        <w:t>’</w:t>
      </w:r>
      <w:r>
        <w:t>s proposal to implement a 50% load cap on Duquesne Light</w:t>
      </w:r>
      <w:r w:rsidR="00F605EE">
        <w:t>’</w:t>
      </w:r>
      <w:r>
        <w:t>s default service procurements for each customer class.  FES St. No. 1 at 8-10.  When considered in connection with Duquesne Light</w:t>
      </w:r>
      <w:r w:rsidR="000E5A85">
        <w:t>’</w:t>
      </w:r>
      <w:r>
        <w:t>s proposed load caps, OCA</w:t>
      </w:r>
      <w:r w:rsidR="00F605EE">
        <w:t>’</w:t>
      </w:r>
      <w:r>
        <w:t>s package of recommendations could substantially diminish wholesale supplier interest in Duquesne Light</w:t>
      </w:r>
      <w:r w:rsidR="00F605EE">
        <w:t>’</w:t>
      </w:r>
      <w:r>
        <w:t xml:space="preserve">s </w:t>
      </w:r>
      <w:r w:rsidR="00F605EE">
        <w:t>r</w:t>
      </w:r>
      <w:r>
        <w:t>esidential default service solicitations, and do much more to compromise Duquesne Light</w:t>
      </w:r>
      <w:r w:rsidR="000E5A85">
        <w:t>’</w:t>
      </w:r>
      <w:r>
        <w:t>s ability to procure power at the least cost over time than do OCA's concerns with the perceived volumetric risks created by Duquesne Light</w:t>
      </w:r>
      <w:r w:rsidR="000E5A85">
        <w:t>’</w:t>
      </w:r>
      <w:r>
        <w:t>s proposed Opt-In EGS Service Program.</w:t>
      </w:r>
      <w:r>
        <w:rPr>
          <w:vertAlign w:val="superscript"/>
        </w:rPr>
        <w:footnoteReference w:id="34"/>
      </w:r>
      <w:r>
        <w:t xml:space="preserve">  </w:t>
      </w:r>
      <w:r>
        <w:rPr>
          <w:i/>
        </w:rPr>
        <w:t xml:space="preserve">Id. </w:t>
      </w:r>
      <w:r>
        <w:t>at 6.</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pPr>
      <w:r>
        <w:lastRenderedPageBreak/>
        <w:t>FES disagrees with the mixes of contract lengths proposed by RESA for Duquesne Light</w:t>
      </w:r>
      <w:r w:rsidR="00705080">
        <w:t>’</w:t>
      </w:r>
      <w:r>
        <w:t>s Residential customers.  FES argues RESA</w:t>
      </w:r>
      <w:r w:rsidR="00705080">
        <w:t>’</w:t>
      </w:r>
      <w:r>
        <w:t>s recommendation would make Duquesne Light</w:t>
      </w:r>
      <w:r w:rsidR="00705080">
        <w:t>’</w:t>
      </w:r>
      <w:r>
        <w:t>s Residential default service largely dependent on 3-month contracts.  RESA</w:t>
      </w:r>
      <w:r w:rsidR="006C24F2">
        <w:t>’</w:t>
      </w:r>
      <w:r>
        <w:t xml:space="preserve">s heavy emphasis on 3-month contracts and achieving </w:t>
      </w:r>
      <w:r w:rsidR="00705080">
        <w:t>“</w:t>
      </w:r>
      <w:r>
        <w:t>market-responsive</w:t>
      </w:r>
      <w:r w:rsidR="00705080">
        <w:t>”</w:t>
      </w:r>
      <w:r>
        <w:t xml:space="preserve"> rates would result in potentially significant quarterly changes in Duquesne Light's </w:t>
      </w:r>
      <w:r w:rsidR="00705080">
        <w:t>r</w:t>
      </w:r>
      <w:r>
        <w:t xml:space="preserve">esidential default service rates.  FES St. No. 1-R at 8.  </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pPr>
      <w:r>
        <w:t xml:space="preserve">FES contends that, under Act 129, the default service provider shall offer residential customers a generation supply service rate that shall change no more frequently than on a quarterly basis.  66 Pa. C.S. § 2807(e)(7).  Since RESA is not proposing multiple default service rates for </w:t>
      </w:r>
      <w:r w:rsidR="00B83F0D">
        <w:t>r</w:t>
      </w:r>
      <w:r>
        <w:t>esidential customers, FES argues RESA is recommending the maximum frequency for changes in Pennsylvania</w:t>
      </w:r>
      <w:r w:rsidR="00B83F0D">
        <w:t xml:space="preserve"> r</w:t>
      </w:r>
      <w:r>
        <w:t xml:space="preserve">esidential default service rates.  As of May 2012, however, there were still approximately 63% of </w:t>
      </w:r>
      <w:r w:rsidR="00B83F0D">
        <w:t>r</w:t>
      </w:r>
      <w:r>
        <w:t>esidential customers on default service in Duquesne Light's service territory.  See FES Ex. TCB-4 (Duquesne Light Responses to RESA-I</w:t>
      </w:r>
      <w:r w:rsidR="005F1E12">
        <w:noBreakHyphen/>
      </w:r>
      <w:r>
        <w:t>1).  RESA has not explained why it is appropriate to maximize the frequency of default service rate changes in Duquesne Light's service territory with many customers remaining on default service and in need of further education on the benefits of competitive retail markets, as well as a stable default service price with which to evaluate competitive offers.  FES St. No. 1-R at 8.</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rPr>
          <w:highlight w:val="green"/>
        </w:rPr>
      </w:pPr>
      <w:r>
        <w:t>FES notes the Commission's Retail Markets Investigation (“RMI”) End State Proposal, issued September 27, 2012 via a Secretarial Letter at Docket No. I-2011-2237952, indicates that the end state default service product for Residential and Small C&amp;I customers below 100 kW will be 3-month contracts, that the "[t]ransition is planned to occur on June 1, 2015," and that this end state will be preceded by a statewide consumer education campaign.  RESA's proposal would implement the Commission's proposed end state immediately, without the benefit of prior consumer education.</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pPr>
      <w:r>
        <w:t>FES disagrees with RESA's analysis and conclusions.  First, RESA’s chart of Maryland Type II Switching does not clearly illustrate any relationship between default service rates and the underlying wholesale cost of electricity.  Second, it is not reasonable to conclude that more frequent procurements caused increased shopping among Maryland Type II non-</w:t>
      </w:r>
      <w:r>
        <w:lastRenderedPageBreak/>
        <w:t xml:space="preserve">residential customers, when one considers statistics regarding the level of shopping among Maryland Type I (non-residential, &lt; 25 kW) customers.  There was not a significant change in Type II shopping in June 2007, when procurements changed from 6-months to 3-months. FES Ex. TCB-5.  Further, FES's Rebuttal Testimony contains a chart comparing RESA's "Total Type II Load Switching" curve with a curve depicting Total Type I Load Switching.  </w:t>
      </w:r>
      <w:r>
        <w:rPr>
          <w:i/>
        </w:rPr>
        <w:t>Id.</w:t>
      </w:r>
      <w:r>
        <w:t xml:space="preserve">  </w:t>
      </w:r>
      <w:r w:rsidR="00923EC2">
        <w:t>T</w:t>
      </w:r>
      <w:r>
        <w:t>he curves follow a similar pattern, and both depict the same spike in shopping in mid-2006 that RESA credits to the institution of semi-annual procurements and both depict similarly stable levels of shopping.  However, unlike the Type II Load, there was no change in the frequency of procurements for Maryland Type I customers.  This suggests that the spikes and subsequent stability in shopping levels among both Type I and Type II non-residential customers were caused by something else.  FES St. No. 1-R at 9.</w:t>
      </w:r>
    </w:p>
    <w:p w:rsidR="00C31641" w:rsidRDefault="00C31641" w:rsidP="00ED2444">
      <w:pPr>
        <w:pStyle w:val="BodyTextFirstLine5DS"/>
        <w:spacing w:line="360" w:lineRule="auto"/>
        <w:ind w:firstLine="0"/>
        <w:jc w:val="left"/>
      </w:pPr>
    </w:p>
    <w:p w:rsidR="00C31641" w:rsidRDefault="00C31641" w:rsidP="00ED2444">
      <w:pPr>
        <w:pStyle w:val="BodyTextFirstLine5DS"/>
        <w:spacing w:line="360" w:lineRule="auto"/>
        <w:ind w:firstLine="1440"/>
        <w:jc w:val="left"/>
      </w:pPr>
      <w:r>
        <w:t>FES argues the similarity between Type I and Type II shopping loads as shown on FES Ex. TCB-5 also belies RESA's assertion that a "boom-bust" cycle occurs without so-called "market reflective" pricing (RESA St. No. 1-SR at 9-10).  As shown on FES Ex. TCB-5, Type I and Type II customer groups experienced similar spikes in shopping even though the groups had different contract lengths during the perceived "boom" cycle in 2006, and the curve comparison clearly shows similarities in shopping between the two groups.  FES notes that Ex. AW-2 depicts the same mid-2006 spike in shopping among Type III customers as shown for Type I and Type II customers; however, the Notes to Ex. AW-2 state that Type III default service procurements changed from 1-year contracts to hourly pricing in May 2005 — one year before the spike in shopping.  Moreover, Ex. AW-2 shows that, even prior to May 2005, the level of shopping among Type III customers was much greater than that of Type II customers, even though default service rates for both customer classes were based on 1-year contracts at that time.  Again, Ex. AW-2 suggests that something other than the default service procurement method caused Type III shopping to exceed Type I and Type II shopping from June 2004 onward.</w:t>
      </w:r>
    </w:p>
    <w:p w:rsidR="00ED2444" w:rsidRDefault="00ED2444" w:rsidP="00ED2444">
      <w:pPr>
        <w:pStyle w:val="BodyTextFirstLine5DS"/>
        <w:spacing w:line="360" w:lineRule="auto"/>
        <w:ind w:firstLine="1440"/>
        <w:jc w:val="left"/>
      </w:pPr>
    </w:p>
    <w:p w:rsidR="00C31641" w:rsidRDefault="00C31641" w:rsidP="00ED2444">
      <w:pPr>
        <w:pStyle w:val="BodyTextFirstLine5DS"/>
        <w:spacing w:line="360" w:lineRule="auto"/>
        <w:ind w:firstLine="1440"/>
        <w:jc w:val="left"/>
      </w:pPr>
      <w:r>
        <w:t xml:space="preserve">There is no dispute that large customers shop in greater numbers than small customers.  Larger customers are unquestionably more sophisticated about their energy shopping opportunities, and because of their load size have greater savings potential and have been actively solicited by EGSs for far longer than small customers.  This is exactly the situation the </w:t>
      </w:r>
      <w:r>
        <w:lastRenderedPageBreak/>
        <w:t>Commission has been working to remedy through the RMI.  Attributing the greater shopping numbers among large customers solely to allegedly market reflective default service pricing, as RESA does, simply ignores the history of electricity shopping in Pennsylvania (and, apparently, in Maryland).  RESA's Ex. AW-2 does not support RESA's argument that "market reflective" default service pricing alone results in "robust sustainable competition."  RESA St. No. 1-SR at 8.  In fact, the similar shopping patterns shown in Ex. AW-2 for Types I, II and III customers despite their very dissimilar default service procurements completely belies that argument.</w:t>
      </w:r>
    </w:p>
    <w:p w:rsidR="00EA76B3" w:rsidRDefault="00EA76B3" w:rsidP="00EA76B3">
      <w:pPr>
        <w:pStyle w:val="BodyTextFirstLine5DS"/>
        <w:spacing w:line="360" w:lineRule="auto"/>
        <w:ind w:firstLine="0"/>
        <w:jc w:val="left"/>
      </w:pPr>
    </w:p>
    <w:p w:rsidR="00C31641" w:rsidRDefault="00C31641" w:rsidP="006E24FB">
      <w:pPr>
        <w:pStyle w:val="BodyTextFirstLine5DS"/>
        <w:spacing w:line="360" w:lineRule="auto"/>
        <w:ind w:firstLine="1440"/>
        <w:jc w:val="left"/>
      </w:pPr>
      <w:r>
        <w:t xml:space="preserve">FES contends there are other reasons that Type I and Type II customers experienced a significant increase in shopping at the time Maryland instituted more frequent procurements. There are many factors that impact customer behavior and an increase in shopping cannot be attributed to any one factor with certainty.  Contrary to RESA's assertions, FES believes that current shopping levels in Duquesne Light's territory indicate that default service price stability contributed to customers becoming more comfortable with EGS generation service.  In response to discovery, Duquesne Light noted the continuous and steady increase in shopping levels among all customer classes in its territory.  In fact, over the term of Duquesne Light's previous default service program (“POLR V”), the number of </w:t>
      </w:r>
      <w:r w:rsidR="00B61390">
        <w:t>r</w:t>
      </w:r>
      <w:r>
        <w:t>esidential accounts that have switched to a competitive supplier has increased from 22% to 37%.  This increase in shopping has occurred during a period of relatively stable default service pricing</w:t>
      </w:r>
      <w:r>
        <w:rPr>
          <w:vertAlign w:val="superscript"/>
        </w:rPr>
        <w:footnoteReference w:id="35"/>
      </w:r>
      <w:r>
        <w:t xml:space="preserve"> for </w:t>
      </w:r>
      <w:r w:rsidR="00B61390">
        <w:t>r</w:t>
      </w:r>
      <w:r>
        <w:t xml:space="preserve">esidential customers.  </w:t>
      </w:r>
      <w:r>
        <w:rPr>
          <w:i/>
        </w:rPr>
        <w:t xml:space="preserve">See </w:t>
      </w:r>
      <w:r>
        <w:t xml:space="preserve">FES Ex. TCB-4.  </w:t>
      </w:r>
    </w:p>
    <w:p w:rsidR="00C31641" w:rsidRDefault="00C31641" w:rsidP="006E24FB">
      <w:pPr>
        <w:pStyle w:val="BodyTextFirstLine5DS"/>
        <w:spacing w:line="360" w:lineRule="auto"/>
        <w:ind w:firstLine="0"/>
        <w:jc w:val="left"/>
      </w:pPr>
    </w:p>
    <w:p w:rsidR="00C31641" w:rsidRDefault="00C31641" w:rsidP="003C38EE">
      <w:pPr>
        <w:pStyle w:val="BodyTextFirstLine5DS"/>
        <w:spacing w:line="360" w:lineRule="auto"/>
        <w:ind w:firstLine="1440"/>
        <w:jc w:val="left"/>
      </w:pPr>
      <w:r>
        <w:t>In addition to an increase in customers shopping, Duquesne Light also noted that it has achieved high levels of EGS participation and customer shopping without exposing small customers to "significant rate increases and short-term market price volatility."  FES Ex. TCB-7 (Duquesne Light Response to FES-I-8 and FES-I-9).  This information shows that customers and EGSs are clearly comfortable with participation in the retail market and there is no reason to remove the default service price stability that is promoting this behavior.  FES St. No. 1-R</w:t>
      </w:r>
      <w:r>
        <w:rPr>
          <w:i/>
        </w:rPr>
        <w:t xml:space="preserve"> </w:t>
      </w:r>
      <w:r>
        <w:t>at 11.</w:t>
      </w:r>
    </w:p>
    <w:p w:rsidR="00D160F3" w:rsidRDefault="00D160F3" w:rsidP="003C38EE">
      <w:pPr>
        <w:spacing w:line="360" w:lineRule="auto"/>
        <w:rPr>
          <w:b/>
        </w:rPr>
      </w:pPr>
    </w:p>
    <w:p w:rsidR="00CE7F13" w:rsidRPr="00D160F3" w:rsidRDefault="00CE7F13" w:rsidP="003C38EE">
      <w:pPr>
        <w:spacing w:line="360" w:lineRule="auto"/>
        <w:rPr>
          <w:b/>
        </w:rPr>
      </w:pPr>
    </w:p>
    <w:p w:rsidR="00D160F3" w:rsidRDefault="00D160F3" w:rsidP="003C38EE">
      <w:pPr>
        <w:pStyle w:val="ListParagraph"/>
        <w:numPr>
          <w:ilvl w:val="0"/>
          <w:numId w:val="40"/>
        </w:numPr>
        <w:spacing w:line="360" w:lineRule="auto"/>
        <w:rPr>
          <w:b/>
        </w:rPr>
      </w:pPr>
      <w:r w:rsidRPr="00D160F3">
        <w:rPr>
          <w:b/>
        </w:rPr>
        <w:lastRenderedPageBreak/>
        <w:t>Joint Suppliers’ Position</w:t>
      </w:r>
    </w:p>
    <w:p w:rsidR="00F5394E" w:rsidRDefault="00F5394E" w:rsidP="003C38EE">
      <w:pPr>
        <w:pStyle w:val="ListParagraph"/>
        <w:spacing w:line="360" w:lineRule="auto"/>
        <w:ind w:left="0"/>
        <w:rPr>
          <w:b/>
        </w:rPr>
      </w:pPr>
    </w:p>
    <w:p w:rsidR="00F12E23" w:rsidRDefault="00F12E23" w:rsidP="003C38EE">
      <w:pPr>
        <w:pStyle w:val="ListParagraph"/>
        <w:spacing w:line="360" w:lineRule="auto"/>
        <w:ind w:left="1440"/>
      </w:pPr>
      <w:r>
        <w:t>Joint Suppliers take no position on this issue.</w:t>
      </w:r>
    </w:p>
    <w:p w:rsidR="003C38EE" w:rsidRPr="00F12E23" w:rsidRDefault="003C38EE" w:rsidP="003C38EE">
      <w:pPr>
        <w:pStyle w:val="ListParagraph"/>
        <w:spacing w:line="360" w:lineRule="auto"/>
        <w:ind w:left="1440"/>
      </w:pPr>
    </w:p>
    <w:p w:rsidR="005A3CD5" w:rsidRPr="008F2A6C" w:rsidRDefault="003C38EE" w:rsidP="007E311B">
      <w:pPr>
        <w:autoSpaceDE/>
        <w:autoSpaceDN/>
        <w:rPr>
          <w:b/>
        </w:rPr>
      </w:pPr>
      <w:r w:rsidRPr="008F2A6C">
        <w:rPr>
          <w:b/>
        </w:rPr>
        <w:t xml:space="preserve">Disposition - Residential Procurement – Products and Product Terms </w:t>
      </w:r>
    </w:p>
    <w:p w:rsidR="003C38EE" w:rsidRDefault="003C38EE" w:rsidP="003C38EE">
      <w:pPr>
        <w:tabs>
          <w:tab w:val="left" w:pos="0"/>
        </w:tabs>
        <w:spacing w:line="360" w:lineRule="auto"/>
        <w:rPr>
          <w:b/>
          <w:u w:val="single"/>
        </w:rPr>
      </w:pPr>
    </w:p>
    <w:p w:rsidR="003C38EE" w:rsidRPr="004E7112" w:rsidRDefault="003C38EE" w:rsidP="003C38EE">
      <w:pPr>
        <w:spacing w:line="360" w:lineRule="auto"/>
        <w:ind w:firstLine="720"/>
        <w:rPr>
          <w:color w:val="000000" w:themeColor="text1"/>
        </w:rPr>
      </w:pPr>
      <w:r w:rsidRPr="004E7112">
        <w:rPr>
          <w:color w:val="000000" w:themeColor="text1"/>
        </w:rPr>
        <w:tab/>
        <w:t xml:space="preserve">The presence of default service customers does not automatically mean customers are not shopping.  Not all but a large number of default service customers read the literature, look at the Commission’s website for the Price to Compare, contact the default service provider or the Commission with questions, and generally consider his/her options before finally electing (i.e., choosing) to remain with the default service provider.  Consumers who remain on default service </w:t>
      </w:r>
      <w:r w:rsidRPr="004E7112">
        <w:rPr>
          <w:color w:val="000000" w:themeColor="text1"/>
          <w:u w:val="single"/>
        </w:rPr>
        <w:t>may</w:t>
      </w:r>
      <w:r w:rsidRPr="004E7112">
        <w:rPr>
          <w:color w:val="000000" w:themeColor="text1"/>
        </w:rPr>
        <w:t xml:space="preserve"> be shoppers who did not find an offer attractive enough to entice them away from default service.  Or they </w:t>
      </w:r>
      <w:r w:rsidRPr="004E7112">
        <w:rPr>
          <w:color w:val="000000" w:themeColor="text1"/>
          <w:u w:val="single"/>
        </w:rPr>
        <w:t>may</w:t>
      </w:r>
      <w:r w:rsidRPr="004E7112">
        <w:rPr>
          <w:color w:val="000000" w:themeColor="text1"/>
        </w:rPr>
        <w:t xml:space="preserve"> be consumers who are too timid to dip their toes into the competitive waters.  Or they </w:t>
      </w:r>
      <w:r w:rsidRPr="004E7112">
        <w:rPr>
          <w:color w:val="000000" w:themeColor="text1"/>
          <w:u w:val="single"/>
        </w:rPr>
        <w:t>may</w:t>
      </w:r>
      <w:r w:rsidRPr="004E7112">
        <w:rPr>
          <w:color w:val="000000" w:themeColor="text1"/>
        </w:rPr>
        <w:t xml:space="preserve"> be consumers who are more concerned about the volatility and lack of stability in the pricing options available, and willing to trade off a slightly higher commodity rate in order </w:t>
      </w:r>
      <w:r w:rsidRPr="004E7112">
        <w:rPr>
          <w:color w:val="000000" w:themeColor="text1"/>
          <w:u w:val="single"/>
        </w:rPr>
        <w:t>to know</w:t>
      </w:r>
      <w:r w:rsidRPr="004E7112">
        <w:rPr>
          <w:color w:val="000000" w:themeColor="text1"/>
        </w:rPr>
        <w:t xml:space="preserve"> what their rate will be.</w:t>
      </w:r>
    </w:p>
    <w:p w:rsidR="003C38EE" w:rsidRPr="004E7112" w:rsidRDefault="003C38EE" w:rsidP="003C38EE">
      <w:pPr>
        <w:pStyle w:val="BodyText"/>
        <w:spacing w:after="0" w:line="360" w:lineRule="auto"/>
        <w:ind w:left="0" w:firstLine="0"/>
        <w:rPr>
          <w:color w:val="000000" w:themeColor="text1"/>
          <w:szCs w:val="24"/>
          <w:lang w:val="en-US"/>
        </w:rPr>
      </w:pPr>
    </w:p>
    <w:p w:rsidR="003C38EE" w:rsidRPr="004E7112" w:rsidRDefault="003C38EE" w:rsidP="003C38EE">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Duquesne Light’s plan mitigates the risk of procuring the entirety of its default supply at the peak of the market.  This plan allows for more stability in the default service rate.  </w:t>
      </w:r>
      <w:r w:rsidRPr="004E7112">
        <w:rPr>
          <w:color w:val="000000" w:themeColor="text1"/>
          <w:szCs w:val="24"/>
        </w:rPr>
        <w:t>Duquesne Light wants one</w:t>
      </w:r>
      <w:r>
        <w:rPr>
          <w:color w:val="000000" w:themeColor="text1"/>
          <w:szCs w:val="24"/>
          <w:lang w:val="en-US"/>
        </w:rPr>
        <w:t>-</w:t>
      </w:r>
      <w:r w:rsidRPr="004E7112">
        <w:rPr>
          <w:color w:val="000000" w:themeColor="text1"/>
          <w:szCs w:val="24"/>
        </w:rPr>
        <w:t>year full requirement</w:t>
      </w:r>
      <w:r w:rsidRPr="004E7112">
        <w:rPr>
          <w:color w:val="000000" w:themeColor="text1"/>
          <w:szCs w:val="24"/>
          <w:lang w:val="en-US"/>
        </w:rPr>
        <w:t>s</w:t>
      </w:r>
      <w:r w:rsidRPr="004E7112">
        <w:rPr>
          <w:color w:val="000000" w:themeColor="text1"/>
          <w:szCs w:val="24"/>
        </w:rPr>
        <w:t xml:space="preserve"> contracts and OCA wants a mix of one- and two-year contracts while RESA wants quarterly and annual contracts.  I agree with the Company and the EGS Parties that Duquesne’s plan provides the least amount of risk for </w:t>
      </w:r>
      <w:r w:rsidRPr="004E7112">
        <w:rPr>
          <w:color w:val="000000" w:themeColor="text1"/>
          <w:szCs w:val="24"/>
          <w:lang w:val="en-US"/>
        </w:rPr>
        <w:t>consumer</w:t>
      </w:r>
      <w:r>
        <w:rPr>
          <w:color w:val="000000" w:themeColor="text1"/>
          <w:szCs w:val="24"/>
          <w:lang w:val="en-US"/>
        </w:rPr>
        <w:t>s</w:t>
      </w:r>
      <w:r w:rsidRPr="004E7112">
        <w:rPr>
          <w:color w:val="000000" w:themeColor="text1"/>
          <w:szCs w:val="24"/>
        </w:rPr>
        <w:t xml:space="preserve"> in the current market.  </w:t>
      </w:r>
      <w:r w:rsidRPr="004E7112">
        <w:rPr>
          <w:color w:val="000000" w:themeColor="text1"/>
          <w:szCs w:val="24"/>
          <w:lang w:val="en-US"/>
        </w:rPr>
        <w:t xml:space="preserve">RESA fails to explain why </w:t>
      </w:r>
      <w:r w:rsidRPr="004E7112">
        <w:rPr>
          <w:color w:val="000000" w:themeColor="text1"/>
          <w:szCs w:val="24"/>
          <w:u w:val="single"/>
          <w:lang w:val="en-US"/>
        </w:rPr>
        <w:t>now</w:t>
      </w:r>
      <w:r w:rsidRPr="004E7112">
        <w:rPr>
          <w:color w:val="000000" w:themeColor="text1"/>
          <w:szCs w:val="24"/>
          <w:lang w:val="en-US"/>
        </w:rPr>
        <w:t xml:space="preserve"> is the appropriate time to maximize the frequency of rate changes in a service territory while Duquesne Light still has a large percentage of residential default service customers who need to be educated on the benefits of competitive retail markets and a stable default service price with which to compare competing offers.</w:t>
      </w:r>
    </w:p>
    <w:p w:rsidR="003C38EE" w:rsidRPr="004E7112" w:rsidRDefault="003C38EE" w:rsidP="003C38EE">
      <w:pPr>
        <w:spacing w:line="360" w:lineRule="auto"/>
        <w:ind w:firstLine="720"/>
        <w:rPr>
          <w:color w:val="000000" w:themeColor="text1"/>
        </w:rPr>
      </w:pPr>
    </w:p>
    <w:p w:rsidR="003C38EE" w:rsidRPr="004E7112" w:rsidRDefault="003C38EE" w:rsidP="003C38EE">
      <w:pPr>
        <w:spacing w:line="360" w:lineRule="auto"/>
        <w:ind w:firstLine="720"/>
        <w:rPr>
          <w:color w:val="000000" w:themeColor="text1"/>
        </w:rPr>
      </w:pPr>
      <w:r w:rsidRPr="004E7112">
        <w:rPr>
          <w:color w:val="000000" w:themeColor="text1"/>
        </w:rPr>
        <w:tab/>
        <w:t xml:space="preserve">Duquesne’s plan is logical and prudent and meets the least cost requirements.  To purchase electricity in blocks will present additional risks of recovery and using a mix that includes block power presents additional risks for full requirements providers who are left serving the peak loads.  To use quarterly and annual contracts will compromise price stability too </w:t>
      </w:r>
      <w:r w:rsidRPr="004E7112">
        <w:rPr>
          <w:color w:val="000000" w:themeColor="text1"/>
        </w:rPr>
        <w:lastRenderedPageBreak/>
        <w:t>far, resulting in customers who refuse to shop due to the lack of predictability beyond three</w:t>
      </w:r>
      <w:r>
        <w:rPr>
          <w:color w:val="000000" w:themeColor="text1"/>
        </w:rPr>
        <w:t> </w:t>
      </w:r>
      <w:r w:rsidRPr="004E7112">
        <w:rPr>
          <w:color w:val="000000" w:themeColor="text1"/>
        </w:rPr>
        <w:t>months and the need for almost constant monitoring of retail market rates.  Consumers are interested in saving money but that interest is tempered by equally-competing interests to earn a living, raise children, tend to gardens and home needs.  Consumers have not shown themselves as willing to engage in frequent and consistent “market checks” to determine where to get the cheapest electricity, or the cheapest gasoline, or the cheapest loaf of bread.  Any one of those “market checks” might be tolerated by the typical residential consumer.  However, when that one market check is seen as part of the whole, with all of the massive variety of competing pulls on a residential customer’s money, resources, assets and time, the typical consumer is not willing to spend precious time away from family, work and interests to repeatedly check on the lowest price to compare.  Therefore, in order to maintain price stability and confidence in the retail market, I recommend Duquesne Light’s proposal be approved.</w:t>
      </w:r>
    </w:p>
    <w:p w:rsidR="003C38EE" w:rsidRPr="003C38EE" w:rsidRDefault="003C38EE" w:rsidP="003C38EE">
      <w:pPr>
        <w:tabs>
          <w:tab w:val="left" w:pos="0"/>
        </w:tabs>
        <w:spacing w:line="360" w:lineRule="auto"/>
        <w:rPr>
          <w:b/>
          <w:u w:val="single"/>
        </w:rPr>
      </w:pPr>
    </w:p>
    <w:p w:rsidR="00F5394E" w:rsidRDefault="00297E8C" w:rsidP="003C38EE">
      <w:pPr>
        <w:pStyle w:val="Heading4"/>
        <w:numPr>
          <w:ilvl w:val="0"/>
          <w:numId w:val="10"/>
        </w:numPr>
        <w:tabs>
          <w:tab w:val="left" w:pos="720"/>
        </w:tabs>
        <w:spacing w:after="0" w:line="360" w:lineRule="auto"/>
      </w:pPr>
      <w:bookmarkStart w:id="13" w:name="_Toc337116675"/>
      <w:r w:rsidRPr="00A60542">
        <w:t>Procurement Dates</w:t>
      </w:r>
      <w:bookmarkEnd w:id="13"/>
    </w:p>
    <w:p w:rsidR="00297E8C" w:rsidRPr="00A60542" w:rsidRDefault="00297E8C" w:rsidP="003C38EE">
      <w:pPr>
        <w:pStyle w:val="Heading4"/>
        <w:numPr>
          <w:ilvl w:val="0"/>
          <w:numId w:val="0"/>
        </w:numPr>
        <w:tabs>
          <w:tab w:val="left" w:pos="720"/>
        </w:tabs>
        <w:spacing w:after="0" w:line="360" w:lineRule="auto"/>
        <w:ind w:left="2160"/>
      </w:pPr>
      <w:r w:rsidRPr="00A60542">
        <w:fldChar w:fldCharType="begin"/>
      </w:r>
      <w:r w:rsidRPr="00A60542">
        <w:instrText xml:space="preserve"> TC "</w:instrText>
      </w:r>
      <w:bookmarkStart w:id="14" w:name="_Toc337116676"/>
      <w:r w:rsidRPr="00A60542">
        <w:instrText>b. Procurement Dates</w:instrText>
      </w:r>
      <w:bookmarkEnd w:id="14"/>
      <w:r w:rsidRPr="00A60542">
        <w:instrText xml:space="preserve">" \f C \l "4" </w:instrText>
      </w:r>
      <w:r w:rsidRPr="00A60542">
        <w:fldChar w:fldCharType="end"/>
      </w:r>
    </w:p>
    <w:p w:rsidR="00884AFB" w:rsidRDefault="00297E8C" w:rsidP="003C38EE">
      <w:pPr>
        <w:pStyle w:val="Heading5"/>
        <w:numPr>
          <w:ilvl w:val="0"/>
          <w:numId w:val="41"/>
        </w:numPr>
        <w:tabs>
          <w:tab w:val="left" w:pos="720"/>
        </w:tabs>
        <w:spacing w:after="0" w:line="360" w:lineRule="auto"/>
      </w:pPr>
      <w:bookmarkStart w:id="15" w:name="_Toc337116677"/>
      <w:r w:rsidRPr="00A60542">
        <w:t>Duquesne’s Proposal</w:t>
      </w:r>
      <w:bookmarkEnd w:id="15"/>
    </w:p>
    <w:p w:rsidR="00F5394E" w:rsidRPr="00F5394E" w:rsidRDefault="00F5394E" w:rsidP="003C38EE">
      <w:pPr>
        <w:pStyle w:val="BodyText2"/>
        <w:spacing w:after="0" w:line="360" w:lineRule="auto"/>
        <w:ind w:left="2880"/>
        <w:rPr>
          <w:lang w:val="en-US" w:eastAsia="en-US"/>
        </w:rPr>
      </w:pPr>
    </w:p>
    <w:p w:rsidR="00F5394E" w:rsidRDefault="00F5394E" w:rsidP="003C38EE">
      <w:pPr>
        <w:pStyle w:val="BodyText2"/>
        <w:spacing w:after="0" w:line="360" w:lineRule="auto"/>
        <w:ind w:firstLine="1440"/>
      </w:pPr>
      <w:r>
        <w:t xml:space="preserve">The Company contends its procurement dates were carefully integrated with the product delivery periods in a way that provides specific hedging and price stability benefits for customers because, having some consecutive one-year products procured on the same date  is an especially important aspect to retain in order to provide certain price stability benefits for customers.  Duquesne Light argues that its proposed supply portfolio incorporates a mechanism which provides a similar type of hedge against uncertain future market price movements to that which would be provided by a two-year supply product.  </w:t>
      </w:r>
    </w:p>
    <w:p w:rsidR="00F5394E" w:rsidRDefault="00F5394E" w:rsidP="00F5394E">
      <w:pPr>
        <w:pStyle w:val="BodyText2"/>
        <w:spacing w:line="360" w:lineRule="auto"/>
      </w:pPr>
    </w:p>
    <w:p w:rsidR="00F5394E" w:rsidRDefault="00F5394E" w:rsidP="00F5394E">
      <w:pPr>
        <w:pStyle w:val="BodyText2"/>
        <w:spacing w:line="360" w:lineRule="auto"/>
        <w:ind w:firstLine="1440"/>
      </w:pPr>
      <w:r>
        <w:t xml:space="preserve">The Company argues the Commission should reject RESA’s proposal because, if adopted, the Company more likely will be required to rely on a single solicitation, soon before a given delivery period, for large amounts of default supply, and this situation could have adverse consequences for customers under unforeseen circumstances.  However, Duquesne Light asks that, if the Commission accepts RESA’s proposal to reduce the procurement lead times to no more than 60 days from the start of the delivery period, the Commission should treat the two </w:t>
      </w:r>
      <w:r>
        <w:lastRenderedPageBreak/>
        <w:t xml:space="preserve">April 2013 procurements of supply for the June 2013 – May 2014 period and the June 2014 – May 2015 period as a single 24-month “product” and retain the April 2013 procurement date for these products.  Similarly, if the Commission accepts RESA’s proposal to reduce the procurement lead times to no more than 60 days from the start of the delivery period, then the Commission should also treat the two April 2014 procurements of supply for the June 2014 – May 2015 period and the June 2015 – May 2016 period as a single 24-month “product” and retain the April 2014 procurement date for these products.  </w:t>
      </w:r>
    </w:p>
    <w:p w:rsidR="00F5394E" w:rsidRDefault="00F5394E" w:rsidP="00F5394E">
      <w:pPr>
        <w:pStyle w:val="BodyText2"/>
        <w:spacing w:line="360" w:lineRule="auto"/>
      </w:pPr>
    </w:p>
    <w:p w:rsidR="00F5394E" w:rsidRDefault="00F5394E" w:rsidP="00F5394E">
      <w:pPr>
        <w:pStyle w:val="BodyText2"/>
        <w:spacing w:line="360" w:lineRule="auto"/>
        <w:ind w:firstLine="1440"/>
      </w:pPr>
      <w:r>
        <w:t xml:space="preserve">If the Commission rejects the Company’s back-up proposal described above to treat simultaneous one-year procurements as one “product,” then Duquesne Light recommends that the simultaneously procured one-year products be replaced with two year products.  This also would satisfy both RESA’s recommendation to reduce the procurement lead time to no more than 60 days, and the OCA’s request for two-year products.  In addition, it would also ensure that the price stability benefits of these carefully planned procurement timings in Duquesne Light’s Plan would be retained.  </w:t>
      </w:r>
    </w:p>
    <w:p w:rsidR="00F5394E" w:rsidRDefault="00F5394E" w:rsidP="00F5394E">
      <w:pPr>
        <w:pStyle w:val="BodyText2"/>
        <w:spacing w:line="360" w:lineRule="auto"/>
      </w:pPr>
    </w:p>
    <w:p w:rsidR="00F5394E" w:rsidRDefault="00F5394E" w:rsidP="00F5394E">
      <w:pPr>
        <w:pStyle w:val="BodyText2"/>
        <w:spacing w:line="360" w:lineRule="auto"/>
        <w:ind w:firstLine="1440"/>
      </w:pPr>
      <w:r>
        <w:t>The Company argues its proposal to have some back-to-back 12-month products procured at the same time will produce more market responsive rates than inclusion of two-year products would, while providing a similar hedge against unexpected increases in energy prices.  The Company’s proposal to procure some back-to-back 12-month products at the same time balances OCA’s interest in hedging against uncertain future market price movements with two-year contracts and RESA’s interest in having more market responsive rates.  Duquesne Light’s plan allows the PTC to reflect market energy and capacity prices in each year of the plan while providing a reasonable level of rate stability.  Consequently, Duquesne Light assets its proposal should be approved.</w:t>
      </w:r>
    </w:p>
    <w:p w:rsidR="00F5394E" w:rsidRDefault="00F5394E" w:rsidP="00F5394E"/>
    <w:p w:rsidR="00BE1713" w:rsidRPr="00F5394E" w:rsidRDefault="00F5394E" w:rsidP="00F5394E">
      <w:pPr>
        <w:pStyle w:val="ListParagraph"/>
        <w:numPr>
          <w:ilvl w:val="0"/>
          <w:numId w:val="41"/>
        </w:numPr>
        <w:tabs>
          <w:tab w:val="left" w:pos="0"/>
        </w:tabs>
        <w:spacing w:line="360" w:lineRule="auto"/>
        <w:rPr>
          <w:b/>
        </w:rPr>
      </w:pPr>
      <w:r w:rsidRPr="00F5394E">
        <w:rPr>
          <w:b/>
        </w:rPr>
        <w:t>OCA’s Position</w:t>
      </w:r>
    </w:p>
    <w:p w:rsidR="00F5394E" w:rsidRDefault="00F5394E" w:rsidP="00F5394E">
      <w:pPr>
        <w:pStyle w:val="ListParagraph"/>
        <w:tabs>
          <w:tab w:val="left" w:pos="0"/>
        </w:tabs>
        <w:spacing w:line="360" w:lineRule="auto"/>
        <w:ind w:left="2880"/>
      </w:pPr>
    </w:p>
    <w:p w:rsidR="00297E8C" w:rsidRDefault="00297E8C" w:rsidP="00F5394E">
      <w:pPr>
        <w:tabs>
          <w:tab w:val="left" w:pos="0"/>
        </w:tabs>
        <w:spacing w:line="360" w:lineRule="auto"/>
      </w:pPr>
      <w:r>
        <w:tab/>
      </w:r>
      <w:r>
        <w:tab/>
        <w:t xml:space="preserve">OCA </w:t>
      </w:r>
      <w:r w:rsidR="00306F27">
        <w:t>contends that lad</w:t>
      </w:r>
      <w:r>
        <w:t xml:space="preserve">dering contracts </w:t>
      </w:r>
      <w:r w:rsidR="00667EEC">
        <w:t xml:space="preserve">as </w:t>
      </w:r>
      <w:r>
        <w:t xml:space="preserve">proposed is desirable </w:t>
      </w:r>
      <w:r w:rsidR="00306F27">
        <w:t>because</w:t>
      </w:r>
      <w:r>
        <w:t xml:space="preserve"> it helps </w:t>
      </w:r>
      <w:r w:rsidR="00306F27">
        <w:t xml:space="preserve">to </w:t>
      </w:r>
      <w:r>
        <w:t>manage the supply price risk faced by residential Default Service customers</w:t>
      </w:r>
      <w:r w:rsidR="00306F27">
        <w:t>.  Laddering</w:t>
      </w:r>
      <w:r>
        <w:t xml:space="preserve"> </w:t>
      </w:r>
      <w:r w:rsidR="00306F27">
        <w:t>“</w:t>
      </w:r>
      <w:r>
        <w:t xml:space="preserve">does </w:t>
      </w:r>
      <w:r>
        <w:lastRenderedPageBreak/>
        <w:t>not expose the residential Default Service customers to the price implications associated with market conditions on the day that the power supply solicitation response is due.  While the temporal diversity inherent in the Duquesne portfolio does not ensure that residential Default Service customers will pay lower prices than if all of the supply were secured on a single day, the approach does provide for a reasonable approach to risk management.</w:t>
      </w:r>
      <w:r w:rsidR="00306F27">
        <w:t xml:space="preserve">”  </w:t>
      </w:r>
      <w:r>
        <w:t>OCA St. 1 at 17.   OCA supports Duquesne’s procurement schedule</w:t>
      </w:r>
      <w:r w:rsidR="00306F27">
        <w:t xml:space="preserve"> and</w:t>
      </w:r>
      <w:r>
        <w:t xml:space="preserve"> notes Duquesne’s proposed laddering of contracts serves as a prudent and effective tool to manage supply price risk.  </w:t>
      </w:r>
    </w:p>
    <w:p w:rsidR="00BE1713" w:rsidRDefault="00BE1713" w:rsidP="00F5394E">
      <w:pPr>
        <w:tabs>
          <w:tab w:val="left" w:pos="0"/>
        </w:tabs>
        <w:spacing w:line="360" w:lineRule="auto"/>
      </w:pPr>
    </w:p>
    <w:p w:rsidR="00306F27" w:rsidRDefault="00297E8C" w:rsidP="00F5394E">
      <w:pPr>
        <w:tabs>
          <w:tab w:val="left" w:pos="0"/>
        </w:tabs>
        <w:spacing w:line="360" w:lineRule="auto"/>
      </w:pPr>
      <w:r>
        <w:tab/>
      </w:r>
      <w:r>
        <w:tab/>
        <w:t xml:space="preserve">OCA </w:t>
      </w:r>
      <w:r w:rsidR="00306F27">
        <w:t>opines RESA’s proposal – for lead times of two months or less - i</w:t>
      </w:r>
      <w:r>
        <w:t>s not reasonable and expose</w:t>
      </w:r>
      <w:r w:rsidR="00306F27">
        <w:t>s</w:t>
      </w:r>
      <w:r>
        <w:t xml:space="preserve"> reside</w:t>
      </w:r>
      <w:r w:rsidR="00306F27">
        <w:t xml:space="preserve">ntial customers to greater risk because the proposal </w:t>
      </w:r>
      <w:r>
        <w:t>will not allow for diversity in the timing of the procurements</w:t>
      </w:r>
      <w:r w:rsidR="00306F27">
        <w:t>.  This approach exposes</w:t>
      </w:r>
      <w:r>
        <w:t xml:space="preserve"> residential Default Service customers to more “market timing” risk than is necessary.  The schedule proposed by the Company, which OCA generally supports, will help to mitigate the “market timing” risk problem of having procurements that are too close together in time.</w:t>
      </w:r>
      <w:r w:rsidR="00306F27">
        <w:t xml:space="preserve">”  </w:t>
      </w:r>
      <w:r>
        <w:t xml:space="preserve">OCA St. 1-R at 4.  </w:t>
      </w:r>
    </w:p>
    <w:p w:rsidR="00297E8C" w:rsidRDefault="00306F27" w:rsidP="00F5394E">
      <w:pPr>
        <w:tabs>
          <w:tab w:val="left" w:pos="0"/>
        </w:tabs>
        <w:spacing w:line="360" w:lineRule="auto"/>
      </w:pPr>
      <w:r>
        <w:tab/>
      </w:r>
      <w:r>
        <w:tab/>
      </w:r>
    </w:p>
    <w:p w:rsidR="00F5394E" w:rsidRDefault="00297E8C" w:rsidP="00F5394E">
      <w:pPr>
        <w:tabs>
          <w:tab w:val="left" w:pos="0"/>
        </w:tabs>
        <w:spacing w:line="360" w:lineRule="auto"/>
      </w:pPr>
      <w:r>
        <w:tab/>
      </w:r>
      <w:r>
        <w:tab/>
        <w:t>For the very sound and practical reasons expressed by Dr. Estomin and Duquesne witness S</w:t>
      </w:r>
      <w:r w:rsidR="006121F2">
        <w:t>cott</w:t>
      </w:r>
      <w:r>
        <w:t xml:space="preserve"> Fisher, OCA submits that RESA’s proposal to have procurement lead times of no more than two months should be rejected and the Company’s procurement schedule retained. </w:t>
      </w:r>
    </w:p>
    <w:p w:rsidR="00E91B86" w:rsidRDefault="00E91B86" w:rsidP="00F5394E">
      <w:pPr>
        <w:tabs>
          <w:tab w:val="left" w:pos="0"/>
        </w:tabs>
        <w:spacing w:line="360" w:lineRule="auto"/>
      </w:pPr>
    </w:p>
    <w:p w:rsidR="00E91B86" w:rsidRPr="00E91B86" w:rsidRDefault="00E91B86" w:rsidP="00E91B86">
      <w:pPr>
        <w:pStyle w:val="ListParagraph"/>
        <w:numPr>
          <w:ilvl w:val="0"/>
          <w:numId w:val="41"/>
        </w:numPr>
        <w:tabs>
          <w:tab w:val="left" w:pos="0"/>
        </w:tabs>
        <w:spacing w:line="360" w:lineRule="auto"/>
        <w:rPr>
          <w:b/>
        </w:rPr>
      </w:pPr>
      <w:r w:rsidRPr="00E91B86">
        <w:rPr>
          <w:b/>
        </w:rPr>
        <w:t>RESA’s Position</w:t>
      </w:r>
    </w:p>
    <w:p w:rsidR="00F5394E" w:rsidRDefault="00F5394E" w:rsidP="00F5394E">
      <w:pPr>
        <w:tabs>
          <w:tab w:val="left" w:pos="0"/>
        </w:tabs>
        <w:spacing w:line="360" w:lineRule="auto"/>
      </w:pPr>
    </w:p>
    <w:p w:rsidR="00E91B86" w:rsidRDefault="00297E8C" w:rsidP="00E91B86">
      <w:pPr>
        <w:pStyle w:val="Normal1"/>
        <w:spacing w:line="360" w:lineRule="auto"/>
        <w:rPr>
          <w:bCs/>
          <w:szCs w:val="26"/>
        </w:rPr>
      </w:pPr>
      <w:r>
        <w:t xml:space="preserve">  </w:t>
      </w:r>
      <w:r w:rsidR="00E91B86">
        <w:tab/>
      </w:r>
      <w:r w:rsidR="00E91B86" w:rsidRPr="0073745A">
        <w:t>RESA proposed a procurement plan that provides for lead times of no more than two (2) months for each procurement</w:t>
      </w:r>
      <w:r w:rsidR="00E91B86">
        <w:t>,</w:t>
      </w:r>
      <w:r w:rsidR="00E91B86" w:rsidRPr="0073745A">
        <w:rPr>
          <w:rStyle w:val="FootnoteReference"/>
        </w:rPr>
        <w:footnoteReference w:id="36"/>
      </w:r>
      <w:r w:rsidR="00E91B86">
        <w:t xml:space="preserve"> </w:t>
      </w:r>
      <w:r w:rsidR="00E91B86" w:rsidRPr="0073745A">
        <w:t>in contrast to Duquesne’s proposal, in which some procurements are close in time to delivery and others have lag times of up to 14 months.</w:t>
      </w:r>
      <w:r w:rsidR="00E91B86" w:rsidRPr="0073745A">
        <w:rPr>
          <w:rStyle w:val="FootnoteReference"/>
        </w:rPr>
        <w:footnoteReference w:id="37"/>
      </w:r>
      <w:r w:rsidR="00E91B86" w:rsidRPr="0073745A">
        <w:t xml:space="preserve">  </w:t>
      </w:r>
      <w:r w:rsidR="00E91B86">
        <w:t xml:space="preserve">RESA contends its proposal for </w:t>
      </w:r>
      <w:r w:rsidR="00E91B86" w:rsidRPr="0073745A">
        <w:t>two-month lead times would allow Duquesne 7 to 10 business days to calculate the new Price to Compare, and provide EGSs 45 days to adjust to the new PTC.</w:t>
      </w:r>
      <w:r w:rsidR="00E91B86" w:rsidRPr="0073745A">
        <w:rPr>
          <w:rStyle w:val="FootnoteReference"/>
        </w:rPr>
        <w:footnoteReference w:id="38"/>
      </w:r>
      <w:r w:rsidR="00E91B86" w:rsidRPr="0073745A">
        <w:t xml:space="preserve">  </w:t>
      </w:r>
      <w:r w:rsidR="00E91B86">
        <w:t>RESA argues its</w:t>
      </w:r>
      <w:r w:rsidR="00E91B86" w:rsidRPr="0073745A">
        <w:t xml:space="preserve"> proposal is designed to make default service rates more market- </w:t>
      </w:r>
      <w:r w:rsidR="00E91B86" w:rsidRPr="0073745A">
        <w:lastRenderedPageBreak/>
        <w:t xml:space="preserve">reflective to encourage retail competition and foster the availability of an array of electric power options for customers.  </w:t>
      </w:r>
      <w:r w:rsidR="00E91B86" w:rsidRPr="0073745A">
        <w:rPr>
          <w:bCs/>
          <w:szCs w:val="26"/>
        </w:rPr>
        <w:t>The longer the lag between procurement and delivery, the more likely the default service rate will not be market reflective.</w:t>
      </w:r>
      <w:r w:rsidR="00E91B86" w:rsidRPr="0073745A">
        <w:rPr>
          <w:rStyle w:val="FootnoteReference"/>
          <w:bCs/>
          <w:szCs w:val="26"/>
        </w:rPr>
        <w:footnoteReference w:id="39"/>
      </w:r>
      <w:r w:rsidR="00E91B86" w:rsidRPr="0073745A">
        <w:rPr>
          <w:bCs/>
          <w:szCs w:val="26"/>
        </w:rPr>
        <w:t xml:space="preserve">  </w:t>
      </w:r>
    </w:p>
    <w:p w:rsidR="00E91B86" w:rsidRDefault="00E91B86" w:rsidP="00E91B86">
      <w:pPr>
        <w:pStyle w:val="Normal1"/>
        <w:spacing w:line="360" w:lineRule="auto"/>
        <w:rPr>
          <w:bCs/>
          <w:szCs w:val="26"/>
        </w:rPr>
      </w:pPr>
    </w:p>
    <w:p w:rsidR="00E91B86" w:rsidRDefault="00E91B86" w:rsidP="00D24A77">
      <w:pPr>
        <w:pStyle w:val="Normal1"/>
        <w:spacing w:line="360" w:lineRule="auto"/>
      </w:pPr>
      <w:r>
        <w:rPr>
          <w:bCs/>
          <w:szCs w:val="26"/>
        </w:rPr>
        <w:tab/>
      </w:r>
      <w:r>
        <w:t>RESA argues</w:t>
      </w:r>
      <w:r w:rsidRPr="0073745A">
        <w:t xml:space="preserve"> Duquesne’s argument is not supported by the record in this case and is contradicted by Duquesne’s own testimony</w:t>
      </w:r>
      <w:r>
        <w:t xml:space="preserve"> because</w:t>
      </w:r>
      <w:r w:rsidRPr="0073745A">
        <w:rPr>
          <w:bCs/>
          <w:szCs w:val="26"/>
        </w:rPr>
        <w:t xml:space="preserve"> the substantive record in this case does not support Duquesne’s statements that default service rates procured 14 months before delivery will come close to reflecting “contemporaneous market prices” at the time of delivery.   Second, Duquesne’s criticism of OCA’s proposal for 24-month contracts contradicts its own arguments in favor of 14 month lead times.  </w:t>
      </w:r>
      <w:r w:rsidRPr="0073745A">
        <w:t>Duquesne states that its proposed timing for procurements will provide a hedge against uncertain future market prices</w:t>
      </w:r>
      <w:r>
        <w:t xml:space="preserve">, however, RESA contends that, </w:t>
      </w:r>
      <w:r w:rsidRPr="0073745A">
        <w:t xml:space="preserve">just as the two-year contracts proposed by OCA are imprudent, it is equally imprudent to bid out a 12-month contract </w:t>
      </w:r>
      <w:r w:rsidRPr="0073745A">
        <w:rPr>
          <w:i/>
        </w:rPr>
        <w:t>14 months</w:t>
      </w:r>
      <w:r w:rsidRPr="0073745A">
        <w:t xml:space="preserve"> before the date of delivery, for the very same reasons that Duquesne criticizes OCA.  </w:t>
      </w:r>
    </w:p>
    <w:p w:rsidR="00E00915" w:rsidRDefault="00E00915" w:rsidP="00D24A77">
      <w:pPr>
        <w:pStyle w:val="Normal1"/>
        <w:spacing w:line="360" w:lineRule="auto"/>
      </w:pPr>
    </w:p>
    <w:p w:rsidR="00F12E23" w:rsidRDefault="00F12E23" w:rsidP="00D24A77">
      <w:pPr>
        <w:pStyle w:val="BriefL3"/>
        <w:numPr>
          <w:ilvl w:val="0"/>
          <w:numId w:val="0"/>
        </w:numPr>
        <w:spacing w:after="0" w:line="360" w:lineRule="auto"/>
        <w:ind w:left="1440" w:firstLine="720"/>
        <w:rPr>
          <w:b/>
          <w:szCs w:val="24"/>
        </w:rPr>
      </w:pPr>
      <w:r>
        <w:rPr>
          <w:b/>
          <w:szCs w:val="24"/>
        </w:rPr>
        <w:t>iv.</w:t>
      </w:r>
      <w:r>
        <w:rPr>
          <w:b/>
          <w:szCs w:val="24"/>
        </w:rPr>
        <w:tab/>
        <w:t>OSBA’s Position</w:t>
      </w:r>
    </w:p>
    <w:p w:rsidR="00F12E23" w:rsidRDefault="00F12E23" w:rsidP="00D24A77">
      <w:pPr>
        <w:pStyle w:val="BodyText"/>
        <w:spacing w:after="0" w:line="360" w:lineRule="auto"/>
        <w:ind w:left="360" w:firstLine="0"/>
        <w:rPr>
          <w:szCs w:val="24"/>
          <w:lang w:val="en-US"/>
        </w:rPr>
      </w:pPr>
    </w:p>
    <w:p w:rsidR="00F12E23" w:rsidRDefault="00F12E23" w:rsidP="00D24A77">
      <w:pPr>
        <w:pStyle w:val="BodyText2"/>
        <w:spacing w:after="0" w:line="360" w:lineRule="auto"/>
        <w:ind w:left="1080"/>
      </w:pPr>
      <w:r>
        <w:rPr>
          <w:lang w:val="en-US"/>
        </w:rPr>
        <w:tab/>
      </w:r>
      <w:r>
        <w:t>O</w:t>
      </w:r>
      <w:r>
        <w:rPr>
          <w:lang w:val="en-US"/>
        </w:rPr>
        <w:t>SB</w:t>
      </w:r>
      <w:r>
        <w:t>A takes no position on this issue.</w:t>
      </w:r>
    </w:p>
    <w:p w:rsidR="00F12E23" w:rsidRDefault="00F12E23" w:rsidP="00D24A77">
      <w:pPr>
        <w:pStyle w:val="BodyText"/>
        <w:spacing w:after="0" w:line="360" w:lineRule="auto"/>
        <w:ind w:left="0" w:firstLine="0"/>
        <w:rPr>
          <w:szCs w:val="24"/>
          <w:lang w:val="en-US"/>
        </w:rPr>
      </w:pPr>
    </w:p>
    <w:p w:rsidR="00F12E23" w:rsidRDefault="00F12E23" w:rsidP="00D24A77">
      <w:pPr>
        <w:pStyle w:val="BriefL3"/>
        <w:numPr>
          <w:ilvl w:val="0"/>
          <w:numId w:val="0"/>
        </w:numPr>
        <w:spacing w:after="0" w:line="360" w:lineRule="auto"/>
        <w:ind w:left="1440" w:firstLine="720"/>
        <w:rPr>
          <w:b/>
          <w:szCs w:val="24"/>
        </w:rPr>
      </w:pPr>
      <w:r>
        <w:rPr>
          <w:b/>
          <w:szCs w:val="24"/>
        </w:rPr>
        <w:t>v.</w:t>
      </w:r>
      <w:r>
        <w:rPr>
          <w:b/>
          <w:szCs w:val="24"/>
        </w:rPr>
        <w:tab/>
        <w:t>CAUSE’s Position</w:t>
      </w:r>
    </w:p>
    <w:p w:rsidR="00F12E23" w:rsidRDefault="00F12E23" w:rsidP="00D24A77">
      <w:pPr>
        <w:pStyle w:val="BodyText"/>
        <w:spacing w:after="0" w:line="360" w:lineRule="auto"/>
        <w:ind w:left="360" w:firstLine="0"/>
        <w:rPr>
          <w:szCs w:val="24"/>
          <w:lang w:val="en-US"/>
        </w:rPr>
      </w:pPr>
    </w:p>
    <w:p w:rsidR="00F12E23" w:rsidRDefault="00F12E23" w:rsidP="00D24A77">
      <w:pPr>
        <w:pStyle w:val="BodyText2"/>
        <w:spacing w:after="0" w:line="360" w:lineRule="auto"/>
        <w:ind w:left="1080"/>
        <w:rPr>
          <w:lang w:val="en-US"/>
        </w:rPr>
      </w:pPr>
      <w:r>
        <w:rPr>
          <w:lang w:val="en-US"/>
        </w:rPr>
        <w:tab/>
        <w:t>CAUSE</w:t>
      </w:r>
      <w:r>
        <w:t xml:space="preserve"> takes no position on this issue.</w:t>
      </w:r>
    </w:p>
    <w:p w:rsidR="00600BFD" w:rsidRPr="00600BFD" w:rsidRDefault="00600BFD" w:rsidP="00D24A77">
      <w:pPr>
        <w:pStyle w:val="BodyText2"/>
        <w:spacing w:after="0" w:line="360" w:lineRule="auto"/>
        <w:ind w:left="1080"/>
        <w:rPr>
          <w:lang w:val="en-US"/>
        </w:rPr>
      </w:pPr>
    </w:p>
    <w:p w:rsidR="00E00915" w:rsidRDefault="00600BFD" w:rsidP="00600BFD">
      <w:pPr>
        <w:pStyle w:val="ListParagraph"/>
        <w:spacing w:line="360" w:lineRule="auto"/>
        <w:ind w:left="2880" w:hanging="720"/>
        <w:rPr>
          <w:b/>
        </w:rPr>
      </w:pPr>
      <w:r>
        <w:rPr>
          <w:b/>
        </w:rPr>
        <w:t>vi.</w:t>
      </w:r>
      <w:r>
        <w:rPr>
          <w:b/>
        </w:rPr>
        <w:tab/>
      </w:r>
      <w:r w:rsidR="00E00915" w:rsidRPr="00D160F3">
        <w:rPr>
          <w:b/>
        </w:rPr>
        <w:t>Citizen Power’s Position</w:t>
      </w:r>
    </w:p>
    <w:p w:rsidR="00E00915" w:rsidRDefault="00E00915" w:rsidP="00D24A77">
      <w:pPr>
        <w:pStyle w:val="ListParagraph"/>
        <w:spacing w:line="360" w:lineRule="auto"/>
        <w:ind w:left="2880"/>
        <w:rPr>
          <w:b/>
        </w:rPr>
      </w:pPr>
    </w:p>
    <w:p w:rsidR="00F47475" w:rsidRDefault="00F47475" w:rsidP="00D24A77">
      <w:pPr>
        <w:spacing w:line="360" w:lineRule="auto"/>
        <w:ind w:firstLine="720"/>
      </w:pPr>
      <w:r>
        <w:tab/>
        <w:t xml:space="preserve">By acquiring default service supply at different times for the same time period, Citizen Power believes Duquesne is trying to mitigate the risk of procuring all of their default supply at the peak of the market.  Duquesne takes a similar approach in procuring its “overhang” procurement in April 2014 for the period June 2015 through May 2016, which will necessarily be combined with future procurements.  Citizen Power agrees with this approach since it is </w:t>
      </w:r>
      <w:r>
        <w:lastRenderedPageBreak/>
        <w:t>consistent with the goal of procuring default service at the least cost over time. Specifically, the procurement of default service at only one point in time carries with it a risk that the resulting rate with be abnormally high because of poor market timing.  This is not to say that price at a certain point in time is not the “actual” or “market” price.  Instead, it is more an acknowledgement that the likelihood of obtaining a price that is an outlier is greater if you take one sample instead of two.  In order to meet the least cost standard, it is reasonable to attempt to reduce the chance of obtaining an outlying price by using more than one procurement date.</w:t>
      </w:r>
    </w:p>
    <w:p w:rsidR="005F4CA1" w:rsidRDefault="005F4CA1" w:rsidP="005F4CA1">
      <w:pPr>
        <w:pStyle w:val="ListParagraph"/>
        <w:spacing w:line="360" w:lineRule="auto"/>
        <w:ind w:left="2880"/>
        <w:rPr>
          <w:b/>
        </w:rPr>
      </w:pPr>
    </w:p>
    <w:p w:rsidR="00E00915" w:rsidRDefault="005F4CA1" w:rsidP="005F4CA1">
      <w:pPr>
        <w:pStyle w:val="ListParagraph"/>
        <w:spacing w:line="360" w:lineRule="auto"/>
        <w:ind w:left="2160" w:hanging="1440"/>
        <w:rPr>
          <w:b/>
        </w:rPr>
      </w:pPr>
      <w:r>
        <w:rPr>
          <w:b/>
        </w:rPr>
        <w:tab/>
        <w:t>vii.</w:t>
      </w:r>
      <w:r>
        <w:rPr>
          <w:b/>
        </w:rPr>
        <w:tab/>
      </w:r>
      <w:r w:rsidR="00E00915" w:rsidRPr="00D160F3">
        <w:rPr>
          <w:b/>
        </w:rPr>
        <w:t>Duquesne Industrial Intervenors’ Position</w:t>
      </w:r>
    </w:p>
    <w:p w:rsidR="00F12E23" w:rsidRDefault="00F12E23" w:rsidP="005B5FC9">
      <w:pPr>
        <w:pStyle w:val="ListParagraph"/>
        <w:spacing w:line="360" w:lineRule="auto"/>
        <w:ind w:left="2880"/>
        <w:rPr>
          <w:b/>
        </w:rPr>
      </w:pPr>
    </w:p>
    <w:p w:rsidR="00E00915" w:rsidRPr="00F12E23" w:rsidRDefault="00F12E23" w:rsidP="005B5FC9">
      <w:pPr>
        <w:pStyle w:val="ListParagraph"/>
        <w:spacing w:line="360" w:lineRule="auto"/>
        <w:ind w:left="1440"/>
      </w:pPr>
      <w:r>
        <w:t>DII</w:t>
      </w:r>
      <w:r w:rsidRPr="00F12E23">
        <w:t xml:space="preserve"> takes no position on this issue.</w:t>
      </w:r>
    </w:p>
    <w:p w:rsidR="00E00915" w:rsidRPr="00D160F3" w:rsidRDefault="00E00915" w:rsidP="005B5FC9">
      <w:pPr>
        <w:spacing w:line="360" w:lineRule="auto"/>
        <w:rPr>
          <w:b/>
        </w:rPr>
      </w:pPr>
    </w:p>
    <w:p w:rsidR="00E00915" w:rsidRDefault="00E00915" w:rsidP="002240DA">
      <w:pPr>
        <w:pStyle w:val="ListParagraph"/>
        <w:numPr>
          <w:ilvl w:val="0"/>
          <w:numId w:val="47"/>
        </w:numPr>
        <w:spacing w:line="360" w:lineRule="auto"/>
        <w:rPr>
          <w:b/>
        </w:rPr>
      </w:pPr>
      <w:r w:rsidRPr="00D160F3">
        <w:rPr>
          <w:b/>
        </w:rPr>
        <w:t>EGS Parties’ Position</w:t>
      </w:r>
    </w:p>
    <w:p w:rsidR="00E00915" w:rsidRDefault="00E00915" w:rsidP="005B5FC9">
      <w:pPr>
        <w:pStyle w:val="ListParagraph"/>
        <w:spacing w:line="360" w:lineRule="auto"/>
        <w:ind w:left="2880"/>
        <w:rPr>
          <w:b/>
        </w:rPr>
      </w:pPr>
    </w:p>
    <w:p w:rsidR="00E00915" w:rsidRPr="00F12E23" w:rsidRDefault="00F12E23" w:rsidP="00F12E23">
      <w:pPr>
        <w:spacing w:line="360" w:lineRule="auto"/>
        <w:ind w:left="1440"/>
      </w:pPr>
      <w:r w:rsidRPr="00F12E23">
        <w:t>EGS Parties takes no position on this issue.</w:t>
      </w:r>
    </w:p>
    <w:p w:rsidR="00F12E23" w:rsidRPr="00D160F3" w:rsidRDefault="00F12E23" w:rsidP="00F12E23">
      <w:pPr>
        <w:spacing w:line="360" w:lineRule="auto"/>
        <w:ind w:left="1440"/>
        <w:rPr>
          <w:b/>
        </w:rPr>
      </w:pPr>
    </w:p>
    <w:p w:rsidR="00E00915" w:rsidRDefault="00E00915" w:rsidP="002240DA">
      <w:pPr>
        <w:pStyle w:val="ListParagraph"/>
        <w:numPr>
          <w:ilvl w:val="0"/>
          <w:numId w:val="47"/>
        </w:numPr>
        <w:spacing w:line="360" w:lineRule="auto"/>
        <w:rPr>
          <w:b/>
        </w:rPr>
      </w:pPr>
      <w:r w:rsidRPr="00D160F3">
        <w:rPr>
          <w:b/>
        </w:rPr>
        <w:t>FirstEnergy Solutions’ Position</w:t>
      </w:r>
    </w:p>
    <w:p w:rsidR="00F12E23" w:rsidRDefault="00F12E23" w:rsidP="00F12E23">
      <w:pPr>
        <w:pStyle w:val="ListParagraph"/>
        <w:spacing w:line="360" w:lineRule="auto"/>
        <w:ind w:left="2880"/>
        <w:rPr>
          <w:b/>
        </w:rPr>
      </w:pPr>
    </w:p>
    <w:p w:rsidR="00E00915" w:rsidRPr="00F12E23" w:rsidRDefault="00F12E23" w:rsidP="00F12E23">
      <w:pPr>
        <w:pStyle w:val="ListParagraph"/>
        <w:spacing w:line="360" w:lineRule="auto"/>
        <w:ind w:left="1440"/>
      </w:pPr>
      <w:r>
        <w:t>FES takes no position on this issue.</w:t>
      </w:r>
    </w:p>
    <w:p w:rsidR="00E00915" w:rsidRPr="00D160F3" w:rsidRDefault="00E00915" w:rsidP="00F12E23">
      <w:pPr>
        <w:spacing w:line="360" w:lineRule="auto"/>
        <w:rPr>
          <w:b/>
        </w:rPr>
      </w:pPr>
    </w:p>
    <w:p w:rsidR="00E00915" w:rsidRDefault="00E00915" w:rsidP="002240DA">
      <w:pPr>
        <w:pStyle w:val="ListParagraph"/>
        <w:numPr>
          <w:ilvl w:val="0"/>
          <w:numId w:val="47"/>
        </w:numPr>
        <w:spacing w:line="360" w:lineRule="auto"/>
        <w:rPr>
          <w:b/>
        </w:rPr>
      </w:pPr>
      <w:r w:rsidRPr="00D160F3">
        <w:rPr>
          <w:b/>
        </w:rPr>
        <w:t>Joint Suppliers’ Position</w:t>
      </w:r>
    </w:p>
    <w:p w:rsidR="00E00915" w:rsidRPr="00D160F3" w:rsidRDefault="00E00915" w:rsidP="00F12E23">
      <w:pPr>
        <w:pStyle w:val="ListParagraph"/>
        <w:spacing w:line="360" w:lineRule="auto"/>
        <w:ind w:left="2880"/>
        <w:rPr>
          <w:b/>
        </w:rPr>
      </w:pPr>
    </w:p>
    <w:p w:rsidR="00E00915" w:rsidRDefault="00F12E23" w:rsidP="00F12E23">
      <w:pPr>
        <w:pStyle w:val="Normal1"/>
        <w:spacing w:line="360" w:lineRule="auto"/>
        <w:ind w:left="1440" w:firstLine="0"/>
      </w:pPr>
      <w:r>
        <w:t>Joint Suppliers takes no position on this issue.</w:t>
      </w:r>
    </w:p>
    <w:p w:rsidR="004A6054" w:rsidRDefault="004A6054" w:rsidP="00F12E23">
      <w:pPr>
        <w:pStyle w:val="Normal1"/>
        <w:spacing w:line="360" w:lineRule="auto"/>
        <w:ind w:left="1440" w:firstLine="0"/>
      </w:pPr>
    </w:p>
    <w:p w:rsidR="004A6054" w:rsidRDefault="004A6054" w:rsidP="004A6054">
      <w:pPr>
        <w:pStyle w:val="Normal1"/>
        <w:spacing w:line="360" w:lineRule="auto"/>
        <w:ind w:firstLine="0"/>
        <w:rPr>
          <w:b/>
        </w:rPr>
      </w:pPr>
      <w:r w:rsidRPr="004A6054">
        <w:rPr>
          <w:b/>
        </w:rPr>
        <w:t>Disposition – Residential Procurement – Product Dates</w:t>
      </w:r>
    </w:p>
    <w:p w:rsidR="004A6054" w:rsidRDefault="004A6054" w:rsidP="004A6054">
      <w:pPr>
        <w:pStyle w:val="Normal1"/>
        <w:spacing w:line="360" w:lineRule="auto"/>
        <w:ind w:firstLine="0"/>
        <w:rPr>
          <w:b/>
        </w:rPr>
      </w:pPr>
    </w:p>
    <w:p w:rsidR="008F2A6C" w:rsidRPr="008F2A6C" w:rsidRDefault="008F2A6C" w:rsidP="008F2A6C">
      <w:pPr>
        <w:pStyle w:val="PlainText"/>
        <w:spacing w:line="360" w:lineRule="auto"/>
        <w:ind w:firstLine="1440"/>
        <w:rPr>
          <w:rFonts w:ascii="Times New Roman" w:hAnsi="Times New Roman"/>
          <w:sz w:val="24"/>
          <w:szCs w:val="24"/>
        </w:rPr>
      </w:pPr>
      <w:r w:rsidRPr="008F2A6C">
        <w:rPr>
          <w:rFonts w:ascii="Times New Roman" w:hAnsi="Times New Roman"/>
          <w:sz w:val="24"/>
          <w:szCs w:val="24"/>
        </w:rPr>
        <w:t>I recommend approval of Duquesne Light’s proposal to have back-to-back twelve-month products procured at the same time, and reject</w:t>
      </w:r>
      <w:r w:rsidR="006E035E">
        <w:rPr>
          <w:rFonts w:ascii="Times New Roman" w:hAnsi="Times New Roman"/>
          <w:sz w:val="24"/>
          <w:szCs w:val="24"/>
          <w:lang w:val="en-US"/>
        </w:rPr>
        <w:t>ion of</w:t>
      </w:r>
      <w:r w:rsidRPr="008F2A6C">
        <w:rPr>
          <w:rFonts w:ascii="Times New Roman" w:hAnsi="Times New Roman"/>
          <w:sz w:val="24"/>
          <w:szCs w:val="24"/>
        </w:rPr>
        <w:t xml:space="preserve"> RESA’s proposal to modify the time between procurement and the start of the delivery period to be no more than 60 days.  The Company’s proposal balances the need for more market responsive rates while still providing the consumer with a hedge against unexpected energy price increases.  This balance </w:t>
      </w:r>
      <w:r w:rsidRPr="008F2A6C">
        <w:rPr>
          <w:rFonts w:ascii="Times New Roman" w:hAnsi="Times New Roman"/>
          <w:sz w:val="24"/>
          <w:szCs w:val="24"/>
        </w:rPr>
        <w:lastRenderedPageBreak/>
        <w:t xml:space="preserve">allows the PTC to reflect the market energy and capacity prices in each year of the plan while providing a reasonable level of rate stability.  </w:t>
      </w:r>
    </w:p>
    <w:p w:rsidR="0084672B" w:rsidRDefault="0084672B">
      <w:pPr>
        <w:autoSpaceDE/>
        <w:autoSpaceDN/>
      </w:pPr>
    </w:p>
    <w:p w:rsidR="00297E8C" w:rsidRPr="00D57E05" w:rsidRDefault="00297E8C" w:rsidP="00D24A77">
      <w:pPr>
        <w:tabs>
          <w:tab w:val="left" w:pos="0"/>
        </w:tabs>
        <w:spacing w:line="360" w:lineRule="auto"/>
        <w:rPr>
          <w:b/>
        </w:rPr>
      </w:pPr>
      <w:r>
        <w:t xml:space="preserve">  </w:t>
      </w:r>
      <w:bookmarkStart w:id="16" w:name="_Toc337116681"/>
      <w:r w:rsidR="00306F27">
        <w:rPr>
          <w:b/>
          <w:i/>
        </w:rPr>
        <w:tab/>
      </w:r>
      <w:r w:rsidR="00306F27">
        <w:rPr>
          <w:b/>
          <w:i/>
        </w:rPr>
        <w:tab/>
      </w:r>
      <w:r w:rsidRPr="00D57E05">
        <w:rPr>
          <w:b/>
        </w:rPr>
        <w:t>c.</w:t>
      </w:r>
      <w:r w:rsidRPr="00D57E05">
        <w:rPr>
          <w:b/>
        </w:rPr>
        <w:tab/>
        <w:t>Reserving Supply For Retail Opt-In Customer Participation</w:t>
      </w:r>
      <w:bookmarkEnd w:id="16"/>
      <w:r w:rsidRPr="00D57E05">
        <w:rPr>
          <w:b/>
        </w:rPr>
        <w:fldChar w:fldCharType="begin"/>
      </w:r>
      <w:r w:rsidRPr="00D57E05">
        <w:rPr>
          <w:b/>
        </w:rPr>
        <w:instrText xml:space="preserve"> TC "</w:instrText>
      </w:r>
      <w:bookmarkStart w:id="17" w:name="_Toc337116682"/>
      <w:r w:rsidRPr="00D57E05">
        <w:rPr>
          <w:b/>
        </w:rPr>
        <w:instrText>c. Reserving Supply For Retail Opt-In Customer Participation</w:instrText>
      </w:r>
      <w:bookmarkEnd w:id="17"/>
      <w:r w:rsidRPr="00D57E05">
        <w:rPr>
          <w:b/>
        </w:rPr>
        <w:instrText xml:space="preserve">" \f C \l "4" </w:instrText>
      </w:r>
      <w:r w:rsidRPr="00D57E05">
        <w:rPr>
          <w:b/>
        </w:rPr>
        <w:fldChar w:fldCharType="end"/>
      </w:r>
    </w:p>
    <w:p w:rsidR="00E00915" w:rsidRDefault="00E00915" w:rsidP="00F12E23">
      <w:pPr>
        <w:spacing w:line="360" w:lineRule="auto"/>
      </w:pPr>
    </w:p>
    <w:p w:rsidR="00E00915" w:rsidRPr="00E00915" w:rsidRDefault="00E00915" w:rsidP="00F12E23">
      <w:pPr>
        <w:pStyle w:val="BodyText2"/>
        <w:numPr>
          <w:ilvl w:val="0"/>
          <w:numId w:val="42"/>
        </w:numPr>
        <w:spacing w:after="0" w:line="360" w:lineRule="auto"/>
        <w:rPr>
          <w:b/>
          <w:lang w:val="en-US"/>
        </w:rPr>
      </w:pPr>
      <w:r w:rsidRPr="00E00915">
        <w:rPr>
          <w:b/>
          <w:lang w:val="en-US"/>
        </w:rPr>
        <w:t>DLC’s Proposal</w:t>
      </w:r>
    </w:p>
    <w:p w:rsidR="00E00915" w:rsidRDefault="00E00915" w:rsidP="00F12E23">
      <w:pPr>
        <w:pStyle w:val="BodyText2"/>
        <w:spacing w:after="0" w:line="360" w:lineRule="auto"/>
        <w:ind w:firstLine="1440"/>
        <w:rPr>
          <w:lang w:val="en-US"/>
        </w:rPr>
      </w:pPr>
    </w:p>
    <w:p w:rsidR="00E00915" w:rsidRDefault="00E00915" w:rsidP="00F12E23">
      <w:pPr>
        <w:pStyle w:val="BodyText2"/>
        <w:spacing w:after="0" w:line="360" w:lineRule="auto"/>
        <w:ind w:firstLine="1440"/>
      </w:pPr>
      <w:r>
        <w:t xml:space="preserve">The Company recommends the Commission reject OCA’s proposal to reduce the number of 12-month residential tranches by 20% in the first year of the plan to account for potential ROI Program load.  First, Duquesne Light points out OCA made a similar proposal in </w:t>
      </w:r>
      <w:r w:rsidR="004A6054">
        <w:t>the First</w:t>
      </w:r>
      <w:r>
        <w:t xml:space="preserve">Energy Companies’ recent default service proceeding, and the Commission rejected OCA’s proposal there.  Furthermore, it does not appear that a similar proposal made by OCA was approved in the </w:t>
      </w:r>
      <w:r w:rsidRPr="000F30E9">
        <w:rPr>
          <w:i/>
        </w:rPr>
        <w:t>PECO Binding Poll</w:t>
      </w:r>
      <w:r>
        <w:t xml:space="preserve">. </w:t>
      </w:r>
      <w:r>
        <w:rPr>
          <w:i/>
        </w:rPr>
        <w:t xml:space="preserve"> PECO Binding Poll</w:t>
      </w:r>
      <w:r>
        <w:t>, Issue No. 1.</w:t>
      </w:r>
    </w:p>
    <w:p w:rsidR="00E00915" w:rsidRDefault="00E00915" w:rsidP="00E00915">
      <w:pPr>
        <w:pStyle w:val="BodyText2"/>
        <w:spacing w:line="360" w:lineRule="auto"/>
      </w:pPr>
    </w:p>
    <w:p w:rsidR="00E00915" w:rsidRDefault="00E00915" w:rsidP="00E00915">
      <w:pPr>
        <w:pStyle w:val="BodyText2"/>
        <w:spacing w:line="360" w:lineRule="auto"/>
        <w:ind w:firstLine="1440"/>
      </w:pPr>
      <w:r>
        <w:t>The Company contends OCA’s proposal should be rejected for the same reasons the Commission rejected it previously.  Duquesne Light’s proposal to include twelve-month full requirements contracts in the residential default service plan will mitigate risks associated with the one-year duration of the ROI Program.  In addition, Duquesne Light points out it did not propose to acquire block supplies so it will not have unneeded supplies if ROI Program participation is greater than expected.</w:t>
      </w:r>
    </w:p>
    <w:p w:rsidR="00E00915" w:rsidRDefault="00E00915" w:rsidP="00E00915">
      <w:pPr>
        <w:pStyle w:val="BodyText2"/>
        <w:spacing w:line="360" w:lineRule="auto"/>
      </w:pPr>
    </w:p>
    <w:p w:rsidR="00E00915" w:rsidRDefault="00E00915" w:rsidP="00E21DCF">
      <w:pPr>
        <w:pStyle w:val="BodyText2"/>
        <w:spacing w:after="0" w:line="360" w:lineRule="auto"/>
        <w:ind w:firstLine="1440"/>
      </w:pPr>
      <w:r>
        <w:t>In addition, Duquesne Light contends OCA’s proposal should be rejected because: (1) it will leave a significant amount of default service load completely unhedged for an extended period of time; (2) it could lead to substantially higher supply costs if market prices increase during the unhedged period; (3) it could lead to significant over/under collections balances; (4) it unreasonably shifts risks to default service customers; and (5) it reduces the compatibility between the residential default service rate and ROI Program offering by making it impossible to offer both a fixed price ROI product and guaranteed savings over the ROI Program term.</w:t>
      </w:r>
      <w:r w:rsidR="00E21DCF">
        <w:rPr>
          <w:lang w:val="en-US"/>
        </w:rPr>
        <w:t xml:space="preserve">  </w:t>
      </w:r>
      <w:r>
        <w:t xml:space="preserve">Duquesne Light St. No. 8-R, pp. 12-21 </w:t>
      </w:r>
      <w:r>
        <w:rPr>
          <w:i/>
        </w:rPr>
        <w:t>and</w:t>
      </w:r>
      <w:r>
        <w:t xml:space="preserve"> Duquesne Light St. No. 8-RJ, p. 12.</w:t>
      </w:r>
    </w:p>
    <w:p w:rsidR="00E00915" w:rsidRPr="00051A14" w:rsidRDefault="00E00915" w:rsidP="00E00915">
      <w:pPr>
        <w:pStyle w:val="Normal1"/>
        <w:spacing w:line="360" w:lineRule="auto"/>
        <w:ind w:firstLine="0"/>
      </w:pPr>
    </w:p>
    <w:p w:rsidR="0084672B" w:rsidRDefault="0084672B">
      <w:pPr>
        <w:autoSpaceDE/>
        <w:autoSpaceDN/>
        <w:rPr>
          <w:b/>
        </w:rPr>
      </w:pPr>
      <w:r>
        <w:rPr>
          <w:b/>
        </w:rPr>
        <w:br w:type="page"/>
      </w:r>
    </w:p>
    <w:p w:rsidR="00E00915" w:rsidRPr="00E00915" w:rsidRDefault="00E00915" w:rsidP="00E00915">
      <w:pPr>
        <w:pStyle w:val="ListParagraph"/>
        <w:numPr>
          <w:ilvl w:val="0"/>
          <w:numId w:val="42"/>
        </w:numPr>
        <w:spacing w:line="360" w:lineRule="auto"/>
        <w:rPr>
          <w:b/>
        </w:rPr>
      </w:pPr>
      <w:r w:rsidRPr="00E00915">
        <w:rPr>
          <w:b/>
        </w:rPr>
        <w:lastRenderedPageBreak/>
        <w:t>OCA’s Position</w:t>
      </w:r>
    </w:p>
    <w:p w:rsidR="00E00915" w:rsidRDefault="00E00915" w:rsidP="00E00915">
      <w:pPr>
        <w:pStyle w:val="ListParagraph"/>
        <w:spacing w:line="360" w:lineRule="auto"/>
        <w:ind w:left="2880"/>
      </w:pPr>
    </w:p>
    <w:p w:rsidR="00297E8C" w:rsidRDefault="00306F27" w:rsidP="00436BCE">
      <w:pPr>
        <w:spacing w:line="360" w:lineRule="auto"/>
      </w:pPr>
      <w:r>
        <w:tab/>
      </w:r>
      <w:r>
        <w:tab/>
      </w:r>
      <w:r w:rsidR="00297E8C">
        <w:t xml:space="preserve">OCA </w:t>
      </w:r>
      <w:r>
        <w:t>argues</w:t>
      </w:r>
      <w:r w:rsidR="00297E8C">
        <w:t xml:space="preserve"> the Company’s DSP must be designed to achieve least cost to customers over time.  To achieve that goal, the procurements must be conducted in a stable environment without adding excessive risks to wholesale default suppliers that would then impact default service rates.  In order to protect the default service procurement process in light of the proposed Retail Opt-In Auction, OCA </w:t>
      </w:r>
      <w:r>
        <w:t>suggested</w:t>
      </w:r>
      <w:r w:rsidR="00297E8C">
        <w:t xml:space="preserve"> a mechanism </w:t>
      </w:r>
      <w:r>
        <w:t xml:space="preserve">to substantially mitigate </w:t>
      </w:r>
      <w:r w:rsidR="00297E8C">
        <w:t xml:space="preserve">the open ended risks to default suppliers that could be triggered under the retail </w:t>
      </w:r>
      <w:r w:rsidR="00B64F3F">
        <w:t>O</w:t>
      </w:r>
      <w:r w:rsidR="00297E8C">
        <w:t>pt-</w:t>
      </w:r>
      <w:r w:rsidR="00B64F3F">
        <w:t>I</w:t>
      </w:r>
      <w:r w:rsidR="00297E8C">
        <w:t xml:space="preserve">n </w:t>
      </w:r>
      <w:r w:rsidR="00B64F3F">
        <w:t>P</w:t>
      </w:r>
      <w:r w:rsidR="00297E8C">
        <w:t xml:space="preserve">rogram.  </w:t>
      </w:r>
    </w:p>
    <w:p w:rsidR="00BE1713" w:rsidRDefault="00BE1713" w:rsidP="00436BCE">
      <w:pPr>
        <w:spacing w:line="360" w:lineRule="auto"/>
      </w:pPr>
    </w:p>
    <w:p w:rsidR="00297E8C" w:rsidRDefault="00306F27" w:rsidP="00E00915">
      <w:pPr>
        <w:spacing w:line="360" w:lineRule="auto"/>
      </w:pPr>
      <w:r>
        <w:tab/>
      </w:r>
      <w:r>
        <w:tab/>
        <w:t>OCA points out t</w:t>
      </w:r>
      <w:r w:rsidR="00297E8C">
        <w:t xml:space="preserve">he </w:t>
      </w:r>
      <w:r w:rsidR="00B64F3F">
        <w:t>O</w:t>
      </w:r>
      <w:r w:rsidR="00297E8C">
        <w:t>pt-</w:t>
      </w:r>
      <w:r w:rsidR="00B64F3F">
        <w:t>I</w:t>
      </w:r>
      <w:r w:rsidR="00297E8C">
        <w:t xml:space="preserve">n </w:t>
      </w:r>
      <w:r w:rsidR="00B64F3F">
        <w:t>P</w:t>
      </w:r>
      <w:r w:rsidR="00297E8C">
        <w:t>rogram is unlike any program in any other electric choice state</w:t>
      </w:r>
      <w:r>
        <w:t xml:space="preserve"> and, therefore, </w:t>
      </w:r>
      <w:r w:rsidR="00297E8C">
        <w:t xml:space="preserve">caution is warranted to avoid the introduction of significant volumetric risks to the wholesale suppliers that could limit the number of bidders or result in illusory savings for customers.  </w:t>
      </w:r>
    </w:p>
    <w:p w:rsidR="00BE1713" w:rsidRDefault="00BE1713" w:rsidP="00436BCE">
      <w:pPr>
        <w:spacing w:line="360" w:lineRule="auto"/>
      </w:pPr>
    </w:p>
    <w:p w:rsidR="00D44DDC" w:rsidRDefault="00297E8C" w:rsidP="00E00915">
      <w:pPr>
        <w:spacing w:line="360" w:lineRule="auto"/>
      </w:pPr>
      <w:r>
        <w:tab/>
      </w:r>
      <w:r>
        <w:tab/>
        <w:t>OCA recommended a procedure by which the wholesale bidders would not be exposed to the volumetric risk created by the opt-in auction</w:t>
      </w:r>
      <w:r w:rsidR="00306F27">
        <w:t xml:space="preserve"> through a </w:t>
      </w:r>
      <w:r>
        <w:t>“hold back” of supply reserved for the opt-in auction</w:t>
      </w:r>
      <w:r w:rsidR="00306F27">
        <w:t>.  OCA opined</w:t>
      </w:r>
      <w:r>
        <w:t xml:space="preserve"> full requirements bidders would be assured that the MW size of the tranches they were bidding on were fixed at the expected 55 MW size.  </w:t>
      </w:r>
    </w:p>
    <w:p w:rsidR="00D44DDC" w:rsidRDefault="00D44DDC" w:rsidP="00436BCE">
      <w:pPr>
        <w:spacing w:line="360" w:lineRule="auto"/>
      </w:pPr>
    </w:p>
    <w:p w:rsidR="003C38EE" w:rsidRDefault="00D44DDC" w:rsidP="00436BCE">
      <w:pPr>
        <w:spacing w:line="360" w:lineRule="auto"/>
      </w:pPr>
      <w:r>
        <w:tab/>
      </w:r>
      <w:r>
        <w:tab/>
      </w:r>
      <w:r w:rsidR="006F011C">
        <w:t xml:space="preserve">OCA argues its </w:t>
      </w:r>
      <w:r w:rsidR="00297E8C">
        <w:t>proposal would ensure that the outcome of the Opt-in EGS Service Program subscription process will have no effect on the amount of MW (or MWH) of Default Service load served by the winning wholesale FRC suppliers.  OCA St. 1 at 21-22.</w:t>
      </w:r>
    </w:p>
    <w:p w:rsidR="00297E8C" w:rsidRDefault="00297E8C" w:rsidP="00436BCE">
      <w:pPr>
        <w:spacing w:line="360" w:lineRule="auto"/>
      </w:pPr>
      <w:r>
        <w:t xml:space="preserve">    </w:t>
      </w:r>
    </w:p>
    <w:p w:rsidR="00297E8C" w:rsidRDefault="00297E8C" w:rsidP="00436BCE">
      <w:pPr>
        <w:spacing w:line="360" w:lineRule="auto"/>
      </w:pPr>
      <w:r>
        <w:tab/>
      </w:r>
      <w:r>
        <w:tab/>
      </w:r>
      <w:r w:rsidR="006F011C">
        <w:t>Using</w:t>
      </w:r>
      <w:r>
        <w:t xml:space="preserve"> a participation level of 20% and </w:t>
      </w:r>
      <w:r w:rsidR="006F011C">
        <w:t>with</w:t>
      </w:r>
      <w:r>
        <w:t xml:space="preserve"> approximately 20% of non-shopping load “held back” from the default service procurement for use in the opt-in auction</w:t>
      </w:r>
      <w:r w:rsidR="006F011C">
        <w:t xml:space="preserve">, OCA </w:t>
      </w:r>
      <w:r>
        <w:t>explained the benefits of this approach, as follows:</w:t>
      </w:r>
    </w:p>
    <w:p w:rsidR="006F011C" w:rsidRDefault="006F011C" w:rsidP="00436BCE">
      <w:pPr>
        <w:pStyle w:val="DirectAnswer"/>
        <w:tabs>
          <w:tab w:val="clear" w:pos="360"/>
          <w:tab w:val="left" w:pos="720"/>
        </w:tabs>
        <w:spacing w:line="240" w:lineRule="auto"/>
        <w:ind w:right="720"/>
        <w:jc w:val="both"/>
      </w:pPr>
    </w:p>
    <w:p w:rsidR="00297E8C" w:rsidRDefault="00297E8C" w:rsidP="006F011C">
      <w:pPr>
        <w:pStyle w:val="DirectAnswer"/>
        <w:tabs>
          <w:tab w:val="clear" w:pos="360"/>
          <w:tab w:val="left" w:pos="720"/>
        </w:tabs>
        <w:spacing w:line="240" w:lineRule="auto"/>
        <w:ind w:left="1440" w:right="720"/>
        <w:jc w:val="both"/>
      </w:pPr>
      <w:r>
        <w:t>The reason for this recommended range relates to two competing issues.  One issue relates to the promotion of competitive service, which suggests that a significant percentage of residential Default Service load should be allocated to the program.  The second issue relates to the firmness of the PTC, which is the benchmark for the price qualification of the bids for the Opt-in EGS Service Program. The PTC covering the first year of the two-</w:t>
      </w:r>
      <w:r>
        <w:lastRenderedPageBreak/>
        <w:t xml:space="preserve">year Default Service Plan will be established by the FRC bids, the block and spot purchases, and, to the degree that the Opt-in EGS Service Program is undersubscribed, the cost of supply for the additional load that needs to be covered under Default Service.  </w:t>
      </w:r>
    </w:p>
    <w:p w:rsidR="00297E8C" w:rsidRDefault="00297E8C" w:rsidP="006F011C">
      <w:pPr>
        <w:pStyle w:val="DirectAnswer"/>
        <w:tabs>
          <w:tab w:val="clear" w:pos="360"/>
          <w:tab w:val="left" w:pos="720"/>
        </w:tabs>
        <w:spacing w:line="240" w:lineRule="auto"/>
        <w:ind w:left="1440" w:right="720"/>
        <w:jc w:val="both"/>
      </w:pPr>
      <w:r>
        <w:t>…</w:t>
      </w:r>
    </w:p>
    <w:p w:rsidR="00297E8C" w:rsidRDefault="00297E8C" w:rsidP="006F011C">
      <w:pPr>
        <w:pStyle w:val="DirectAnswer"/>
        <w:tabs>
          <w:tab w:val="clear" w:pos="360"/>
          <w:tab w:val="left" w:pos="720"/>
        </w:tabs>
        <w:spacing w:line="240" w:lineRule="auto"/>
        <w:ind w:left="1440" w:right="720"/>
        <w:jc w:val="both"/>
      </w:pPr>
      <w:r>
        <w:t xml:space="preserve">That said, the larger the percentage of the load set aside for the Opt-in program, the greater the potential undersubscription and hence the greater the potential for a larger deviation between the proxy PTC and the ultimate PTC in effect during the first 12 months of the Default Service Plan.  To balance the competing objectives of having the preliminary (or proxy) PTC close to the actual PTC and meaningful promotion of retail competition, the 20 percent figure appears to be appropriate.  </w:t>
      </w:r>
    </w:p>
    <w:p w:rsidR="00297E8C" w:rsidRDefault="00297E8C" w:rsidP="00436BCE">
      <w:pPr>
        <w:ind w:right="1440"/>
        <w:jc w:val="both"/>
      </w:pPr>
    </w:p>
    <w:p w:rsidR="00297E8C" w:rsidRDefault="00297E8C" w:rsidP="00436BCE">
      <w:pPr>
        <w:spacing w:line="360" w:lineRule="auto"/>
      </w:pPr>
      <w:r>
        <w:t xml:space="preserve">OCA St. 1 at 22-23.  </w:t>
      </w:r>
    </w:p>
    <w:p w:rsidR="00884AFB" w:rsidRDefault="00884AFB" w:rsidP="00436BCE">
      <w:pPr>
        <w:spacing w:line="360" w:lineRule="auto"/>
      </w:pPr>
    </w:p>
    <w:p w:rsidR="006F011C" w:rsidRDefault="00297E8C" w:rsidP="006F011C">
      <w:pPr>
        <w:spacing w:line="360" w:lineRule="auto"/>
      </w:pPr>
      <w:r>
        <w:tab/>
      </w:r>
      <w:r>
        <w:tab/>
      </w:r>
      <w:r w:rsidR="006F011C">
        <w:t xml:space="preserve">OCA explains </w:t>
      </w:r>
      <w:r>
        <w:t>unfilled tranches held back for the program would be offered back to winning wholesale bidders in the default service auctions</w:t>
      </w:r>
      <w:r w:rsidR="006F011C">
        <w:t xml:space="preserve"> in the event the </w:t>
      </w:r>
      <w:r w:rsidR="00B64F3F">
        <w:t>O</w:t>
      </w:r>
      <w:r w:rsidR="006F011C">
        <w:t>pt-</w:t>
      </w:r>
      <w:r w:rsidR="00B64F3F">
        <w:t>I</w:t>
      </w:r>
      <w:r w:rsidR="006F011C">
        <w:t xml:space="preserve">n </w:t>
      </w:r>
      <w:r w:rsidR="00B64F3F">
        <w:t>P</w:t>
      </w:r>
      <w:r w:rsidR="006F011C">
        <w:t>rogram does not reach a 20% participation level,</w:t>
      </w:r>
      <w:r>
        <w:t xml:space="preserve">.  OCA St. 1 at 23.  </w:t>
      </w:r>
      <w:r w:rsidR="006F011C">
        <w:t xml:space="preserve">Specifically, OCA recommends that: </w:t>
      </w:r>
      <w:r>
        <w:t xml:space="preserve"> </w:t>
      </w:r>
    </w:p>
    <w:p w:rsidR="006F011C" w:rsidRDefault="006F011C" w:rsidP="006F011C">
      <w:pPr>
        <w:spacing w:line="360" w:lineRule="auto"/>
      </w:pPr>
    </w:p>
    <w:p w:rsidR="00297E8C" w:rsidRDefault="006F011C" w:rsidP="00314721">
      <w:pPr>
        <w:ind w:left="1440" w:right="720"/>
        <w:jc w:val="both"/>
      </w:pPr>
      <w:r>
        <w:t xml:space="preserve">If </w:t>
      </w:r>
      <w:r w:rsidR="00297E8C">
        <w:t>the undersubscription is less than one tranche, then this residential Default Service load should be filled through the PJM spot market for the remainder of the first year of the Default Service Plan.  For the second year, it should be included in the FRC solicitations.</w:t>
      </w:r>
    </w:p>
    <w:p w:rsidR="00297E8C" w:rsidRDefault="00297E8C" w:rsidP="006F011C">
      <w:pPr>
        <w:ind w:left="1440" w:right="720"/>
        <w:jc w:val="both"/>
      </w:pPr>
    </w:p>
    <w:p w:rsidR="00297E8C" w:rsidRDefault="00297E8C" w:rsidP="006F011C">
      <w:pPr>
        <w:pStyle w:val="DirectNext"/>
        <w:numPr>
          <w:ilvl w:val="0"/>
          <w:numId w:val="0"/>
        </w:numPr>
        <w:spacing w:line="240" w:lineRule="auto"/>
        <w:ind w:left="1440" w:right="720"/>
        <w:jc w:val="both"/>
      </w:pPr>
      <w:r>
        <w:t>If the undersubscription is more than one tranche, then the undersubscribed load should be filled by offering it to eligible wholesale Default Service bidders as a one-year FRC.  If the offer is not accepted by any of the wholesale Default Service bidders, then Duquesne should fill the tranche (or tranches) with block and spot supplies.</w:t>
      </w:r>
    </w:p>
    <w:p w:rsidR="00297E8C" w:rsidRDefault="00297E8C" w:rsidP="00436BCE">
      <w:pPr>
        <w:spacing w:line="360" w:lineRule="auto"/>
        <w:ind w:right="1440"/>
      </w:pPr>
    </w:p>
    <w:p w:rsidR="00297E8C" w:rsidRDefault="00297E8C" w:rsidP="00436BCE">
      <w:pPr>
        <w:spacing w:line="360" w:lineRule="auto"/>
      </w:pPr>
      <w:r>
        <w:t>OCA St. 1 at 23.</w:t>
      </w:r>
    </w:p>
    <w:p w:rsidR="00BE1713" w:rsidRDefault="00297E8C" w:rsidP="00436BCE">
      <w:pPr>
        <w:spacing w:line="360" w:lineRule="auto"/>
      </w:pPr>
      <w:r>
        <w:tab/>
      </w:r>
    </w:p>
    <w:p w:rsidR="00297E8C" w:rsidRDefault="00BE1713" w:rsidP="00F47475">
      <w:pPr>
        <w:spacing w:line="360" w:lineRule="auto"/>
      </w:pPr>
      <w:r>
        <w:tab/>
      </w:r>
      <w:r w:rsidR="00297E8C">
        <w:tab/>
        <w:t xml:space="preserve">OCA submits </w:t>
      </w:r>
      <w:r w:rsidR="006F011C">
        <w:t>its</w:t>
      </w:r>
      <w:r w:rsidR="00297E8C">
        <w:t xml:space="preserve"> proposal adequately addresses the potential negative impact an open-ended </w:t>
      </w:r>
      <w:r w:rsidR="0052141E">
        <w:t>O</w:t>
      </w:r>
      <w:r w:rsidR="00297E8C">
        <w:t>pt-</w:t>
      </w:r>
      <w:r w:rsidR="0052141E">
        <w:t>I</w:t>
      </w:r>
      <w:r w:rsidR="00297E8C">
        <w:t xml:space="preserve">n </w:t>
      </w:r>
      <w:r w:rsidR="0052141E">
        <w:t>P</w:t>
      </w:r>
      <w:r w:rsidR="00297E8C">
        <w:t xml:space="preserve">rogram could have on default service procurement.  While OCA recognizes that the Commission did not adopt a similar recommendation in the </w:t>
      </w:r>
      <w:r w:rsidR="00297E8C">
        <w:rPr>
          <w:u w:val="single"/>
        </w:rPr>
        <w:t>FirstEnergy DSP Order</w:t>
      </w:r>
      <w:r w:rsidR="00297E8C">
        <w:rPr>
          <w:u w:val="single"/>
        </w:rPr>
        <w:fldChar w:fldCharType="begin"/>
      </w:r>
      <w:r w:rsidR="00297E8C">
        <w:instrText xml:space="preserve"> TA \s "FirstEnergy DSP Order" </w:instrText>
      </w:r>
      <w:r w:rsidR="00297E8C">
        <w:rPr>
          <w:u w:val="single"/>
        </w:rPr>
        <w:fldChar w:fldCharType="end"/>
      </w:r>
      <w:r w:rsidR="00297E8C">
        <w:t xml:space="preserve">, OCA submits that this protection is both well-designed and necessary to avoid improperly increasing the price of default service.  </w:t>
      </w:r>
      <w:r w:rsidR="006F011C">
        <w:t>The</w:t>
      </w:r>
      <w:r w:rsidR="00297E8C">
        <w:t xml:space="preserve"> “hold back” proposal will allow for a successful opt-in auction while helping to ensure that default service procurements do not contain unreasonable </w:t>
      </w:r>
      <w:r w:rsidR="00297E8C">
        <w:lastRenderedPageBreak/>
        <w:t xml:space="preserve">risk adders and limited bidder interest to the detriment of default service customers.  As such, OCA supports the inclusion of </w:t>
      </w:r>
      <w:r w:rsidR="006F011C">
        <w:t>this</w:t>
      </w:r>
      <w:r w:rsidR="00297E8C">
        <w:t xml:space="preserve"> proposal in the Company’s default service procurement plan.</w:t>
      </w:r>
    </w:p>
    <w:p w:rsidR="00EA2E1D" w:rsidRDefault="00EA2E1D" w:rsidP="00F47475">
      <w:pPr>
        <w:pStyle w:val="BodyText"/>
        <w:spacing w:after="0" w:line="360" w:lineRule="auto"/>
        <w:ind w:left="0" w:firstLine="0"/>
        <w:rPr>
          <w:szCs w:val="24"/>
          <w:lang w:val="en-US"/>
        </w:rPr>
      </w:pPr>
    </w:p>
    <w:p w:rsidR="00884AFB" w:rsidRDefault="0071331C" w:rsidP="00F47475">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884AFB" w:rsidRDefault="00884AFB" w:rsidP="00F47475">
      <w:pPr>
        <w:pStyle w:val="BodyText"/>
        <w:spacing w:after="0" w:line="360" w:lineRule="auto"/>
        <w:ind w:left="0" w:firstLine="0"/>
        <w:rPr>
          <w:szCs w:val="24"/>
          <w:lang w:val="en-US"/>
        </w:rPr>
      </w:pPr>
    </w:p>
    <w:p w:rsidR="00E90FC9" w:rsidRDefault="00E90FC9" w:rsidP="00F47475">
      <w:pPr>
        <w:pStyle w:val="BodyText2"/>
        <w:spacing w:after="0" w:line="360" w:lineRule="auto"/>
        <w:rPr>
          <w:bCs/>
          <w:lang w:val="en-US"/>
        </w:rPr>
      </w:pPr>
      <w:r>
        <w:rPr>
          <w:lang w:val="en-US"/>
        </w:rPr>
        <w:tab/>
      </w:r>
      <w:r>
        <w:rPr>
          <w:lang w:val="en-US"/>
        </w:rPr>
        <w:tab/>
      </w:r>
      <w:r w:rsidR="002A28F7">
        <w:rPr>
          <w:lang w:val="en-US"/>
        </w:rPr>
        <w:t xml:space="preserve">RESA notes </w:t>
      </w:r>
      <w:r w:rsidR="002A28F7">
        <w:t>OCA</w:t>
      </w:r>
      <w:r w:rsidR="002A28F7">
        <w:rPr>
          <w:lang w:val="en-US"/>
        </w:rPr>
        <w:t>’s</w:t>
      </w:r>
      <w:r>
        <w:t xml:space="preserve"> concern about the potential volumetric risk placed on wholesale bidders for default service supply as a result of potential participation in the opt-in auction program</w:t>
      </w:r>
      <w:r w:rsidR="002A28F7">
        <w:rPr>
          <w:lang w:val="en-US"/>
        </w:rPr>
        <w:t>,</w:t>
      </w:r>
      <w:r>
        <w:rPr>
          <w:rStyle w:val="FootnoteReference"/>
        </w:rPr>
        <w:footnoteReference w:id="40"/>
      </w:r>
      <w:r w:rsidR="002A28F7">
        <w:rPr>
          <w:lang w:val="en-US"/>
        </w:rPr>
        <w:t xml:space="preserve"> and its </w:t>
      </w:r>
      <w:r w:rsidR="002A28F7">
        <w:t>recommend</w:t>
      </w:r>
      <w:r w:rsidR="002A28F7">
        <w:rPr>
          <w:lang w:val="en-US"/>
        </w:rPr>
        <w:t>ation to</w:t>
      </w:r>
      <w:r>
        <w:t xml:space="preserve"> </w:t>
      </w:r>
      <w:r>
        <w:rPr>
          <w:bCs/>
        </w:rPr>
        <w:t>reduc</w:t>
      </w:r>
      <w:r w:rsidR="002A28F7">
        <w:rPr>
          <w:bCs/>
          <w:lang w:val="en-US"/>
        </w:rPr>
        <w:t>e</w:t>
      </w:r>
      <w:r>
        <w:rPr>
          <w:bCs/>
        </w:rPr>
        <w:t xml:space="preserve"> the auction customer participation cap from 50% to 20% and to set aside a portion of the targeted full requirements contracts to fill the auction tranches.</w:t>
      </w:r>
      <w:r>
        <w:rPr>
          <w:rStyle w:val="FootnoteReference"/>
          <w:bCs/>
        </w:rPr>
        <w:footnoteReference w:id="41"/>
      </w:r>
      <w:r>
        <w:rPr>
          <w:bCs/>
        </w:rPr>
        <w:t xml:space="preserve">  </w:t>
      </w:r>
    </w:p>
    <w:p w:rsidR="002A28F7" w:rsidRPr="002A28F7" w:rsidRDefault="002A28F7" w:rsidP="002A28F7">
      <w:pPr>
        <w:pStyle w:val="BodyText2"/>
        <w:spacing w:after="0" w:line="360" w:lineRule="auto"/>
        <w:rPr>
          <w:bCs/>
          <w:lang w:val="en-US"/>
        </w:rPr>
      </w:pPr>
    </w:p>
    <w:p w:rsidR="00E90FC9" w:rsidRDefault="00E90FC9" w:rsidP="002A28F7">
      <w:pPr>
        <w:pStyle w:val="BodyText2"/>
        <w:spacing w:after="0" w:line="360" w:lineRule="auto"/>
        <w:rPr>
          <w:bCs/>
          <w:lang w:val="en-US"/>
        </w:rPr>
      </w:pPr>
      <w:r>
        <w:rPr>
          <w:bCs/>
          <w:lang w:val="en-US"/>
        </w:rPr>
        <w:tab/>
      </w:r>
      <w:r>
        <w:rPr>
          <w:bCs/>
          <w:lang w:val="en-US"/>
        </w:rPr>
        <w:tab/>
      </w:r>
      <w:r>
        <w:rPr>
          <w:bCs/>
        </w:rPr>
        <w:t xml:space="preserve">RESA opposes OCA’s proposal to “hold back” (i.e., delay or forego procurement of) some tranches of the residential default service supply until after the Opt-In </w:t>
      </w:r>
      <w:r w:rsidR="0091132B">
        <w:rPr>
          <w:bCs/>
          <w:lang w:val="en-US"/>
        </w:rPr>
        <w:t>P</w:t>
      </w:r>
      <w:r>
        <w:rPr>
          <w:bCs/>
        </w:rPr>
        <w:t xml:space="preserve">rogram’s customer enrollment period concludes.  </w:t>
      </w:r>
      <w:r w:rsidR="002A28F7">
        <w:rPr>
          <w:bCs/>
          <w:lang w:val="en-US"/>
        </w:rPr>
        <w:t>RESA avers</w:t>
      </w:r>
      <w:r>
        <w:rPr>
          <w:bCs/>
        </w:rPr>
        <w:t xml:space="preserve"> adoption of OCA’s proposal has the potential to (1) contribute to rate shock and create a large deferred cost recovery balance</w:t>
      </w:r>
      <w:r w:rsidR="00F86BF3">
        <w:rPr>
          <w:bCs/>
          <w:lang w:val="en-US"/>
        </w:rPr>
        <w:t>;</w:t>
      </w:r>
      <w:r>
        <w:rPr>
          <w:bCs/>
        </w:rPr>
        <w:t xml:space="preserve"> and (2)</w:t>
      </w:r>
      <w:r w:rsidR="00F86BF3">
        <w:rPr>
          <w:bCs/>
          <w:lang w:val="en-US"/>
        </w:rPr>
        <w:t> </w:t>
      </w:r>
      <w:r>
        <w:rPr>
          <w:bCs/>
        </w:rPr>
        <w:t>impose additional costs due to the potential need to separately procure additional supply.</w:t>
      </w:r>
      <w:r>
        <w:rPr>
          <w:rStyle w:val="FootnoteReference"/>
          <w:bCs/>
        </w:rPr>
        <w:footnoteReference w:id="42"/>
      </w:r>
      <w:r>
        <w:rPr>
          <w:bCs/>
        </w:rPr>
        <w:t xml:space="preserve">  OCA’s proposal would actually shift risk to customers and not reduce risk, and it could impact additional costs on customers, when doing so is simply not needed.</w:t>
      </w:r>
      <w:r>
        <w:rPr>
          <w:rStyle w:val="FootnoteReference"/>
          <w:bCs/>
        </w:rPr>
        <w:footnoteReference w:id="43"/>
      </w:r>
      <w:r>
        <w:rPr>
          <w:bCs/>
        </w:rPr>
        <w:t xml:space="preserve"> </w:t>
      </w:r>
    </w:p>
    <w:p w:rsidR="00E90FC9" w:rsidRPr="00E90FC9" w:rsidRDefault="00E90FC9" w:rsidP="002A28F7">
      <w:pPr>
        <w:pStyle w:val="BodyText2"/>
        <w:spacing w:after="0" w:line="360" w:lineRule="auto"/>
        <w:rPr>
          <w:bCs/>
          <w:lang w:val="en-US"/>
        </w:rPr>
      </w:pPr>
    </w:p>
    <w:p w:rsidR="00E90FC9" w:rsidRDefault="00E90FC9" w:rsidP="005B5FC9">
      <w:pPr>
        <w:pStyle w:val="BodyText2"/>
        <w:spacing w:after="0" w:line="360" w:lineRule="auto"/>
      </w:pPr>
      <w:r>
        <w:rPr>
          <w:bCs/>
          <w:lang w:val="en-US"/>
        </w:rPr>
        <w:tab/>
      </w:r>
      <w:r>
        <w:rPr>
          <w:bCs/>
          <w:lang w:val="en-US"/>
        </w:rPr>
        <w:tab/>
      </w:r>
      <w:r>
        <w:rPr>
          <w:bCs/>
        </w:rPr>
        <w:t xml:space="preserve">OCA made a similar proposal in the </w:t>
      </w:r>
      <w:r>
        <w:rPr>
          <w:bCs/>
          <w:i/>
        </w:rPr>
        <w:t>FE</w:t>
      </w:r>
      <w:r>
        <w:rPr>
          <w:bCs/>
        </w:rPr>
        <w:t xml:space="preserve"> proceeding which the Commission rejected.</w:t>
      </w:r>
      <w:r>
        <w:rPr>
          <w:rStyle w:val="FootnoteReference"/>
          <w:bCs/>
        </w:rPr>
        <w:footnoteReference w:id="44"/>
      </w:r>
      <w:r>
        <w:rPr>
          <w:bCs/>
        </w:rPr>
        <w:t xml:space="preserve">  The Commission determined that the proposal presented significant additional risk for customers.  Also, the Commission rejected the inclusion of block procurements in the default service portfolio, which eliminated the risk that the Companies would be saddled with unneeded suppliers in the event the opt-in participation is greater than expected and the Companies’ default </w:t>
      </w:r>
      <w:r>
        <w:rPr>
          <w:bCs/>
        </w:rPr>
        <w:lastRenderedPageBreak/>
        <w:t>service requirements were less than expected.</w:t>
      </w:r>
      <w:r>
        <w:rPr>
          <w:rStyle w:val="FootnoteReference"/>
          <w:bCs/>
        </w:rPr>
        <w:footnoteReference w:id="45"/>
      </w:r>
      <w:r>
        <w:rPr>
          <w:bCs/>
        </w:rPr>
        <w:t xml:space="preserve">  There is no reason for the Commission to reach a different conclusion in this case.   </w:t>
      </w:r>
    </w:p>
    <w:p w:rsidR="00E90FC9" w:rsidRDefault="00E90FC9" w:rsidP="005B5FC9">
      <w:pPr>
        <w:pStyle w:val="BodyText"/>
        <w:spacing w:after="0" w:line="360" w:lineRule="auto"/>
        <w:ind w:left="0" w:firstLine="0"/>
        <w:rPr>
          <w:szCs w:val="24"/>
          <w:lang w:val="en-US"/>
        </w:rPr>
      </w:pPr>
    </w:p>
    <w:p w:rsidR="006D4D99" w:rsidRDefault="00DE4E9F" w:rsidP="005B5FC9">
      <w:pPr>
        <w:pStyle w:val="BriefL3"/>
        <w:numPr>
          <w:ilvl w:val="0"/>
          <w:numId w:val="0"/>
        </w:numPr>
        <w:spacing w:after="0" w:line="360" w:lineRule="auto"/>
        <w:ind w:left="1440" w:firstLine="720"/>
        <w:rPr>
          <w:b/>
          <w:szCs w:val="24"/>
        </w:rPr>
      </w:pPr>
      <w:r>
        <w:rPr>
          <w:b/>
          <w:szCs w:val="24"/>
        </w:rPr>
        <w:t>iv</w:t>
      </w:r>
      <w:r w:rsidR="006D4D99">
        <w:rPr>
          <w:b/>
          <w:szCs w:val="24"/>
        </w:rPr>
        <w:t>.</w:t>
      </w:r>
      <w:r w:rsidR="006D4D99">
        <w:rPr>
          <w:b/>
          <w:szCs w:val="24"/>
        </w:rPr>
        <w:tab/>
        <w:t>OSBA’s Position</w:t>
      </w:r>
    </w:p>
    <w:p w:rsidR="006D4D99" w:rsidRDefault="006D4D99" w:rsidP="005B5FC9">
      <w:pPr>
        <w:pStyle w:val="BodyText"/>
        <w:spacing w:after="0" w:line="360" w:lineRule="auto"/>
        <w:ind w:left="360" w:firstLine="0"/>
        <w:rPr>
          <w:szCs w:val="24"/>
          <w:lang w:val="en-US"/>
        </w:rPr>
      </w:pPr>
    </w:p>
    <w:p w:rsidR="006D4D99" w:rsidRDefault="006D4D99" w:rsidP="005B5FC9">
      <w:pPr>
        <w:pStyle w:val="BodyText2"/>
        <w:spacing w:after="0" w:line="360" w:lineRule="auto"/>
        <w:ind w:left="1080"/>
      </w:pPr>
      <w:r>
        <w:rPr>
          <w:lang w:val="en-US"/>
        </w:rPr>
        <w:tab/>
      </w:r>
      <w:r>
        <w:t>O</w:t>
      </w:r>
      <w:r>
        <w:rPr>
          <w:lang w:val="en-US"/>
        </w:rPr>
        <w:t>SB</w:t>
      </w:r>
      <w:r>
        <w:t>A takes no position on this issue.</w:t>
      </w:r>
    </w:p>
    <w:p w:rsidR="006D4D99" w:rsidRDefault="006D4D99" w:rsidP="005B5FC9">
      <w:pPr>
        <w:pStyle w:val="BodyText"/>
        <w:spacing w:after="0" w:line="360" w:lineRule="auto"/>
        <w:ind w:left="0" w:firstLine="0"/>
        <w:rPr>
          <w:szCs w:val="24"/>
          <w:lang w:val="en-US"/>
        </w:rPr>
      </w:pPr>
    </w:p>
    <w:p w:rsidR="006D4D99" w:rsidRDefault="00DE4E9F" w:rsidP="005B5FC9">
      <w:pPr>
        <w:pStyle w:val="BriefL3"/>
        <w:numPr>
          <w:ilvl w:val="0"/>
          <w:numId w:val="0"/>
        </w:numPr>
        <w:spacing w:after="0" w:line="360" w:lineRule="auto"/>
        <w:ind w:left="1440" w:firstLine="720"/>
        <w:rPr>
          <w:b/>
          <w:szCs w:val="24"/>
        </w:rPr>
      </w:pPr>
      <w:r>
        <w:rPr>
          <w:b/>
          <w:szCs w:val="24"/>
        </w:rPr>
        <w:t>v</w:t>
      </w:r>
      <w:r w:rsidR="006D4D99">
        <w:rPr>
          <w:b/>
          <w:szCs w:val="24"/>
        </w:rPr>
        <w:t>.</w:t>
      </w:r>
      <w:r w:rsidR="006D4D99">
        <w:rPr>
          <w:b/>
          <w:szCs w:val="24"/>
        </w:rPr>
        <w:tab/>
        <w:t>CAUSE’s Position</w:t>
      </w:r>
    </w:p>
    <w:p w:rsidR="006D4D99" w:rsidRDefault="006D4D99" w:rsidP="005B5FC9">
      <w:pPr>
        <w:pStyle w:val="BodyText"/>
        <w:spacing w:after="0" w:line="360" w:lineRule="auto"/>
        <w:ind w:left="360" w:firstLine="0"/>
        <w:rPr>
          <w:szCs w:val="24"/>
          <w:lang w:val="en-US"/>
        </w:rPr>
      </w:pPr>
    </w:p>
    <w:p w:rsidR="006D4D99" w:rsidRDefault="006D4D99" w:rsidP="005B5FC9">
      <w:pPr>
        <w:pStyle w:val="BodyText2"/>
        <w:spacing w:after="0" w:line="360" w:lineRule="auto"/>
        <w:ind w:left="1080"/>
      </w:pPr>
      <w:r>
        <w:rPr>
          <w:lang w:val="en-US"/>
        </w:rPr>
        <w:tab/>
        <w:t>CAUSE</w:t>
      </w:r>
      <w:r>
        <w:t xml:space="preserve"> takes no position on this issue.</w:t>
      </w:r>
    </w:p>
    <w:p w:rsidR="006D4D99" w:rsidRDefault="006D4D99" w:rsidP="005B5FC9">
      <w:pPr>
        <w:pStyle w:val="BriefL3"/>
        <w:numPr>
          <w:ilvl w:val="0"/>
          <w:numId w:val="0"/>
        </w:numPr>
        <w:spacing w:after="0" w:line="360" w:lineRule="auto"/>
        <w:ind w:left="2880"/>
        <w:rPr>
          <w:b/>
          <w:szCs w:val="24"/>
        </w:rPr>
      </w:pPr>
    </w:p>
    <w:p w:rsidR="006D4D99" w:rsidRDefault="00DE4E9F" w:rsidP="005B5FC9">
      <w:pPr>
        <w:pStyle w:val="BriefL3"/>
        <w:numPr>
          <w:ilvl w:val="0"/>
          <w:numId w:val="0"/>
        </w:numPr>
        <w:spacing w:after="0" w:line="360" w:lineRule="auto"/>
        <w:ind w:left="1440" w:firstLine="720"/>
        <w:rPr>
          <w:b/>
          <w:szCs w:val="24"/>
        </w:rPr>
      </w:pPr>
      <w:r>
        <w:rPr>
          <w:b/>
          <w:szCs w:val="24"/>
        </w:rPr>
        <w:t>vi</w:t>
      </w:r>
      <w:r w:rsidR="006D4D99">
        <w:rPr>
          <w:b/>
          <w:szCs w:val="24"/>
        </w:rPr>
        <w:t>.</w:t>
      </w:r>
      <w:r w:rsidR="006D4D99">
        <w:rPr>
          <w:b/>
          <w:szCs w:val="24"/>
        </w:rPr>
        <w:tab/>
        <w:t>Citizen Power’s Position</w:t>
      </w:r>
    </w:p>
    <w:p w:rsidR="006D4D99" w:rsidRDefault="006D4D99" w:rsidP="005B5FC9">
      <w:pPr>
        <w:pStyle w:val="BodyText"/>
        <w:spacing w:after="0" w:line="360" w:lineRule="auto"/>
        <w:ind w:left="360" w:firstLine="0"/>
        <w:rPr>
          <w:szCs w:val="24"/>
          <w:lang w:val="en-US"/>
        </w:rPr>
      </w:pPr>
    </w:p>
    <w:p w:rsidR="00687057" w:rsidRDefault="00687057" w:rsidP="005B5FC9">
      <w:pPr>
        <w:spacing w:line="360" w:lineRule="auto"/>
        <w:ind w:firstLine="720"/>
      </w:pPr>
      <w:r>
        <w:tab/>
      </w:r>
      <w:r w:rsidR="006D4D99">
        <w:t xml:space="preserve">Citizen Power </w:t>
      </w:r>
      <w:r w:rsidR="00F47475">
        <w:t xml:space="preserve">takes no position on this issue. </w:t>
      </w:r>
    </w:p>
    <w:p w:rsidR="00687057" w:rsidRDefault="00687057" w:rsidP="005B5FC9">
      <w:pPr>
        <w:spacing w:line="360" w:lineRule="auto"/>
        <w:ind w:firstLine="720"/>
      </w:pPr>
    </w:p>
    <w:p w:rsidR="006D4D99" w:rsidRDefault="00DE4E9F" w:rsidP="005B5FC9">
      <w:pPr>
        <w:pStyle w:val="BriefL3"/>
        <w:numPr>
          <w:ilvl w:val="0"/>
          <w:numId w:val="0"/>
        </w:numPr>
        <w:spacing w:after="0" w:line="360" w:lineRule="auto"/>
        <w:ind w:left="1440" w:firstLine="720"/>
        <w:rPr>
          <w:b/>
          <w:szCs w:val="24"/>
        </w:rPr>
      </w:pPr>
      <w:r>
        <w:rPr>
          <w:b/>
          <w:szCs w:val="24"/>
        </w:rPr>
        <w:t>vii</w:t>
      </w:r>
      <w:r w:rsidR="006D4D99">
        <w:rPr>
          <w:b/>
          <w:szCs w:val="24"/>
        </w:rPr>
        <w:t>.</w:t>
      </w:r>
      <w:r w:rsidR="006D4D99">
        <w:rPr>
          <w:b/>
          <w:szCs w:val="24"/>
        </w:rPr>
        <w:tab/>
        <w:t>Duquesne Industrial Intervenors’ Position</w:t>
      </w:r>
    </w:p>
    <w:p w:rsidR="006D4D99" w:rsidRDefault="006D4D99" w:rsidP="005B5FC9">
      <w:pPr>
        <w:pStyle w:val="BodyText"/>
        <w:spacing w:after="0" w:line="360" w:lineRule="auto"/>
        <w:ind w:left="360" w:firstLine="0"/>
        <w:rPr>
          <w:szCs w:val="24"/>
          <w:lang w:val="en-US"/>
        </w:rPr>
      </w:pPr>
    </w:p>
    <w:p w:rsidR="006D4D99" w:rsidRDefault="006D4D99" w:rsidP="005B5FC9">
      <w:pPr>
        <w:pStyle w:val="BodyText2"/>
        <w:spacing w:after="0" w:line="360" w:lineRule="auto"/>
        <w:ind w:left="1080"/>
      </w:pPr>
      <w:r>
        <w:rPr>
          <w:lang w:val="en-US"/>
        </w:rPr>
        <w:tab/>
        <w:t>DII</w:t>
      </w:r>
      <w:r>
        <w:t xml:space="preserve"> takes no position on this issue.</w:t>
      </w:r>
    </w:p>
    <w:p w:rsidR="006D4D99" w:rsidRDefault="006D4D99" w:rsidP="005B5FC9">
      <w:pPr>
        <w:pStyle w:val="BodyText"/>
        <w:spacing w:after="0" w:line="360" w:lineRule="auto"/>
        <w:ind w:left="0" w:firstLine="0"/>
        <w:rPr>
          <w:szCs w:val="24"/>
          <w:lang w:val="en-US"/>
        </w:rPr>
      </w:pPr>
    </w:p>
    <w:p w:rsidR="006D4D99" w:rsidRDefault="00DE4E9F" w:rsidP="005B5FC9">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6D4D99" w:rsidRDefault="006D4D99" w:rsidP="005B5FC9">
      <w:pPr>
        <w:pStyle w:val="BodyText"/>
        <w:spacing w:after="0" w:line="360" w:lineRule="auto"/>
        <w:ind w:left="360" w:firstLine="0"/>
        <w:rPr>
          <w:szCs w:val="24"/>
          <w:lang w:val="en-US"/>
        </w:rPr>
      </w:pPr>
    </w:p>
    <w:p w:rsidR="001E1661" w:rsidRDefault="001E1661" w:rsidP="00A92BA8">
      <w:pPr>
        <w:spacing w:line="360" w:lineRule="auto"/>
        <w:ind w:firstLine="720"/>
      </w:pPr>
      <w:r>
        <w:tab/>
        <w:t xml:space="preserve">EGS Parties </w:t>
      </w:r>
      <w:r w:rsidR="005B5FC9">
        <w:t xml:space="preserve">take no position on this issue.  </w:t>
      </w:r>
    </w:p>
    <w:p w:rsidR="006D4D99" w:rsidRDefault="006D4D99" w:rsidP="00A92BA8">
      <w:pPr>
        <w:pStyle w:val="BodyText"/>
        <w:spacing w:after="0" w:line="360" w:lineRule="auto"/>
        <w:ind w:left="0" w:firstLine="0"/>
        <w:rPr>
          <w:szCs w:val="24"/>
          <w:lang w:val="en-US"/>
        </w:rPr>
      </w:pPr>
    </w:p>
    <w:p w:rsidR="006D4D99" w:rsidRDefault="00DE4E9F" w:rsidP="00A92BA8">
      <w:pPr>
        <w:pStyle w:val="BriefL3"/>
        <w:numPr>
          <w:ilvl w:val="0"/>
          <w:numId w:val="0"/>
        </w:numPr>
        <w:spacing w:after="0" w:line="360" w:lineRule="auto"/>
        <w:ind w:left="1440" w:firstLine="720"/>
        <w:rPr>
          <w:b/>
          <w:szCs w:val="24"/>
        </w:rPr>
      </w:pPr>
      <w:r>
        <w:rPr>
          <w:b/>
          <w:szCs w:val="24"/>
        </w:rPr>
        <w:t>ix</w:t>
      </w:r>
      <w:r w:rsidR="006D4D99">
        <w:rPr>
          <w:b/>
          <w:szCs w:val="24"/>
        </w:rPr>
        <w:t>.</w:t>
      </w:r>
      <w:r w:rsidR="006D4D99">
        <w:rPr>
          <w:b/>
          <w:szCs w:val="24"/>
        </w:rPr>
        <w:tab/>
        <w:t>FirstEnergy Solutions’ Position</w:t>
      </w:r>
    </w:p>
    <w:p w:rsidR="006D4D99" w:rsidRDefault="006D4D99" w:rsidP="00A92BA8">
      <w:pPr>
        <w:pStyle w:val="BodyText"/>
        <w:spacing w:after="0" w:line="360" w:lineRule="auto"/>
        <w:ind w:left="360" w:firstLine="0"/>
        <w:rPr>
          <w:szCs w:val="24"/>
          <w:lang w:val="en-US"/>
        </w:rPr>
      </w:pPr>
    </w:p>
    <w:p w:rsidR="00A92BA8" w:rsidRDefault="00A92BA8" w:rsidP="00A92BA8">
      <w:pPr>
        <w:pStyle w:val="BodyText2"/>
        <w:spacing w:after="0" w:line="360" w:lineRule="auto"/>
        <w:ind w:firstLine="1440"/>
      </w:pPr>
      <w:r>
        <w:rPr>
          <w:lang w:val="en-US"/>
        </w:rPr>
        <w:t>FES</w:t>
      </w:r>
      <w:r>
        <w:t xml:space="preserve"> takes no position on this issue.</w:t>
      </w:r>
    </w:p>
    <w:p w:rsidR="00AF0C92" w:rsidRDefault="00AF0C92" w:rsidP="00A92BA8">
      <w:pPr>
        <w:pStyle w:val="BodyText"/>
        <w:spacing w:after="0" w:line="360" w:lineRule="auto"/>
        <w:ind w:left="0" w:firstLine="0"/>
        <w:rPr>
          <w:szCs w:val="24"/>
          <w:lang w:val="en-US"/>
        </w:rPr>
      </w:pPr>
    </w:p>
    <w:p w:rsidR="006D4D99" w:rsidRDefault="00DE4E9F" w:rsidP="003C38EE">
      <w:pPr>
        <w:pStyle w:val="BriefL3"/>
        <w:numPr>
          <w:ilvl w:val="0"/>
          <w:numId w:val="0"/>
        </w:numPr>
        <w:spacing w:after="0" w:line="360" w:lineRule="auto"/>
        <w:ind w:left="1440" w:firstLine="720"/>
        <w:rPr>
          <w:b/>
          <w:szCs w:val="24"/>
        </w:rPr>
      </w:pPr>
      <w:r>
        <w:rPr>
          <w:b/>
          <w:szCs w:val="24"/>
        </w:rPr>
        <w:t>x</w:t>
      </w:r>
      <w:r w:rsidR="006D4D99">
        <w:rPr>
          <w:b/>
          <w:szCs w:val="24"/>
        </w:rPr>
        <w:t>.</w:t>
      </w:r>
      <w:r w:rsidR="006D4D99">
        <w:rPr>
          <w:b/>
          <w:szCs w:val="24"/>
        </w:rPr>
        <w:tab/>
        <w:t>Joint Suppliers’ Position</w:t>
      </w:r>
    </w:p>
    <w:p w:rsidR="006D4D99" w:rsidRDefault="006D4D99" w:rsidP="003C38EE">
      <w:pPr>
        <w:pStyle w:val="BodyText"/>
        <w:spacing w:after="0" w:line="360" w:lineRule="auto"/>
        <w:ind w:left="360" w:firstLine="0"/>
        <w:rPr>
          <w:szCs w:val="24"/>
          <w:lang w:val="en-US"/>
        </w:rPr>
      </w:pPr>
    </w:p>
    <w:p w:rsidR="006D4D99" w:rsidRDefault="006D4D99" w:rsidP="003C38EE">
      <w:pPr>
        <w:pStyle w:val="BodyText2"/>
        <w:spacing w:after="0" w:line="360" w:lineRule="auto"/>
        <w:ind w:left="1080"/>
        <w:rPr>
          <w:lang w:val="en-US"/>
        </w:rPr>
      </w:pPr>
      <w:r>
        <w:rPr>
          <w:lang w:val="en-US"/>
        </w:rPr>
        <w:tab/>
        <w:t>Joint Suppliers take</w:t>
      </w:r>
      <w:r>
        <w:t xml:space="preserve"> no position on this issue.</w:t>
      </w:r>
    </w:p>
    <w:p w:rsidR="00DD6125" w:rsidRPr="008F2A6C" w:rsidRDefault="00DD6125" w:rsidP="003C38EE">
      <w:pPr>
        <w:pStyle w:val="ListParagraph"/>
        <w:autoSpaceDE/>
        <w:autoSpaceDN/>
        <w:spacing w:line="360" w:lineRule="auto"/>
        <w:ind w:left="0"/>
        <w:rPr>
          <w:b/>
        </w:rPr>
      </w:pPr>
      <w:r w:rsidRPr="008F2A6C">
        <w:rPr>
          <w:b/>
        </w:rPr>
        <w:lastRenderedPageBreak/>
        <w:t>Disposition</w:t>
      </w:r>
      <w:r w:rsidR="003C38EE" w:rsidRPr="008F2A6C">
        <w:rPr>
          <w:b/>
        </w:rPr>
        <w:t xml:space="preserve"> - Reserving Supply For Retail Opt-In Customer Participation</w:t>
      </w:r>
    </w:p>
    <w:p w:rsidR="00A965C4" w:rsidRDefault="00A965C4" w:rsidP="00A92BA8">
      <w:pPr>
        <w:pStyle w:val="ListParagraph"/>
        <w:autoSpaceDE/>
        <w:autoSpaceDN/>
        <w:spacing w:line="360" w:lineRule="auto"/>
        <w:ind w:left="0"/>
      </w:pPr>
    </w:p>
    <w:p w:rsidR="00A965C4" w:rsidRDefault="00A965C4" w:rsidP="00A92BA8">
      <w:pPr>
        <w:spacing w:line="360" w:lineRule="auto"/>
        <w:ind w:firstLine="720"/>
      </w:pPr>
      <w:r>
        <w:tab/>
        <w:t>Duquesne Light wants one year full requirement contracts and OCA wants a mix of one- and two-year contracts while RESA wants quarterly and annual contracts.  I agree with the Company that Duquesne’s plan provides the least amount of risk for ratepayers in the current market regime.  Because long</w:t>
      </w:r>
      <w:r w:rsidR="00CF74E6">
        <w:t>-</w:t>
      </w:r>
      <w:r>
        <w:t>term prices continue to trad</w:t>
      </w:r>
      <w:r w:rsidR="00810DD6">
        <w:t>e at premiums compared to short-</w:t>
      </w:r>
      <w:r>
        <w:t xml:space="preserve">term prices, Duquesne’s plan is logical and prudent and meets the least cost requirements.  </w:t>
      </w:r>
      <w:r w:rsidR="00A25C02">
        <w:t>P</w:t>
      </w:r>
      <w:r>
        <w:t xml:space="preserve">urchases of block power present additional risks of recovery and submit that mixing in block power presents additional risks for full requirements providers who are left serving the peak loads.  </w:t>
      </w:r>
    </w:p>
    <w:p w:rsidR="00A965C4" w:rsidRPr="00A965C4" w:rsidRDefault="00A965C4" w:rsidP="002A28F7">
      <w:pPr>
        <w:pStyle w:val="ListParagraph"/>
        <w:autoSpaceDE/>
        <w:autoSpaceDN/>
        <w:spacing w:line="360" w:lineRule="auto"/>
        <w:ind w:left="0"/>
      </w:pPr>
    </w:p>
    <w:p w:rsidR="00DD6125" w:rsidRDefault="00A965C4" w:rsidP="002A28F7">
      <w:pPr>
        <w:pStyle w:val="BodyText"/>
        <w:spacing w:after="0" w:line="360" w:lineRule="auto"/>
        <w:ind w:left="0" w:firstLine="0"/>
        <w:rPr>
          <w:szCs w:val="24"/>
          <w:lang w:val="en-US"/>
        </w:rPr>
      </w:pPr>
      <w:r>
        <w:rPr>
          <w:szCs w:val="24"/>
          <w:lang w:val="en-US"/>
        </w:rPr>
        <w:tab/>
      </w:r>
      <w:r>
        <w:rPr>
          <w:szCs w:val="24"/>
          <w:lang w:val="en-US"/>
        </w:rPr>
        <w:tab/>
        <w:t xml:space="preserve">Duquesne Light’s plan mitigates the risk of procuring the entirety of its default supply at the peak of the market.  RESA fails to explain why now is the appropriate time to maximize the frequency of rate changes in a service territory which has a large percentage </w:t>
      </w:r>
      <w:r w:rsidR="00F30A69">
        <w:rPr>
          <w:szCs w:val="24"/>
          <w:lang w:val="en-US"/>
        </w:rPr>
        <w:t>of default service customers who still need educated on the benefits of competitive retail markets and a stable default service price with which to compare competing offers.</w:t>
      </w:r>
    </w:p>
    <w:p w:rsidR="00F30A69" w:rsidRDefault="00F30A69" w:rsidP="002A28F7">
      <w:pPr>
        <w:pStyle w:val="BodyText"/>
        <w:spacing w:after="0" w:line="360" w:lineRule="auto"/>
        <w:ind w:left="0" w:firstLine="0"/>
        <w:rPr>
          <w:szCs w:val="24"/>
          <w:lang w:val="en-US"/>
        </w:rPr>
      </w:pPr>
    </w:p>
    <w:p w:rsidR="00F30A69" w:rsidRDefault="00F30A69" w:rsidP="002A28F7">
      <w:pPr>
        <w:pStyle w:val="BodyText"/>
        <w:spacing w:after="0" w:line="360" w:lineRule="auto"/>
        <w:ind w:left="0" w:firstLine="0"/>
        <w:rPr>
          <w:szCs w:val="24"/>
          <w:lang w:val="en-US"/>
        </w:rPr>
      </w:pPr>
      <w:r>
        <w:rPr>
          <w:szCs w:val="24"/>
          <w:lang w:val="en-US"/>
        </w:rPr>
        <w:tab/>
      </w:r>
      <w:r>
        <w:rPr>
          <w:szCs w:val="24"/>
          <w:lang w:val="en-US"/>
        </w:rPr>
        <w:tab/>
        <w:t>Eventually, in the next default service plan for D</w:t>
      </w:r>
      <w:r w:rsidR="00D36952">
        <w:rPr>
          <w:szCs w:val="24"/>
          <w:lang w:val="en-US"/>
        </w:rPr>
        <w:t>uquesne Light</w:t>
      </w:r>
      <w:r>
        <w:rPr>
          <w:szCs w:val="24"/>
          <w:lang w:val="en-US"/>
        </w:rPr>
        <w:t>, laddering contracts will be a good idea to assist with transitioning consumers and the market to a more market-reflective shopping environment.  However, for the reasons espoused by D</w:t>
      </w:r>
      <w:r w:rsidR="00D36952">
        <w:rPr>
          <w:szCs w:val="24"/>
          <w:lang w:val="en-US"/>
        </w:rPr>
        <w:t>uquesne Light</w:t>
      </w:r>
      <w:r>
        <w:rPr>
          <w:szCs w:val="24"/>
          <w:lang w:val="en-US"/>
        </w:rPr>
        <w:t xml:space="preserve"> for its Small C&amp;I customers, and especially to maintain price stability and confidence in the retail market, I recommend D</w:t>
      </w:r>
      <w:r w:rsidR="00D36952">
        <w:rPr>
          <w:szCs w:val="24"/>
          <w:lang w:val="en-US"/>
        </w:rPr>
        <w:t>uquesne Light</w:t>
      </w:r>
      <w:r>
        <w:rPr>
          <w:szCs w:val="24"/>
          <w:lang w:val="en-US"/>
        </w:rPr>
        <w:t>’s proposal herein should be approved.</w:t>
      </w:r>
    </w:p>
    <w:p w:rsidR="003C38EE" w:rsidRDefault="003C38EE" w:rsidP="002A28F7">
      <w:pPr>
        <w:pStyle w:val="BodyText"/>
        <w:spacing w:after="0" w:line="360" w:lineRule="auto"/>
        <w:ind w:left="0" w:firstLine="0"/>
        <w:rPr>
          <w:szCs w:val="24"/>
          <w:lang w:val="en-US"/>
        </w:rPr>
      </w:pPr>
    </w:p>
    <w:p w:rsidR="00EE639F" w:rsidRPr="00EE639F" w:rsidRDefault="00EE639F" w:rsidP="00890304">
      <w:pPr>
        <w:pStyle w:val="BodyText"/>
        <w:spacing w:after="0"/>
        <w:ind w:left="0" w:firstLine="0"/>
        <w:rPr>
          <w:b/>
          <w:szCs w:val="24"/>
          <w:lang w:val="en-US"/>
        </w:rPr>
      </w:pPr>
      <w:r w:rsidRPr="00EE639F">
        <w:rPr>
          <w:b/>
          <w:szCs w:val="24"/>
          <w:lang w:val="en-US"/>
        </w:rPr>
        <w:tab/>
        <w:t>2.</w:t>
      </w:r>
      <w:r>
        <w:rPr>
          <w:b/>
          <w:szCs w:val="24"/>
          <w:lang w:val="en-US"/>
        </w:rPr>
        <w:tab/>
        <w:t xml:space="preserve">Small </w:t>
      </w:r>
      <w:r w:rsidR="00457F90">
        <w:rPr>
          <w:b/>
          <w:szCs w:val="24"/>
          <w:lang w:val="en-US"/>
        </w:rPr>
        <w:t>C&amp;I</w:t>
      </w:r>
      <w:r>
        <w:rPr>
          <w:b/>
          <w:szCs w:val="24"/>
          <w:lang w:val="en-US"/>
        </w:rPr>
        <w:t xml:space="preserve"> Procurement</w:t>
      </w:r>
      <w:r w:rsidR="00457F90">
        <w:rPr>
          <w:b/>
          <w:szCs w:val="24"/>
          <w:lang w:val="en-US"/>
        </w:rPr>
        <w:t xml:space="preserve"> Product(s), Product Terms and Dates</w:t>
      </w:r>
    </w:p>
    <w:p w:rsidR="0069731A" w:rsidRDefault="00884AFB" w:rsidP="0069731A">
      <w:pPr>
        <w:pStyle w:val="BriefL3"/>
        <w:numPr>
          <w:ilvl w:val="0"/>
          <w:numId w:val="0"/>
        </w:numPr>
        <w:spacing w:after="0" w:line="360" w:lineRule="auto"/>
        <w:ind w:left="2160" w:hanging="720"/>
        <w:outlineLvl w:val="9"/>
        <w:rPr>
          <w:b/>
          <w:szCs w:val="24"/>
        </w:rPr>
      </w:pPr>
      <w:r>
        <w:rPr>
          <w:b/>
          <w:szCs w:val="24"/>
        </w:rPr>
        <w:tab/>
      </w:r>
    </w:p>
    <w:p w:rsidR="00692C19" w:rsidRDefault="00890304" w:rsidP="0069731A">
      <w:pPr>
        <w:pStyle w:val="BriefL3"/>
        <w:numPr>
          <w:ilvl w:val="0"/>
          <w:numId w:val="0"/>
        </w:numPr>
        <w:spacing w:after="0" w:line="360" w:lineRule="auto"/>
        <w:ind w:left="2160" w:hanging="720"/>
        <w:outlineLvl w:val="9"/>
        <w:rPr>
          <w:b/>
          <w:szCs w:val="24"/>
        </w:rPr>
      </w:pPr>
      <w:r>
        <w:rPr>
          <w:b/>
          <w:szCs w:val="24"/>
        </w:rPr>
        <w:t>a</w:t>
      </w:r>
      <w:r w:rsidR="00692C19">
        <w:rPr>
          <w:b/>
          <w:szCs w:val="24"/>
        </w:rPr>
        <w:t>.</w:t>
      </w:r>
      <w:r w:rsidR="00692C19">
        <w:rPr>
          <w:b/>
          <w:szCs w:val="24"/>
        </w:rPr>
        <w:tab/>
        <w:t>DLC’s Proposal</w:t>
      </w:r>
    </w:p>
    <w:p w:rsidR="00337800" w:rsidRDefault="00337800" w:rsidP="00415028">
      <w:pPr>
        <w:pStyle w:val="BodyText"/>
        <w:spacing w:after="0" w:line="360" w:lineRule="auto"/>
        <w:ind w:left="360" w:firstLine="0"/>
        <w:rPr>
          <w:szCs w:val="24"/>
          <w:lang w:val="en-US"/>
        </w:rPr>
      </w:pPr>
    </w:p>
    <w:p w:rsidR="00337800" w:rsidRDefault="00337800" w:rsidP="00415028">
      <w:pPr>
        <w:pStyle w:val="BodyText2"/>
        <w:spacing w:after="0" w:line="360" w:lineRule="auto"/>
        <w:ind w:left="360"/>
        <w:rPr>
          <w:lang w:val="en-US"/>
        </w:rPr>
      </w:pPr>
      <w:r>
        <w:rPr>
          <w:lang w:val="en-US"/>
        </w:rPr>
        <w:tab/>
      </w:r>
      <w:r>
        <w:rPr>
          <w:lang w:val="en-US"/>
        </w:rPr>
        <w:tab/>
      </w:r>
      <w:r>
        <w:t>Duquesne Light proposes to acquire default supplies for Small C&amp;I customers with monthly metered demands less than 25 kW through 12-month, laddered full requirements contracts</w:t>
      </w:r>
      <w:r w:rsidR="001939FA">
        <w:rPr>
          <w:lang w:val="en-US"/>
        </w:rPr>
        <w:t>, using</w:t>
      </w:r>
      <w:r>
        <w:t xml:space="preserve"> one 6-month contract for supply delivered from June 2013 – November 2013 </w:t>
      </w:r>
      <w:r w:rsidR="001939FA">
        <w:rPr>
          <w:lang w:val="en-US"/>
        </w:rPr>
        <w:t>to</w:t>
      </w:r>
      <w:r>
        <w:t xml:space="preserve"> start the laddering process.</w:t>
      </w:r>
    </w:p>
    <w:p w:rsidR="00337800" w:rsidRDefault="00337800" w:rsidP="00415028">
      <w:pPr>
        <w:pStyle w:val="BodyText2"/>
        <w:spacing w:after="0" w:line="360" w:lineRule="auto"/>
        <w:ind w:left="360"/>
        <w:rPr>
          <w:lang w:val="en-US"/>
        </w:rPr>
      </w:pPr>
      <w:r>
        <w:rPr>
          <w:lang w:val="en-US"/>
        </w:rPr>
        <w:lastRenderedPageBreak/>
        <w:tab/>
      </w:r>
      <w:r>
        <w:rPr>
          <w:lang w:val="en-US"/>
        </w:rPr>
        <w:tab/>
      </w:r>
      <w:r>
        <w:t xml:space="preserve">The following table shows </w:t>
      </w:r>
      <w:r>
        <w:rPr>
          <w:lang w:val="en-US"/>
        </w:rPr>
        <w:t>Duquesne Light’s</w:t>
      </w:r>
      <w:r>
        <w:t xml:space="preserve"> proposed RFP Dates, Procurement Amounts, Contract Terms and delivery periods for Small C&amp;I default service:</w:t>
      </w:r>
    </w:p>
    <w:p w:rsidR="00337800" w:rsidRPr="00337800" w:rsidRDefault="00337800" w:rsidP="00415028">
      <w:pPr>
        <w:pStyle w:val="BodyText2"/>
        <w:spacing w:after="0" w:line="360" w:lineRule="auto"/>
        <w:ind w:left="360"/>
        <w:rPr>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2580"/>
        <w:gridCol w:w="2291"/>
        <w:gridCol w:w="3284"/>
      </w:tblGrid>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337800" w:rsidRDefault="00337800" w:rsidP="00764553">
            <w:pPr>
              <w:pStyle w:val="ListNumber"/>
              <w:keepNext/>
              <w:keepLines/>
              <w:numPr>
                <w:ilvl w:val="0"/>
                <w:numId w:val="4"/>
              </w:numPr>
              <w:spacing w:before="120" w:line="240" w:lineRule="auto"/>
              <w:jc w:val="center"/>
              <w:rPr>
                <w:b/>
              </w:rPr>
            </w:pPr>
            <w:r w:rsidRPr="00337800">
              <w:rPr>
                <w:b/>
              </w:rPr>
              <w:t>RFP Date</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pPr>
              <w:pStyle w:val="ListNumber"/>
              <w:keepNext/>
              <w:keepLines/>
              <w:spacing w:before="120" w:line="240" w:lineRule="auto"/>
              <w:ind w:firstLine="0"/>
              <w:jc w:val="center"/>
              <w:rPr>
                <w:b/>
              </w:rPr>
            </w:pPr>
            <w:r>
              <w:rPr>
                <w:b/>
              </w:rPr>
              <w:t>Procurement Amount</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pPr>
              <w:pStyle w:val="ListNumber"/>
              <w:keepNext/>
              <w:keepLines/>
              <w:spacing w:before="120" w:line="240" w:lineRule="auto"/>
              <w:ind w:firstLine="0"/>
              <w:jc w:val="center"/>
              <w:rPr>
                <w:b/>
              </w:rPr>
            </w:pPr>
            <w:r>
              <w:rPr>
                <w:b/>
              </w:rPr>
              <w:t>Contract Term</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pPr>
              <w:pStyle w:val="ListNumber"/>
              <w:keepNext/>
              <w:keepLines/>
              <w:spacing w:before="120" w:line="240" w:lineRule="auto"/>
              <w:ind w:firstLine="0"/>
              <w:jc w:val="center"/>
              <w:rPr>
                <w:b/>
              </w:rPr>
            </w:pPr>
            <w:r>
              <w:rPr>
                <w:b/>
              </w:rPr>
              <w:t>Delivery Period</w:t>
            </w:r>
          </w:p>
        </w:tc>
      </w:tr>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both"/>
            </w:pPr>
            <w:r>
              <w:t>November 2012</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50%</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6 months</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June 2013 – November 2013</w:t>
            </w:r>
          </w:p>
        </w:tc>
      </w:tr>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both"/>
            </w:pPr>
            <w:r>
              <w:t>April 2013</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50%</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June 2013 – May 2014</w:t>
            </w:r>
          </w:p>
        </w:tc>
      </w:tr>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both"/>
            </w:pPr>
            <w:r>
              <w:t>November 2013</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50%</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December 2013 – November 2014</w:t>
            </w:r>
          </w:p>
        </w:tc>
      </w:tr>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both"/>
            </w:pPr>
            <w:r>
              <w:t>April 2014</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50%</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764553">
            <w:pPr>
              <w:pStyle w:val="ListNumber"/>
              <w:keepNext/>
              <w:keepLines/>
              <w:numPr>
                <w:ilvl w:val="0"/>
                <w:numId w:val="5"/>
              </w:numPr>
              <w:spacing w:before="120" w:line="240" w:lineRule="auto"/>
              <w:jc w:val="center"/>
            </w:pPr>
            <w:r>
              <w:rPr>
                <w:lang w:val="en-US"/>
              </w:rPr>
              <w:t>months</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Next/>
              <w:keepLines/>
              <w:numPr>
                <w:ilvl w:val="0"/>
                <w:numId w:val="0"/>
              </w:numPr>
              <w:spacing w:before="120" w:line="240" w:lineRule="auto"/>
              <w:ind w:left="504"/>
              <w:jc w:val="center"/>
            </w:pPr>
            <w:r>
              <w:t>June 2014 – May 2015</w:t>
            </w:r>
          </w:p>
        </w:tc>
      </w:tr>
      <w:tr w:rsidR="00337800" w:rsidTr="00415028">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Lines/>
              <w:numPr>
                <w:ilvl w:val="0"/>
                <w:numId w:val="0"/>
              </w:numPr>
              <w:spacing w:before="120" w:line="240" w:lineRule="auto"/>
              <w:ind w:left="504"/>
              <w:jc w:val="both"/>
            </w:pPr>
            <w:r>
              <w:t>November 2014</w:t>
            </w:r>
          </w:p>
        </w:tc>
        <w:tc>
          <w:tcPr>
            <w:tcW w:w="2583"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Lines/>
              <w:numPr>
                <w:ilvl w:val="0"/>
                <w:numId w:val="0"/>
              </w:numPr>
              <w:spacing w:before="120" w:line="240" w:lineRule="auto"/>
              <w:ind w:left="504"/>
              <w:jc w:val="center"/>
            </w:pPr>
            <w:r>
              <w:t>50%</w:t>
            </w:r>
          </w:p>
        </w:tc>
        <w:tc>
          <w:tcPr>
            <w:tcW w:w="1889"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Lines/>
              <w:numPr>
                <w:ilvl w:val="0"/>
                <w:numId w:val="0"/>
              </w:numPr>
              <w:spacing w:before="120" w:line="240" w:lineRule="auto"/>
              <w:ind w:left="504"/>
              <w:jc w:val="center"/>
            </w:pPr>
            <w: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Default="00337800" w:rsidP="00337800">
            <w:pPr>
              <w:pStyle w:val="ListNumber"/>
              <w:keepLines/>
              <w:numPr>
                <w:ilvl w:val="0"/>
                <w:numId w:val="0"/>
              </w:numPr>
              <w:spacing w:before="120" w:line="240" w:lineRule="auto"/>
              <w:ind w:left="504"/>
              <w:jc w:val="center"/>
            </w:pPr>
            <w:r>
              <w:t>December 2014 – November 2015</w:t>
            </w:r>
          </w:p>
        </w:tc>
      </w:tr>
    </w:tbl>
    <w:p w:rsidR="00337800" w:rsidRDefault="00337800" w:rsidP="00415028">
      <w:pPr>
        <w:pStyle w:val="BodyText2"/>
        <w:spacing w:after="0" w:line="360" w:lineRule="auto"/>
        <w:ind w:left="360"/>
        <w:rPr>
          <w:lang w:val="en-US"/>
        </w:rPr>
      </w:pPr>
      <w:r>
        <w:t>Duquesne Light Exh. No. 1, p. 9.</w:t>
      </w:r>
    </w:p>
    <w:p w:rsidR="00457F90" w:rsidRPr="00457F90" w:rsidRDefault="00457F90" w:rsidP="00415028">
      <w:pPr>
        <w:pStyle w:val="BodyText2"/>
        <w:spacing w:after="0" w:line="360" w:lineRule="auto"/>
        <w:ind w:left="360"/>
        <w:rPr>
          <w:lang w:val="en-US"/>
        </w:rPr>
      </w:pPr>
    </w:p>
    <w:p w:rsidR="00337800" w:rsidRDefault="00337800" w:rsidP="00415028">
      <w:pPr>
        <w:pStyle w:val="BodyText2"/>
        <w:spacing w:after="0" w:line="360" w:lineRule="auto"/>
        <w:ind w:left="360"/>
      </w:pPr>
      <w:r>
        <w:rPr>
          <w:lang w:val="en-US"/>
        </w:rPr>
        <w:tab/>
      </w:r>
      <w:r>
        <w:rPr>
          <w:lang w:val="en-US"/>
        </w:rPr>
        <w:tab/>
      </w:r>
      <w:r w:rsidR="001939FA">
        <w:rPr>
          <w:lang w:val="en-US"/>
        </w:rPr>
        <w:t>DLC avers its</w:t>
      </w:r>
      <w:r>
        <w:t xml:space="preserve"> Small C&amp;I procurement plan provides a balance between providing stable rates and providing market responsive pricing.  The Small C&amp;I procurement plan will </w:t>
      </w:r>
      <w:r w:rsidR="001939FA">
        <w:rPr>
          <w:lang w:val="en-US"/>
        </w:rPr>
        <w:t>give</w:t>
      </w:r>
      <w:r>
        <w:t xml:space="preserve"> Small C&amp;I customers 6-month rate changes and will allow rates to change more frequently in response to changes in market prices.  The proposed procurement approach for Small C&amp;I customers is similar to the approach currently being used for Medium C&amp;I customers under DSP V and is part of the Company’s transition to more frequent rate adjustments for smaller customers.  Duquesne Light St. No. 2, p. 12.</w:t>
      </w:r>
    </w:p>
    <w:p w:rsidR="00337800" w:rsidRDefault="00337800" w:rsidP="00415028">
      <w:pPr>
        <w:pStyle w:val="BodyText"/>
        <w:spacing w:after="0" w:line="360" w:lineRule="auto"/>
        <w:ind w:left="360" w:firstLine="0"/>
        <w:rPr>
          <w:szCs w:val="24"/>
          <w:lang w:val="en-US"/>
        </w:rPr>
      </w:pPr>
    </w:p>
    <w:p w:rsidR="00884AFB" w:rsidRDefault="00457F90" w:rsidP="00457F90">
      <w:pPr>
        <w:pStyle w:val="BriefL3"/>
        <w:numPr>
          <w:ilvl w:val="0"/>
          <w:numId w:val="0"/>
        </w:numPr>
        <w:spacing w:after="0" w:line="360" w:lineRule="auto"/>
        <w:ind w:left="2160" w:hanging="720"/>
        <w:rPr>
          <w:b/>
          <w:szCs w:val="24"/>
        </w:rPr>
      </w:pPr>
      <w:r>
        <w:rPr>
          <w:b/>
          <w:szCs w:val="24"/>
        </w:rPr>
        <w:t>b</w:t>
      </w:r>
      <w:r w:rsidR="00884AFB">
        <w:rPr>
          <w:b/>
          <w:szCs w:val="24"/>
        </w:rPr>
        <w:t>.</w:t>
      </w:r>
      <w:r w:rsidR="00884AFB">
        <w:rPr>
          <w:b/>
          <w:szCs w:val="24"/>
        </w:rPr>
        <w:tab/>
        <w:t>OCA’s Position</w:t>
      </w:r>
    </w:p>
    <w:p w:rsidR="00297E8C" w:rsidRDefault="00297E8C" w:rsidP="00457F90">
      <w:pPr>
        <w:pStyle w:val="BodyText"/>
        <w:spacing w:after="0" w:line="360" w:lineRule="auto"/>
        <w:ind w:left="360" w:firstLine="0"/>
        <w:rPr>
          <w:szCs w:val="24"/>
          <w:lang w:val="en-US"/>
        </w:rPr>
      </w:pPr>
    </w:p>
    <w:p w:rsidR="00297E8C" w:rsidRDefault="00297E8C" w:rsidP="00457F90">
      <w:pPr>
        <w:pStyle w:val="BodyText2"/>
        <w:spacing w:after="0" w:line="360" w:lineRule="auto"/>
        <w:ind w:left="1080"/>
      </w:pPr>
      <w:r>
        <w:rPr>
          <w:lang w:val="en-US"/>
        </w:rPr>
        <w:tab/>
      </w:r>
      <w:r>
        <w:t>OCA takes no position on this issue.</w:t>
      </w:r>
    </w:p>
    <w:p w:rsidR="00297E8C" w:rsidRDefault="00297E8C" w:rsidP="00457F90">
      <w:pPr>
        <w:pStyle w:val="BodyText"/>
        <w:spacing w:after="0" w:line="360" w:lineRule="auto"/>
        <w:ind w:left="360" w:firstLine="0"/>
        <w:rPr>
          <w:szCs w:val="24"/>
          <w:lang w:val="en-US"/>
        </w:rPr>
      </w:pPr>
    </w:p>
    <w:p w:rsidR="00884AFB" w:rsidRDefault="0084672B" w:rsidP="00481787">
      <w:pPr>
        <w:autoSpaceDE/>
        <w:autoSpaceDN/>
        <w:rPr>
          <w:b/>
        </w:rPr>
      </w:pPr>
      <w:r>
        <w:rPr>
          <w:b/>
        </w:rPr>
        <w:br w:type="page"/>
      </w:r>
      <w:r w:rsidR="00836054">
        <w:rPr>
          <w:b/>
        </w:rPr>
        <w:lastRenderedPageBreak/>
        <w:tab/>
      </w:r>
      <w:r w:rsidR="00836054">
        <w:rPr>
          <w:b/>
        </w:rPr>
        <w:tab/>
      </w:r>
      <w:r w:rsidR="00457F90">
        <w:rPr>
          <w:b/>
        </w:rPr>
        <w:t>c</w:t>
      </w:r>
      <w:r w:rsidR="00884AFB">
        <w:rPr>
          <w:b/>
        </w:rPr>
        <w:t>.</w:t>
      </w:r>
      <w:r w:rsidR="00884AFB">
        <w:rPr>
          <w:b/>
        </w:rPr>
        <w:tab/>
        <w:t>RESA’s Position</w:t>
      </w:r>
    </w:p>
    <w:p w:rsidR="001F1EAA" w:rsidRDefault="001F1EAA" w:rsidP="00457F90">
      <w:pPr>
        <w:pStyle w:val="ListParagraph"/>
        <w:autoSpaceDE/>
        <w:autoSpaceDN/>
        <w:spacing w:line="360" w:lineRule="auto"/>
        <w:ind w:left="0"/>
      </w:pPr>
    </w:p>
    <w:p w:rsidR="00E90FC9" w:rsidRDefault="00E90FC9" w:rsidP="00457F90">
      <w:pPr>
        <w:pStyle w:val="ListParagraph"/>
        <w:autoSpaceDE/>
        <w:autoSpaceDN/>
        <w:spacing w:line="360" w:lineRule="auto"/>
        <w:ind w:left="0"/>
      </w:pPr>
      <w:r>
        <w:tab/>
      </w:r>
      <w:r>
        <w:tab/>
        <w:t xml:space="preserve">RESA recommends </w:t>
      </w:r>
      <w:r w:rsidR="00A102E6">
        <w:t>the Commission direct</w:t>
      </w:r>
      <w:r>
        <w:t xml:space="preserve"> Duquesne to modify its proposed portfolio to </w:t>
      </w:r>
      <w:r w:rsidR="00A102E6">
        <w:t>mirror</w:t>
      </w:r>
      <w:r>
        <w:t xml:space="preserve"> its portfolio for residential customers:  50% 12-month contracts, 50% quarterly contracts, with the PTC being adjusted quarterly.</w:t>
      </w:r>
      <w:r>
        <w:rPr>
          <w:rStyle w:val="FootnoteReference"/>
        </w:rPr>
        <w:footnoteReference w:id="46"/>
      </w:r>
      <w:r>
        <w:t xml:space="preserve">  </w:t>
      </w:r>
      <w:r w:rsidR="00A102E6">
        <w:t>RESA believes this adjustment</w:t>
      </w:r>
      <w:r>
        <w:t xml:space="preserve"> makes sense </w:t>
      </w:r>
      <w:r w:rsidR="00A102E6">
        <w:t>because,</w:t>
      </w:r>
      <w:r>
        <w:t xml:space="preserve"> as of May 2012, a large number of Duquesne’s </w:t>
      </w:r>
      <w:r w:rsidR="00F11A5B">
        <w:t>S</w:t>
      </w:r>
      <w:r>
        <w:t>mall C&amp;I customers have taken advantage of those opportunities</w:t>
      </w:r>
      <w:r w:rsidR="00A102E6">
        <w:t xml:space="preserve"> and, in fact, </w:t>
      </w:r>
      <w:r>
        <w:t xml:space="preserve">30.4% of Duquesne’s </w:t>
      </w:r>
      <w:r w:rsidR="00F11A5B">
        <w:t>S</w:t>
      </w:r>
      <w:r>
        <w:t xml:space="preserve">mall C&amp;I customers, </w:t>
      </w:r>
      <w:r w:rsidR="00A102E6">
        <w:t>(</w:t>
      </w:r>
      <w:r>
        <w:t>representing 39% of the load</w:t>
      </w:r>
      <w:r w:rsidR="00A102E6">
        <w:t>) have</w:t>
      </w:r>
      <w:r>
        <w:t xml:space="preserve"> switched to alternative suppliers</w:t>
      </w:r>
      <w:r>
        <w:rPr>
          <w:rStyle w:val="FootnoteReference"/>
        </w:rPr>
        <w:footnoteReference w:id="47"/>
      </w:r>
      <w:r w:rsidR="00A102E6">
        <w:t xml:space="preserve"> and</w:t>
      </w:r>
      <w:r>
        <w:t xml:space="preserve"> 46 EGSs actively serv</w:t>
      </w:r>
      <w:r w:rsidR="00A102E6">
        <w:t>e</w:t>
      </w:r>
      <w:r>
        <w:t xml:space="preserve"> load in Duquesne’s service territory.</w:t>
      </w:r>
      <w:r>
        <w:rPr>
          <w:rStyle w:val="FootnoteReference"/>
        </w:rPr>
        <w:footnoteReference w:id="48"/>
      </w:r>
      <w:r>
        <w:t xml:space="preserve">  </w:t>
      </w:r>
    </w:p>
    <w:p w:rsidR="00E90FC9" w:rsidRPr="00E90FC9" w:rsidRDefault="00E90FC9" w:rsidP="00457F90">
      <w:pPr>
        <w:pStyle w:val="BodyText2"/>
        <w:spacing w:after="0" w:line="360" w:lineRule="auto"/>
        <w:rPr>
          <w:lang w:val="en-US"/>
        </w:rPr>
      </w:pPr>
    </w:p>
    <w:p w:rsidR="00E90FC9" w:rsidRDefault="00E90FC9" w:rsidP="00457F90">
      <w:pPr>
        <w:pStyle w:val="BodyText2"/>
        <w:spacing w:after="0" w:line="360" w:lineRule="auto"/>
      </w:pPr>
      <w:r>
        <w:rPr>
          <w:lang w:val="en-US"/>
        </w:rPr>
        <w:tab/>
      </w:r>
      <w:r>
        <w:rPr>
          <w:lang w:val="en-US"/>
        </w:rPr>
        <w:tab/>
        <w:t>RESA insists its</w:t>
      </w:r>
      <w:r>
        <w:t xml:space="preserve"> recommendations are designed to enhance the market responsiveness of the underlying supply mix</w:t>
      </w:r>
      <w:r w:rsidR="00A102E6">
        <w:rPr>
          <w:lang w:val="en-US"/>
        </w:rPr>
        <w:t>,</w:t>
      </w:r>
      <w:r>
        <w:t xml:space="preserve"> which better supports sustainable retail competition and ultimately benefits consumers.  </w:t>
      </w:r>
      <w:r w:rsidR="00A102E6">
        <w:rPr>
          <w:lang w:val="en-US"/>
        </w:rPr>
        <w:t>RESA argues a</w:t>
      </w:r>
      <w:r>
        <w:t xml:space="preserve"> robust, sustainable retail model is the </w:t>
      </w:r>
      <w:r w:rsidRPr="00A102E6">
        <w:rPr>
          <w:u w:val="single"/>
        </w:rPr>
        <w:t>sole</w:t>
      </w:r>
      <w:r>
        <w:t xml:space="preserve"> mechanism </w:t>
      </w:r>
      <w:r w:rsidR="00A102E6">
        <w:rPr>
          <w:lang w:val="en-US"/>
        </w:rPr>
        <w:t>to</w:t>
      </w:r>
      <w:r>
        <w:t xml:space="preserve"> ensure all customers are afforded the opportunity to determine which electricity product and pricing a</w:t>
      </w:r>
      <w:r w:rsidR="00A102E6">
        <w:t xml:space="preserve">ttributes are most important </w:t>
      </w:r>
      <w:r>
        <w:t>and make purchasing decisions based on those personal determinations.  RESA</w:t>
      </w:r>
      <w:r w:rsidR="00A102E6">
        <w:rPr>
          <w:lang w:val="en-US"/>
        </w:rPr>
        <w:t xml:space="preserve"> contends it</w:t>
      </w:r>
      <w:r>
        <w:t xml:space="preserve">s </w:t>
      </w:r>
      <w:r w:rsidR="0070581D">
        <w:rPr>
          <w:lang w:val="en-US"/>
        </w:rPr>
        <w:t>S</w:t>
      </w:r>
      <w:r>
        <w:t>mall C&amp;I proposal offers sufficient rate stability.  To the extent consumers want pricing that offers more “stability” than the default service price, they will be able to choose the products that provide the level of stability that best meet</w:t>
      </w:r>
      <w:r w:rsidR="00A102E6">
        <w:rPr>
          <w:lang w:val="en-US"/>
        </w:rPr>
        <w:t>s</w:t>
      </w:r>
      <w:r>
        <w:t xml:space="preserve"> individual needs in a more robust sustainable competitive retail electricity market.</w:t>
      </w:r>
      <w:r>
        <w:rPr>
          <w:rStyle w:val="FootnoteReference"/>
        </w:rPr>
        <w:footnoteReference w:id="49"/>
      </w:r>
      <w:r w:rsidR="00457F90">
        <w:rPr>
          <w:lang w:val="en-US"/>
        </w:rPr>
        <w:t xml:space="preserve">  </w:t>
      </w:r>
      <w:r>
        <w:t>RESA requests the Commission direct Duquesne to utilize lag times of no more than 60 days between the RFP date and the date of delivery of each contract.</w:t>
      </w:r>
    </w:p>
    <w:p w:rsidR="009A564A" w:rsidRDefault="009A564A" w:rsidP="00457F90">
      <w:pPr>
        <w:pStyle w:val="ListParagraph"/>
        <w:autoSpaceDE/>
        <w:autoSpaceDN/>
        <w:spacing w:line="360" w:lineRule="auto"/>
        <w:ind w:left="0"/>
      </w:pPr>
    </w:p>
    <w:p w:rsidR="006D4D99" w:rsidRDefault="00457F90" w:rsidP="00457F90">
      <w:pPr>
        <w:pStyle w:val="BriefL3"/>
        <w:numPr>
          <w:ilvl w:val="0"/>
          <w:numId w:val="0"/>
        </w:numPr>
        <w:spacing w:after="0" w:line="360" w:lineRule="auto"/>
        <w:ind w:left="720" w:firstLine="720"/>
        <w:rPr>
          <w:b/>
          <w:szCs w:val="24"/>
        </w:rPr>
      </w:pPr>
      <w:r>
        <w:rPr>
          <w:b/>
          <w:szCs w:val="24"/>
        </w:rPr>
        <w:t>d</w:t>
      </w:r>
      <w:r w:rsidR="006D4D99">
        <w:rPr>
          <w:b/>
          <w:szCs w:val="24"/>
        </w:rPr>
        <w:t>.</w:t>
      </w:r>
      <w:r w:rsidR="006D4D99">
        <w:rPr>
          <w:b/>
          <w:szCs w:val="24"/>
        </w:rPr>
        <w:tab/>
        <w:t>OSBA’s Position</w:t>
      </w:r>
    </w:p>
    <w:p w:rsidR="006D4D99" w:rsidRDefault="006D4D99" w:rsidP="00457F90">
      <w:pPr>
        <w:pStyle w:val="BodyText"/>
        <w:spacing w:after="0" w:line="360" w:lineRule="auto"/>
        <w:ind w:left="0" w:firstLine="0"/>
        <w:rPr>
          <w:szCs w:val="24"/>
          <w:lang w:val="en-US"/>
        </w:rPr>
      </w:pPr>
    </w:p>
    <w:p w:rsidR="009A3008" w:rsidRPr="00FE6D66" w:rsidRDefault="009A3008" w:rsidP="00457F90">
      <w:pPr>
        <w:pStyle w:val="BodyText2"/>
        <w:spacing w:after="0" w:line="360" w:lineRule="auto"/>
      </w:pPr>
      <w:r>
        <w:rPr>
          <w:lang w:val="en-US"/>
        </w:rPr>
        <w:tab/>
      </w:r>
      <w:r>
        <w:rPr>
          <w:lang w:val="en-US"/>
        </w:rPr>
        <w:tab/>
      </w:r>
      <w:r>
        <w:t xml:space="preserve">OSBA agrees with the Company’s proposed procurement strategy for the Small C&amp;I procurement group because it continues to provide reasonable price stability for Small C&amp;I </w:t>
      </w:r>
      <w:r>
        <w:lastRenderedPageBreak/>
        <w:t>default service customers.  The Small C&amp;I procurement group would continue to include all customers with peak demands of less than 25 kW taking service on Duquesne’s Rate GS/GM – General Service Small and Medium or Rate GMH – General Service Heating rate schedules.</w:t>
      </w:r>
      <w:r>
        <w:rPr>
          <w:rStyle w:val="FootnoteReference"/>
        </w:rPr>
        <w:footnoteReference w:id="50"/>
      </w:r>
    </w:p>
    <w:p w:rsidR="006D4D99" w:rsidRDefault="006D4D99" w:rsidP="00457F90">
      <w:pPr>
        <w:pStyle w:val="BodyText"/>
        <w:spacing w:after="0" w:line="360" w:lineRule="auto"/>
        <w:ind w:left="0" w:firstLine="0"/>
        <w:rPr>
          <w:szCs w:val="24"/>
          <w:lang w:val="en-US"/>
        </w:rPr>
      </w:pPr>
    </w:p>
    <w:p w:rsidR="009A3008" w:rsidRDefault="009A3008" w:rsidP="00457F90">
      <w:pPr>
        <w:pStyle w:val="BodyText2"/>
        <w:spacing w:after="0" w:line="360" w:lineRule="auto"/>
        <w:ind w:firstLine="1440"/>
      </w:pPr>
      <w:r>
        <w:rPr>
          <w:lang w:val="en-US"/>
        </w:rPr>
        <w:t xml:space="preserve">OSBA notes that </w:t>
      </w:r>
      <w:r>
        <w:t>Duquesne recognizes the need to provide Small C&amp;I customers “some level of rate stability moving from one default service plan to another.”</w:t>
      </w:r>
      <w:r>
        <w:rPr>
          <w:rStyle w:val="FootnoteReference"/>
        </w:rPr>
        <w:footnoteReference w:id="51"/>
      </w:r>
      <w:r>
        <w:t xml:space="preserve">  Laddering the Small C&amp;I procurement contracts will limit the turnover in default service supply to 50% (of the total</w:t>
      </w:r>
      <w:r w:rsidR="00457F90">
        <w:t xml:space="preserve"> supply) at each procurement.  </w:t>
      </w:r>
      <w:r>
        <w:t>OSBA continues to believe that price stability should remain an important consideration in the design of a default service procurement plan, and OSBA believes that Duquesne’s proposed approach should result in reasonable price stability for Small C&amp;I default service customers over the 2013-2015 default service period.</w:t>
      </w:r>
    </w:p>
    <w:p w:rsidR="009A3008" w:rsidRDefault="009A3008" w:rsidP="00457F90">
      <w:pPr>
        <w:pStyle w:val="BodyText"/>
        <w:spacing w:after="0" w:line="360" w:lineRule="auto"/>
        <w:ind w:left="0" w:firstLine="0"/>
        <w:rPr>
          <w:szCs w:val="24"/>
          <w:lang w:val="en-US"/>
        </w:rPr>
      </w:pPr>
    </w:p>
    <w:p w:rsidR="006D4D99" w:rsidRDefault="00457F90" w:rsidP="00457F90">
      <w:pPr>
        <w:pStyle w:val="BriefL3"/>
        <w:numPr>
          <w:ilvl w:val="0"/>
          <w:numId w:val="0"/>
        </w:numPr>
        <w:spacing w:after="0" w:line="360" w:lineRule="auto"/>
        <w:ind w:left="720" w:firstLine="720"/>
        <w:rPr>
          <w:b/>
          <w:szCs w:val="24"/>
        </w:rPr>
      </w:pPr>
      <w:r>
        <w:rPr>
          <w:b/>
          <w:szCs w:val="24"/>
        </w:rPr>
        <w:t>e</w:t>
      </w:r>
      <w:r w:rsidR="006D4D99">
        <w:rPr>
          <w:b/>
          <w:szCs w:val="24"/>
        </w:rPr>
        <w:t>.</w:t>
      </w:r>
      <w:r w:rsidR="006D4D99">
        <w:rPr>
          <w:b/>
          <w:szCs w:val="24"/>
        </w:rPr>
        <w:tab/>
        <w:t>CAUSE’s Position</w:t>
      </w:r>
    </w:p>
    <w:p w:rsidR="006D4D99" w:rsidRDefault="006D4D99" w:rsidP="00457F90">
      <w:pPr>
        <w:pStyle w:val="BodyText"/>
        <w:spacing w:after="0" w:line="360" w:lineRule="auto"/>
        <w:ind w:left="0" w:firstLine="0"/>
        <w:rPr>
          <w:szCs w:val="24"/>
          <w:lang w:val="en-US"/>
        </w:rPr>
      </w:pPr>
    </w:p>
    <w:p w:rsidR="006D4D99" w:rsidRDefault="006D4D99" w:rsidP="00457F90">
      <w:pPr>
        <w:pStyle w:val="BodyText2"/>
        <w:spacing w:after="0" w:line="360" w:lineRule="auto"/>
      </w:pPr>
      <w:r>
        <w:rPr>
          <w:lang w:val="en-US"/>
        </w:rPr>
        <w:tab/>
      </w:r>
      <w:r w:rsidR="001E19B7">
        <w:rPr>
          <w:lang w:val="en-US"/>
        </w:rPr>
        <w:tab/>
      </w:r>
      <w:r>
        <w:rPr>
          <w:lang w:val="en-US"/>
        </w:rPr>
        <w:t>CAUSE</w:t>
      </w:r>
      <w:r>
        <w:t xml:space="preserve"> takes no position on this issue.</w:t>
      </w:r>
    </w:p>
    <w:p w:rsidR="006D4D99" w:rsidRDefault="006D4D99" w:rsidP="00457F90">
      <w:pPr>
        <w:pStyle w:val="BriefL3"/>
        <w:numPr>
          <w:ilvl w:val="0"/>
          <w:numId w:val="0"/>
        </w:numPr>
        <w:spacing w:after="0" w:line="360" w:lineRule="auto"/>
        <w:rPr>
          <w:b/>
          <w:szCs w:val="24"/>
        </w:rPr>
      </w:pPr>
    </w:p>
    <w:p w:rsidR="006D4D99" w:rsidRDefault="00457F90" w:rsidP="00457F90">
      <w:pPr>
        <w:pStyle w:val="BriefL3"/>
        <w:numPr>
          <w:ilvl w:val="0"/>
          <w:numId w:val="0"/>
        </w:numPr>
        <w:spacing w:after="0" w:line="360" w:lineRule="auto"/>
        <w:ind w:left="720" w:firstLine="720"/>
        <w:rPr>
          <w:b/>
          <w:szCs w:val="24"/>
        </w:rPr>
      </w:pPr>
      <w:r>
        <w:rPr>
          <w:b/>
          <w:szCs w:val="24"/>
        </w:rPr>
        <w:t>f</w:t>
      </w:r>
      <w:r w:rsidR="006D4D99">
        <w:rPr>
          <w:b/>
          <w:szCs w:val="24"/>
        </w:rPr>
        <w:t>.</w:t>
      </w:r>
      <w:r w:rsidR="006D4D99">
        <w:rPr>
          <w:b/>
          <w:szCs w:val="24"/>
        </w:rPr>
        <w:tab/>
        <w:t>Citizen Power’s Position</w:t>
      </w:r>
    </w:p>
    <w:p w:rsidR="006D4D99" w:rsidRDefault="006D4D99" w:rsidP="00457F90">
      <w:pPr>
        <w:pStyle w:val="BodyText"/>
        <w:spacing w:after="0" w:line="360" w:lineRule="auto"/>
        <w:ind w:left="0" w:firstLine="0"/>
        <w:rPr>
          <w:szCs w:val="24"/>
          <w:lang w:val="en-US"/>
        </w:rPr>
      </w:pPr>
    </w:p>
    <w:p w:rsidR="006D4D99" w:rsidRDefault="006D4D99" w:rsidP="00457F90">
      <w:pPr>
        <w:pStyle w:val="BodyText2"/>
        <w:spacing w:after="0" w:line="360" w:lineRule="auto"/>
      </w:pPr>
      <w:r>
        <w:rPr>
          <w:lang w:val="en-US"/>
        </w:rPr>
        <w:tab/>
      </w:r>
      <w:r w:rsidR="0023749B">
        <w:rPr>
          <w:lang w:val="en-US"/>
        </w:rPr>
        <w:tab/>
      </w:r>
      <w:r>
        <w:rPr>
          <w:lang w:val="en-US"/>
        </w:rPr>
        <w:t>Citizen Power</w:t>
      </w:r>
      <w:r>
        <w:t xml:space="preserve"> takes no position on this issue.</w:t>
      </w:r>
    </w:p>
    <w:p w:rsidR="006D4D99" w:rsidRDefault="006D4D99" w:rsidP="00457F90">
      <w:pPr>
        <w:pStyle w:val="BodyText"/>
        <w:spacing w:after="0" w:line="360" w:lineRule="auto"/>
        <w:ind w:left="0" w:firstLine="0"/>
        <w:rPr>
          <w:szCs w:val="24"/>
          <w:lang w:val="en-US"/>
        </w:rPr>
      </w:pPr>
    </w:p>
    <w:p w:rsidR="006D4D99" w:rsidRDefault="00457F90" w:rsidP="00457F90">
      <w:pPr>
        <w:pStyle w:val="BriefL3"/>
        <w:numPr>
          <w:ilvl w:val="0"/>
          <w:numId w:val="0"/>
        </w:numPr>
        <w:spacing w:after="0" w:line="360" w:lineRule="auto"/>
        <w:ind w:left="720" w:firstLine="720"/>
        <w:rPr>
          <w:b/>
          <w:szCs w:val="24"/>
        </w:rPr>
      </w:pPr>
      <w:r>
        <w:rPr>
          <w:b/>
          <w:szCs w:val="24"/>
        </w:rPr>
        <w:t>g</w:t>
      </w:r>
      <w:r w:rsidR="006D4D99">
        <w:rPr>
          <w:b/>
          <w:szCs w:val="24"/>
        </w:rPr>
        <w:t>.</w:t>
      </w:r>
      <w:r w:rsidR="006D4D99">
        <w:rPr>
          <w:b/>
          <w:szCs w:val="24"/>
        </w:rPr>
        <w:tab/>
        <w:t>Duquesne Industrial Intervenors’ Position</w:t>
      </w:r>
    </w:p>
    <w:p w:rsidR="006D4D99" w:rsidRDefault="006D4D99" w:rsidP="00457F90">
      <w:pPr>
        <w:pStyle w:val="BodyText"/>
        <w:spacing w:after="0" w:line="360" w:lineRule="auto"/>
        <w:ind w:left="0" w:firstLine="0"/>
        <w:rPr>
          <w:szCs w:val="24"/>
          <w:lang w:val="en-US"/>
        </w:rPr>
      </w:pPr>
    </w:p>
    <w:p w:rsidR="006D4D99" w:rsidRDefault="006D4D99" w:rsidP="00457F90">
      <w:pPr>
        <w:pStyle w:val="BodyText2"/>
        <w:spacing w:after="0" w:line="360" w:lineRule="auto"/>
      </w:pPr>
      <w:r>
        <w:rPr>
          <w:lang w:val="en-US"/>
        </w:rPr>
        <w:tab/>
      </w:r>
      <w:r w:rsidR="0023749B">
        <w:rPr>
          <w:lang w:val="en-US"/>
        </w:rPr>
        <w:tab/>
      </w:r>
      <w:r>
        <w:rPr>
          <w:lang w:val="en-US"/>
        </w:rPr>
        <w:t>DII</w:t>
      </w:r>
      <w:r>
        <w:t xml:space="preserve"> takes no position on this issue.</w:t>
      </w:r>
    </w:p>
    <w:p w:rsidR="006D4D99" w:rsidRDefault="006D4D99" w:rsidP="00457F90">
      <w:pPr>
        <w:pStyle w:val="BodyText"/>
        <w:spacing w:after="0" w:line="360" w:lineRule="auto"/>
        <w:ind w:left="0" w:firstLine="0"/>
        <w:rPr>
          <w:szCs w:val="24"/>
          <w:lang w:val="en-US"/>
        </w:rPr>
      </w:pPr>
    </w:p>
    <w:p w:rsidR="006D4D99" w:rsidRDefault="00457F90" w:rsidP="00457F90">
      <w:pPr>
        <w:pStyle w:val="BriefL3"/>
        <w:numPr>
          <w:ilvl w:val="0"/>
          <w:numId w:val="0"/>
        </w:numPr>
        <w:spacing w:after="0" w:line="360" w:lineRule="auto"/>
        <w:ind w:left="720" w:firstLine="720"/>
        <w:rPr>
          <w:b/>
          <w:szCs w:val="24"/>
        </w:rPr>
      </w:pPr>
      <w:r>
        <w:rPr>
          <w:b/>
          <w:szCs w:val="24"/>
        </w:rPr>
        <w:t>h</w:t>
      </w:r>
      <w:r w:rsidR="006D4D99">
        <w:rPr>
          <w:b/>
          <w:szCs w:val="24"/>
        </w:rPr>
        <w:t>.</w:t>
      </w:r>
      <w:r w:rsidR="006D4D99">
        <w:rPr>
          <w:b/>
          <w:szCs w:val="24"/>
        </w:rPr>
        <w:tab/>
        <w:t>EGS Parties’ Position</w:t>
      </w:r>
    </w:p>
    <w:p w:rsidR="006D4D99" w:rsidRDefault="006D4D99" w:rsidP="00457F90">
      <w:pPr>
        <w:pStyle w:val="BodyText"/>
        <w:spacing w:after="0" w:line="360" w:lineRule="auto"/>
        <w:ind w:left="0" w:firstLine="0"/>
        <w:rPr>
          <w:szCs w:val="24"/>
          <w:lang w:val="en-US"/>
        </w:rPr>
      </w:pPr>
    </w:p>
    <w:p w:rsidR="006D4D99" w:rsidRDefault="006D4D99" w:rsidP="00457F90">
      <w:pPr>
        <w:pStyle w:val="BodyText2"/>
        <w:spacing w:after="0" w:line="360" w:lineRule="auto"/>
      </w:pPr>
      <w:r>
        <w:rPr>
          <w:lang w:val="en-US"/>
        </w:rPr>
        <w:tab/>
      </w:r>
      <w:r w:rsidR="0023749B">
        <w:rPr>
          <w:lang w:val="en-US"/>
        </w:rPr>
        <w:tab/>
      </w:r>
      <w:r>
        <w:rPr>
          <w:lang w:val="en-US"/>
        </w:rPr>
        <w:t>EGS Parties take</w:t>
      </w:r>
      <w:r>
        <w:t xml:space="preserve"> no position on this issue.</w:t>
      </w:r>
    </w:p>
    <w:p w:rsidR="006D4D99" w:rsidRDefault="006D4D99" w:rsidP="00457F90">
      <w:pPr>
        <w:pStyle w:val="BodyText"/>
        <w:spacing w:after="0" w:line="360" w:lineRule="auto"/>
        <w:ind w:left="0" w:firstLine="0"/>
        <w:rPr>
          <w:szCs w:val="24"/>
          <w:lang w:val="en-US"/>
        </w:rPr>
      </w:pPr>
    </w:p>
    <w:p w:rsidR="006D4D99" w:rsidRDefault="00457F90" w:rsidP="00457F90">
      <w:pPr>
        <w:pStyle w:val="BriefL3"/>
        <w:numPr>
          <w:ilvl w:val="0"/>
          <w:numId w:val="0"/>
        </w:numPr>
        <w:spacing w:after="0" w:line="360" w:lineRule="auto"/>
        <w:ind w:left="720" w:firstLine="720"/>
        <w:rPr>
          <w:b/>
          <w:szCs w:val="24"/>
        </w:rPr>
      </w:pPr>
      <w:r>
        <w:rPr>
          <w:b/>
          <w:szCs w:val="24"/>
        </w:rPr>
        <w:lastRenderedPageBreak/>
        <w:t>i</w:t>
      </w:r>
      <w:r w:rsidR="006D4D99">
        <w:rPr>
          <w:b/>
          <w:szCs w:val="24"/>
        </w:rPr>
        <w:t>.</w:t>
      </w:r>
      <w:r w:rsidR="006D4D99">
        <w:rPr>
          <w:b/>
          <w:szCs w:val="24"/>
        </w:rPr>
        <w:tab/>
        <w:t>FirstEnergy Solutions’ Position</w:t>
      </w:r>
    </w:p>
    <w:p w:rsidR="006D4D99" w:rsidRDefault="006D4D99" w:rsidP="00457F90">
      <w:pPr>
        <w:pStyle w:val="BodyText"/>
        <w:spacing w:after="0" w:line="360" w:lineRule="auto"/>
        <w:ind w:left="0" w:firstLine="0"/>
        <w:rPr>
          <w:szCs w:val="24"/>
          <w:lang w:val="en-US"/>
        </w:rPr>
      </w:pPr>
    </w:p>
    <w:p w:rsidR="007E5B4B" w:rsidRDefault="007E5B4B" w:rsidP="00457F90">
      <w:pPr>
        <w:pStyle w:val="BodyTextFirstLine5DS"/>
        <w:spacing w:line="360" w:lineRule="auto"/>
        <w:jc w:val="left"/>
      </w:pPr>
      <w:r>
        <w:tab/>
        <w:t xml:space="preserve">FES argues the Commission should reject RESA's recommended portfolio for Small C&amp;I customers for the same reasons as its recommended portfolio for Residential customers.  </w:t>
      </w:r>
    </w:p>
    <w:p w:rsidR="00457F90" w:rsidRDefault="00457F90" w:rsidP="00457F90">
      <w:pPr>
        <w:pStyle w:val="BodyTextFirstLine5DS"/>
        <w:spacing w:line="360" w:lineRule="auto"/>
        <w:jc w:val="left"/>
      </w:pPr>
    </w:p>
    <w:p w:rsidR="007E5B4B" w:rsidRDefault="007E5B4B" w:rsidP="00457F90">
      <w:pPr>
        <w:pStyle w:val="BodyTextFirstLine5DS"/>
        <w:spacing w:line="360" w:lineRule="auto"/>
        <w:jc w:val="left"/>
      </w:pPr>
      <w:r>
        <w:tab/>
        <w:t>While RESA's proposed quarterly changes in default service rates is the maximum frequency allowed for Small C&amp;I customers under Act 129, 66 Pa. C.S. § 2807(e)(7), 70% of Small C&amp;I customers were still on default service as of May 2012.  See FES Ex. TCB-4 (Duquesne Light Response to RESA-I-2).  RESA's proposal would impose the RMI End-State Proposal for Small C&amp;I customers as set forth in the Commission's September 27, 2012 Secretarial Letter, without the benefits of the transition period consumer education.  The evidence demonstrates that price stability is no bar to shopping, as Small C&amp;I customer switching increased from 21% to 30% over the course of Duquesne Light's POLR V program.  FES Ex. TCB-4 (Duquesne Light Response to RESA-I-2).  Accordingly, RESA's recommended default supply contract portfolio should be rejected.</w:t>
      </w:r>
    </w:p>
    <w:p w:rsidR="006D4D99" w:rsidRDefault="006D4D99" w:rsidP="00457F90">
      <w:pPr>
        <w:pStyle w:val="BodyText"/>
        <w:spacing w:after="0" w:line="360" w:lineRule="auto"/>
        <w:ind w:left="0" w:firstLine="0"/>
        <w:rPr>
          <w:szCs w:val="24"/>
          <w:lang w:val="en-US"/>
        </w:rPr>
      </w:pPr>
    </w:p>
    <w:p w:rsidR="006D4D99" w:rsidRDefault="00457F90" w:rsidP="00457F90">
      <w:pPr>
        <w:pStyle w:val="BriefL3"/>
        <w:numPr>
          <w:ilvl w:val="0"/>
          <w:numId w:val="0"/>
        </w:numPr>
        <w:spacing w:after="0" w:line="360" w:lineRule="auto"/>
        <w:ind w:left="720" w:firstLine="720"/>
        <w:rPr>
          <w:b/>
          <w:szCs w:val="24"/>
        </w:rPr>
      </w:pPr>
      <w:r>
        <w:rPr>
          <w:b/>
          <w:szCs w:val="24"/>
        </w:rPr>
        <w:t>j</w:t>
      </w:r>
      <w:r w:rsidR="006D4D99">
        <w:rPr>
          <w:b/>
          <w:szCs w:val="24"/>
        </w:rPr>
        <w:t>.</w:t>
      </w:r>
      <w:r w:rsidR="006D4D99">
        <w:rPr>
          <w:b/>
          <w:szCs w:val="24"/>
        </w:rPr>
        <w:tab/>
        <w:t>Joint Suppliers’ Position</w:t>
      </w:r>
    </w:p>
    <w:p w:rsidR="006D4D99" w:rsidRDefault="006D4D99" w:rsidP="00457F90">
      <w:pPr>
        <w:pStyle w:val="BodyText"/>
        <w:spacing w:after="0" w:line="360" w:lineRule="auto"/>
        <w:ind w:left="0" w:firstLine="0"/>
        <w:rPr>
          <w:szCs w:val="24"/>
          <w:lang w:val="en-US"/>
        </w:rPr>
      </w:pPr>
    </w:p>
    <w:p w:rsidR="006D4D99" w:rsidRDefault="006D4D99" w:rsidP="00457F90">
      <w:pPr>
        <w:pStyle w:val="BodyText2"/>
        <w:spacing w:after="0" w:line="360" w:lineRule="auto"/>
        <w:rPr>
          <w:lang w:val="en-US"/>
        </w:rPr>
      </w:pPr>
      <w:r>
        <w:rPr>
          <w:lang w:val="en-US"/>
        </w:rPr>
        <w:tab/>
      </w:r>
      <w:r w:rsidR="007E5B4B">
        <w:rPr>
          <w:lang w:val="en-US"/>
        </w:rPr>
        <w:tab/>
      </w:r>
      <w:r>
        <w:rPr>
          <w:lang w:val="en-US"/>
        </w:rPr>
        <w:t>Joint Suppliers take</w:t>
      </w:r>
      <w:r>
        <w:t xml:space="preserve"> no position on this issue.</w:t>
      </w:r>
    </w:p>
    <w:p w:rsidR="003C38EE" w:rsidRPr="003C38EE" w:rsidRDefault="003C38EE" w:rsidP="00457F90">
      <w:pPr>
        <w:pStyle w:val="BodyText2"/>
        <w:spacing w:after="0" w:line="360" w:lineRule="auto"/>
        <w:rPr>
          <w:lang w:val="en-US"/>
        </w:rPr>
      </w:pPr>
    </w:p>
    <w:p w:rsidR="00DD6125" w:rsidRPr="00832033" w:rsidRDefault="00DD6125" w:rsidP="00457F90">
      <w:pPr>
        <w:pStyle w:val="ListParagraph"/>
        <w:autoSpaceDE/>
        <w:autoSpaceDN/>
        <w:spacing w:line="360" w:lineRule="auto"/>
        <w:ind w:left="360" w:hanging="360"/>
        <w:rPr>
          <w:b/>
        </w:rPr>
      </w:pPr>
      <w:r w:rsidRPr="00832033">
        <w:rPr>
          <w:b/>
        </w:rPr>
        <w:t>Disposition</w:t>
      </w:r>
      <w:r w:rsidR="003C38EE" w:rsidRPr="00832033">
        <w:rPr>
          <w:b/>
        </w:rPr>
        <w:t xml:space="preserve"> – Small C&amp;I Procurement</w:t>
      </w:r>
    </w:p>
    <w:p w:rsidR="00DD6125" w:rsidRDefault="00DD6125" w:rsidP="00457F90">
      <w:pPr>
        <w:pStyle w:val="BodyText"/>
        <w:spacing w:after="0" w:line="360" w:lineRule="auto"/>
        <w:ind w:left="360" w:hanging="360"/>
        <w:rPr>
          <w:szCs w:val="24"/>
          <w:lang w:val="en-US"/>
        </w:rPr>
      </w:pPr>
    </w:p>
    <w:p w:rsidR="00F30A69" w:rsidRDefault="00F30A69" w:rsidP="00832033">
      <w:pPr>
        <w:pStyle w:val="BodyText"/>
        <w:spacing w:after="0" w:line="360" w:lineRule="auto"/>
        <w:ind w:left="0" w:firstLine="0"/>
        <w:rPr>
          <w:szCs w:val="24"/>
          <w:lang w:val="en-US"/>
        </w:rPr>
      </w:pPr>
      <w:r>
        <w:rPr>
          <w:szCs w:val="24"/>
          <w:lang w:val="en-US"/>
        </w:rPr>
        <w:tab/>
      </w:r>
      <w:r>
        <w:rPr>
          <w:szCs w:val="24"/>
          <w:lang w:val="en-US"/>
        </w:rPr>
        <w:tab/>
        <w:t>I recommend approval of D</w:t>
      </w:r>
      <w:r w:rsidR="00832033">
        <w:rPr>
          <w:szCs w:val="24"/>
          <w:lang w:val="en-US"/>
        </w:rPr>
        <w:t>uquesne Light’s</w:t>
      </w:r>
      <w:r>
        <w:rPr>
          <w:szCs w:val="24"/>
          <w:lang w:val="en-US"/>
        </w:rPr>
        <w:t xml:space="preserve"> plan to ladder one-year contracts after one </w:t>
      </w:r>
      <w:r w:rsidR="003C38EE">
        <w:rPr>
          <w:szCs w:val="24"/>
          <w:lang w:val="en-US"/>
        </w:rPr>
        <w:t>six</w:t>
      </w:r>
      <w:r>
        <w:rPr>
          <w:szCs w:val="24"/>
          <w:lang w:val="en-US"/>
        </w:rPr>
        <w:t xml:space="preserve">-month contract for the reasons </w:t>
      </w:r>
      <w:r w:rsidR="00832033">
        <w:rPr>
          <w:szCs w:val="24"/>
          <w:lang w:val="en-US"/>
        </w:rPr>
        <w:t>suggested</w:t>
      </w:r>
      <w:r>
        <w:rPr>
          <w:szCs w:val="24"/>
          <w:lang w:val="en-US"/>
        </w:rPr>
        <w:t xml:space="preserve"> by D</w:t>
      </w:r>
      <w:r w:rsidR="00832033">
        <w:rPr>
          <w:szCs w:val="24"/>
          <w:lang w:val="en-US"/>
        </w:rPr>
        <w:t>uquesne Light</w:t>
      </w:r>
      <w:r>
        <w:rPr>
          <w:szCs w:val="24"/>
          <w:lang w:val="en-US"/>
        </w:rPr>
        <w:t xml:space="preserve">.  </w:t>
      </w:r>
      <w:r w:rsidR="00832033">
        <w:rPr>
          <w:szCs w:val="24"/>
          <w:lang w:val="en-US"/>
        </w:rPr>
        <w:t xml:space="preserve">The Company’s </w:t>
      </w:r>
      <w:r>
        <w:rPr>
          <w:szCs w:val="24"/>
          <w:lang w:val="en-US"/>
        </w:rPr>
        <w:t xml:space="preserve">plan will provide price stability while moving </w:t>
      </w:r>
      <w:r w:rsidR="00832033">
        <w:rPr>
          <w:szCs w:val="24"/>
          <w:lang w:val="en-US"/>
        </w:rPr>
        <w:t xml:space="preserve">this load </w:t>
      </w:r>
      <w:r>
        <w:rPr>
          <w:szCs w:val="24"/>
          <w:lang w:val="en-US"/>
        </w:rPr>
        <w:t>towards greater market responsiv</w:t>
      </w:r>
      <w:r w:rsidR="00832033">
        <w:rPr>
          <w:szCs w:val="24"/>
          <w:lang w:val="en-US"/>
        </w:rPr>
        <w:t>eness</w:t>
      </w:r>
      <w:r>
        <w:rPr>
          <w:szCs w:val="24"/>
          <w:lang w:val="en-US"/>
        </w:rPr>
        <w:t>.</w:t>
      </w:r>
    </w:p>
    <w:p w:rsidR="00944247" w:rsidRDefault="00944247" w:rsidP="00832033">
      <w:pPr>
        <w:pStyle w:val="BodyText"/>
        <w:spacing w:after="0" w:line="360" w:lineRule="auto"/>
        <w:ind w:left="360" w:hanging="360"/>
        <w:rPr>
          <w:szCs w:val="24"/>
          <w:lang w:val="en-US"/>
        </w:rPr>
      </w:pPr>
    </w:p>
    <w:p w:rsidR="0084672B" w:rsidRDefault="0084672B">
      <w:pPr>
        <w:autoSpaceDE/>
        <w:autoSpaceDN/>
        <w:rPr>
          <w:lang w:eastAsia="x-none"/>
        </w:rPr>
      </w:pPr>
      <w:r>
        <w:br w:type="page"/>
      </w:r>
    </w:p>
    <w:p w:rsidR="00EE639F" w:rsidRPr="00DD6125" w:rsidRDefault="00944247" w:rsidP="00832033">
      <w:pPr>
        <w:pStyle w:val="BodyText"/>
        <w:spacing w:after="0" w:line="360" w:lineRule="auto"/>
        <w:ind w:left="360" w:hanging="360"/>
        <w:rPr>
          <w:b/>
          <w:szCs w:val="24"/>
          <w:lang w:val="en-US"/>
        </w:rPr>
      </w:pPr>
      <w:r>
        <w:rPr>
          <w:szCs w:val="24"/>
          <w:lang w:val="en-US"/>
        </w:rPr>
        <w:lastRenderedPageBreak/>
        <w:tab/>
      </w:r>
      <w:r w:rsidR="00EE639F">
        <w:rPr>
          <w:szCs w:val="24"/>
          <w:lang w:val="en-US"/>
        </w:rPr>
        <w:tab/>
      </w:r>
      <w:r w:rsidR="00EE639F" w:rsidRPr="00DD6125">
        <w:rPr>
          <w:b/>
          <w:szCs w:val="24"/>
          <w:lang w:val="en-US"/>
        </w:rPr>
        <w:t>3.</w:t>
      </w:r>
      <w:r w:rsidR="00EE639F" w:rsidRPr="00DD6125">
        <w:rPr>
          <w:b/>
          <w:szCs w:val="24"/>
          <w:lang w:val="en-US"/>
        </w:rPr>
        <w:tab/>
        <w:t>Medium C</w:t>
      </w:r>
      <w:r w:rsidR="00E92ABD">
        <w:rPr>
          <w:b/>
          <w:szCs w:val="24"/>
          <w:lang w:val="en-US"/>
        </w:rPr>
        <w:t>&amp;I</w:t>
      </w:r>
      <w:r w:rsidR="00EE639F" w:rsidRPr="00DD6125">
        <w:rPr>
          <w:b/>
          <w:szCs w:val="24"/>
          <w:lang w:val="en-US"/>
        </w:rPr>
        <w:t xml:space="preserve"> Procurement</w:t>
      </w:r>
    </w:p>
    <w:p w:rsidR="00EE639F" w:rsidRDefault="00EE639F" w:rsidP="00832033">
      <w:pPr>
        <w:pStyle w:val="BodyText"/>
        <w:spacing w:after="0" w:line="360" w:lineRule="auto"/>
        <w:ind w:left="360" w:hanging="360"/>
        <w:rPr>
          <w:szCs w:val="24"/>
          <w:lang w:val="en-US"/>
        </w:rPr>
      </w:pPr>
    </w:p>
    <w:p w:rsidR="00692C19" w:rsidRDefault="00457F90" w:rsidP="00832033">
      <w:pPr>
        <w:pStyle w:val="BriefL3"/>
        <w:numPr>
          <w:ilvl w:val="0"/>
          <w:numId w:val="0"/>
        </w:numPr>
        <w:spacing w:after="0" w:line="360" w:lineRule="auto"/>
        <w:ind w:left="2160" w:hanging="720"/>
        <w:outlineLvl w:val="9"/>
        <w:rPr>
          <w:b/>
          <w:szCs w:val="24"/>
        </w:rPr>
      </w:pPr>
      <w:r>
        <w:rPr>
          <w:b/>
          <w:szCs w:val="24"/>
        </w:rPr>
        <w:t>a</w:t>
      </w:r>
      <w:r w:rsidR="00692C19">
        <w:rPr>
          <w:b/>
          <w:szCs w:val="24"/>
        </w:rPr>
        <w:t>.</w:t>
      </w:r>
      <w:r w:rsidR="00692C19">
        <w:rPr>
          <w:b/>
          <w:szCs w:val="24"/>
        </w:rPr>
        <w:tab/>
        <w:t>DLC’s Proposal</w:t>
      </w:r>
    </w:p>
    <w:p w:rsidR="00337800" w:rsidRDefault="00337800" w:rsidP="007E5B4B">
      <w:pPr>
        <w:pStyle w:val="BodyText"/>
        <w:spacing w:after="0" w:line="360" w:lineRule="auto"/>
        <w:ind w:left="360" w:hanging="360"/>
        <w:rPr>
          <w:szCs w:val="24"/>
          <w:lang w:val="en-US"/>
        </w:rPr>
      </w:pPr>
    </w:p>
    <w:p w:rsidR="00337800" w:rsidRDefault="00337800" w:rsidP="007E5B4B">
      <w:pPr>
        <w:pStyle w:val="BodyText2"/>
        <w:tabs>
          <w:tab w:val="left" w:pos="0"/>
        </w:tabs>
        <w:spacing w:after="0" w:line="360" w:lineRule="auto"/>
        <w:rPr>
          <w:lang w:val="en-US"/>
        </w:rPr>
      </w:pPr>
      <w:r>
        <w:rPr>
          <w:lang w:val="en-US"/>
        </w:rPr>
        <w:tab/>
      </w:r>
      <w:r>
        <w:rPr>
          <w:lang w:val="en-US"/>
        </w:rPr>
        <w:tab/>
      </w:r>
      <w:r>
        <w:t>Duquesne Light’s Medium C&amp;I customers are those customers with monthly metered demands equal to or greater than 25 kW and less than 300 kW.  Duquesne Light Ex. No.</w:t>
      </w:r>
      <w:r w:rsidR="00944247">
        <w:rPr>
          <w:lang w:val="en-US"/>
        </w:rPr>
        <w:t> </w:t>
      </w:r>
      <w:r>
        <w:t xml:space="preserve">1, p. 11.  Duquesne Light proposes to obtain default service supply for Medium C&amp;I customers through full requirements contracts with </w:t>
      </w:r>
      <w:r w:rsidR="00DC513B">
        <w:rPr>
          <w:lang w:val="en-US"/>
        </w:rPr>
        <w:t>6</w:t>
      </w:r>
      <w:r>
        <w:t>-month terms, with no laddering.</w:t>
      </w:r>
      <w:r w:rsidR="007E5B4B">
        <w:rPr>
          <w:lang w:val="en-US"/>
        </w:rPr>
        <w:t xml:space="preserve">  </w:t>
      </w:r>
      <w:r>
        <w:t>The following table shows the proposed RFP Dates, Procurement Amounts, Contract Terms and Delivery Periods for Medium C&amp;I default service:</w:t>
      </w:r>
    </w:p>
    <w:p w:rsidR="00F30A69" w:rsidRDefault="00F30A69" w:rsidP="007E5B4B">
      <w:pPr>
        <w:pStyle w:val="BodyText2"/>
        <w:tabs>
          <w:tab w:val="left" w:pos="0"/>
        </w:tabs>
        <w:spacing w:after="0" w:line="360" w:lineRule="auto"/>
        <w:rPr>
          <w:lang w:val="en-US"/>
        </w:rPr>
      </w:pPr>
    </w:p>
    <w:tbl>
      <w:tblPr>
        <w:tblStyle w:val="TableGrid"/>
        <w:tblW w:w="0" w:type="auto"/>
        <w:tblLook w:val="04A0" w:firstRow="1" w:lastRow="0" w:firstColumn="1" w:lastColumn="0" w:noHBand="0" w:noVBand="1"/>
      </w:tblPr>
      <w:tblGrid>
        <w:gridCol w:w="1818"/>
        <w:gridCol w:w="2520"/>
        <w:gridCol w:w="1800"/>
        <w:gridCol w:w="3438"/>
      </w:tblGrid>
      <w:tr w:rsidR="00F30A69" w:rsidTr="00F10CD3">
        <w:tc>
          <w:tcPr>
            <w:tcW w:w="1818" w:type="dxa"/>
          </w:tcPr>
          <w:p w:rsidR="00F30A69" w:rsidRPr="00F30A69" w:rsidRDefault="00F30A69" w:rsidP="007E5B4B">
            <w:pPr>
              <w:pStyle w:val="BodyText2"/>
              <w:tabs>
                <w:tab w:val="left" w:pos="0"/>
              </w:tabs>
              <w:spacing w:after="0" w:line="360" w:lineRule="auto"/>
              <w:rPr>
                <w:b/>
                <w:lang w:val="en-US"/>
              </w:rPr>
            </w:pPr>
            <w:r w:rsidRPr="00F30A69">
              <w:rPr>
                <w:b/>
                <w:lang w:val="en-US"/>
              </w:rPr>
              <w:t>RFP Date</w:t>
            </w:r>
          </w:p>
        </w:tc>
        <w:tc>
          <w:tcPr>
            <w:tcW w:w="2520" w:type="dxa"/>
          </w:tcPr>
          <w:p w:rsidR="00F30A69" w:rsidRPr="00F30A69" w:rsidRDefault="00F30A69" w:rsidP="007E5B4B">
            <w:pPr>
              <w:pStyle w:val="BodyText2"/>
              <w:tabs>
                <w:tab w:val="left" w:pos="0"/>
              </w:tabs>
              <w:spacing w:after="0" w:line="360" w:lineRule="auto"/>
              <w:rPr>
                <w:b/>
                <w:lang w:val="en-US"/>
              </w:rPr>
            </w:pPr>
            <w:r w:rsidRPr="00F30A69">
              <w:rPr>
                <w:b/>
                <w:lang w:val="en-US"/>
              </w:rPr>
              <w:t>Procurement Amount</w:t>
            </w:r>
          </w:p>
        </w:tc>
        <w:tc>
          <w:tcPr>
            <w:tcW w:w="1800" w:type="dxa"/>
          </w:tcPr>
          <w:p w:rsidR="00F30A69" w:rsidRPr="00F30A69" w:rsidRDefault="00F30A69" w:rsidP="007E5B4B">
            <w:pPr>
              <w:pStyle w:val="BodyText2"/>
              <w:tabs>
                <w:tab w:val="left" w:pos="0"/>
              </w:tabs>
              <w:spacing w:after="0" w:line="360" w:lineRule="auto"/>
              <w:rPr>
                <w:b/>
                <w:lang w:val="en-US"/>
              </w:rPr>
            </w:pPr>
            <w:r w:rsidRPr="00F30A69">
              <w:rPr>
                <w:b/>
                <w:lang w:val="en-US"/>
              </w:rPr>
              <w:t>Contract Term</w:t>
            </w:r>
          </w:p>
        </w:tc>
        <w:tc>
          <w:tcPr>
            <w:tcW w:w="3438" w:type="dxa"/>
          </w:tcPr>
          <w:p w:rsidR="00F30A69" w:rsidRPr="00F30A69" w:rsidRDefault="00F30A69" w:rsidP="007E5B4B">
            <w:pPr>
              <w:pStyle w:val="BodyText2"/>
              <w:tabs>
                <w:tab w:val="left" w:pos="0"/>
              </w:tabs>
              <w:spacing w:after="0" w:line="360" w:lineRule="auto"/>
              <w:rPr>
                <w:b/>
                <w:lang w:val="en-US"/>
              </w:rPr>
            </w:pPr>
            <w:r w:rsidRPr="00F30A69">
              <w:rPr>
                <w:b/>
                <w:lang w:val="en-US"/>
              </w:rPr>
              <w:t>Delivery Period</w:t>
            </w:r>
          </w:p>
        </w:tc>
      </w:tr>
      <w:tr w:rsidR="00F30A69" w:rsidTr="00F10CD3">
        <w:tc>
          <w:tcPr>
            <w:tcW w:w="1818" w:type="dxa"/>
          </w:tcPr>
          <w:p w:rsidR="00F30A69" w:rsidRDefault="00F30A69" w:rsidP="007E5B4B">
            <w:pPr>
              <w:pStyle w:val="BodyText2"/>
              <w:tabs>
                <w:tab w:val="left" w:pos="0"/>
              </w:tabs>
              <w:spacing w:after="0" w:line="360" w:lineRule="auto"/>
              <w:rPr>
                <w:lang w:val="en-US"/>
              </w:rPr>
            </w:pPr>
            <w:r>
              <w:rPr>
                <w:lang w:val="en-US"/>
              </w:rPr>
              <w:t>November 2012</w:t>
            </w:r>
          </w:p>
        </w:tc>
        <w:tc>
          <w:tcPr>
            <w:tcW w:w="2520" w:type="dxa"/>
          </w:tcPr>
          <w:p w:rsidR="00F30A69" w:rsidRDefault="00F30A69" w:rsidP="007E5B4B">
            <w:pPr>
              <w:pStyle w:val="BodyText2"/>
              <w:tabs>
                <w:tab w:val="left" w:pos="0"/>
              </w:tabs>
              <w:spacing w:after="0" w:line="360" w:lineRule="auto"/>
              <w:rPr>
                <w:lang w:val="en-US"/>
              </w:rPr>
            </w:pPr>
            <w:r>
              <w:rPr>
                <w:lang w:val="en-US"/>
              </w:rPr>
              <w:t>50%</w:t>
            </w:r>
          </w:p>
        </w:tc>
        <w:tc>
          <w:tcPr>
            <w:tcW w:w="1800" w:type="dxa"/>
          </w:tcPr>
          <w:p w:rsidR="00F30A69" w:rsidRDefault="00F30A69" w:rsidP="007E5B4B">
            <w:pPr>
              <w:pStyle w:val="BodyText2"/>
              <w:tabs>
                <w:tab w:val="left" w:pos="0"/>
              </w:tabs>
              <w:spacing w:after="0" w:line="360" w:lineRule="auto"/>
              <w:rPr>
                <w:lang w:val="en-US"/>
              </w:rPr>
            </w:pPr>
            <w:r>
              <w:rPr>
                <w:lang w:val="en-US"/>
              </w:rPr>
              <w:t>6 months</w:t>
            </w:r>
          </w:p>
        </w:tc>
        <w:tc>
          <w:tcPr>
            <w:tcW w:w="3438" w:type="dxa"/>
          </w:tcPr>
          <w:p w:rsidR="00F30A69" w:rsidRDefault="00F30A69" w:rsidP="007E5B4B">
            <w:pPr>
              <w:pStyle w:val="BodyText2"/>
              <w:tabs>
                <w:tab w:val="left" w:pos="0"/>
              </w:tabs>
              <w:spacing w:after="0" w:line="360" w:lineRule="auto"/>
              <w:rPr>
                <w:lang w:val="en-US"/>
              </w:rPr>
            </w:pPr>
            <w:r>
              <w:rPr>
                <w:lang w:val="en-US"/>
              </w:rPr>
              <w:t>December 2012-November 2013</w:t>
            </w:r>
          </w:p>
        </w:tc>
      </w:tr>
      <w:tr w:rsidR="00F30A69" w:rsidTr="00F10CD3">
        <w:tc>
          <w:tcPr>
            <w:tcW w:w="1818" w:type="dxa"/>
          </w:tcPr>
          <w:p w:rsidR="00F30A69" w:rsidRDefault="00F30A69" w:rsidP="007E5B4B">
            <w:pPr>
              <w:pStyle w:val="BodyText2"/>
              <w:tabs>
                <w:tab w:val="left" w:pos="0"/>
              </w:tabs>
              <w:spacing w:after="0" w:line="360" w:lineRule="auto"/>
              <w:rPr>
                <w:lang w:val="en-US"/>
              </w:rPr>
            </w:pPr>
            <w:r>
              <w:rPr>
                <w:lang w:val="en-US"/>
              </w:rPr>
              <w:t>April 2013</w:t>
            </w:r>
          </w:p>
        </w:tc>
        <w:tc>
          <w:tcPr>
            <w:tcW w:w="2520" w:type="dxa"/>
          </w:tcPr>
          <w:p w:rsidR="00F30A69" w:rsidRDefault="00F30A69" w:rsidP="007E5B4B">
            <w:pPr>
              <w:pStyle w:val="BodyText2"/>
              <w:tabs>
                <w:tab w:val="left" w:pos="0"/>
              </w:tabs>
              <w:spacing w:after="0" w:line="360" w:lineRule="auto"/>
              <w:rPr>
                <w:lang w:val="en-US"/>
              </w:rPr>
            </w:pPr>
            <w:r>
              <w:rPr>
                <w:lang w:val="en-US"/>
              </w:rPr>
              <w:t>50%</w:t>
            </w:r>
          </w:p>
        </w:tc>
        <w:tc>
          <w:tcPr>
            <w:tcW w:w="1800" w:type="dxa"/>
          </w:tcPr>
          <w:p w:rsidR="00F30A69" w:rsidRDefault="00F30A69" w:rsidP="007E5B4B">
            <w:pPr>
              <w:pStyle w:val="BodyText2"/>
              <w:tabs>
                <w:tab w:val="left" w:pos="0"/>
              </w:tabs>
              <w:spacing w:after="0" w:line="360" w:lineRule="auto"/>
              <w:rPr>
                <w:lang w:val="en-US"/>
              </w:rPr>
            </w:pPr>
            <w:r>
              <w:rPr>
                <w:lang w:val="en-US"/>
              </w:rPr>
              <w:t>6 months</w:t>
            </w:r>
          </w:p>
        </w:tc>
        <w:tc>
          <w:tcPr>
            <w:tcW w:w="3438" w:type="dxa"/>
          </w:tcPr>
          <w:p w:rsidR="00F30A69" w:rsidRDefault="00F30A69" w:rsidP="007E5B4B">
            <w:pPr>
              <w:pStyle w:val="BodyText2"/>
              <w:tabs>
                <w:tab w:val="left" w:pos="0"/>
              </w:tabs>
              <w:spacing w:after="0" w:line="360" w:lineRule="auto"/>
              <w:rPr>
                <w:lang w:val="en-US"/>
              </w:rPr>
            </w:pPr>
            <w:r>
              <w:rPr>
                <w:lang w:val="en-US"/>
              </w:rPr>
              <w:t>June 2013 – November 2013</w:t>
            </w:r>
          </w:p>
        </w:tc>
      </w:tr>
      <w:tr w:rsidR="00F30A69" w:rsidTr="00F10CD3">
        <w:tc>
          <w:tcPr>
            <w:tcW w:w="1818" w:type="dxa"/>
          </w:tcPr>
          <w:p w:rsidR="00F30A69" w:rsidRDefault="00F30A69" w:rsidP="007E5B4B">
            <w:pPr>
              <w:pStyle w:val="BodyText2"/>
              <w:tabs>
                <w:tab w:val="left" w:pos="0"/>
              </w:tabs>
              <w:spacing w:after="0" w:line="360" w:lineRule="auto"/>
              <w:rPr>
                <w:lang w:val="en-US"/>
              </w:rPr>
            </w:pPr>
            <w:r>
              <w:rPr>
                <w:lang w:val="en-US"/>
              </w:rPr>
              <w:t>November 2013</w:t>
            </w:r>
          </w:p>
        </w:tc>
        <w:tc>
          <w:tcPr>
            <w:tcW w:w="2520" w:type="dxa"/>
          </w:tcPr>
          <w:p w:rsidR="00F30A69" w:rsidRDefault="00F30A69" w:rsidP="007E5B4B">
            <w:pPr>
              <w:pStyle w:val="BodyText2"/>
              <w:tabs>
                <w:tab w:val="left" w:pos="0"/>
              </w:tabs>
              <w:spacing w:after="0" w:line="360" w:lineRule="auto"/>
              <w:rPr>
                <w:lang w:val="en-US"/>
              </w:rPr>
            </w:pPr>
            <w:r>
              <w:rPr>
                <w:lang w:val="en-US"/>
              </w:rPr>
              <w:t>100%</w:t>
            </w:r>
          </w:p>
        </w:tc>
        <w:tc>
          <w:tcPr>
            <w:tcW w:w="1800" w:type="dxa"/>
          </w:tcPr>
          <w:p w:rsidR="00F30A69" w:rsidRDefault="00F30A69" w:rsidP="007E5B4B">
            <w:pPr>
              <w:pStyle w:val="BodyText2"/>
              <w:tabs>
                <w:tab w:val="left" w:pos="0"/>
              </w:tabs>
              <w:spacing w:after="0" w:line="360" w:lineRule="auto"/>
              <w:rPr>
                <w:lang w:val="en-US"/>
              </w:rPr>
            </w:pPr>
            <w:r>
              <w:rPr>
                <w:lang w:val="en-US"/>
              </w:rPr>
              <w:t>6 months</w:t>
            </w:r>
          </w:p>
        </w:tc>
        <w:tc>
          <w:tcPr>
            <w:tcW w:w="3438" w:type="dxa"/>
          </w:tcPr>
          <w:p w:rsidR="00F30A69" w:rsidRDefault="00F30A69" w:rsidP="007E5B4B">
            <w:pPr>
              <w:pStyle w:val="BodyText2"/>
              <w:tabs>
                <w:tab w:val="left" w:pos="0"/>
              </w:tabs>
              <w:spacing w:after="0" w:line="360" w:lineRule="auto"/>
              <w:rPr>
                <w:lang w:val="en-US"/>
              </w:rPr>
            </w:pPr>
            <w:r>
              <w:rPr>
                <w:lang w:val="en-US"/>
              </w:rPr>
              <w:t>December 2013 – May 2014</w:t>
            </w:r>
          </w:p>
        </w:tc>
      </w:tr>
      <w:tr w:rsidR="00F30A69" w:rsidTr="00F10CD3">
        <w:tc>
          <w:tcPr>
            <w:tcW w:w="1818" w:type="dxa"/>
          </w:tcPr>
          <w:p w:rsidR="00F30A69" w:rsidRDefault="00F30A69" w:rsidP="007E5B4B">
            <w:pPr>
              <w:pStyle w:val="BodyText2"/>
              <w:tabs>
                <w:tab w:val="left" w:pos="0"/>
              </w:tabs>
              <w:spacing w:after="0" w:line="360" w:lineRule="auto"/>
              <w:rPr>
                <w:lang w:val="en-US"/>
              </w:rPr>
            </w:pPr>
            <w:r>
              <w:rPr>
                <w:lang w:val="en-US"/>
              </w:rPr>
              <w:t>April 2014</w:t>
            </w:r>
          </w:p>
        </w:tc>
        <w:tc>
          <w:tcPr>
            <w:tcW w:w="2520" w:type="dxa"/>
          </w:tcPr>
          <w:p w:rsidR="00F30A69" w:rsidRDefault="00F30A69" w:rsidP="007E5B4B">
            <w:pPr>
              <w:pStyle w:val="BodyText2"/>
              <w:tabs>
                <w:tab w:val="left" w:pos="0"/>
              </w:tabs>
              <w:spacing w:after="0" w:line="360" w:lineRule="auto"/>
              <w:rPr>
                <w:lang w:val="en-US"/>
              </w:rPr>
            </w:pPr>
            <w:r>
              <w:rPr>
                <w:lang w:val="en-US"/>
              </w:rPr>
              <w:t>100%</w:t>
            </w:r>
          </w:p>
        </w:tc>
        <w:tc>
          <w:tcPr>
            <w:tcW w:w="1800" w:type="dxa"/>
          </w:tcPr>
          <w:p w:rsidR="00F30A69" w:rsidRDefault="00F30A69" w:rsidP="007E5B4B">
            <w:pPr>
              <w:pStyle w:val="BodyText2"/>
              <w:tabs>
                <w:tab w:val="left" w:pos="0"/>
              </w:tabs>
              <w:spacing w:after="0" w:line="360" w:lineRule="auto"/>
              <w:rPr>
                <w:lang w:val="en-US"/>
              </w:rPr>
            </w:pPr>
            <w:r>
              <w:rPr>
                <w:lang w:val="en-US"/>
              </w:rPr>
              <w:t>6 months</w:t>
            </w:r>
          </w:p>
        </w:tc>
        <w:tc>
          <w:tcPr>
            <w:tcW w:w="3438" w:type="dxa"/>
          </w:tcPr>
          <w:p w:rsidR="00F30A69" w:rsidRDefault="00F30A69" w:rsidP="00F30A69">
            <w:pPr>
              <w:pStyle w:val="BodyText2"/>
              <w:tabs>
                <w:tab w:val="left" w:pos="0"/>
              </w:tabs>
              <w:spacing w:after="0" w:line="360" w:lineRule="auto"/>
              <w:rPr>
                <w:lang w:val="en-US"/>
              </w:rPr>
            </w:pPr>
            <w:r>
              <w:rPr>
                <w:lang w:val="en-US"/>
              </w:rPr>
              <w:t>June 2014 – November 2014</w:t>
            </w:r>
          </w:p>
        </w:tc>
      </w:tr>
      <w:tr w:rsidR="00F30A69" w:rsidTr="00F10CD3">
        <w:tc>
          <w:tcPr>
            <w:tcW w:w="1818" w:type="dxa"/>
          </w:tcPr>
          <w:p w:rsidR="00F30A69" w:rsidRDefault="00F30A69" w:rsidP="007E5B4B">
            <w:pPr>
              <w:pStyle w:val="BodyText2"/>
              <w:tabs>
                <w:tab w:val="left" w:pos="0"/>
              </w:tabs>
              <w:spacing w:after="0" w:line="360" w:lineRule="auto"/>
              <w:rPr>
                <w:lang w:val="en-US"/>
              </w:rPr>
            </w:pPr>
            <w:r>
              <w:rPr>
                <w:lang w:val="en-US"/>
              </w:rPr>
              <w:t xml:space="preserve">November 2014 </w:t>
            </w:r>
          </w:p>
        </w:tc>
        <w:tc>
          <w:tcPr>
            <w:tcW w:w="2520" w:type="dxa"/>
          </w:tcPr>
          <w:p w:rsidR="00F30A69" w:rsidRDefault="00F30A69" w:rsidP="007E5B4B">
            <w:pPr>
              <w:pStyle w:val="BodyText2"/>
              <w:tabs>
                <w:tab w:val="left" w:pos="0"/>
              </w:tabs>
              <w:spacing w:after="0" w:line="360" w:lineRule="auto"/>
              <w:rPr>
                <w:lang w:val="en-US"/>
              </w:rPr>
            </w:pPr>
            <w:r>
              <w:rPr>
                <w:lang w:val="en-US"/>
              </w:rPr>
              <w:t>100%</w:t>
            </w:r>
          </w:p>
        </w:tc>
        <w:tc>
          <w:tcPr>
            <w:tcW w:w="1800" w:type="dxa"/>
          </w:tcPr>
          <w:p w:rsidR="00F30A69" w:rsidRDefault="00F30A69" w:rsidP="007E5B4B">
            <w:pPr>
              <w:pStyle w:val="BodyText2"/>
              <w:tabs>
                <w:tab w:val="left" w:pos="0"/>
              </w:tabs>
              <w:spacing w:after="0" w:line="360" w:lineRule="auto"/>
              <w:rPr>
                <w:lang w:val="en-US"/>
              </w:rPr>
            </w:pPr>
            <w:r>
              <w:rPr>
                <w:lang w:val="en-US"/>
              </w:rPr>
              <w:t>6 months</w:t>
            </w:r>
          </w:p>
        </w:tc>
        <w:tc>
          <w:tcPr>
            <w:tcW w:w="3438" w:type="dxa"/>
          </w:tcPr>
          <w:p w:rsidR="00F30A69" w:rsidRDefault="00F30A69" w:rsidP="007E5B4B">
            <w:pPr>
              <w:pStyle w:val="BodyText2"/>
              <w:tabs>
                <w:tab w:val="left" w:pos="0"/>
              </w:tabs>
              <w:spacing w:after="0" w:line="360" w:lineRule="auto"/>
              <w:rPr>
                <w:lang w:val="en-US"/>
              </w:rPr>
            </w:pPr>
            <w:r>
              <w:rPr>
                <w:lang w:val="en-US"/>
              </w:rPr>
              <w:t>December 2014 – May 2015</w:t>
            </w:r>
          </w:p>
        </w:tc>
      </w:tr>
    </w:tbl>
    <w:p w:rsidR="00337800" w:rsidRDefault="00337800" w:rsidP="00692C19">
      <w:pPr>
        <w:pStyle w:val="BodyText2"/>
        <w:spacing w:after="0" w:line="360" w:lineRule="auto"/>
      </w:pPr>
      <w:r>
        <w:t>Duquesne Light Exh. No. 1, p. 12.</w:t>
      </w:r>
    </w:p>
    <w:p w:rsidR="00337800" w:rsidRDefault="00337800" w:rsidP="00692C19">
      <w:pPr>
        <w:pStyle w:val="BodyText2"/>
        <w:spacing w:after="0" w:line="360" w:lineRule="auto"/>
        <w:rPr>
          <w:lang w:val="en-US"/>
        </w:rPr>
      </w:pPr>
    </w:p>
    <w:p w:rsidR="00337800" w:rsidRPr="00337800" w:rsidRDefault="00337800" w:rsidP="00457F90">
      <w:pPr>
        <w:pStyle w:val="BodyText2"/>
        <w:spacing w:after="0" w:line="360" w:lineRule="auto"/>
        <w:rPr>
          <w:lang w:val="en-US"/>
        </w:rPr>
      </w:pPr>
      <w:r>
        <w:rPr>
          <w:lang w:val="en-US"/>
        </w:rPr>
        <w:tab/>
      </w:r>
      <w:r>
        <w:rPr>
          <w:lang w:val="en-US"/>
        </w:rPr>
        <w:tab/>
      </w:r>
      <w:r>
        <w:t xml:space="preserve">The </w:t>
      </w:r>
      <w:r>
        <w:rPr>
          <w:lang w:val="en-US"/>
        </w:rPr>
        <w:t xml:space="preserve">Company avers its </w:t>
      </w:r>
      <w:r w:rsidR="00B40BC3">
        <w:rPr>
          <w:lang w:val="en-US"/>
        </w:rPr>
        <w:t xml:space="preserve">proposed </w:t>
      </w:r>
      <w:r>
        <w:t xml:space="preserve">procurement methodology for Medium C&amp;I customers </w:t>
      </w:r>
      <w:r w:rsidR="00B40BC3">
        <w:rPr>
          <w:lang w:val="en-US"/>
        </w:rPr>
        <w:t xml:space="preserve">under the DSP VI Plan </w:t>
      </w:r>
      <w:r>
        <w:t xml:space="preserve">is more market responsive than under the DSP V Plan.  The supply plan for Medium C&amp;I customers moves from one-year contracts under DSP V to </w:t>
      </w:r>
      <w:r w:rsidR="00204963">
        <w:rPr>
          <w:lang w:val="en-US"/>
        </w:rPr>
        <w:t>6-month</w:t>
      </w:r>
      <w:r>
        <w:t xml:space="preserve"> contracts under this Plan and removes </w:t>
      </w:r>
      <w:r>
        <w:rPr>
          <w:lang w:val="en-US"/>
        </w:rPr>
        <w:t xml:space="preserve">the </w:t>
      </w:r>
      <w:r>
        <w:t>laddering offered in DSP V.  These changes are made to reflect the growing sophistication of Medium C&amp;I customers with competitive options, as 66% of the load already receiv</w:t>
      </w:r>
      <w:r>
        <w:rPr>
          <w:lang w:val="en-US"/>
        </w:rPr>
        <w:t>es</w:t>
      </w:r>
      <w:r>
        <w:t xml:space="preserve"> supply from an EGS</w:t>
      </w:r>
      <w:r w:rsidR="00B40BC3">
        <w:rPr>
          <w:lang w:val="en-US"/>
        </w:rPr>
        <w:t xml:space="preserve">, and </w:t>
      </w:r>
      <w:r>
        <w:t>all procurements will be conducted within 60 days of the delivery date</w:t>
      </w:r>
      <w:r>
        <w:rPr>
          <w:lang w:val="en-US"/>
        </w:rPr>
        <w:t>.</w:t>
      </w:r>
    </w:p>
    <w:p w:rsidR="00337800" w:rsidRDefault="00337800" w:rsidP="00457F90">
      <w:pPr>
        <w:pStyle w:val="BodyText"/>
        <w:spacing w:after="0" w:line="360" w:lineRule="auto"/>
        <w:ind w:left="0" w:firstLine="0"/>
        <w:rPr>
          <w:szCs w:val="24"/>
          <w:lang w:val="en-US"/>
        </w:rPr>
      </w:pPr>
    </w:p>
    <w:p w:rsidR="00884AFB" w:rsidRDefault="00457F90" w:rsidP="00457F90">
      <w:pPr>
        <w:pStyle w:val="BriefL3"/>
        <w:numPr>
          <w:ilvl w:val="0"/>
          <w:numId w:val="0"/>
        </w:numPr>
        <w:spacing w:after="0" w:line="360" w:lineRule="auto"/>
        <w:ind w:left="1440"/>
        <w:rPr>
          <w:b/>
          <w:szCs w:val="24"/>
        </w:rPr>
      </w:pPr>
      <w:r>
        <w:rPr>
          <w:b/>
          <w:szCs w:val="24"/>
        </w:rPr>
        <w:t>b</w:t>
      </w:r>
      <w:r w:rsidR="00884AFB">
        <w:rPr>
          <w:b/>
          <w:szCs w:val="24"/>
        </w:rPr>
        <w:t>.</w:t>
      </w:r>
      <w:r w:rsidR="00884AFB">
        <w:rPr>
          <w:b/>
          <w:szCs w:val="24"/>
        </w:rPr>
        <w:tab/>
        <w:t>OCA’s Position</w:t>
      </w:r>
    </w:p>
    <w:p w:rsidR="00297E8C" w:rsidRDefault="00297E8C" w:rsidP="00457F90">
      <w:pPr>
        <w:pStyle w:val="BodyText"/>
        <w:spacing w:after="0" w:line="360" w:lineRule="auto"/>
        <w:ind w:left="0" w:firstLine="0"/>
        <w:rPr>
          <w:szCs w:val="24"/>
          <w:lang w:val="en-US"/>
        </w:rPr>
      </w:pPr>
    </w:p>
    <w:p w:rsidR="00297E8C" w:rsidRDefault="00297E8C" w:rsidP="00457F90">
      <w:pPr>
        <w:pStyle w:val="BodyText2"/>
        <w:spacing w:after="0" w:line="360" w:lineRule="auto"/>
        <w:rPr>
          <w:lang w:val="en-US"/>
        </w:rPr>
      </w:pPr>
      <w:r>
        <w:rPr>
          <w:lang w:val="en-US"/>
        </w:rPr>
        <w:tab/>
      </w:r>
      <w:r w:rsidR="00692C19">
        <w:rPr>
          <w:lang w:val="en-US"/>
        </w:rPr>
        <w:tab/>
      </w:r>
      <w:r>
        <w:t>OCA takes no position on this issue.</w:t>
      </w:r>
    </w:p>
    <w:p w:rsidR="00457F90" w:rsidRPr="00457F90" w:rsidRDefault="00457F90" w:rsidP="00457F90">
      <w:pPr>
        <w:pStyle w:val="BodyText2"/>
        <w:spacing w:after="0" w:line="360" w:lineRule="auto"/>
        <w:rPr>
          <w:lang w:val="en-US"/>
        </w:rPr>
      </w:pPr>
    </w:p>
    <w:p w:rsidR="00884AFB" w:rsidRDefault="00457F90" w:rsidP="00457F90">
      <w:pPr>
        <w:pStyle w:val="BriefL3"/>
        <w:numPr>
          <w:ilvl w:val="0"/>
          <w:numId w:val="0"/>
        </w:numPr>
        <w:spacing w:after="0" w:line="360" w:lineRule="auto"/>
        <w:ind w:left="1440"/>
        <w:rPr>
          <w:b/>
          <w:szCs w:val="24"/>
        </w:rPr>
      </w:pPr>
      <w:r>
        <w:rPr>
          <w:b/>
          <w:szCs w:val="24"/>
        </w:rPr>
        <w:lastRenderedPageBreak/>
        <w:t>c</w:t>
      </w:r>
      <w:r w:rsidR="00884AFB">
        <w:rPr>
          <w:b/>
          <w:szCs w:val="24"/>
        </w:rPr>
        <w:t>.</w:t>
      </w:r>
      <w:r w:rsidR="00884AFB">
        <w:rPr>
          <w:b/>
          <w:szCs w:val="24"/>
        </w:rPr>
        <w:tab/>
        <w:t>RESA’s Position</w:t>
      </w:r>
    </w:p>
    <w:p w:rsidR="00884AFB" w:rsidRDefault="00884AFB" w:rsidP="00457F90">
      <w:pPr>
        <w:pStyle w:val="BodyText"/>
        <w:spacing w:after="0" w:line="360" w:lineRule="auto"/>
        <w:ind w:left="0" w:firstLine="0"/>
        <w:rPr>
          <w:szCs w:val="24"/>
          <w:lang w:val="en-US"/>
        </w:rPr>
      </w:pPr>
    </w:p>
    <w:p w:rsidR="00E90FC9" w:rsidRDefault="00FD6EF7" w:rsidP="00457F90">
      <w:pPr>
        <w:spacing w:line="360" w:lineRule="auto"/>
        <w:ind w:firstLine="720"/>
      </w:pPr>
      <w:r>
        <w:tab/>
      </w:r>
      <w:r w:rsidR="00E90FC9">
        <w:t xml:space="preserve">RESA would modify Duquesne’s proposal such that </w:t>
      </w:r>
      <w:r w:rsidR="000B6B6C">
        <w:t>M</w:t>
      </w:r>
      <w:r w:rsidR="00E90FC9">
        <w:t>edium C&amp;I customers would be served through quarterly procurements, in which 100% of the loa</w:t>
      </w:r>
      <w:r w:rsidR="00B40BC3">
        <w:t>d is bid out every three months because it is obvious t</w:t>
      </w:r>
      <w:r w:rsidR="00E90FC9">
        <w:t>hese customers have proven to be sophisticated and not shy about taking advantage of market opportunities</w:t>
      </w:r>
      <w:r w:rsidR="00B40BC3">
        <w:t>.  Therefore, RESA contends</w:t>
      </w:r>
      <w:r w:rsidR="00E90FC9">
        <w:t xml:space="preserve"> the time is right to transition these customers to quarterly procurements.</w:t>
      </w:r>
      <w:r w:rsidR="00E90FC9">
        <w:rPr>
          <w:rStyle w:val="FootnoteReference"/>
        </w:rPr>
        <w:footnoteReference w:id="52"/>
      </w:r>
      <w:r w:rsidR="00457F90">
        <w:t xml:space="preserve">  </w:t>
      </w:r>
      <w:r w:rsidR="00B40BC3">
        <w:rPr>
          <w:rStyle w:val="normal-c6"/>
        </w:rPr>
        <w:t xml:space="preserve">RESA contends </w:t>
      </w:r>
      <w:r w:rsidR="00E90FC9">
        <w:rPr>
          <w:rStyle w:val="normal-c6"/>
        </w:rPr>
        <w:t>the addition of two default service rate changes per year would provide a reasonable transition to hourly service for the 100 kW to 300</w:t>
      </w:r>
      <w:r w:rsidR="00ED27A2">
        <w:rPr>
          <w:rStyle w:val="normal-c6"/>
        </w:rPr>
        <w:t> </w:t>
      </w:r>
      <w:r w:rsidR="00E90FC9">
        <w:rPr>
          <w:rStyle w:val="normal-c6"/>
        </w:rPr>
        <w:t xml:space="preserve">kW C&amp;I customers. </w:t>
      </w:r>
      <w:r w:rsidR="00E90FC9">
        <w:t xml:space="preserve">   </w:t>
      </w:r>
    </w:p>
    <w:p w:rsidR="00332002" w:rsidRDefault="00332002" w:rsidP="00457F90">
      <w:pPr>
        <w:spacing w:line="360" w:lineRule="auto"/>
        <w:ind w:firstLine="720"/>
      </w:pPr>
    </w:p>
    <w:p w:rsidR="00332002" w:rsidRDefault="00332002" w:rsidP="00457F90">
      <w:pPr>
        <w:spacing w:line="360" w:lineRule="auto"/>
        <w:ind w:firstLine="720"/>
      </w:pPr>
      <w:r>
        <w:tab/>
      </w:r>
      <w:r w:rsidR="00B40BC3">
        <w:t xml:space="preserve">RESA argues </w:t>
      </w:r>
      <w:r w:rsidR="00E90FC9">
        <w:t xml:space="preserve">OSBA’s proposal is a step backwards for the development of robust sustainable competitive retail markets and will result in default service rates that are </w:t>
      </w:r>
      <w:r w:rsidR="00E90FC9">
        <w:rPr>
          <w:i/>
        </w:rPr>
        <w:t xml:space="preserve">less </w:t>
      </w:r>
      <w:r w:rsidR="00E90FC9">
        <w:t>market reflective than those proposed by Duquesne (6-month contracts/PTC adjustments) and by RESA (quarterly contracts/PTC adjustments).</w:t>
      </w:r>
      <w:r w:rsidR="00E90FC9">
        <w:rPr>
          <w:rStyle w:val="FootnoteReference"/>
        </w:rPr>
        <w:footnoteReference w:id="53"/>
      </w:r>
      <w:r w:rsidR="00E90FC9">
        <w:t xml:space="preserve">  </w:t>
      </w:r>
    </w:p>
    <w:p w:rsidR="00332002" w:rsidRDefault="00332002" w:rsidP="00457F90">
      <w:pPr>
        <w:spacing w:line="360" w:lineRule="auto"/>
        <w:ind w:firstLine="720"/>
      </w:pPr>
    </w:p>
    <w:p w:rsidR="00E90FC9" w:rsidRDefault="00332002" w:rsidP="00FE1916">
      <w:pPr>
        <w:spacing w:line="360" w:lineRule="auto"/>
        <w:ind w:firstLine="720"/>
      </w:pPr>
      <w:r>
        <w:tab/>
      </w:r>
      <w:r w:rsidR="00E90FC9">
        <w:t xml:space="preserve">With more than two-thirds of Duquesne’s </w:t>
      </w:r>
      <w:r w:rsidR="009F3B69">
        <w:t>M</w:t>
      </w:r>
      <w:r w:rsidR="00E90FC9">
        <w:t xml:space="preserve">edium C&amp;I customers shopping, </w:t>
      </w:r>
      <w:r w:rsidR="00B40BC3">
        <w:t>RESA contends now</w:t>
      </w:r>
      <w:r w:rsidR="00E90FC9">
        <w:t xml:space="preserve"> is the perfect time to transition these customers to a more robust sustainable competitive market capable of delivering the myriad products and services these customers deserve. </w:t>
      </w:r>
    </w:p>
    <w:p w:rsidR="00332002" w:rsidRDefault="00332002" w:rsidP="00FE1916">
      <w:pPr>
        <w:pStyle w:val="BodyText"/>
        <w:spacing w:after="0" w:line="360" w:lineRule="auto"/>
        <w:ind w:left="0" w:firstLine="0"/>
        <w:rPr>
          <w:szCs w:val="24"/>
          <w:lang w:val="en-US"/>
        </w:rPr>
      </w:pPr>
    </w:p>
    <w:p w:rsidR="00E90FC9" w:rsidRDefault="00E90FC9" w:rsidP="00FE1916">
      <w:pPr>
        <w:pStyle w:val="BodyText"/>
        <w:spacing w:after="0" w:line="360" w:lineRule="auto"/>
        <w:ind w:left="0" w:firstLine="0"/>
        <w:rPr>
          <w:u w:val="single"/>
        </w:rPr>
      </w:pPr>
      <w:r>
        <w:rPr>
          <w:szCs w:val="24"/>
          <w:lang w:val="en-US"/>
        </w:rPr>
        <w:tab/>
      </w:r>
      <w:r>
        <w:tab/>
        <w:t>RESA does not object to the timing of these procurements, which are two months in advance of delivery and within the 60-day window that RESA proposed for all proc</w:t>
      </w:r>
      <w:r w:rsidR="00B40BC3">
        <w:t>urements.  H</w:t>
      </w:r>
      <w:r>
        <w:t>owever, RESA recommends quarterly procurements, which could be accomplished with procurement dates that are within 60 days of delivery.</w:t>
      </w:r>
    </w:p>
    <w:p w:rsidR="006D4D99" w:rsidRDefault="006D4D99" w:rsidP="006D4D99">
      <w:pPr>
        <w:pStyle w:val="BodyText"/>
        <w:spacing w:after="0" w:line="360" w:lineRule="auto"/>
        <w:ind w:left="0" w:firstLine="0"/>
        <w:rPr>
          <w:szCs w:val="24"/>
          <w:lang w:val="en-US"/>
        </w:rPr>
      </w:pPr>
    </w:p>
    <w:p w:rsidR="0084672B" w:rsidRDefault="0084672B">
      <w:pPr>
        <w:autoSpaceDE/>
        <w:autoSpaceDN/>
        <w:rPr>
          <w:b/>
        </w:rPr>
      </w:pPr>
      <w:r>
        <w:rPr>
          <w:b/>
        </w:rPr>
        <w:br w:type="page"/>
      </w:r>
    </w:p>
    <w:p w:rsidR="006D4D99" w:rsidRDefault="00FE1916" w:rsidP="00FE1916">
      <w:pPr>
        <w:pStyle w:val="BriefL3"/>
        <w:numPr>
          <w:ilvl w:val="0"/>
          <w:numId w:val="0"/>
        </w:numPr>
        <w:spacing w:after="0" w:line="360" w:lineRule="auto"/>
        <w:ind w:left="720" w:firstLine="720"/>
        <w:rPr>
          <w:b/>
          <w:szCs w:val="24"/>
        </w:rPr>
      </w:pPr>
      <w:r>
        <w:rPr>
          <w:b/>
          <w:szCs w:val="24"/>
        </w:rPr>
        <w:lastRenderedPageBreak/>
        <w:t>d</w:t>
      </w:r>
      <w:r w:rsidR="006D4D99">
        <w:rPr>
          <w:b/>
          <w:szCs w:val="24"/>
        </w:rPr>
        <w:t>.</w:t>
      </w:r>
      <w:r w:rsidR="006D4D99">
        <w:rPr>
          <w:b/>
          <w:szCs w:val="24"/>
        </w:rPr>
        <w:tab/>
        <w:t>OSBA’s Position</w:t>
      </w:r>
    </w:p>
    <w:p w:rsidR="006D4D99" w:rsidRDefault="006D4D99" w:rsidP="006D4D99">
      <w:pPr>
        <w:pStyle w:val="BodyText"/>
        <w:spacing w:after="0" w:line="360" w:lineRule="auto"/>
        <w:ind w:left="0" w:firstLine="0"/>
        <w:rPr>
          <w:szCs w:val="24"/>
          <w:lang w:val="en-US"/>
        </w:rPr>
      </w:pPr>
    </w:p>
    <w:p w:rsidR="00D24A77" w:rsidRDefault="006917B7" w:rsidP="006917B7">
      <w:pPr>
        <w:pStyle w:val="BodyText"/>
        <w:spacing w:after="0" w:line="360" w:lineRule="auto"/>
        <w:ind w:left="0" w:firstLine="0"/>
        <w:rPr>
          <w:lang w:val="en-US"/>
        </w:rPr>
      </w:pPr>
      <w:r>
        <w:rPr>
          <w:lang w:val="en-US"/>
        </w:rPr>
        <w:tab/>
      </w:r>
      <w:r>
        <w:rPr>
          <w:lang w:val="en-US"/>
        </w:rPr>
        <w:tab/>
      </w:r>
      <w:r>
        <w:t xml:space="preserve">OSBA generally agrees with the Company’s proposed procurement for the Medium C&amp;I procurement group with one exception.  </w:t>
      </w:r>
    </w:p>
    <w:p w:rsidR="00811AAF" w:rsidRDefault="006917B7" w:rsidP="006917B7">
      <w:pPr>
        <w:pStyle w:val="BodyText"/>
        <w:spacing w:after="0" w:line="360" w:lineRule="auto"/>
        <w:ind w:left="0" w:firstLine="0"/>
        <w:rPr>
          <w:szCs w:val="24"/>
          <w:lang w:val="en-US"/>
        </w:rPr>
      </w:pP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p>
    <w:p w:rsidR="006917B7" w:rsidRDefault="006917B7" w:rsidP="00FE1916">
      <w:pPr>
        <w:pStyle w:val="BodyText2"/>
        <w:spacing w:after="0" w:line="360" w:lineRule="auto"/>
      </w:pPr>
      <w:r>
        <w:rPr>
          <w:lang w:val="en-US"/>
        </w:rPr>
        <w:tab/>
      </w:r>
      <w:r>
        <w:rPr>
          <w:lang w:val="en-US"/>
        </w:rPr>
        <w:tab/>
        <w:t xml:space="preserve">OSBA contends </w:t>
      </w:r>
      <w:r>
        <w:t>the continued development of a competitive retail supply market in the Company’s service territory does not obviate the need for price stability for Duquesne’s Medium C&amp;I default service customers.  Price stability should remain an important consideration when designing a default service procurement plan.</w:t>
      </w:r>
      <w:r>
        <w:rPr>
          <w:rStyle w:val="FootnoteReference"/>
        </w:rPr>
        <w:footnoteReference w:id="54"/>
      </w:r>
      <w:r>
        <w:t xml:space="preserve">  Duquesne’s proposal for POLR VI would have 100% of the default service supply for Medium C&amp;I customers turn over every six months beginning in December 2013.  Such a complete turnover could lead to unreasonable default service price volatility, depending on the movement in market prices.</w:t>
      </w:r>
    </w:p>
    <w:p w:rsidR="006917B7" w:rsidRDefault="006917B7" w:rsidP="00FE1916">
      <w:pPr>
        <w:pStyle w:val="BodyText2"/>
        <w:spacing w:after="0" w:line="360" w:lineRule="auto"/>
        <w:rPr>
          <w:lang w:val="en-US"/>
        </w:rPr>
      </w:pPr>
    </w:p>
    <w:p w:rsidR="006917B7" w:rsidRDefault="006917B7" w:rsidP="00A31E89">
      <w:pPr>
        <w:pStyle w:val="BodyText2"/>
        <w:spacing w:after="0" w:line="360" w:lineRule="auto"/>
      </w:pPr>
      <w:r>
        <w:rPr>
          <w:lang w:val="en-US"/>
        </w:rPr>
        <w:tab/>
      </w:r>
      <w:r>
        <w:rPr>
          <w:lang w:val="en-US"/>
        </w:rPr>
        <w:tab/>
      </w:r>
      <w:r>
        <w:t>As an alternative, OSBA recommends a compromise in which Duquesne would utilize one-year (non-laddered) contracts to acquire 100% of the Medium C&amp;I default service supply.  This approach is similar to procurement plan approved in POLR V, except for the elimination of laddered contracts.  Under OSBA’s alternative proposal, all procurements should generally take place no more than two months prior to delivery of the default supply just as under Duquesne’s proposal.</w:t>
      </w:r>
    </w:p>
    <w:p w:rsidR="006917B7" w:rsidRDefault="006917B7" w:rsidP="00A31E89">
      <w:pPr>
        <w:pStyle w:val="BodyText"/>
        <w:spacing w:after="0" w:line="360" w:lineRule="auto"/>
        <w:ind w:left="0" w:firstLine="0"/>
        <w:rPr>
          <w:szCs w:val="24"/>
          <w:lang w:val="en-US"/>
        </w:rPr>
      </w:pPr>
    </w:p>
    <w:p w:rsidR="006917B7" w:rsidRPr="00B656E0" w:rsidRDefault="006917B7" w:rsidP="00A31E89">
      <w:pPr>
        <w:pStyle w:val="BodyText"/>
        <w:spacing w:after="0" w:line="360" w:lineRule="auto"/>
        <w:ind w:left="0"/>
      </w:pPr>
      <w:r>
        <w:t>Under OSBA’s alternative proposal (as set forth above), all procurements should generally take place no more than two months prior to delivery of the default supply just as under Duquesne’s proposal.</w:t>
      </w:r>
    </w:p>
    <w:p w:rsidR="006917B7" w:rsidRPr="006917B7" w:rsidRDefault="006917B7" w:rsidP="00A31E89">
      <w:pPr>
        <w:pStyle w:val="BodyText"/>
        <w:spacing w:after="0" w:line="360" w:lineRule="auto"/>
        <w:ind w:left="0" w:firstLine="0"/>
        <w:rPr>
          <w:szCs w:val="24"/>
          <w:lang w:val="en-US"/>
        </w:rPr>
      </w:pPr>
    </w:p>
    <w:p w:rsidR="006D4D99" w:rsidRDefault="00A31E89" w:rsidP="00A31E89">
      <w:pPr>
        <w:pStyle w:val="BriefL3"/>
        <w:numPr>
          <w:ilvl w:val="0"/>
          <w:numId w:val="0"/>
        </w:numPr>
        <w:spacing w:after="0" w:line="360" w:lineRule="auto"/>
        <w:ind w:left="720" w:firstLine="720"/>
        <w:rPr>
          <w:b/>
          <w:szCs w:val="24"/>
        </w:rPr>
      </w:pPr>
      <w:r>
        <w:rPr>
          <w:b/>
          <w:szCs w:val="24"/>
        </w:rPr>
        <w:t>e</w:t>
      </w:r>
      <w:r w:rsidR="006D4D99">
        <w:rPr>
          <w:b/>
          <w:szCs w:val="24"/>
        </w:rPr>
        <w:t>.</w:t>
      </w:r>
      <w:r w:rsidR="006D4D99">
        <w:rPr>
          <w:b/>
          <w:szCs w:val="24"/>
        </w:rPr>
        <w:tab/>
        <w:t>CAUSE’s Position</w:t>
      </w:r>
    </w:p>
    <w:p w:rsidR="006D4D99" w:rsidRDefault="006D4D99" w:rsidP="00A31E89">
      <w:pPr>
        <w:pStyle w:val="BodyText"/>
        <w:spacing w:after="0" w:line="360" w:lineRule="auto"/>
        <w:ind w:left="0" w:firstLine="0"/>
        <w:rPr>
          <w:szCs w:val="24"/>
          <w:lang w:val="en-US"/>
        </w:rPr>
      </w:pPr>
    </w:p>
    <w:p w:rsidR="006D4D99" w:rsidRDefault="00C62750" w:rsidP="00A31E89">
      <w:pPr>
        <w:pStyle w:val="BodyText2"/>
        <w:spacing w:after="0" w:line="360" w:lineRule="auto"/>
      </w:pPr>
      <w:r>
        <w:rPr>
          <w:lang w:val="en-US"/>
        </w:rPr>
        <w:tab/>
      </w:r>
      <w:r w:rsidR="006D4D99">
        <w:rPr>
          <w:lang w:val="en-US"/>
        </w:rPr>
        <w:tab/>
        <w:t>CAUSE</w:t>
      </w:r>
      <w:r w:rsidR="006D4D99">
        <w:t xml:space="preserve"> takes no position on this issue.</w:t>
      </w:r>
    </w:p>
    <w:p w:rsidR="006D4D99" w:rsidRDefault="006D4D99" w:rsidP="00A31E89">
      <w:pPr>
        <w:pStyle w:val="BriefL3"/>
        <w:numPr>
          <w:ilvl w:val="0"/>
          <w:numId w:val="0"/>
        </w:numPr>
        <w:spacing w:after="0" w:line="360" w:lineRule="auto"/>
        <w:rPr>
          <w:b/>
          <w:szCs w:val="24"/>
        </w:rPr>
      </w:pPr>
    </w:p>
    <w:p w:rsidR="0084672B" w:rsidRDefault="0084672B">
      <w:pPr>
        <w:autoSpaceDE/>
        <w:autoSpaceDN/>
        <w:rPr>
          <w:b/>
        </w:rPr>
      </w:pPr>
      <w:r>
        <w:rPr>
          <w:b/>
        </w:rPr>
        <w:br w:type="page"/>
      </w:r>
    </w:p>
    <w:p w:rsidR="006D4D99" w:rsidRDefault="00A31E89" w:rsidP="00A31E89">
      <w:pPr>
        <w:pStyle w:val="BriefL3"/>
        <w:numPr>
          <w:ilvl w:val="0"/>
          <w:numId w:val="0"/>
        </w:numPr>
        <w:spacing w:after="0" w:line="360" w:lineRule="auto"/>
        <w:ind w:left="720" w:firstLine="720"/>
        <w:rPr>
          <w:b/>
          <w:szCs w:val="24"/>
        </w:rPr>
      </w:pPr>
      <w:r>
        <w:rPr>
          <w:b/>
          <w:szCs w:val="24"/>
        </w:rPr>
        <w:lastRenderedPageBreak/>
        <w:t>f</w:t>
      </w:r>
      <w:r w:rsidR="006D4D99">
        <w:rPr>
          <w:b/>
          <w:szCs w:val="24"/>
        </w:rPr>
        <w:t>.</w:t>
      </w:r>
      <w:r w:rsidR="006D4D99">
        <w:rPr>
          <w:b/>
          <w:szCs w:val="24"/>
        </w:rPr>
        <w:tab/>
        <w:t>Citizen Power’s Position</w:t>
      </w:r>
    </w:p>
    <w:p w:rsidR="006D4D99" w:rsidRDefault="006D4D99" w:rsidP="00A31E89">
      <w:pPr>
        <w:pStyle w:val="BodyText"/>
        <w:spacing w:after="0" w:line="360" w:lineRule="auto"/>
        <w:ind w:left="0" w:firstLine="0"/>
        <w:rPr>
          <w:szCs w:val="24"/>
          <w:lang w:val="en-US"/>
        </w:rPr>
      </w:pPr>
    </w:p>
    <w:p w:rsidR="006D4D99" w:rsidRDefault="006D4D99" w:rsidP="00A31E89">
      <w:pPr>
        <w:pStyle w:val="BodyText2"/>
        <w:spacing w:after="0" w:line="360" w:lineRule="auto"/>
      </w:pPr>
      <w:r>
        <w:rPr>
          <w:lang w:val="en-US"/>
        </w:rPr>
        <w:tab/>
      </w:r>
      <w:r w:rsidR="00774E95">
        <w:rPr>
          <w:lang w:val="en-US"/>
        </w:rPr>
        <w:tab/>
      </w:r>
      <w:r>
        <w:rPr>
          <w:lang w:val="en-US"/>
        </w:rPr>
        <w:t>Citizen Power</w:t>
      </w:r>
      <w:r>
        <w:t xml:space="preserve"> takes no position on this issue.</w:t>
      </w:r>
    </w:p>
    <w:p w:rsidR="006D4D99" w:rsidRDefault="006D4D99" w:rsidP="00A31E89">
      <w:pPr>
        <w:pStyle w:val="BodyText"/>
        <w:spacing w:after="0" w:line="360" w:lineRule="auto"/>
        <w:ind w:left="0" w:firstLine="0"/>
        <w:rPr>
          <w:szCs w:val="24"/>
          <w:lang w:val="en-US"/>
        </w:rPr>
      </w:pPr>
    </w:p>
    <w:p w:rsidR="006D4D99" w:rsidRDefault="00A31E89" w:rsidP="00A31E89">
      <w:pPr>
        <w:pStyle w:val="BriefL3"/>
        <w:numPr>
          <w:ilvl w:val="0"/>
          <w:numId w:val="0"/>
        </w:numPr>
        <w:spacing w:after="0" w:line="360" w:lineRule="auto"/>
        <w:ind w:left="720" w:firstLine="720"/>
        <w:rPr>
          <w:b/>
          <w:szCs w:val="24"/>
        </w:rPr>
      </w:pPr>
      <w:r>
        <w:rPr>
          <w:b/>
          <w:szCs w:val="24"/>
        </w:rPr>
        <w:t>g</w:t>
      </w:r>
      <w:r w:rsidR="006D4D99">
        <w:rPr>
          <w:b/>
          <w:szCs w:val="24"/>
        </w:rPr>
        <w:t>.</w:t>
      </w:r>
      <w:r w:rsidR="006D4D99">
        <w:rPr>
          <w:b/>
          <w:szCs w:val="24"/>
        </w:rPr>
        <w:tab/>
        <w:t>Duquesne Industrial Intervenors’ Position</w:t>
      </w:r>
    </w:p>
    <w:p w:rsidR="006D4D99" w:rsidRDefault="006D4D99" w:rsidP="00A31E89">
      <w:pPr>
        <w:pStyle w:val="BodyText"/>
        <w:spacing w:after="0" w:line="360" w:lineRule="auto"/>
        <w:ind w:left="0" w:firstLine="0"/>
        <w:rPr>
          <w:szCs w:val="24"/>
          <w:lang w:val="en-US"/>
        </w:rPr>
      </w:pPr>
    </w:p>
    <w:p w:rsidR="006D4D99" w:rsidRDefault="006D4D99" w:rsidP="006D4D99">
      <w:pPr>
        <w:pStyle w:val="BodyText2"/>
      </w:pPr>
      <w:r>
        <w:rPr>
          <w:lang w:val="en-US"/>
        </w:rPr>
        <w:tab/>
      </w:r>
      <w:r w:rsidR="00774E95">
        <w:rPr>
          <w:lang w:val="en-US"/>
        </w:rPr>
        <w:tab/>
      </w:r>
      <w:r>
        <w:rPr>
          <w:lang w:val="en-US"/>
        </w:rPr>
        <w:t>DII</w:t>
      </w:r>
      <w:r>
        <w:t xml:space="preserve"> takes no position on this issue.</w:t>
      </w:r>
    </w:p>
    <w:p w:rsidR="006D4D99" w:rsidRDefault="00A31E89" w:rsidP="00A31E89">
      <w:pPr>
        <w:pStyle w:val="BriefL3"/>
        <w:numPr>
          <w:ilvl w:val="0"/>
          <w:numId w:val="0"/>
        </w:numPr>
        <w:spacing w:after="0" w:line="360" w:lineRule="auto"/>
        <w:ind w:left="720" w:firstLine="720"/>
        <w:rPr>
          <w:b/>
          <w:szCs w:val="24"/>
        </w:rPr>
      </w:pPr>
      <w:r>
        <w:rPr>
          <w:b/>
          <w:szCs w:val="24"/>
        </w:rPr>
        <w:t>h</w:t>
      </w:r>
      <w:r w:rsidR="006D4D99">
        <w:rPr>
          <w:b/>
          <w:szCs w:val="24"/>
        </w:rPr>
        <w:t>.</w:t>
      </w:r>
      <w:r w:rsidR="006D4D99">
        <w:rPr>
          <w:b/>
          <w:szCs w:val="24"/>
        </w:rPr>
        <w:tab/>
        <w:t>EGS Parties’ Position</w:t>
      </w:r>
    </w:p>
    <w:p w:rsidR="006D4D99" w:rsidRDefault="006D4D99" w:rsidP="00A31E89">
      <w:pPr>
        <w:pStyle w:val="BodyText"/>
        <w:spacing w:after="0" w:line="360" w:lineRule="auto"/>
        <w:ind w:left="0" w:firstLine="0"/>
        <w:rPr>
          <w:szCs w:val="24"/>
          <w:lang w:val="en-US"/>
        </w:rPr>
      </w:pPr>
    </w:p>
    <w:p w:rsidR="006D4D99" w:rsidRDefault="006D4D99" w:rsidP="00A31E89">
      <w:pPr>
        <w:pStyle w:val="BodyText2"/>
        <w:spacing w:after="0" w:line="360" w:lineRule="auto"/>
      </w:pPr>
      <w:r>
        <w:rPr>
          <w:lang w:val="en-US"/>
        </w:rPr>
        <w:tab/>
      </w:r>
      <w:r w:rsidR="00774E95">
        <w:rPr>
          <w:lang w:val="en-US"/>
        </w:rPr>
        <w:tab/>
      </w:r>
      <w:r>
        <w:rPr>
          <w:lang w:val="en-US"/>
        </w:rPr>
        <w:t>EGS Parties take</w:t>
      </w:r>
      <w:r>
        <w:t xml:space="preserve"> no position on this issue.</w:t>
      </w:r>
    </w:p>
    <w:p w:rsidR="006D4D99" w:rsidRDefault="006D4D99" w:rsidP="00A31E89">
      <w:pPr>
        <w:pStyle w:val="BodyText"/>
        <w:spacing w:after="0" w:line="360" w:lineRule="auto"/>
        <w:ind w:left="0" w:firstLine="0"/>
        <w:rPr>
          <w:szCs w:val="24"/>
          <w:lang w:val="en-US"/>
        </w:rPr>
      </w:pPr>
    </w:p>
    <w:p w:rsidR="006D4D99" w:rsidRDefault="00A31E89" w:rsidP="00A31E89">
      <w:pPr>
        <w:pStyle w:val="BriefL3"/>
        <w:numPr>
          <w:ilvl w:val="0"/>
          <w:numId w:val="0"/>
        </w:numPr>
        <w:spacing w:after="0" w:line="360" w:lineRule="auto"/>
        <w:ind w:left="720" w:firstLine="720"/>
        <w:rPr>
          <w:b/>
          <w:szCs w:val="24"/>
        </w:rPr>
      </w:pPr>
      <w:r>
        <w:rPr>
          <w:b/>
          <w:szCs w:val="24"/>
        </w:rPr>
        <w:t>i</w:t>
      </w:r>
      <w:r w:rsidR="006D4D99">
        <w:rPr>
          <w:b/>
          <w:szCs w:val="24"/>
        </w:rPr>
        <w:t>.</w:t>
      </w:r>
      <w:r w:rsidR="006D4D99">
        <w:rPr>
          <w:b/>
          <w:szCs w:val="24"/>
        </w:rPr>
        <w:tab/>
        <w:t>FirstEnergy Solutions’ Position</w:t>
      </w:r>
    </w:p>
    <w:p w:rsidR="006D4D99" w:rsidRDefault="006D4D99" w:rsidP="00A31E89">
      <w:pPr>
        <w:pStyle w:val="BodyText"/>
        <w:spacing w:after="0" w:line="360" w:lineRule="auto"/>
        <w:ind w:left="0" w:firstLine="0"/>
        <w:rPr>
          <w:szCs w:val="24"/>
          <w:lang w:val="en-US"/>
        </w:rPr>
      </w:pPr>
    </w:p>
    <w:p w:rsidR="007E5B4B" w:rsidRDefault="007E5B4B" w:rsidP="00A31E89">
      <w:pPr>
        <w:pStyle w:val="BodyTextFirstLine5DS"/>
        <w:spacing w:line="360" w:lineRule="auto"/>
        <w:jc w:val="left"/>
      </w:pPr>
      <w:r>
        <w:tab/>
        <w:t xml:space="preserve">FES supports OSBA's proposal that Medium C&amp;I customer default supply be obtained via one-year, non-laddered, FPFR contracts.  OSBA St. No. 1 at 6.  OSBA's procurement strategy would be similar to that utilized by Duquesne Light in POLR V, but eliminates laddering of contracts, and would result in greater price stability for those Medium C&amp;I customers who choose to take default service rather than Duquesne Light's proposal, while still being more market-reflective for these customers than Duquesne Light's POLR V procurement strategy.  </w:t>
      </w:r>
      <w:r>
        <w:rPr>
          <w:i/>
        </w:rPr>
        <w:t xml:space="preserve">Id. </w:t>
      </w:r>
      <w:r>
        <w:t>at 6.</w:t>
      </w:r>
    </w:p>
    <w:p w:rsidR="007E5B4B" w:rsidRDefault="007E5B4B" w:rsidP="00A31E89">
      <w:pPr>
        <w:pStyle w:val="BodyTextFirstLine5DS"/>
        <w:spacing w:line="360" w:lineRule="auto"/>
        <w:jc w:val="left"/>
      </w:pPr>
      <w:r>
        <w:tab/>
      </w:r>
    </w:p>
    <w:p w:rsidR="007E5B4B" w:rsidRDefault="007E5B4B" w:rsidP="00A31E89">
      <w:pPr>
        <w:pStyle w:val="BodyTextFirstLine5DS"/>
        <w:spacing w:line="360" w:lineRule="auto"/>
        <w:jc w:val="left"/>
      </w:pPr>
      <w:r>
        <w:tab/>
        <w:t>FES argues RESA's proposal would not allow a reasonable transition to end state default service for the smallest customers in Duquesne Light's Medium C&amp;I class and should be rejected.  The evidence demonstrates that the price stability of Duquesne Light's POLR V plan has presented no bar to shopping, as Medium C&amp;I customer switching increased from 45% to 57% over the course of Duquesne Light's POLR V program.  FES Ex. TCB-4 (Duquesne Light Response to RESA-I-3).  Therefore, FES asks that RESA's recommended portfolio for Medium C&amp;I customers be denied.</w:t>
      </w:r>
    </w:p>
    <w:p w:rsidR="006D4D99" w:rsidRDefault="006D4D99" w:rsidP="00A31E89">
      <w:pPr>
        <w:pStyle w:val="BodyText"/>
        <w:spacing w:after="0" w:line="360" w:lineRule="auto"/>
        <w:ind w:left="0" w:firstLine="0"/>
        <w:rPr>
          <w:szCs w:val="24"/>
          <w:lang w:val="en-US"/>
        </w:rPr>
      </w:pPr>
    </w:p>
    <w:p w:rsidR="0084672B" w:rsidRDefault="0084672B">
      <w:pPr>
        <w:autoSpaceDE/>
        <w:autoSpaceDN/>
        <w:rPr>
          <w:b/>
        </w:rPr>
      </w:pPr>
      <w:r>
        <w:rPr>
          <w:b/>
        </w:rPr>
        <w:br w:type="page"/>
      </w:r>
    </w:p>
    <w:p w:rsidR="006D4D99" w:rsidRDefault="00A31E89" w:rsidP="00A31E89">
      <w:pPr>
        <w:pStyle w:val="BriefL3"/>
        <w:numPr>
          <w:ilvl w:val="0"/>
          <w:numId w:val="0"/>
        </w:numPr>
        <w:spacing w:after="0" w:line="360" w:lineRule="auto"/>
        <w:ind w:left="720" w:firstLine="720"/>
        <w:rPr>
          <w:b/>
          <w:szCs w:val="24"/>
        </w:rPr>
      </w:pPr>
      <w:r>
        <w:rPr>
          <w:b/>
          <w:szCs w:val="24"/>
        </w:rPr>
        <w:lastRenderedPageBreak/>
        <w:t>j</w:t>
      </w:r>
      <w:r w:rsidR="006D4D99">
        <w:rPr>
          <w:b/>
          <w:szCs w:val="24"/>
        </w:rPr>
        <w:t>.</w:t>
      </w:r>
      <w:r w:rsidR="006D4D99">
        <w:rPr>
          <w:b/>
          <w:szCs w:val="24"/>
        </w:rPr>
        <w:tab/>
        <w:t>Joint Suppliers’ Position</w:t>
      </w:r>
    </w:p>
    <w:p w:rsidR="006D4D99" w:rsidRDefault="006D4D99" w:rsidP="00A31E89">
      <w:pPr>
        <w:pStyle w:val="BodyText"/>
        <w:spacing w:after="0" w:line="360" w:lineRule="auto"/>
        <w:ind w:left="0" w:firstLine="0"/>
        <w:rPr>
          <w:szCs w:val="24"/>
          <w:lang w:val="en-US"/>
        </w:rPr>
      </w:pPr>
    </w:p>
    <w:p w:rsidR="006D4D99" w:rsidRDefault="006D4D99" w:rsidP="00A31E89">
      <w:pPr>
        <w:pStyle w:val="BodyText2"/>
        <w:spacing w:after="0" w:line="360" w:lineRule="auto"/>
        <w:rPr>
          <w:lang w:val="en-US"/>
        </w:rPr>
      </w:pPr>
      <w:r>
        <w:rPr>
          <w:lang w:val="en-US"/>
        </w:rPr>
        <w:tab/>
      </w:r>
      <w:r w:rsidR="00207B5A">
        <w:rPr>
          <w:lang w:val="en-US"/>
        </w:rPr>
        <w:tab/>
      </w:r>
      <w:r>
        <w:rPr>
          <w:lang w:val="en-US"/>
        </w:rPr>
        <w:t>Joint Suppliers take</w:t>
      </w:r>
      <w:r>
        <w:t xml:space="preserve"> no position on this issue.</w:t>
      </w:r>
    </w:p>
    <w:p w:rsidR="007D17E2" w:rsidRPr="007D17E2" w:rsidRDefault="007D17E2" w:rsidP="00A31E89">
      <w:pPr>
        <w:pStyle w:val="BodyText2"/>
        <w:spacing w:after="0" w:line="360" w:lineRule="auto"/>
        <w:rPr>
          <w:lang w:val="en-US"/>
        </w:rPr>
      </w:pPr>
    </w:p>
    <w:p w:rsidR="00DD6125" w:rsidRPr="00832033" w:rsidRDefault="00DD6125" w:rsidP="00A31E89">
      <w:pPr>
        <w:pStyle w:val="ListParagraph"/>
        <w:autoSpaceDE/>
        <w:autoSpaceDN/>
        <w:spacing w:line="360" w:lineRule="auto"/>
        <w:ind w:left="0"/>
        <w:rPr>
          <w:b/>
        </w:rPr>
      </w:pPr>
      <w:r w:rsidRPr="00832033">
        <w:rPr>
          <w:b/>
        </w:rPr>
        <w:t>Disposition</w:t>
      </w:r>
      <w:r w:rsidR="004A6054" w:rsidRPr="00832033">
        <w:rPr>
          <w:b/>
        </w:rPr>
        <w:t xml:space="preserve"> – Medium C&amp;I Procurement</w:t>
      </w:r>
    </w:p>
    <w:p w:rsidR="00DD6125" w:rsidRDefault="00DD6125" w:rsidP="00A31E89">
      <w:pPr>
        <w:pStyle w:val="BodyText"/>
        <w:spacing w:after="0" w:line="360" w:lineRule="auto"/>
        <w:ind w:left="0" w:firstLine="0"/>
        <w:rPr>
          <w:szCs w:val="24"/>
          <w:lang w:val="en-US"/>
        </w:rPr>
      </w:pPr>
    </w:p>
    <w:p w:rsidR="00D36952" w:rsidRPr="004E7112" w:rsidRDefault="00D36952" w:rsidP="00D36952">
      <w:pPr>
        <w:pStyle w:val="BodyText2"/>
        <w:spacing w:after="0" w:line="360" w:lineRule="auto"/>
        <w:rPr>
          <w:color w:val="000000" w:themeColor="text1"/>
          <w:lang w:val="en-US"/>
        </w:rPr>
      </w:pPr>
      <w:r w:rsidRPr="004E7112">
        <w:rPr>
          <w:color w:val="000000" w:themeColor="text1"/>
          <w:lang w:val="en-US"/>
        </w:rPr>
        <w:tab/>
      </w:r>
      <w:r w:rsidRPr="004E7112">
        <w:rPr>
          <w:color w:val="000000" w:themeColor="text1"/>
          <w:lang w:val="en-US"/>
        </w:rPr>
        <w:tab/>
        <w:t xml:space="preserve">I agree with the perspective provided by OSBA in its Main Brief that Medium C&amp;I consumers will have more options and more opportunities to shop for energy costs at a fixed rate over a longer term, if they so choose.  Yet I also agree that some consumers will shop and examine the energy products available </w:t>
      </w:r>
      <w:r>
        <w:rPr>
          <w:color w:val="000000" w:themeColor="text1"/>
          <w:lang w:val="en-US"/>
        </w:rPr>
        <w:t>–</w:t>
      </w:r>
      <w:r w:rsidRPr="004E7112">
        <w:rPr>
          <w:color w:val="000000" w:themeColor="text1"/>
          <w:lang w:val="en-US"/>
        </w:rPr>
        <w:t xml:space="preserve"> and still remain with the default service provider.  Consumers who remain on default service </w:t>
      </w:r>
      <w:r w:rsidRPr="004E7112">
        <w:rPr>
          <w:color w:val="000000" w:themeColor="text1"/>
          <w:u w:val="single"/>
          <w:lang w:val="en-US"/>
        </w:rPr>
        <w:t>may</w:t>
      </w:r>
      <w:r w:rsidRPr="004E7112">
        <w:rPr>
          <w:color w:val="000000" w:themeColor="text1"/>
          <w:lang w:val="en-US"/>
        </w:rPr>
        <w:t xml:space="preserve"> be shoppers who did not find an offer attractive enough to entice them away from default service, or they may be consumers who are too timid to dip their toes into the competitive waters.  These customers should</w:t>
      </w:r>
      <w:r w:rsidRPr="004E7112">
        <w:rPr>
          <w:color w:val="000000" w:themeColor="text1"/>
        </w:rPr>
        <w:t xml:space="preserve"> not be </w:t>
      </w:r>
      <w:r w:rsidRPr="004E7112">
        <w:rPr>
          <w:color w:val="000000" w:themeColor="text1"/>
          <w:lang w:val="en-US"/>
        </w:rPr>
        <w:t>burdened</w:t>
      </w:r>
      <w:r w:rsidRPr="004E7112">
        <w:rPr>
          <w:color w:val="000000" w:themeColor="text1"/>
        </w:rPr>
        <w:t xml:space="preserve"> with </w:t>
      </w:r>
      <w:r w:rsidRPr="004E7112">
        <w:rPr>
          <w:color w:val="000000" w:themeColor="text1"/>
          <w:lang w:val="en-US"/>
        </w:rPr>
        <w:t>a</w:t>
      </w:r>
      <w:r w:rsidRPr="004E7112">
        <w:rPr>
          <w:color w:val="000000" w:themeColor="text1"/>
        </w:rPr>
        <w:t xml:space="preserve"> volatile rate</w:t>
      </w:r>
      <w:r w:rsidRPr="004E7112">
        <w:rPr>
          <w:color w:val="000000" w:themeColor="text1"/>
          <w:lang w:val="en-US"/>
        </w:rPr>
        <w:t xml:space="preserve">.  </w:t>
      </w:r>
    </w:p>
    <w:p w:rsidR="00D36952" w:rsidRPr="004E7112" w:rsidRDefault="00D36952" w:rsidP="00D36952">
      <w:pPr>
        <w:pStyle w:val="BodyText2"/>
        <w:spacing w:after="0" w:line="360" w:lineRule="auto"/>
        <w:rPr>
          <w:color w:val="000000" w:themeColor="text1"/>
          <w:lang w:val="en-US"/>
        </w:rPr>
      </w:pPr>
    </w:p>
    <w:p w:rsidR="00D36952" w:rsidRPr="004E7112" w:rsidRDefault="00D36952" w:rsidP="00D36952">
      <w:pPr>
        <w:pStyle w:val="BodyText2"/>
        <w:spacing w:after="0" w:line="360" w:lineRule="auto"/>
        <w:rPr>
          <w:color w:val="000000" w:themeColor="text1"/>
          <w:lang w:val="en-US"/>
        </w:rPr>
      </w:pPr>
      <w:r w:rsidRPr="004E7112">
        <w:rPr>
          <w:color w:val="000000" w:themeColor="text1"/>
          <w:lang w:val="en-US"/>
        </w:rPr>
        <w:tab/>
      </w:r>
      <w:r w:rsidRPr="004E7112">
        <w:rPr>
          <w:color w:val="000000" w:themeColor="text1"/>
          <w:lang w:val="en-US"/>
        </w:rPr>
        <w:tab/>
        <w:t xml:space="preserve">Therefore, I recommend approval of Duquesne Light’s plan for the reasons it states.  There is insufficient evidence provided to show now is the appropriate time to force 100% participation in shopping where only half of the Company’s customers in this class shop currently.  The goal of 100% participation will hopefully become attainable in the next plan period (set to start in 2015) at which time quarterly adjustments may be added.  However, adding such frequent adjustments now is too premature and may result in precipitous drops in shopping due to lessened price stability.  </w:t>
      </w:r>
    </w:p>
    <w:p w:rsidR="00F10CD3" w:rsidRPr="00F10CD3" w:rsidRDefault="00B918E3" w:rsidP="00F10CD3">
      <w:pPr>
        <w:pStyle w:val="BodyText2"/>
        <w:spacing w:after="0" w:line="360" w:lineRule="auto"/>
        <w:rPr>
          <w:lang w:val="en-US"/>
        </w:rPr>
      </w:pPr>
      <w:r>
        <w:rPr>
          <w:lang w:val="en-US"/>
        </w:rPr>
        <w:t xml:space="preserve"> </w:t>
      </w:r>
    </w:p>
    <w:p w:rsidR="00EE639F" w:rsidRPr="00DD6125" w:rsidRDefault="00EE639F" w:rsidP="00692C19">
      <w:pPr>
        <w:pStyle w:val="BodyText"/>
        <w:spacing w:after="0" w:line="360" w:lineRule="auto"/>
        <w:ind w:left="0" w:firstLine="0"/>
        <w:rPr>
          <w:b/>
          <w:szCs w:val="24"/>
          <w:lang w:val="en-US"/>
        </w:rPr>
      </w:pPr>
      <w:r>
        <w:rPr>
          <w:szCs w:val="24"/>
          <w:lang w:val="en-US"/>
        </w:rPr>
        <w:tab/>
      </w:r>
      <w:r w:rsidRPr="00DD6125">
        <w:rPr>
          <w:b/>
          <w:szCs w:val="24"/>
          <w:lang w:val="en-US"/>
        </w:rPr>
        <w:t>4.</w:t>
      </w:r>
      <w:r w:rsidRPr="00DD6125">
        <w:rPr>
          <w:b/>
          <w:szCs w:val="24"/>
          <w:lang w:val="en-US"/>
        </w:rPr>
        <w:tab/>
        <w:t>Large C</w:t>
      </w:r>
      <w:r w:rsidR="0086394E">
        <w:rPr>
          <w:b/>
          <w:szCs w:val="24"/>
          <w:lang w:val="en-US"/>
        </w:rPr>
        <w:t>&amp;I</w:t>
      </w:r>
      <w:r w:rsidRPr="00DD6125">
        <w:rPr>
          <w:b/>
          <w:szCs w:val="24"/>
          <w:lang w:val="en-US"/>
        </w:rPr>
        <w:t xml:space="preserve"> Procurement</w:t>
      </w:r>
    </w:p>
    <w:p w:rsidR="00EE639F" w:rsidRDefault="00EE639F" w:rsidP="00692C19">
      <w:pPr>
        <w:pStyle w:val="BodyText"/>
        <w:spacing w:after="0" w:line="360" w:lineRule="auto"/>
        <w:ind w:left="0" w:firstLine="0"/>
        <w:rPr>
          <w:szCs w:val="24"/>
          <w:lang w:val="en-US"/>
        </w:rPr>
      </w:pPr>
    </w:p>
    <w:p w:rsidR="0055352D" w:rsidRPr="00B918E3" w:rsidRDefault="0055352D" w:rsidP="00692C19">
      <w:pPr>
        <w:pStyle w:val="BodyText2"/>
        <w:rPr>
          <w:lang w:val="en-US"/>
        </w:rPr>
      </w:pPr>
      <w:r>
        <w:rPr>
          <w:lang w:val="en-US"/>
        </w:rPr>
        <w:tab/>
      </w:r>
      <w:r>
        <w:rPr>
          <w:lang w:val="en-US"/>
        </w:rPr>
        <w:tab/>
      </w:r>
      <w:r>
        <w:t>No party raised any</w:t>
      </w:r>
      <w:r w:rsidR="00723BD6">
        <w:rPr>
          <w:lang w:val="en-US"/>
        </w:rPr>
        <w:t xml:space="preserve"> unresolved</w:t>
      </w:r>
      <w:r>
        <w:t xml:space="preserve"> Large C&amp;I procurement issues in their </w:t>
      </w:r>
      <w:r w:rsidR="00723BD6">
        <w:rPr>
          <w:lang w:val="en-US"/>
        </w:rPr>
        <w:t>briefs</w:t>
      </w:r>
      <w:r>
        <w:t xml:space="preserve"> in this proceeding.</w:t>
      </w:r>
      <w:r w:rsidR="003C38EE">
        <w:rPr>
          <w:lang w:val="en-US"/>
        </w:rPr>
        <w:t xml:space="preserve">  </w:t>
      </w:r>
      <w:r>
        <w:t xml:space="preserve">  </w:t>
      </w:r>
    </w:p>
    <w:p w:rsidR="0084672B" w:rsidRDefault="0084672B">
      <w:pPr>
        <w:autoSpaceDE/>
        <w:autoSpaceDN/>
        <w:rPr>
          <w:b/>
        </w:rPr>
      </w:pPr>
      <w:r>
        <w:rPr>
          <w:b/>
        </w:rPr>
        <w:br w:type="page"/>
      </w:r>
    </w:p>
    <w:p w:rsidR="00DD6125" w:rsidRPr="00832033" w:rsidRDefault="00DD6125" w:rsidP="00A31E89">
      <w:pPr>
        <w:pStyle w:val="ListParagraph"/>
        <w:autoSpaceDE/>
        <w:autoSpaceDN/>
        <w:spacing w:line="360" w:lineRule="auto"/>
        <w:ind w:left="0"/>
        <w:rPr>
          <w:b/>
        </w:rPr>
      </w:pPr>
      <w:r w:rsidRPr="00832033">
        <w:rPr>
          <w:b/>
        </w:rPr>
        <w:lastRenderedPageBreak/>
        <w:t>Disposition</w:t>
      </w:r>
      <w:r w:rsidR="003C38EE" w:rsidRPr="00832033">
        <w:rPr>
          <w:b/>
        </w:rPr>
        <w:t xml:space="preserve"> </w:t>
      </w:r>
      <w:r w:rsidR="004A6054" w:rsidRPr="00832033">
        <w:rPr>
          <w:b/>
        </w:rPr>
        <w:t>– Large C&amp;I Procurement</w:t>
      </w:r>
      <w:r w:rsidR="003C38EE" w:rsidRPr="00832033">
        <w:rPr>
          <w:b/>
        </w:rPr>
        <w:t xml:space="preserve"> </w:t>
      </w:r>
    </w:p>
    <w:p w:rsidR="00DD6125" w:rsidRDefault="00DD6125" w:rsidP="00A31E89">
      <w:pPr>
        <w:pStyle w:val="BodyText"/>
        <w:spacing w:after="0" w:line="360" w:lineRule="auto"/>
        <w:ind w:left="0" w:firstLine="0"/>
        <w:rPr>
          <w:szCs w:val="24"/>
          <w:lang w:val="en-US"/>
        </w:rPr>
      </w:pPr>
    </w:p>
    <w:p w:rsidR="00723BD6" w:rsidRDefault="00723BD6" w:rsidP="00A31E89">
      <w:pPr>
        <w:pStyle w:val="BodyText2"/>
        <w:spacing w:after="0" w:line="360" w:lineRule="auto"/>
        <w:rPr>
          <w:lang w:val="en-US"/>
        </w:rPr>
      </w:pPr>
      <w:r>
        <w:rPr>
          <w:lang w:val="en-US"/>
        </w:rPr>
        <w:tab/>
      </w:r>
      <w:r>
        <w:rPr>
          <w:lang w:val="en-US"/>
        </w:rPr>
        <w:tab/>
      </w:r>
      <w:r w:rsidR="00B918E3">
        <w:rPr>
          <w:lang w:val="en-US"/>
        </w:rPr>
        <w:t>I re</w:t>
      </w:r>
      <w:r w:rsidR="00832033">
        <w:rPr>
          <w:lang w:val="en-US"/>
        </w:rPr>
        <w:t>commend approval of Duquesne Light</w:t>
      </w:r>
      <w:r w:rsidR="00B918E3">
        <w:rPr>
          <w:lang w:val="en-US"/>
        </w:rPr>
        <w:t xml:space="preserve">’s current plan with Large C&amp;I customers.  </w:t>
      </w:r>
      <w:r>
        <w:rPr>
          <w:lang w:val="en-US"/>
        </w:rPr>
        <w:t>L</w:t>
      </w:r>
      <w:r>
        <w:t xml:space="preserve">arge C&amp;I default service customers </w:t>
      </w:r>
      <w:r>
        <w:rPr>
          <w:lang w:val="en-US"/>
        </w:rPr>
        <w:t>should</w:t>
      </w:r>
      <w:r>
        <w:t xml:space="preserve"> continue to receive day ahead spot prices.</w:t>
      </w:r>
      <w:r w:rsidR="00F10CD3">
        <w:rPr>
          <w:lang w:val="en-US"/>
        </w:rPr>
        <w:t xml:space="preserve">  </w:t>
      </w:r>
    </w:p>
    <w:p w:rsidR="00A31E89" w:rsidRDefault="00A31E89" w:rsidP="00A31E89">
      <w:pPr>
        <w:pStyle w:val="BodyText2"/>
        <w:spacing w:after="0" w:line="360" w:lineRule="auto"/>
        <w:rPr>
          <w:lang w:val="en-US"/>
        </w:rPr>
      </w:pPr>
    </w:p>
    <w:p w:rsidR="00EE639F" w:rsidRPr="00DD6125" w:rsidRDefault="00EE639F" w:rsidP="00A31E89">
      <w:pPr>
        <w:pStyle w:val="BodyText"/>
        <w:spacing w:after="0" w:line="360" w:lineRule="auto"/>
        <w:ind w:left="0" w:firstLine="0"/>
        <w:rPr>
          <w:b/>
          <w:szCs w:val="24"/>
          <w:lang w:val="en-US"/>
        </w:rPr>
      </w:pPr>
      <w:r>
        <w:rPr>
          <w:szCs w:val="24"/>
          <w:lang w:val="en-US"/>
        </w:rPr>
        <w:tab/>
      </w:r>
      <w:r w:rsidRPr="00DD6125">
        <w:rPr>
          <w:b/>
          <w:szCs w:val="24"/>
          <w:lang w:val="en-US"/>
        </w:rPr>
        <w:t>5.</w:t>
      </w:r>
      <w:r w:rsidRPr="00DD6125">
        <w:rPr>
          <w:b/>
          <w:szCs w:val="24"/>
          <w:lang w:val="en-US"/>
        </w:rPr>
        <w:tab/>
        <w:t xml:space="preserve">Default Supply Load </w:t>
      </w:r>
      <w:r w:rsidR="00B918E3">
        <w:rPr>
          <w:b/>
          <w:szCs w:val="24"/>
          <w:lang w:val="en-US"/>
        </w:rPr>
        <w:t>Cap</w:t>
      </w:r>
      <w:r w:rsidRPr="00DD6125">
        <w:rPr>
          <w:b/>
          <w:szCs w:val="24"/>
          <w:lang w:val="en-US"/>
        </w:rPr>
        <w:t xml:space="preserve"> Issues</w:t>
      </w:r>
    </w:p>
    <w:p w:rsidR="00EE639F" w:rsidRDefault="00EE639F" w:rsidP="00A31E89">
      <w:pPr>
        <w:pStyle w:val="BodyText"/>
        <w:spacing w:after="0" w:line="360" w:lineRule="auto"/>
        <w:ind w:left="0" w:firstLine="0"/>
        <w:rPr>
          <w:szCs w:val="24"/>
          <w:lang w:val="en-US"/>
        </w:rPr>
      </w:pPr>
    </w:p>
    <w:p w:rsidR="00692C19" w:rsidRDefault="00A31E89" w:rsidP="00A31E89">
      <w:pPr>
        <w:pStyle w:val="BriefL3"/>
        <w:numPr>
          <w:ilvl w:val="0"/>
          <w:numId w:val="0"/>
        </w:numPr>
        <w:spacing w:after="0" w:line="360" w:lineRule="auto"/>
        <w:ind w:left="2160" w:hanging="720"/>
        <w:outlineLvl w:val="9"/>
        <w:rPr>
          <w:b/>
          <w:szCs w:val="24"/>
        </w:rPr>
      </w:pPr>
      <w:r>
        <w:rPr>
          <w:b/>
          <w:szCs w:val="24"/>
        </w:rPr>
        <w:t>a</w:t>
      </w:r>
      <w:r w:rsidR="00692C19">
        <w:rPr>
          <w:b/>
          <w:szCs w:val="24"/>
        </w:rPr>
        <w:t>.</w:t>
      </w:r>
      <w:r w:rsidR="00692C19">
        <w:rPr>
          <w:b/>
          <w:szCs w:val="24"/>
        </w:rPr>
        <w:tab/>
        <w:t>DLC’s Proposal</w:t>
      </w:r>
    </w:p>
    <w:p w:rsidR="0055352D" w:rsidRDefault="0055352D" w:rsidP="00A31E89">
      <w:pPr>
        <w:pStyle w:val="BodyText"/>
        <w:spacing w:after="0" w:line="360" w:lineRule="auto"/>
        <w:ind w:left="0" w:firstLine="0"/>
        <w:rPr>
          <w:szCs w:val="24"/>
          <w:lang w:val="en-US"/>
        </w:rPr>
      </w:pPr>
    </w:p>
    <w:p w:rsidR="000B3A2F" w:rsidRDefault="0055352D" w:rsidP="00A31E89">
      <w:pPr>
        <w:pStyle w:val="BodyText2"/>
        <w:spacing w:after="0" w:line="360" w:lineRule="auto"/>
        <w:rPr>
          <w:lang w:val="en-US"/>
        </w:rPr>
      </w:pPr>
      <w:r>
        <w:rPr>
          <w:lang w:val="en-US"/>
        </w:rPr>
        <w:tab/>
      </w:r>
      <w:r>
        <w:rPr>
          <w:lang w:val="en-US"/>
        </w:rPr>
        <w:tab/>
      </w:r>
      <w:r>
        <w:t xml:space="preserve">Duquesne Light proposed a 50% load cap on the supply contract that any supplier could be awarded in an RFP.  </w:t>
      </w:r>
      <w:r w:rsidR="00B40BC3">
        <w:rPr>
          <w:lang w:val="en-US"/>
        </w:rPr>
        <w:t>N</w:t>
      </w:r>
      <w:r>
        <w:t xml:space="preserve">o more than 50% of the tranches available for any procurement </w:t>
      </w:r>
    </w:p>
    <w:p w:rsidR="0055352D" w:rsidRDefault="0055352D" w:rsidP="00692C19">
      <w:pPr>
        <w:pStyle w:val="BodyText2"/>
        <w:spacing w:after="0" w:line="360" w:lineRule="auto"/>
      </w:pPr>
      <w:r>
        <w:t>class (Residential, Small C&amp;I or Medium C&amp;I) can be awarded to any supplier in any RFP.  Duquesne Light Ex. No. 1, p. 14.  Duquesne Light proposed a 50% load cap to ensure a diversity of default service suppliers and to reduce the impact of any single supplier’s default.</w:t>
      </w:r>
    </w:p>
    <w:p w:rsidR="0055352D" w:rsidRDefault="0055352D" w:rsidP="00692C19">
      <w:pPr>
        <w:pStyle w:val="BodyText2"/>
        <w:spacing w:after="0" w:line="360" w:lineRule="auto"/>
        <w:rPr>
          <w:lang w:val="en-US"/>
        </w:rPr>
      </w:pPr>
    </w:p>
    <w:p w:rsidR="0055352D" w:rsidRDefault="0055352D" w:rsidP="00692C19">
      <w:pPr>
        <w:pStyle w:val="BodyText2"/>
        <w:spacing w:after="0" w:line="360" w:lineRule="auto"/>
        <w:rPr>
          <w:lang w:val="en-US"/>
        </w:rPr>
      </w:pPr>
      <w:r>
        <w:rPr>
          <w:lang w:val="en-US"/>
        </w:rPr>
        <w:tab/>
      </w:r>
      <w:r>
        <w:rPr>
          <w:lang w:val="en-US"/>
        </w:rPr>
        <w:tab/>
        <w:t xml:space="preserve">The Company noted </w:t>
      </w:r>
      <w:r>
        <w:t xml:space="preserve">FES disagrees with </w:t>
      </w:r>
      <w:r>
        <w:rPr>
          <w:lang w:val="en-US"/>
        </w:rPr>
        <w:t>its</w:t>
      </w:r>
      <w:r>
        <w:t xml:space="preserve"> proposed 50% load cap</w:t>
      </w:r>
      <w:r>
        <w:rPr>
          <w:lang w:val="en-US"/>
        </w:rPr>
        <w:t>, in that</w:t>
      </w:r>
      <w:r>
        <w:t xml:space="preserve"> FES argues the load cap under DSP V was 75% and, therefore, a 50% load cap will increase default service rates.  FES St. No. 1, pp. 8-9.</w:t>
      </w:r>
      <w:r>
        <w:rPr>
          <w:lang w:val="en-US"/>
        </w:rPr>
        <w:t xml:space="preserve">  </w:t>
      </w:r>
      <w:r>
        <w:t>Duquesne Light disagrees with FES’</w:t>
      </w:r>
      <w:r>
        <w:rPr>
          <w:lang w:val="en-US"/>
        </w:rPr>
        <w:t xml:space="preserve"> </w:t>
      </w:r>
      <w:r>
        <w:t>position for several reasons.  First, Duquesne Light</w:t>
      </w:r>
      <w:r>
        <w:rPr>
          <w:lang w:val="en-US"/>
        </w:rPr>
        <w:t xml:space="preserve"> argues its </w:t>
      </w:r>
      <w:r>
        <w:t>proposed 50% load cap is consistent with the recent decision in the FE Companies’ default service proceeding</w:t>
      </w:r>
      <w:r>
        <w:rPr>
          <w:lang w:val="en-US"/>
        </w:rPr>
        <w:t>, wherein</w:t>
      </w:r>
      <w:r>
        <w:t xml:space="preserve"> the Commission directed the FE Companies to lower the load cap to 50%.  </w:t>
      </w:r>
      <w:r>
        <w:rPr>
          <w:i/>
        </w:rPr>
        <w:t>FE Order</w:t>
      </w:r>
      <w:r>
        <w:t xml:space="preserve">, p. 33.  </w:t>
      </w:r>
      <w:r>
        <w:rPr>
          <w:lang w:val="en-US"/>
        </w:rPr>
        <w:t>In that proceeding, t</w:t>
      </w:r>
      <w:r>
        <w:t>he Commission stated:</w:t>
      </w:r>
    </w:p>
    <w:p w:rsidR="0055352D" w:rsidRPr="0055352D" w:rsidRDefault="0055352D" w:rsidP="00F52C48">
      <w:pPr>
        <w:pStyle w:val="BodyText2"/>
        <w:spacing w:after="0" w:line="240" w:lineRule="auto"/>
        <w:rPr>
          <w:lang w:val="en-US"/>
        </w:rPr>
      </w:pPr>
    </w:p>
    <w:p w:rsidR="0055352D" w:rsidRDefault="0055352D" w:rsidP="008F5583">
      <w:pPr>
        <w:pStyle w:val="BlockText"/>
        <w:spacing w:after="0"/>
        <w:ind w:right="720"/>
        <w:jc w:val="left"/>
      </w:pPr>
      <w:r>
        <w:t>By ensuring that there is a healthy level of supplier diversity, we believe that the competitive auctions will result in the lowest supply prices over the long run.</w:t>
      </w:r>
      <w:r w:rsidR="008F5583">
        <w:t xml:space="preserve">  </w:t>
      </w:r>
      <w:r>
        <w:rPr>
          <w:i/>
        </w:rPr>
        <w:t>FE Order</w:t>
      </w:r>
      <w:r>
        <w:t xml:space="preserve"> at 33.  Similarly, a 50% load cap was approved by the Commission in the </w:t>
      </w:r>
      <w:r w:rsidRPr="0045167E">
        <w:rPr>
          <w:i/>
        </w:rPr>
        <w:t>PECO Binding Poll</w:t>
      </w:r>
      <w:r>
        <w:t xml:space="preserve">.  </w:t>
      </w:r>
      <w:r>
        <w:rPr>
          <w:i/>
        </w:rPr>
        <w:t>PECO Binding Poll</w:t>
      </w:r>
      <w:r>
        <w:t>, Issue No. 5.</w:t>
      </w:r>
    </w:p>
    <w:p w:rsidR="0055352D" w:rsidRDefault="0055352D" w:rsidP="00F52C48">
      <w:pPr>
        <w:pStyle w:val="BodyText2"/>
        <w:spacing w:after="0" w:line="240" w:lineRule="auto"/>
        <w:rPr>
          <w:lang w:val="en-US"/>
        </w:rPr>
      </w:pPr>
    </w:p>
    <w:p w:rsidR="00F52C48" w:rsidRDefault="00F52C48" w:rsidP="00F52C48">
      <w:pPr>
        <w:pStyle w:val="BodyText2"/>
        <w:spacing w:after="0" w:line="240" w:lineRule="auto"/>
        <w:rPr>
          <w:lang w:val="en-US"/>
        </w:rPr>
      </w:pPr>
    </w:p>
    <w:p w:rsidR="001F1EAA" w:rsidRDefault="0055352D" w:rsidP="00A14704">
      <w:pPr>
        <w:pStyle w:val="BodyText2"/>
        <w:spacing w:after="0" w:line="360" w:lineRule="auto"/>
        <w:rPr>
          <w:lang w:val="en-US"/>
        </w:rPr>
      </w:pPr>
      <w:r>
        <w:rPr>
          <w:lang w:val="en-US"/>
        </w:rPr>
        <w:tab/>
      </w:r>
      <w:r>
        <w:rPr>
          <w:lang w:val="en-US"/>
        </w:rPr>
        <w:tab/>
      </w:r>
      <w:r>
        <w:t>The Company</w:t>
      </w:r>
      <w:r w:rsidR="00B40BC3">
        <w:rPr>
          <w:lang w:val="en-US"/>
        </w:rPr>
        <w:t xml:space="preserve"> contends</w:t>
      </w:r>
      <w:r>
        <w:t xml:space="preserve"> that in nine of the Company’s </w:t>
      </w:r>
      <w:r w:rsidR="00355A71">
        <w:rPr>
          <w:lang w:val="en-US"/>
        </w:rPr>
        <w:t>10</w:t>
      </w:r>
      <w:r>
        <w:t xml:space="preserve"> DSP V RFPs in which a 75% load cap applie</w:t>
      </w:r>
      <w:r>
        <w:rPr>
          <w:lang w:val="en-US"/>
        </w:rPr>
        <w:t>d</w:t>
      </w:r>
      <w:r>
        <w:t xml:space="preserve">, there either would have been no change in the average clearing price or there would have been a change of less than 1% if the Company had applied a 50% load cap as </w:t>
      </w:r>
      <w:r>
        <w:lastRenderedPageBreak/>
        <w:t xml:space="preserve">opposed to a 75% load cap to the amounts that were bid.  In addition, the other RFP’s average clearing price would have been less than 2% higher.  This potential minimal price difference is justified to ensure wholesale supplier diversity and minimize the risk associated with potential supplier default.  Duquesne Light St. No. 3-RJ, pp. 34-35.  </w:t>
      </w:r>
      <w:r>
        <w:rPr>
          <w:lang w:val="en-US"/>
        </w:rPr>
        <w:t>The Company also</w:t>
      </w:r>
      <w:r>
        <w:t xml:space="preserve"> noted this analysis assumes that lowering the current 75% load cap to a 50% load cap would not have encouraged more supplier participation and competition and produced lower bid prices.  As noted by the Commission in the </w:t>
      </w:r>
      <w:r>
        <w:rPr>
          <w:i/>
        </w:rPr>
        <w:t>FE Order</w:t>
      </w:r>
      <w:r>
        <w:t xml:space="preserve"> quoted above, a lower load cap could increase competition and lower bid prices, thereby eliminating any price differential.</w:t>
      </w:r>
    </w:p>
    <w:p w:rsidR="001D5698" w:rsidRDefault="001D5698" w:rsidP="00A14704">
      <w:pPr>
        <w:pStyle w:val="BriefL3"/>
        <w:numPr>
          <w:ilvl w:val="0"/>
          <w:numId w:val="0"/>
        </w:numPr>
        <w:spacing w:after="0" w:line="360" w:lineRule="auto"/>
        <w:ind w:left="2880"/>
        <w:rPr>
          <w:szCs w:val="24"/>
          <w:lang w:eastAsia="x-none"/>
        </w:rPr>
      </w:pPr>
    </w:p>
    <w:p w:rsidR="00884AFB" w:rsidRDefault="00A14704" w:rsidP="00A14704">
      <w:pPr>
        <w:pStyle w:val="BriefL3"/>
        <w:numPr>
          <w:ilvl w:val="0"/>
          <w:numId w:val="0"/>
        </w:numPr>
        <w:spacing w:after="0" w:line="360" w:lineRule="auto"/>
        <w:ind w:left="1440"/>
        <w:rPr>
          <w:b/>
          <w:szCs w:val="24"/>
        </w:rPr>
      </w:pPr>
      <w:r>
        <w:rPr>
          <w:b/>
          <w:szCs w:val="24"/>
        </w:rPr>
        <w:t>b</w:t>
      </w:r>
      <w:r w:rsidR="00884AFB">
        <w:rPr>
          <w:b/>
          <w:szCs w:val="24"/>
        </w:rPr>
        <w:t>.</w:t>
      </w:r>
      <w:r w:rsidR="00884AFB">
        <w:rPr>
          <w:b/>
          <w:szCs w:val="24"/>
        </w:rPr>
        <w:tab/>
        <w:t>OCA’s Position</w:t>
      </w:r>
    </w:p>
    <w:p w:rsidR="001F1EAA" w:rsidRDefault="001F1EAA" w:rsidP="00A14704">
      <w:pPr>
        <w:pStyle w:val="BodyText2"/>
        <w:spacing w:after="0" w:line="360" w:lineRule="auto"/>
        <w:rPr>
          <w:lang w:val="en-US"/>
        </w:rPr>
      </w:pPr>
    </w:p>
    <w:p w:rsidR="001F1EAA" w:rsidRDefault="001F1EAA" w:rsidP="00A14704">
      <w:pPr>
        <w:pStyle w:val="BodyText2"/>
        <w:spacing w:after="0" w:line="360" w:lineRule="auto"/>
        <w:rPr>
          <w:lang w:val="en-US"/>
        </w:rPr>
      </w:pPr>
      <w:r>
        <w:rPr>
          <w:lang w:val="en-US"/>
        </w:rPr>
        <w:tab/>
      </w:r>
      <w:r w:rsidR="001D5698">
        <w:rPr>
          <w:lang w:val="en-US"/>
        </w:rPr>
        <w:tab/>
      </w:r>
      <w:r>
        <w:t>OCA takes no position on this issue.</w:t>
      </w:r>
    </w:p>
    <w:p w:rsidR="004A6054" w:rsidRPr="004A6054" w:rsidRDefault="004A6054" w:rsidP="00A14704">
      <w:pPr>
        <w:pStyle w:val="BodyText2"/>
        <w:spacing w:after="0" w:line="360" w:lineRule="auto"/>
        <w:rPr>
          <w:lang w:val="en-US"/>
        </w:rPr>
      </w:pPr>
    </w:p>
    <w:p w:rsidR="00884AFB" w:rsidRDefault="00A14704" w:rsidP="00A14704">
      <w:pPr>
        <w:pStyle w:val="BriefL3"/>
        <w:numPr>
          <w:ilvl w:val="0"/>
          <w:numId w:val="0"/>
        </w:numPr>
        <w:spacing w:after="0" w:line="360" w:lineRule="auto"/>
        <w:ind w:left="1440"/>
        <w:rPr>
          <w:b/>
          <w:szCs w:val="24"/>
        </w:rPr>
      </w:pPr>
      <w:r>
        <w:rPr>
          <w:b/>
          <w:szCs w:val="24"/>
        </w:rPr>
        <w:t>c</w:t>
      </w:r>
      <w:r w:rsidR="00884AFB">
        <w:rPr>
          <w:b/>
          <w:szCs w:val="24"/>
        </w:rPr>
        <w:t>.</w:t>
      </w:r>
      <w:r w:rsidR="00884AFB">
        <w:rPr>
          <w:b/>
          <w:szCs w:val="24"/>
        </w:rPr>
        <w:tab/>
        <w:t>RESA’s Position</w:t>
      </w:r>
    </w:p>
    <w:p w:rsidR="00884AFB" w:rsidRDefault="00884AFB" w:rsidP="00A14704">
      <w:pPr>
        <w:pStyle w:val="BodyText2"/>
        <w:spacing w:after="0" w:line="360" w:lineRule="auto"/>
        <w:rPr>
          <w:lang w:val="en-US"/>
        </w:rPr>
      </w:pPr>
    </w:p>
    <w:p w:rsidR="00332002" w:rsidRDefault="00332002" w:rsidP="00A14704">
      <w:pPr>
        <w:pStyle w:val="BodyText2"/>
        <w:spacing w:after="0" w:line="360" w:lineRule="auto"/>
      </w:pPr>
      <w:r>
        <w:rPr>
          <w:lang w:val="en-US"/>
        </w:rPr>
        <w:tab/>
      </w:r>
      <w:r>
        <w:rPr>
          <w:lang w:val="en-US"/>
        </w:rPr>
        <w:tab/>
      </w:r>
      <w:r>
        <w:t>RESA supports Duquesne’s proposal that no one wholesale supplier should be awarded more than 50% of the tranches available for any procurement class in any RFP.</w:t>
      </w:r>
      <w:r>
        <w:rPr>
          <w:rStyle w:val="FootnoteReference"/>
        </w:rPr>
        <w:footnoteReference w:id="55"/>
      </w:r>
      <w:r>
        <w:t xml:space="preserve">  Wholesale supplier load caps are a competitive safeguard because they limit the EDC’s exposure to contract failure of any particular wholesale supplier.</w:t>
      </w:r>
      <w:r>
        <w:rPr>
          <w:rStyle w:val="FootnoteReference"/>
        </w:rPr>
        <w:footnoteReference w:id="56"/>
      </w:r>
      <w:r>
        <w:t xml:space="preserve">  </w:t>
      </w:r>
    </w:p>
    <w:p w:rsidR="00332002" w:rsidRPr="001F1EAA" w:rsidRDefault="00332002" w:rsidP="00A14704">
      <w:pPr>
        <w:pStyle w:val="BodyText2"/>
        <w:spacing w:after="0" w:line="360" w:lineRule="auto"/>
        <w:rPr>
          <w:lang w:val="en-US"/>
        </w:rPr>
      </w:pPr>
    </w:p>
    <w:p w:rsidR="006D4D99" w:rsidRDefault="00A14704" w:rsidP="00A14704">
      <w:pPr>
        <w:pStyle w:val="BriefL3"/>
        <w:numPr>
          <w:ilvl w:val="0"/>
          <w:numId w:val="0"/>
        </w:numPr>
        <w:spacing w:after="0" w:line="360" w:lineRule="auto"/>
        <w:ind w:left="720" w:firstLine="720"/>
        <w:rPr>
          <w:b/>
          <w:szCs w:val="24"/>
        </w:rPr>
      </w:pPr>
      <w:r>
        <w:rPr>
          <w:b/>
          <w:szCs w:val="24"/>
        </w:rPr>
        <w:t>d</w:t>
      </w:r>
      <w:r w:rsidR="006D4D99">
        <w:rPr>
          <w:b/>
          <w:szCs w:val="24"/>
        </w:rPr>
        <w:t>.</w:t>
      </w:r>
      <w:r w:rsidR="006D4D99">
        <w:rPr>
          <w:b/>
          <w:szCs w:val="24"/>
        </w:rPr>
        <w:tab/>
        <w:t>OSBA’s Position</w:t>
      </w:r>
    </w:p>
    <w:p w:rsidR="006D4D99" w:rsidRDefault="006D4D99" w:rsidP="00A14704">
      <w:pPr>
        <w:pStyle w:val="BodyText"/>
        <w:spacing w:after="0" w:line="360" w:lineRule="auto"/>
        <w:ind w:left="0" w:firstLine="0"/>
        <w:rPr>
          <w:szCs w:val="24"/>
          <w:lang w:val="en-US"/>
        </w:rPr>
      </w:pPr>
    </w:p>
    <w:p w:rsidR="006D4D99" w:rsidRDefault="00220680" w:rsidP="00A14704">
      <w:pPr>
        <w:pStyle w:val="BodyText2"/>
        <w:spacing w:after="0" w:line="360" w:lineRule="auto"/>
      </w:pPr>
      <w:r>
        <w:rPr>
          <w:lang w:val="en-US"/>
        </w:rPr>
        <w:tab/>
      </w:r>
      <w:r w:rsidR="006D4D99">
        <w:rPr>
          <w:lang w:val="en-US"/>
        </w:rPr>
        <w:tab/>
      </w:r>
      <w:r w:rsidR="006D4D99">
        <w:t>O</w:t>
      </w:r>
      <w:r w:rsidR="006D4D99">
        <w:rPr>
          <w:lang w:val="en-US"/>
        </w:rPr>
        <w:t>SB</w:t>
      </w:r>
      <w:r w:rsidR="006D4D99">
        <w:t>A takes no position on this issue.</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e</w:t>
      </w:r>
      <w:r w:rsidR="006D4D99">
        <w:rPr>
          <w:b/>
          <w:szCs w:val="24"/>
        </w:rPr>
        <w:t>.</w:t>
      </w:r>
      <w:r w:rsidR="006D4D99">
        <w:rPr>
          <w:b/>
          <w:szCs w:val="24"/>
        </w:rPr>
        <w:tab/>
        <w:t>CAUSE’s Position</w:t>
      </w:r>
    </w:p>
    <w:p w:rsidR="006D4D99" w:rsidRDefault="006D4D99" w:rsidP="00A14704">
      <w:pPr>
        <w:pStyle w:val="BodyText"/>
        <w:spacing w:after="0" w:line="360" w:lineRule="auto"/>
        <w:ind w:left="0" w:firstLine="0"/>
        <w:rPr>
          <w:szCs w:val="24"/>
          <w:lang w:val="en-US"/>
        </w:rPr>
      </w:pPr>
    </w:p>
    <w:p w:rsidR="006D4D99" w:rsidRDefault="00220680" w:rsidP="00A14704">
      <w:pPr>
        <w:pStyle w:val="BodyText2"/>
        <w:spacing w:after="0" w:line="360" w:lineRule="auto"/>
      </w:pPr>
      <w:r>
        <w:rPr>
          <w:lang w:val="en-US"/>
        </w:rPr>
        <w:tab/>
      </w:r>
      <w:r w:rsidR="006D4D99">
        <w:rPr>
          <w:lang w:val="en-US"/>
        </w:rPr>
        <w:tab/>
        <w:t>CAUSE</w:t>
      </w:r>
      <w:r w:rsidR="006D4D99">
        <w:t xml:space="preserve"> takes no position on this issue.</w:t>
      </w:r>
    </w:p>
    <w:p w:rsidR="006D4D99" w:rsidRDefault="006D4D99" w:rsidP="00A14704">
      <w:pPr>
        <w:pStyle w:val="BriefL3"/>
        <w:numPr>
          <w:ilvl w:val="0"/>
          <w:numId w:val="0"/>
        </w:numPr>
        <w:spacing w:after="0" w:line="360" w:lineRule="auto"/>
        <w:rPr>
          <w:b/>
          <w:szCs w:val="24"/>
        </w:rPr>
      </w:pPr>
    </w:p>
    <w:p w:rsidR="0084672B" w:rsidRDefault="0084672B">
      <w:pPr>
        <w:autoSpaceDE/>
        <w:autoSpaceDN/>
        <w:rPr>
          <w:b/>
        </w:rPr>
      </w:pPr>
      <w:r>
        <w:rPr>
          <w:b/>
        </w:rPr>
        <w:br w:type="page"/>
      </w:r>
    </w:p>
    <w:p w:rsidR="006D4D99" w:rsidRDefault="00A14704" w:rsidP="00A14704">
      <w:pPr>
        <w:pStyle w:val="BriefL3"/>
        <w:numPr>
          <w:ilvl w:val="0"/>
          <w:numId w:val="0"/>
        </w:numPr>
        <w:spacing w:after="0" w:line="360" w:lineRule="auto"/>
        <w:ind w:left="720" w:firstLine="720"/>
        <w:rPr>
          <w:b/>
          <w:szCs w:val="24"/>
        </w:rPr>
      </w:pPr>
      <w:r>
        <w:rPr>
          <w:b/>
          <w:szCs w:val="24"/>
        </w:rPr>
        <w:lastRenderedPageBreak/>
        <w:t>f</w:t>
      </w:r>
      <w:r w:rsidR="006D4D99">
        <w:rPr>
          <w:b/>
          <w:szCs w:val="24"/>
        </w:rPr>
        <w:t>.</w:t>
      </w:r>
      <w:r w:rsidR="006D4D99">
        <w:rPr>
          <w:b/>
          <w:szCs w:val="24"/>
        </w:rPr>
        <w:tab/>
        <w:t>Citizen Power’s Position</w:t>
      </w:r>
    </w:p>
    <w:p w:rsidR="006D4D99" w:rsidRDefault="006D4D99" w:rsidP="00A14704">
      <w:pPr>
        <w:pStyle w:val="BodyText"/>
        <w:spacing w:after="0" w:line="360" w:lineRule="auto"/>
        <w:ind w:left="0" w:firstLine="0"/>
        <w:rPr>
          <w:szCs w:val="24"/>
          <w:lang w:val="en-US"/>
        </w:rPr>
      </w:pPr>
    </w:p>
    <w:p w:rsidR="00723BD6" w:rsidRDefault="00723BD6" w:rsidP="00A14704">
      <w:pPr>
        <w:pStyle w:val="BodyText"/>
        <w:spacing w:after="0" w:line="360" w:lineRule="auto"/>
        <w:ind w:left="0" w:firstLine="0"/>
        <w:rPr>
          <w:szCs w:val="24"/>
          <w:lang w:val="en-US"/>
        </w:rPr>
      </w:pPr>
      <w:r>
        <w:rPr>
          <w:szCs w:val="24"/>
          <w:lang w:val="en-US"/>
        </w:rPr>
        <w:tab/>
      </w:r>
      <w:r>
        <w:rPr>
          <w:szCs w:val="24"/>
          <w:lang w:val="en-US"/>
        </w:rPr>
        <w:tab/>
      </w:r>
      <w:r>
        <w:t>Citizen Power agrees with the 50% participation cap</w:t>
      </w:r>
      <w:r>
        <w:rPr>
          <w:lang w:val="en-US"/>
        </w:rPr>
        <w:t xml:space="preserve"> proposed by DLC</w:t>
      </w:r>
      <w:r>
        <w:t>.</w:t>
      </w:r>
      <w:r>
        <w:rPr>
          <w:lang w:val="en-US"/>
        </w:rPr>
        <w:t xml:space="preserve">  Citizen Power contends a</w:t>
      </w:r>
      <w:r>
        <w:t xml:space="preserve"> supplier cap encourages a broader range of suppliers to bid into the default procurement and reduces the impact if a single supplier default</w:t>
      </w:r>
      <w:r>
        <w:rPr>
          <w:lang w:val="en-US"/>
        </w:rPr>
        <w:t>s</w:t>
      </w:r>
      <w:r>
        <w:t xml:space="preserve"> on </w:t>
      </w:r>
      <w:r>
        <w:rPr>
          <w:lang w:val="en-US"/>
        </w:rPr>
        <w:t>an</w:t>
      </w:r>
      <w:r>
        <w:t xml:space="preserve"> obligation. Duquesne St. 2 at 17. </w:t>
      </w:r>
      <w:r>
        <w:rPr>
          <w:lang w:val="en-US"/>
        </w:rPr>
        <w:t xml:space="preserve"> </w:t>
      </w:r>
      <w:r>
        <w:t>Citizen Power supports such an approach.</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g</w:t>
      </w:r>
      <w:r w:rsidR="006D4D99">
        <w:rPr>
          <w:b/>
          <w:szCs w:val="24"/>
        </w:rPr>
        <w:t>.</w:t>
      </w:r>
      <w:r w:rsidR="006D4D99">
        <w:rPr>
          <w:b/>
          <w:szCs w:val="24"/>
        </w:rPr>
        <w:tab/>
        <w:t>Duquesne Industrial Intervenors’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rPr>
          <w:lang w:val="en-US"/>
        </w:rPr>
      </w:pPr>
      <w:r>
        <w:rPr>
          <w:lang w:val="en-US"/>
        </w:rPr>
        <w:tab/>
      </w:r>
      <w:r w:rsidR="00F313EB">
        <w:rPr>
          <w:lang w:val="en-US"/>
        </w:rPr>
        <w:tab/>
      </w:r>
      <w:r>
        <w:rPr>
          <w:lang w:val="en-US"/>
        </w:rPr>
        <w:t>DII</w:t>
      </w:r>
      <w:r>
        <w:t xml:space="preserve"> takes no position on this issue.</w:t>
      </w:r>
    </w:p>
    <w:p w:rsidR="00F313EB" w:rsidRPr="00F313EB" w:rsidRDefault="00F313EB" w:rsidP="00A14704">
      <w:pPr>
        <w:pStyle w:val="BodyText2"/>
        <w:spacing w:after="0" w:line="360" w:lineRule="auto"/>
        <w:rPr>
          <w:lang w:val="en-US"/>
        </w:rPr>
      </w:pPr>
    </w:p>
    <w:p w:rsidR="006D4D99" w:rsidRDefault="00A14704" w:rsidP="00A14704">
      <w:pPr>
        <w:pStyle w:val="BriefL3"/>
        <w:numPr>
          <w:ilvl w:val="0"/>
          <w:numId w:val="0"/>
        </w:numPr>
        <w:spacing w:after="0" w:line="360" w:lineRule="auto"/>
        <w:ind w:left="720" w:firstLine="720"/>
        <w:rPr>
          <w:b/>
          <w:szCs w:val="24"/>
        </w:rPr>
      </w:pPr>
      <w:r>
        <w:rPr>
          <w:b/>
          <w:szCs w:val="24"/>
        </w:rPr>
        <w:t>h</w:t>
      </w:r>
      <w:r w:rsidR="006D4D99">
        <w:rPr>
          <w:b/>
          <w:szCs w:val="24"/>
        </w:rPr>
        <w:t>.</w:t>
      </w:r>
      <w:r w:rsidR="006D4D99">
        <w:rPr>
          <w:b/>
          <w:szCs w:val="24"/>
        </w:rPr>
        <w:tab/>
        <w:t>EGS Parties’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rPr>
          <w:lang w:val="en-US"/>
        </w:rPr>
      </w:pPr>
      <w:r>
        <w:rPr>
          <w:lang w:val="en-US"/>
        </w:rPr>
        <w:tab/>
      </w:r>
      <w:r w:rsidR="00F313EB">
        <w:rPr>
          <w:lang w:val="en-US"/>
        </w:rPr>
        <w:tab/>
      </w:r>
      <w:r>
        <w:rPr>
          <w:lang w:val="en-US"/>
        </w:rPr>
        <w:t>EGS Parties take</w:t>
      </w:r>
      <w:r>
        <w:t xml:space="preserve"> no position on this issue.</w:t>
      </w:r>
    </w:p>
    <w:p w:rsidR="004A6054" w:rsidRPr="004A6054" w:rsidRDefault="004A6054" w:rsidP="00A14704">
      <w:pPr>
        <w:pStyle w:val="BodyText2"/>
        <w:spacing w:after="0" w:line="360" w:lineRule="auto"/>
        <w:rPr>
          <w:lang w:val="en-US"/>
        </w:rPr>
      </w:pPr>
    </w:p>
    <w:p w:rsidR="006D4D99" w:rsidRDefault="00A14704" w:rsidP="00A14704">
      <w:pPr>
        <w:pStyle w:val="BriefL3"/>
        <w:numPr>
          <w:ilvl w:val="0"/>
          <w:numId w:val="0"/>
        </w:numPr>
        <w:spacing w:after="0" w:line="360" w:lineRule="auto"/>
        <w:ind w:left="720" w:firstLine="720"/>
        <w:rPr>
          <w:b/>
          <w:szCs w:val="24"/>
        </w:rPr>
      </w:pPr>
      <w:r>
        <w:rPr>
          <w:b/>
          <w:szCs w:val="24"/>
        </w:rPr>
        <w:t>i</w:t>
      </w:r>
      <w:r w:rsidR="006D4D99">
        <w:rPr>
          <w:b/>
          <w:szCs w:val="24"/>
        </w:rPr>
        <w:t>.</w:t>
      </w:r>
      <w:r w:rsidR="006D4D99">
        <w:rPr>
          <w:b/>
          <w:szCs w:val="24"/>
        </w:rPr>
        <w:tab/>
        <w:t>FirstEnergy Solutions’ Position</w:t>
      </w:r>
    </w:p>
    <w:p w:rsidR="006D4D99" w:rsidRDefault="006D4D99" w:rsidP="00A14704">
      <w:pPr>
        <w:pStyle w:val="BodyText"/>
        <w:spacing w:after="0" w:line="360" w:lineRule="auto"/>
        <w:ind w:left="0" w:firstLine="0"/>
        <w:rPr>
          <w:szCs w:val="24"/>
          <w:lang w:val="en-US"/>
        </w:rPr>
      </w:pPr>
    </w:p>
    <w:p w:rsidR="00723BD6" w:rsidRDefault="00723BD6" w:rsidP="00A14704">
      <w:pPr>
        <w:pStyle w:val="BodyText2"/>
        <w:spacing w:after="0" w:line="360" w:lineRule="auto"/>
      </w:pPr>
      <w:r>
        <w:rPr>
          <w:lang w:val="en-US"/>
        </w:rPr>
        <w:tab/>
      </w:r>
      <w:r>
        <w:rPr>
          <w:lang w:val="en-US"/>
        </w:rPr>
        <w:tab/>
      </w:r>
      <w:r>
        <w:t>FES disagrees with Duquesne Light's proposal to reduce its wholesale load cap for Small and Medium C&amp;I customers from the 75% cap of POLR V to 50%, and to establish a 50% load cap for its Residential customer procurements.  FES submits there is no empirical evidentiary basis to justify the proposed 50% cap.  Further, this significant change in Duquesne Light's procurement strategy is not required by the Commission's default service directives and would prevent Duquesne Light from obtaining supply for default service at the least cost to customers over time.  FES St. No. 1 at 8-10.</w:t>
      </w:r>
    </w:p>
    <w:p w:rsidR="00723BD6" w:rsidRDefault="00723BD6" w:rsidP="00723BD6">
      <w:pPr>
        <w:pStyle w:val="BodyText2"/>
        <w:spacing w:after="0" w:line="360" w:lineRule="auto"/>
        <w:rPr>
          <w:lang w:val="en-US"/>
        </w:rPr>
      </w:pPr>
    </w:p>
    <w:p w:rsidR="00723BD6" w:rsidRDefault="00723BD6" w:rsidP="00A31E89">
      <w:pPr>
        <w:pStyle w:val="BodyText2"/>
        <w:spacing w:after="0" w:line="360" w:lineRule="auto"/>
      </w:pPr>
      <w:r>
        <w:rPr>
          <w:lang w:val="en-US"/>
        </w:rPr>
        <w:tab/>
      </w:r>
      <w:r>
        <w:rPr>
          <w:lang w:val="en-US"/>
        </w:rPr>
        <w:tab/>
      </w:r>
      <w:r>
        <w:t>FES oppose</w:t>
      </w:r>
      <w:r>
        <w:rPr>
          <w:lang w:val="en-US"/>
        </w:rPr>
        <w:t xml:space="preserve">s </w:t>
      </w:r>
      <w:r>
        <w:t xml:space="preserve">supplier load caps of any kind, whether it is wholesale supply or the Opt-In Program </w:t>
      </w:r>
      <w:r>
        <w:rPr>
          <w:lang w:val="en-US"/>
        </w:rPr>
        <w:t>because load</w:t>
      </w:r>
      <w:r>
        <w:t xml:space="preserve"> caps prevent the default service provider from achieving the lowest price in supply procurements.</w:t>
      </w:r>
      <w:r w:rsidR="00A31E89">
        <w:rPr>
          <w:lang w:val="en-US"/>
        </w:rPr>
        <w:t xml:space="preserve">  </w:t>
      </w:r>
      <w:r>
        <w:t>Lowering the load cap to 50% would ensure higher cost suppliers will serve more of the load, resulting in higher prices for customers rather than the least cost to customers over time.  FES St. No. 1 at 9.</w:t>
      </w:r>
    </w:p>
    <w:p w:rsidR="00723BD6" w:rsidRDefault="00723BD6" w:rsidP="00723BD6">
      <w:pPr>
        <w:pStyle w:val="BodyTextFirstLine5DS"/>
        <w:spacing w:line="360" w:lineRule="auto"/>
        <w:jc w:val="left"/>
      </w:pPr>
    </w:p>
    <w:p w:rsidR="00723BD6" w:rsidRDefault="00723BD6" w:rsidP="00723BD6">
      <w:pPr>
        <w:pStyle w:val="BodyTextFirstLine5DS"/>
        <w:spacing w:line="360" w:lineRule="auto"/>
        <w:jc w:val="left"/>
      </w:pPr>
      <w:r>
        <w:lastRenderedPageBreak/>
        <w:tab/>
      </w:r>
      <w:r>
        <w:rPr>
          <w:bCs/>
        </w:rPr>
        <w:t xml:space="preserve">First, </w:t>
      </w:r>
      <w:r>
        <w:t>FES disagrees with Duquesne Light's suggestion that the Commission</w:t>
      </w:r>
      <w:r w:rsidR="00E77867">
        <w:t>’</w:t>
      </w:r>
      <w:r>
        <w:t xml:space="preserve">s </w:t>
      </w:r>
      <w:r w:rsidRPr="00E77867">
        <w:rPr>
          <w:i/>
        </w:rPr>
        <w:t>IWP Order</w:t>
      </w:r>
      <w:r>
        <w:t xml:space="preserve"> justifies a 50% wholesale supplier cap.  The </w:t>
      </w:r>
      <w:r w:rsidRPr="00E77867">
        <w:rPr>
          <w:i/>
        </w:rPr>
        <w:t>IWP Order</w:t>
      </w:r>
      <w:r>
        <w:t xml:space="preserve"> applies to the </w:t>
      </w:r>
      <w:r w:rsidR="00E77867">
        <w:t>R</w:t>
      </w:r>
      <w:r>
        <w:t xml:space="preserve">etail </w:t>
      </w:r>
      <w:r w:rsidR="00E77867">
        <w:t>M</w:t>
      </w:r>
      <w:r>
        <w:t xml:space="preserve">arket </w:t>
      </w:r>
      <w:r w:rsidR="00E77867">
        <w:t>E</w:t>
      </w:r>
      <w:r>
        <w:t xml:space="preserve">nhancement </w:t>
      </w:r>
      <w:r w:rsidR="00E77867">
        <w:t>P</w:t>
      </w:r>
      <w:r>
        <w:t xml:space="preserve">rograms Duquesne Light has proposed, not wholesale procurements.  Second, the </w:t>
      </w:r>
      <w:r w:rsidRPr="00E77867">
        <w:rPr>
          <w:i/>
        </w:rPr>
        <w:t>ME/PN/PP/WP Order</w:t>
      </w:r>
      <w:r>
        <w:t xml:space="preserve"> based a 50% load cap on the perceived situation specific to those four utilities' service territories.  It would not be correct to apply the same basis for the load cap decision in that Order to this proceeding.</w:t>
      </w:r>
      <w:r w:rsidR="00A31E89">
        <w:t xml:space="preserve">  </w:t>
      </w:r>
      <w:r>
        <w:t>Third, there is no basis for Duquesne Light's concerns with supplier diversity.  FES is unaware of any lack of supplier participation in Duquesne Light's past solicitations, or that supplier default has been an issue in Duquesne Light's default service supply</w:t>
      </w:r>
      <w:r w:rsidR="00A14704">
        <w:t xml:space="preserve">.  Fourth, there is a significant difference between an alleged near-default and an actual default Duquesne Light's alleged concern does not justify its proposal to reduce supplier load caps in the wholesale procurements.  </w:t>
      </w:r>
      <w:r>
        <w:t>FES St. No. 1-R at 9</w:t>
      </w:r>
      <w:r w:rsidR="00A14704">
        <w:t xml:space="preserve"> and </w:t>
      </w:r>
      <w:r>
        <w:t>FES St. No. 1-SR at 8.</w:t>
      </w:r>
    </w:p>
    <w:p w:rsidR="00723BD6" w:rsidRDefault="00723BD6" w:rsidP="00723BD6">
      <w:pPr>
        <w:pStyle w:val="BodyTextFirstLine5DS"/>
        <w:spacing w:line="360" w:lineRule="auto"/>
        <w:jc w:val="left"/>
      </w:pPr>
    </w:p>
    <w:p w:rsidR="00723BD6" w:rsidRDefault="00723BD6" w:rsidP="00A14704">
      <w:pPr>
        <w:pStyle w:val="BodyTextFirstLine5DS"/>
        <w:spacing w:line="360" w:lineRule="auto"/>
        <w:jc w:val="left"/>
      </w:pPr>
      <w:r>
        <w:tab/>
      </w:r>
      <w:r w:rsidR="00CA14AF">
        <w:t xml:space="preserve">FES notes </w:t>
      </w:r>
      <w:r>
        <w:t>OSBA also argues that potential supplier default is a valid reason for Duquesne Light's proposed wholesale supplier load caps, though OSBA does not reveal the basis for its assertion or provide any examples of supplier default that justify Duquesne Light setting reduced load caps.  FES contends OSBA</w:t>
      </w:r>
      <w:r w:rsidR="007E2BC5">
        <w:t>’</w:t>
      </w:r>
      <w:r>
        <w:t>s concern is best addressed through existing credit support requirements in order for wholesale suppliers to participate in Duquesne Light</w:t>
      </w:r>
      <w:r w:rsidR="007E2BC5">
        <w:t>’</w:t>
      </w:r>
      <w:r>
        <w:t>s solicitations and serve default service load.  Artificially reducing the amount of load the lowest price supplier can serve is not an appropriate way to address this potential issue.  FES St. No. 1-R at 9.</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tabs>
          <w:tab w:val="left" w:pos="720"/>
        </w:tabs>
        <w:spacing w:after="0" w:line="360" w:lineRule="auto"/>
        <w:ind w:firstLine="720"/>
        <w:rPr>
          <w:b/>
          <w:szCs w:val="24"/>
        </w:rPr>
      </w:pPr>
      <w:r>
        <w:rPr>
          <w:b/>
          <w:szCs w:val="24"/>
        </w:rPr>
        <w:tab/>
        <w:t>j</w:t>
      </w:r>
      <w:r w:rsidR="006D4D99">
        <w:rPr>
          <w:b/>
          <w:szCs w:val="24"/>
        </w:rPr>
        <w:t>.</w:t>
      </w:r>
      <w:r w:rsidR="006D4D99">
        <w:rPr>
          <w:b/>
          <w:szCs w:val="24"/>
        </w:rPr>
        <w:tab/>
        <w:t>Joint Suppliers’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pPr>
      <w:r>
        <w:rPr>
          <w:lang w:val="en-US"/>
        </w:rPr>
        <w:tab/>
      </w:r>
      <w:r w:rsidR="00CA14AF">
        <w:rPr>
          <w:lang w:val="en-US"/>
        </w:rPr>
        <w:tab/>
      </w:r>
      <w:r>
        <w:rPr>
          <w:lang w:val="en-US"/>
        </w:rPr>
        <w:t>Joint Suppliers take</w:t>
      </w:r>
      <w:r>
        <w:t xml:space="preserve"> no position on this issue.</w:t>
      </w:r>
    </w:p>
    <w:p w:rsidR="00A14704" w:rsidRDefault="00A14704" w:rsidP="00A14704">
      <w:pPr>
        <w:pStyle w:val="ListParagraph"/>
        <w:autoSpaceDE/>
        <w:autoSpaceDN/>
        <w:spacing w:line="360" w:lineRule="auto"/>
        <w:ind w:left="0"/>
        <w:rPr>
          <w:b/>
          <w:u w:val="single"/>
        </w:rPr>
      </w:pPr>
    </w:p>
    <w:p w:rsidR="00DD6125" w:rsidRPr="00E36A29" w:rsidRDefault="00DD6125" w:rsidP="00A14704">
      <w:pPr>
        <w:pStyle w:val="ListParagraph"/>
        <w:autoSpaceDE/>
        <w:autoSpaceDN/>
        <w:spacing w:line="360" w:lineRule="auto"/>
        <w:ind w:left="0"/>
        <w:rPr>
          <w:b/>
        </w:rPr>
      </w:pPr>
      <w:r w:rsidRPr="00E36A29">
        <w:rPr>
          <w:b/>
        </w:rPr>
        <w:t>Disposition</w:t>
      </w:r>
      <w:r w:rsidR="004A6054" w:rsidRPr="00E36A29">
        <w:rPr>
          <w:b/>
        </w:rPr>
        <w:t xml:space="preserve"> – Default Supply Load Cap Issues</w:t>
      </w:r>
    </w:p>
    <w:p w:rsidR="00DD6125" w:rsidRDefault="00DD6125" w:rsidP="00A14704">
      <w:pPr>
        <w:pStyle w:val="BodyText"/>
        <w:spacing w:after="0" w:line="360" w:lineRule="auto"/>
        <w:ind w:left="0" w:firstLine="0"/>
        <w:rPr>
          <w:szCs w:val="24"/>
          <w:lang w:val="en-US"/>
        </w:rPr>
      </w:pPr>
    </w:p>
    <w:p w:rsidR="008831D1" w:rsidRDefault="00B918E3" w:rsidP="00A14704">
      <w:pPr>
        <w:pStyle w:val="BodyText"/>
        <w:spacing w:after="0" w:line="360" w:lineRule="auto"/>
        <w:ind w:left="0" w:firstLine="0"/>
        <w:rPr>
          <w:szCs w:val="24"/>
          <w:lang w:val="en-US"/>
        </w:rPr>
      </w:pPr>
      <w:r>
        <w:rPr>
          <w:szCs w:val="24"/>
          <w:lang w:val="en-US"/>
        </w:rPr>
        <w:tab/>
      </w:r>
      <w:r>
        <w:rPr>
          <w:szCs w:val="24"/>
          <w:lang w:val="en-US"/>
        </w:rPr>
        <w:tab/>
        <w:t>I recommend approval of D</w:t>
      </w:r>
      <w:r w:rsidR="00E36A29">
        <w:rPr>
          <w:szCs w:val="24"/>
          <w:lang w:val="en-US"/>
        </w:rPr>
        <w:t>uquesne Light</w:t>
      </w:r>
      <w:r>
        <w:rPr>
          <w:szCs w:val="24"/>
          <w:lang w:val="en-US"/>
        </w:rPr>
        <w:t>’s proposal for a 50% load cap on the supply contract for any supplier awarded an RFP</w:t>
      </w:r>
      <w:r w:rsidR="00E36A29">
        <w:rPr>
          <w:szCs w:val="24"/>
          <w:lang w:val="en-US"/>
        </w:rPr>
        <w:t>.  Th</w:t>
      </w:r>
      <w:r>
        <w:rPr>
          <w:szCs w:val="24"/>
          <w:lang w:val="en-US"/>
        </w:rPr>
        <w:t xml:space="preserve">is proposal provides for supplier diversity and limits the consumers’ exposure to supplier defaults, as well as being consistent with previous </w:t>
      </w:r>
    </w:p>
    <w:p w:rsidR="008831D1" w:rsidRDefault="008831D1">
      <w:pPr>
        <w:autoSpaceDE/>
        <w:autoSpaceDN/>
        <w:rPr>
          <w:lang w:eastAsia="x-none"/>
        </w:rPr>
      </w:pPr>
      <w:r>
        <w:br w:type="page"/>
      </w:r>
    </w:p>
    <w:p w:rsidR="00B918E3" w:rsidRDefault="00B918E3" w:rsidP="00A14704">
      <w:pPr>
        <w:pStyle w:val="BodyText"/>
        <w:spacing w:after="0" w:line="360" w:lineRule="auto"/>
        <w:ind w:left="0" w:firstLine="0"/>
        <w:rPr>
          <w:szCs w:val="24"/>
          <w:lang w:val="en-US"/>
        </w:rPr>
      </w:pPr>
      <w:r>
        <w:rPr>
          <w:szCs w:val="24"/>
          <w:lang w:val="en-US"/>
        </w:rPr>
        <w:lastRenderedPageBreak/>
        <w:t>Commission decisions.</w:t>
      </w:r>
      <w:r w:rsidR="00E36A29">
        <w:rPr>
          <w:szCs w:val="24"/>
          <w:lang w:val="en-US"/>
        </w:rPr>
        <w:t xml:space="preserve">  A lower load cap should increase competition and lower bid prices, and shouldn’t increase default service rates.</w:t>
      </w:r>
      <w:r>
        <w:rPr>
          <w:szCs w:val="24"/>
          <w:lang w:val="en-US"/>
        </w:rPr>
        <w:t xml:space="preserve">  </w:t>
      </w:r>
    </w:p>
    <w:p w:rsidR="00B918E3" w:rsidRDefault="00B918E3" w:rsidP="00692C19">
      <w:pPr>
        <w:pStyle w:val="BodyText"/>
        <w:spacing w:after="0" w:line="360" w:lineRule="auto"/>
        <w:ind w:left="0" w:firstLine="0"/>
        <w:rPr>
          <w:szCs w:val="24"/>
          <w:lang w:val="en-US"/>
        </w:rPr>
      </w:pPr>
    </w:p>
    <w:p w:rsidR="00EE639F" w:rsidRPr="00DD6125" w:rsidRDefault="00EE639F" w:rsidP="00692C19">
      <w:pPr>
        <w:pStyle w:val="BodyText"/>
        <w:spacing w:after="0" w:line="360" w:lineRule="auto"/>
        <w:ind w:left="0" w:firstLine="0"/>
        <w:rPr>
          <w:b/>
          <w:szCs w:val="24"/>
          <w:lang w:val="en-US"/>
        </w:rPr>
      </w:pPr>
      <w:r>
        <w:rPr>
          <w:szCs w:val="24"/>
          <w:lang w:val="en-US"/>
        </w:rPr>
        <w:tab/>
      </w:r>
      <w:r w:rsidRPr="00DD6125">
        <w:rPr>
          <w:b/>
          <w:szCs w:val="24"/>
          <w:lang w:val="en-US"/>
        </w:rPr>
        <w:t>6.</w:t>
      </w:r>
      <w:r w:rsidRPr="00DD6125">
        <w:rPr>
          <w:b/>
          <w:szCs w:val="24"/>
          <w:lang w:val="en-US"/>
        </w:rPr>
        <w:tab/>
        <w:t>Procurements for Delivery Beyond May 31, 2015</w:t>
      </w:r>
    </w:p>
    <w:p w:rsidR="00EE639F" w:rsidRDefault="00EE639F" w:rsidP="00692C19">
      <w:pPr>
        <w:pStyle w:val="BodyText"/>
        <w:spacing w:after="0" w:line="360" w:lineRule="auto"/>
        <w:ind w:left="0" w:firstLine="0"/>
        <w:rPr>
          <w:szCs w:val="24"/>
          <w:lang w:val="en-US"/>
        </w:rPr>
      </w:pPr>
    </w:p>
    <w:p w:rsidR="00692C19" w:rsidRDefault="00A14704" w:rsidP="00A14704">
      <w:pPr>
        <w:pStyle w:val="BriefL3"/>
        <w:numPr>
          <w:ilvl w:val="0"/>
          <w:numId w:val="0"/>
        </w:numPr>
        <w:spacing w:after="0"/>
        <w:ind w:firstLine="1440"/>
        <w:outlineLvl w:val="9"/>
        <w:rPr>
          <w:b/>
          <w:szCs w:val="24"/>
        </w:rPr>
      </w:pPr>
      <w:r>
        <w:rPr>
          <w:b/>
          <w:szCs w:val="24"/>
        </w:rPr>
        <w:t>a</w:t>
      </w:r>
      <w:r w:rsidR="00692C19">
        <w:rPr>
          <w:b/>
          <w:szCs w:val="24"/>
        </w:rPr>
        <w:t>.</w:t>
      </w:r>
      <w:r w:rsidR="00692C19">
        <w:rPr>
          <w:b/>
          <w:szCs w:val="24"/>
        </w:rPr>
        <w:tab/>
        <w:t>DLC’s Proposal</w:t>
      </w:r>
    </w:p>
    <w:p w:rsidR="0055352D" w:rsidRDefault="0055352D" w:rsidP="00692C19">
      <w:pPr>
        <w:pStyle w:val="BodyText"/>
        <w:spacing w:after="0" w:line="360" w:lineRule="auto"/>
        <w:ind w:left="0" w:firstLine="0"/>
        <w:rPr>
          <w:szCs w:val="24"/>
          <w:lang w:val="en-US"/>
        </w:rPr>
      </w:pPr>
    </w:p>
    <w:p w:rsidR="0055352D" w:rsidRDefault="0055352D" w:rsidP="00692C19">
      <w:pPr>
        <w:pStyle w:val="BodyText2"/>
        <w:spacing w:after="0" w:line="360" w:lineRule="auto"/>
      </w:pPr>
      <w:r>
        <w:rPr>
          <w:lang w:val="en-US"/>
        </w:rPr>
        <w:tab/>
      </w:r>
      <w:r>
        <w:rPr>
          <w:lang w:val="en-US"/>
        </w:rPr>
        <w:tab/>
      </w:r>
      <w:r>
        <w:t>Under its procurement plan, Duquesne Light proposed to acquire a limited amount of default supplies for delivery after May 31, 2015.  Specifically, Duquesne Light proposed to acquire 25% of the default service supply for residential customers for the June 2015</w:t>
      </w:r>
      <w:r w:rsidR="006D4CBC">
        <w:rPr>
          <w:lang w:val="en-US"/>
        </w:rPr>
        <w:t> </w:t>
      </w:r>
      <w:r>
        <w:t xml:space="preserve">– May 2016 period and to acquire 50% of the default service supply for Small C&amp;I customers for a 6-month period past June 2015 or through November 2015.  Duquesne Light explained that acquiring a portion of supplies past June 2015 would provide additional rate stability for Residential and Small C&amp;I default service customers.  In its Petition, Duquesne Light noted these procurements could be revised by the Commission in the event legal or regulatory changes </w:t>
      </w:r>
      <w:r w:rsidR="003B2D25">
        <w:rPr>
          <w:lang w:val="en-US"/>
        </w:rPr>
        <w:t>alter</w:t>
      </w:r>
      <w:r>
        <w:t xml:space="preserve"> the nature of default service or change Duquesne Light’s role as DSP.  Duquesne Light Ex. No. 1, p. 6.</w:t>
      </w:r>
    </w:p>
    <w:p w:rsidR="0055352D" w:rsidRDefault="0055352D" w:rsidP="00692C19">
      <w:pPr>
        <w:pStyle w:val="BodyText2"/>
        <w:spacing w:after="0" w:line="360" w:lineRule="auto"/>
        <w:rPr>
          <w:lang w:val="en-US"/>
        </w:rPr>
      </w:pPr>
    </w:p>
    <w:p w:rsidR="0055352D" w:rsidRDefault="0055352D" w:rsidP="00692C19">
      <w:pPr>
        <w:pStyle w:val="BodyText2"/>
        <w:spacing w:after="0" w:line="360" w:lineRule="auto"/>
        <w:rPr>
          <w:lang w:val="en-US"/>
        </w:rPr>
      </w:pPr>
      <w:r>
        <w:rPr>
          <w:lang w:val="en-US"/>
        </w:rPr>
        <w:tab/>
      </w:r>
      <w:r>
        <w:rPr>
          <w:lang w:val="en-US"/>
        </w:rPr>
        <w:tab/>
        <w:t xml:space="preserve">The Company noted </w:t>
      </w:r>
      <w:r>
        <w:t xml:space="preserve">RESA opposes </w:t>
      </w:r>
      <w:r>
        <w:rPr>
          <w:lang w:val="en-US"/>
        </w:rPr>
        <w:t>this</w:t>
      </w:r>
      <w:r>
        <w:t xml:space="preserve"> proposal to acquire a minimal portion of default supplies past May 31, 2015 and instead prefers a hard stop with all contracts expiring on this date.  RESA St. No. 1, p. 4.</w:t>
      </w:r>
      <w:r>
        <w:rPr>
          <w:lang w:val="en-US"/>
        </w:rPr>
        <w:t xml:space="preserve">  Duquesne</w:t>
      </w:r>
      <w:r>
        <w:t xml:space="preserve"> Light </w:t>
      </w:r>
      <w:r>
        <w:rPr>
          <w:lang w:val="en-US"/>
        </w:rPr>
        <w:t xml:space="preserve">contends </w:t>
      </w:r>
      <w:r>
        <w:t>RESA’s proposal is</w:t>
      </w:r>
      <w:r>
        <w:rPr>
          <w:lang w:val="en-US"/>
        </w:rPr>
        <w:t xml:space="preserve"> not</w:t>
      </w:r>
      <w:r>
        <w:t xml:space="preserve"> prudent given the conditions under which Duquesne Light </w:t>
      </w:r>
      <w:r w:rsidR="003B2D25">
        <w:rPr>
          <w:lang w:val="en-US"/>
        </w:rPr>
        <w:t xml:space="preserve">would </w:t>
      </w:r>
      <w:r>
        <w:t xml:space="preserve">acquire default service supplies past May 31, 2015.  First, Duquesne Light </w:t>
      </w:r>
      <w:r>
        <w:rPr>
          <w:lang w:val="en-US"/>
        </w:rPr>
        <w:t xml:space="preserve">argues it </w:t>
      </w:r>
      <w:r>
        <w:t>limited the amount of supplies it will acquire past May 31, 2015</w:t>
      </w:r>
      <w:r>
        <w:rPr>
          <w:lang w:val="en-US"/>
        </w:rPr>
        <w:t xml:space="preserve"> because this limitation</w:t>
      </w:r>
      <w:r>
        <w:t xml:space="preserve"> will provide some rate stability for customers and allow </w:t>
      </w:r>
      <w:r w:rsidR="003B2D25">
        <w:rPr>
          <w:lang w:val="en-US"/>
        </w:rPr>
        <w:t xml:space="preserve">for </w:t>
      </w:r>
      <w:r>
        <w:t xml:space="preserve">considerable flexibility after May 31, 2015.  Second, the </w:t>
      </w:r>
      <w:r>
        <w:rPr>
          <w:lang w:val="en-US"/>
        </w:rPr>
        <w:t xml:space="preserve">Company notes the </w:t>
      </w:r>
      <w:r>
        <w:t xml:space="preserve">Commission could modify these procurements in 2014 if the regulatory model changes significantly.  Third, </w:t>
      </w:r>
      <w:r w:rsidR="001543F6">
        <w:rPr>
          <w:lang w:val="en-US"/>
        </w:rPr>
        <w:t>the Company points out its</w:t>
      </w:r>
      <w:r>
        <w:t xml:space="preserve"> Supply Master Agreement includes provisions under which its obligations may be transferred.  Duquesne Light Exh. JEW-1, Section 16.7.</w:t>
      </w:r>
    </w:p>
    <w:p w:rsidR="001543F6" w:rsidRDefault="001543F6" w:rsidP="00692C19">
      <w:pPr>
        <w:pStyle w:val="BodyText2"/>
        <w:spacing w:after="0" w:line="360" w:lineRule="auto"/>
        <w:rPr>
          <w:lang w:val="en-US"/>
        </w:rPr>
      </w:pPr>
    </w:p>
    <w:p w:rsidR="0055352D" w:rsidRDefault="001543F6" w:rsidP="00692C19">
      <w:pPr>
        <w:pStyle w:val="BodyText2"/>
        <w:spacing w:after="0" w:line="360" w:lineRule="auto"/>
      </w:pPr>
      <w:r>
        <w:rPr>
          <w:lang w:val="en-US"/>
        </w:rPr>
        <w:tab/>
      </w:r>
      <w:r>
        <w:rPr>
          <w:lang w:val="en-US"/>
        </w:rPr>
        <w:tab/>
        <w:t xml:space="preserve">Duquesne Light notes </w:t>
      </w:r>
      <w:r w:rsidR="0055352D">
        <w:t xml:space="preserve">the Commission rejected the use of contracts that extend beyond May 2015 in the </w:t>
      </w:r>
      <w:r w:rsidR="0055352D">
        <w:rPr>
          <w:i/>
        </w:rPr>
        <w:t>FE Order,</w:t>
      </w:r>
      <w:r w:rsidR="0055352D">
        <w:t xml:space="preserve"> but it accepted the use of contracts that extend beyond May </w:t>
      </w:r>
      <w:r w:rsidR="0055352D">
        <w:lastRenderedPageBreak/>
        <w:t xml:space="preserve">2015 in the </w:t>
      </w:r>
      <w:r w:rsidR="0055352D">
        <w:rPr>
          <w:i/>
        </w:rPr>
        <w:t>PECO Binding Poll</w:t>
      </w:r>
      <w:r w:rsidR="0055352D">
        <w:t xml:space="preserve">.  </w:t>
      </w:r>
      <w:r w:rsidR="0055352D">
        <w:rPr>
          <w:i/>
        </w:rPr>
        <w:t>FE Order</w:t>
      </w:r>
      <w:r w:rsidR="0055352D">
        <w:t xml:space="preserve"> at 27; </w:t>
      </w:r>
      <w:r w:rsidR="0055352D">
        <w:rPr>
          <w:i/>
        </w:rPr>
        <w:t>PECO Binding Poll</w:t>
      </w:r>
      <w:r w:rsidR="0055352D">
        <w:t xml:space="preserve">, Issue No. 4.  In the </w:t>
      </w:r>
      <w:r w:rsidR="0055352D">
        <w:rPr>
          <w:i/>
        </w:rPr>
        <w:t>FE Order</w:t>
      </w:r>
      <w:r w:rsidR="0055352D">
        <w:t xml:space="preserve">, OCA and OSBA proposed to include supply contracts that extended beyond May 2015, which was contrary to the FE Companies’ procurement plan, and </w:t>
      </w:r>
      <w:r w:rsidR="003B2D25">
        <w:rPr>
          <w:lang w:val="en-US"/>
        </w:rPr>
        <w:t xml:space="preserve">these </w:t>
      </w:r>
      <w:r w:rsidR="0055352D">
        <w:t>proposals were denied.  In the PECO proceeding, PECO’s procurement plan included contracts that extended beyond May 2015, and the Commission accepted PECO’s proposals.</w:t>
      </w:r>
    </w:p>
    <w:p w:rsidR="004520A8" w:rsidRDefault="004520A8" w:rsidP="00884AFB">
      <w:pPr>
        <w:pStyle w:val="BriefL3"/>
        <w:numPr>
          <w:ilvl w:val="0"/>
          <w:numId w:val="0"/>
        </w:numPr>
        <w:spacing w:after="0" w:line="360" w:lineRule="auto"/>
        <w:ind w:left="2880"/>
        <w:rPr>
          <w:szCs w:val="24"/>
          <w:lang w:eastAsia="x-none"/>
        </w:rPr>
      </w:pPr>
    </w:p>
    <w:p w:rsidR="00884AFB" w:rsidRDefault="00A14704" w:rsidP="00A14704">
      <w:pPr>
        <w:pStyle w:val="BriefL3"/>
        <w:numPr>
          <w:ilvl w:val="0"/>
          <w:numId w:val="0"/>
        </w:numPr>
        <w:spacing w:after="0"/>
        <w:ind w:left="1440"/>
        <w:rPr>
          <w:b/>
          <w:szCs w:val="24"/>
        </w:rPr>
      </w:pPr>
      <w:r>
        <w:rPr>
          <w:b/>
          <w:szCs w:val="24"/>
        </w:rPr>
        <w:t>b</w:t>
      </w:r>
      <w:r w:rsidR="00884AFB">
        <w:rPr>
          <w:b/>
          <w:szCs w:val="24"/>
        </w:rPr>
        <w:t>.</w:t>
      </w:r>
      <w:r w:rsidR="00884AFB">
        <w:rPr>
          <w:b/>
          <w:szCs w:val="24"/>
        </w:rPr>
        <w:tab/>
        <w:t>OCA’s Position</w:t>
      </w:r>
    </w:p>
    <w:p w:rsidR="001F1EAA" w:rsidRDefault="001F1EAA" w:rsidP="00692C19">
      <w:pPr>
        <w:pStyle w:val="BodyText"/>
        <w:spacing w:after="0" w:line="360" w:lineRule="auto"/>
        <w:ind w:left="0" w:firstLine="0"/>
        <w:rPr>
          <w:szCs w:val="24"/>
          <w:lang w:val="en-US"/>
        </w:rPr>
      </w:pPr>
    </w:p>
    <w:p w:rsidR="00A14704" w:rsidRDefault="001F1EAA" w:rsidP="00A14704">
      <w:pPr>
        <w:tabs>
          <w:tab w:val="left" w:pos="0"/>
        </w:tabs>
        <w:spacing w:line="360" w:lineRule="auto"/>
      </w:pPr>
      <w:r>
        <w:tab/>
      </w:r>
      <w:r>
        <w:tab/>
        <w:t>OCA expressed support for the Company’s proposal</w:t>
      </w:r>
      <w:r w:rsidR="00297E8C">
        <w:t xml:space="preserve"> as a reasonable and measured way of overcoming the hard stop problem, saying Duquesne Light’s proposal, “</w:t>
      </w:r>
      <w:r>
        <w:t>would allow for a smoother transition to the subsequent [</w:t>
      </w:r>
      <w:r w:rsidR="00233436">
        <w:t>d</w:t>
      </w:r>
      <w:r>
        <w:t xml:space="preserve">efault </w:t>
      </w:r>
      <w:r w:rsidR="00233436">
        <w:t>s</w:t>
      </w:r>
      <w:r>
        <w:t>ervice] plan period than would be the case absent such a procurement approach.</w:t>
      </w:r>
      <w:r w:rsidR="00297E8C">
        <w:t>”  (</w:t>
      </w:r>
      <w:r>
        <w:t>OCA St. 1 at 9.</w:t>
      </w:r>
      <w:r w:rsidR="00297E8C">
        <w:t>)</w:t>
      </w:r>
      <w:r>
        <w:t xml:space="preserve">  </w:t>
      </w:r>
    </w:p>
    <w:p w:rsidR="001F1EAA" w:rsidRDefault="001F1EAA" w:rsidP="00692C19">
      <w:pPr>
        <w:tabs>
          <w:tab w:val="left" w:pos="0"/>
        </w:tabs>
        <w:spacing w:line="360" w:lineRule="auto"/>
      </w:pPr>
      <w:r>
        <w:t xml:space="preserve">  </w:t>
      </w:r>
    </w:p>
    <w:p w:rsidR="001F1EAA" w:rsidRDefault="001F1EAA" w:rsidP="00A14704">
      <w:pPr>
        <w:tabs>
          <w:tab w:val="left" w:pos="0"/>
        </w:tabs>
        <w:spacing w:line="360" w:lineRule="auto"/>
      </w:pPr>
      <w:r>
        <w:tab/>
      </w:r>
      <w:r>
        <w:tab/>
        <w:t xml:space="preserve"> OCA observed there is no reason why the small portion of the overall residential default service portfolio that would be served after May 31, 2015 from a pre-existing supply contract should interfere with any Commission determination regarding default service in 2015 and beyond. </w:t>
      </w:r>
      <w:r w:rsidR="00401B20">
        <w:t xml:space="preserve"> </w:t>
      </w:r>
      <w:r w:rsidR="00297E8C">
        <w:t>OCA</w:t>
      </w:r>
      <w:r w:rsidR="003B2D25">
        <w:t xml:space="preserve"> avers the supply contracts extending beyond May 31, 2015 can be transferred to the new Default Service supply entity.  Then those contracts would be folded into the post-June 1, 2015 portfolio, in the </w:t>
      </w:r>
      <w:r w:rsidR="00375B4B">
        <w:t>e</w:t>
      </w:r>
      <w:r w:rsidR="003B2D25">
        <w:t xml:space="preserve">vent the Commission decides the EDCs would not be Default Service providers after June 1, 2015.  </w:t>
      </w:r>
      <w:r>
        <w:t xml:space="preserve">OCA St. 1-S at 7.   </w:t>
      </w:r>
      <w:r w:rsidR="00297E8C">
        <w:t>OCA contends</w:t>
      </w:r>
      <w:r>
        <w:t xml:space="preserve"> the concern RESA raises </w:t>
      </w:r>
      <w:r w:rsidR="00876F3F">
        <w:t>–</w:t>
      </w:r>
      <w:r w:rsidR="00297E8C">
        <w:t xml:space="preserve"> </w:t>
      </w:r>
      <w:r>
        <w:t xml:space="preserve">with regard to overhanging contracts </w:t>
      </w:r>
      <w:r w:rsidR="00261C22">
        <w:t>–</w:t>
      </w:r>
      <w:r w:rsidR="00297E8C">
        <w:t xml:space="preserve"> </w:t>
      </w:r>
      <w:r>
        <w:t>can readily be addressed by making certain the contracts are assignable to a new default service provider if a new approach is adopted.  Therefore, there is no reason Duquesne’s residential customers should be denied the rate stabilizing effects that the overhanging contracts would provide</w:t>
      </w:r>
      <w:r w:rsidR="00297E8C">
        <w:t xml:space="preserve"> and </w:t>
      </w:r>
      <w:r>
        <w:t xml:space="preserve">RESA’s recommendation should be rejected.    </w:t>
      </w:r>
    </w:p>
    <w:p w:rsidR="00634542" w:rsidRDefault="00634542" w:rsidP="00A14704">
      <w:pPr>
        <w:tabs>
          <w:tab w:val="left" w:pos="0"/>
        </w:tabs>
        <w:spacing w:line="360" w:lineRule="auto"/>
      </w:pPr>
    </w:p>
    <w:p w:rsidR="00884AFB" w:rsidRDefault="00A14704" w:rsidP="00A14704">
      <w:pPr>
        <w:pStyle w:val="BriefL3"/>
        <w:numPr>
          <w:ilvl w:val="0"/>
          <w:numId w:val="0"/>
        </w:numPr>
        <w:spacing w:after="0" w:line="360" w:lineRule="auto"/>
        <w:ind w:left="1440"/>
        <w:rPr>
          <w:b/>
          <w:szCs w:val="24"/>
        </w:rPr>
      </w:pPr>
      <w:r>
        <w:rPr>
          <w:b/>
          <w:szCs w:val="24"/>
        </w:rPr>
        <w:t>c</w:t>
      </w:r>
      <w:r w:rsidR="00884AFB">
        <w:rPr>
          <w:b/>
          <w:szCs w:val="24"/>
        </w:rPr>
        <w:t>.</w:t>
      </w:r>
      <w:r w:rsidR="00884AFB">
        <w:rPr>
          <w:b/>
          <w:szCs w:val="24"/>
        </w:rPr>
        <w:tab/>
        <w:t>RESA’s Position</w:t>
      </w:r>
    </w:p>
    <w:p w:rsidR="00884AFB" w:rsidRDefault="00884AFB" w:rsidP="00A14704">
      <w:pPr>
        <w:pStyle w:val="BodyText"/>
        <w:spacing w:after="0" w:line="360" w:lineRule="auto"/>
        <w:ind w:left="0" w:firstLine="0"/>
        <w:rPr>
          <w:szCs w:val="24"/>
          <w:lang w:val="en-US"/>
        </w:rPr>
      </w:pPr>
    </w:p>
    <w:p w:rsidR="00332002" w:rsidRDefault="00332002" w:rsidP="00A14704">
      <w:pPr>
        <w:pStyle w:val="BodyText2"/>
        <w:spacing w:after="0" w:line="360" w:lineRule="auto"/>
        <w:rPr>
          <w:lang w:val="en-US"/>
        </w:rPr>
      </w:pPr>
      <w:r>
        <w:rPr>
          <w:lang w:val="en-US"/>
        </w:rPr>
        <w:tab/>
      </w:r>
      <w:r>
        <w:rPr>
          <w:lang w:val="en-US"/>
        </w:rPr>
        <w:tab/>
      </w:r>
      <w:r>
        <w:t xml:space="preserve">RESA opposes the extension of any procurement contracts beyond May 31. 2015.  </w:t>
      </w:r>
      <w:r w:rsidR="003B2D25">
        <w:rPr>
          <w:lang w:val="en-US"/>
        </w:rPr>
        <w:t>RESA contends</w:t>
      </w:r>
      <w:r>
        <w:t xml:space="preserve"> the Retail Ma</w:t>
      </w:r>
      <w:r w:rsidR="003B2D25">
        <w:t>rkets Investigation should be f</w:t>
      </w:r>
      <w:r w:rsidR="003B2D25">
        <w:rPr>
          <w:lang w:val="en-US"/>
        </w:rPr>
        <w:t>a</w:t>
      </w:r>
      <w:r>
        <w:t>rther along in the process (or completed)</w:t>
      </w:r>
      <w:r w:rsidR="003B2D25">
        <w:rPr>
          <w:lang w:val="en-US"/>
        </w:rPr>
        <w:t xml:space="preserve"> in the next few years</w:t>
      </w:r>
      <w:r>
        <w:t xml:space="preserve">, and may lead to significant changes in the nature </w:t>
      </w:r>
      <w:r w:rsidR="003636BD">
        <w:rPr>
          <w:lang w:val="en-US"/>
        </w:rPr>
        <w:t>of</w:t>
      </w:r>
      <w:r>
        <w:t xml:space="preserve"> </w:t>
      </w:r>
      <w:r>
        <w:lastRenderedPageBreak/>
        <w:t xml:space="preserve">procurement process for default service.  </w:t>
      </w:r>
      <w:r w:rsidR="003B2D25">
        <w:rPr>
          <w:lang w:val="en-US"/>
        </w:rPr>
        <w:t>RESA argues</w:t>
      </w:r>
      <w:r>
        <w:t xml:space="preserve"> the prudent course is to adopt a default service plan that ends with the current planning year end date.  </w:t>
      </w:r>
    </w:p>
    <w:p w:rsidR="00332002" w:rsidRDefault="00332002" w:rsidP="00A14704">
      <w:pPr>
        <w:pStyle w:val="BodyText2"/>
        <w:spacing w:after="0" w:line="360" w:lineRule="auto"/>
        <w:rPr>
          <w:lang w:val="en-US"/>
        </w:rPr>
      </w:pPr>
    </w:p>
    <w:p w:rsidR="00332002" w:rsidRDefault="00332002" w:rsidP="00A14704">
      <w:pPr>
        <w:pStyle w:val="BodyText2"/>
        <w:spacing w:after="0" w:line="360" w:lineRule="auto"/>
      </w:pPr>
      <w:r>
        <w:rPr>
          <w:lang w:val="en-US"/>
        </w:rPr>
        <w:tab/>
      </w:r>
      <w:r>
        <w:rPr>
          <w:lang w:val="en-US"/>
        </w:rPr>
        <w:tab/>
      </w:r>
      <w:r>
        <w:t>RESA does not support the use of any default service contracts, regardless of the term, that extend beyond the expiration date of the default service plan term.</w:t>
      </w:r>
      <w:r w:rsidR="00A14704">
        <w:rPr>
          <w:lang w:val="en-US"/>
        </w:rPr>
        <w:t xml:space="preserve">  </w:t>
      </w:r>
      <w:r w:rsidR="003B2D25">
        <w:rPr>
          <w:lang w:val="en-US"/>
        </w:rPr>
        <w:t xml:space="preserve">RESA points to the </w:t>
      </w:r>
      <w:r>
        <w:rPr>
          <w:i/>
        </w:rPr>
        <w:t>FirstEnergy Default Service Order</w:t>
      </w:r>
      <w:r>
        <w:t xml:space="preserve">, </w:t>
      </w:r>
      <w:r w:rsidR="003B2D25">
        <w:rPr>
          <w:lang w:val="en-US"/>
        </w:rPr>
        <w:t xml:space="preserve">and argues when it rejected </w:t>
      </w:r>
      <w:r>
        <w:t>a similar proposal by OCA and others</w:t>
      </w:r>
      <w:r w:rsidR="003B2D25">
        <w:rPr>
          <w:lang w:val="en-US"/>
        </w:rPr>
        <w:t>,</w:t>
      </w:r>
      <w:r>
        <w:rPr>
          <w:rStyle w:val="FootnoteReference"/>
        </w:rPr>
        <w:footnoteReference w:id="57"/>
      </w:r>
      <w:r>
        <w:t xml:space="preserve"> the Commission recognized that “utilize[ing] shorter, more frequent procurements should ensure a smoother transition into the next procurement period without requiring that procurements extend beyond May 2015.”   </w:t>
      </w:r>
      <w:r w:rsidR="003B2D25">
        <w:rPr>
          <w:lang w:val="en-US"/>
        </w:rPr>
        <w:t>RESA contends</w:t>
      </w:r>
      <w:r>
        <w:t xml:space="preserve"> Duquesne’s proposal is directly co</w:t>
      </w:r>
      <w:r w:rsidR="004C2538">
        <w:rPr>
          <w:lang w:val="en-US"/>
        </w:rPr>
        <w:t>ntrary</w:t>
      </w:r>
      <w:r>
        <w:t xml:space="preserve"> to the </w:t>
      </w:r>
      <w:r w:rsidR="003B2D25">
        <w:rPr>
          <w:lang w:val="en-US"/>
        </w:rPr>
        <w:t>Commission’s</w:t>
      </w:r>
      <w:r>
        <w:t xml:space="preserve"> objective outlined in its </w:t>
      </w:r>
      <w:r>
        <w:rPr>
          <w:i/>
        </w:rPr>
        <w:t>RMI</w:t>
      </w:r>
      <w:r>
        <w:t xml:space="preserve"> </w:t>
      </w:r>
      <w:r>
        <w:rPr>
          <w:i/>
        </w:rPr>
        <w:t>Default Service Order</w:t>
      </w:r>
      <w:r>
        <w:t xml:space="preserve"> and reaffirmed in the </w:t>
      </w:r>
      <w:r>
        <w:rPr>
          <w:i/>
        </w:rPr>
        <w:t>FirstEnergy Default Service Order</w:t>
      </w:r>
      <w:r>
        <w:t xml:space="preserve">.  Duquesne’s proposal would also complicate and extend the transition to quarterly contracts as envisioned in the recent </w:t>
      </w:r>
      <w:r>
        <w:rPr>
          <w:i/>
        </w:rPr>
        <w:t>RMI End State Proposal</w:t>
      </w:r>
      <w:r>
        <w:t>.</w:t>
      </w:r>
    </w:p>
    <w:p w:rsidR="00332002" w:rsidRDefault="00332002" w:rsidP="00332002">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d</w:t>
      </w:r>
      <w:r w:rsidR="006D4D99">
        <w:rPr>
          <w:b/>
          <w:szCs w:val="24"/>
        </w:rPr>
        <w:t>.</w:t>
      </w:r>
      <w:r w:rsidR="006D4D99">
        <w:rPr>
          <w:b/>
          <w:szCs w:val="24"/>
        </w:rPr>
        <w:tab/>
        <w:t>OSBA’s Position</w:t>
      </w:r>
    </w:p>
    <w:p w:rsidR="006D4D99" w:rsidRDefault="006D4D99" w:rsidP="00A14704">
      <w:pPr>
        <w:pStyle w:val="BodyText"/>
        <w:spacing w:after="0" w:line="360" w:lineRule="auto"/>
        <w:ind w:left="0" w:firstLine="0"/>
        <w:rPr>
          <w:szCs w:val="24"/>
          <w:lang w:val="en-US"/>
        </w:rPr>
      </w:pPr>
    </w:p>
    <w:p w:rsidR="006917B7" w:rsidRPr="0098330D" w:rsidRDefault="006917B7" w:rsidP="00A14704">
      <w:pPr>
        <w:pStyle w:val="BodyText2"/>
        <w:spacing w:after="0" w:line="360" w:lineRule="auto"/>
      </w:pPr>
      <w:r>
        <w:rPr>
          <w:lang w:val="en-US"/>
        </w:rPr>
        <w:tab/>
      </w:r>
      <w:r>
        <w:rPr>
          <w:lang w:val="en-US"/>
        </w:rPr>
        <w:tab/>
        <w:t>OSBA points out that t</w:t>
      </w:r>
      <w:r>
        <w:t>he Company did not propose to procure energy for Medium C&amp;I customers beyond May 31, 2015.  The Company’s Small C&amp;I procurement methodology does provide for the acquisition of 50% of its supply for Small C&amp;I customers to extend through November 30, 2015, or six months beyond the POLR VI plan period.  However, in the event that legal or regulatory developments preclude Duquesne from continuing to serve as the default service provider after May 31, 2015, the Commission can adjust the relevant (November 2014) Small C&amp;I procurement solicitation, as necessary.</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e</w:t>
      </w:r>
      <w:r w:rsidR="006D4D99">
        <w:rPr>
          <w:b/>
          <w:szCs w:val="24"/>
        </w:rPr>
        <w:t>.</w:t>
      </w:r>
      <w:r w:rsidR="006D4D99">
        <w:rPr>
          <w:b/>
          <w:szCs w:val="24"/>
        </w:rPr>
        <w:tab/>
        <w:t>CAUSE’s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pPr>
      <w:r>
        <w:rPr>
          <w:lang w:val="en-US"/>
        </w:rPr>
        <w:tab/>
      </w:r>
      <w:r w:rsidR="00220680">
        <w:rPr>
          <w:lang w:val="en-US"/>
        </w:rPr>
        <w:tab/>
      </w:r>
      <w:r>
        <w:rPr>
          <w:lang w:val="en-US"/>
        </w:rPr>
        <w:t>CAUSE</w:t>
      </w:r>
      <w:r>
        <w:t xml:space="preserve"> takes no position on this issue.</w:t>
      </w:r>
    </w:p>
    <w:p w:rsidR="006D4D99" w:rsidRDefault="006D4D99" w:rsidP="00A14704">
      <w:pPr>
        <w:pStyle w:val="BriefL3"/>
        <w:numPr>
          <w:ilvl w:val="0"/>
          <w:numId w:val="0"/>
        </w:numPr>
        <w:spacing w:after="0" w:line="360" w:lineRule="auto"/>
        <w:rPr>
          <w:b/>
          <w:szCs w:val="24"/>
        </w:rPr>
      </w:pPr>
    </w:p>
    <w:p w:rsidR="0084672B" w:rsidRDefault="0084672B">
      <w:pPr>
        <w:autoSpaceDE/>
        <w:autoSpaceDN/>
        <w:rPr>
          <w:b/>
        </w:rPr>
      </w:pPr>
      <w:r>
        <w:rPr>
          <w:b/>
        </w:rPr>
        <w:br w:type="page"/>
      </w:r>
    </w:p>
    <w:p w:rsidR="006D4D99" w:rsidRDefault="00A14704" w:rsidP="00A14704">
      <w:pPr>
        <w:pStyle w:val="BriefL3"/>
        <w:numPr>
          <w:ilvl w:val="0"/>
          <w:numId w:val="0"/>
        </w:numPr>
        <w:spacing w:after="0" w:line="360" w:lineRule="auto"/>
        <w:ind w:left="720" w:firstLine="720"/>
        <w:rPr>
          <w:b/>
          <w:szCs w:val="24"/>
        </w:rPr>
      </w:pPr>
      <w:r>
        <w:rPr>
          <w:b/>
          <w:szCs w:val="24"/>
        </w:rPr>
        <w:lastRenderedPageBreak/>
        <w:t>f</w:t>
      </w:r>
      <w:r w:rsidR="006D4D99">
        <w:rPr>
          <w:b/>
          <w:szCs w:val="24"/>
        </w:rPr>
        <w:t>.</w:t>
      </w:r>
      <w:r w:rsidR="006D4D99">
        <w:rPr>
          <w:b/>
          <w:szCs w:val="24"/>
        </w:rPr>
        <w:tab/>
        <w:t>Citizen Power’s Position</w:t>
      </w:r>
    </w:p>
    <w:p w:rsidR="006D4D99" w:rsidRDefault="006D4D99" w:rsidP="00A14704">
      <w:pPr>
        <w:pStyle w:val="BodyText"/>
        <w:spacing w:after="0" w:line="360" w:lineRule="auto"/>
        <w:ind w:left="0" w:firstLine="0"/>
        <w:rPr>
          <w:szCs w:val="24"/>
          <w:lang w:val="en-US"/>
        </w:rPr>
      </w:pPr>
    </w:p>
    <w:p w:rsidR="00CA14AF" w:rsidRDefault="00CA14AF" w:rsidP="00A14704">
      <w:pPr>
        <w:spacing w:line="360" w:lineRule="auto"/>
        <w:ind w:firstLine="720"/>
      </w:pPr>
      <w:r>
        <w:tab/>
        <w:t>Citizen Power recommends the proposed “overhang” procurement should be approved because the proposed procurement date of April 2014 is distant enough that this procurement can be adjusted (or eliminated) based upon changes in the regulatory or statutory landscape.</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g</w:t>
      </w:r>
      <w:r w:rsidR="006D4D99">
        <w:rPr>
          <w:b/>
          <w:szCs w:val="24"/>
        </w:rPr>
        <w:t>.</w:t>
      </w:r>
      <w:r w:rsidR="006D4D99">
        <w:rPr>
          <w:b/>
          <w:szCs w:val="24"/>
        </w:rPr>
        <w:tab/>
        <w:t>Duquesne Industrial Intervenors’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rPr>
          <w:lang w:val="en-US"/>
        </w:rPr>
      </w:pPr>
      <w:r>
        <w:rPr>
          <w:lang w:val="en-US"/>
        </w:rPr>
        <w:tab/>
      </w:r>
      <w:r w:rsidR="00CA14AF">
        <w:rPr>
          <w:lang w:val="en-US"/>
        </w:rPr>
        <w:tab/>
      </w:r>
      <w:r>
        <w:rPr>
          <w:lang w:val="en-US"/>
        </w:rPr>
        <w:t>DII</w:t>
      </w:r>
      <w:r>
        <w:t xml:space="preserve"> takes no position on this issue.</w:t>
      </w:r>
    </w:p>
    <w:p w:rsidR="006433A4" w:rsidRPr="006433A4" w:rsidRDefault="006433A4" w:rsidP="00A14704">
      <w:pPr>
        <w:pStyle w:val="BodyText2"/>
        <w:spacing w:after="0" w:line="360" w:lineRule="auto"/>
        <w:rPr>
          <w:lang w:val="en-US"/>
        </w:rPr>
      </w:pPr>
    </w:p>
    <w:p w:rsidR="006D4D99" w:rsidRDefault="00A14704" w:rsidP="00A14704">
      <w:pPr>
        <w:pStyle w:val="BriefL3"/>
        <w:numPr>
          <w:ilvl w:val="0"/>
          <w:numId w:val="0"/>
        </w:numPr>
        <w:spacing w:after="0" w:line="360" w:lineRule="auto"/>
        <w:ind w:left="720" w:firstLine="720"/>
        <w:rPr>
          <w:b/>
          <w:szCs w:val="24"/>
        </w:rPr>
      </w:pPr>
      <w:r>
        <w:rPr>
          <w:b/>
          <w:szCs w:val="24"/>
        </w:rPr>
        <w:t>h</w:t>
      </w:r>
      <w:r w:rsidR="006D4D99">
        <w:rPr>
          <w:b/>
          <w:szCs w:val="24"/>
        </w:rPr>
        <w:t>.</w:t>
      </w:r>
      <w:r w:rsidR="006D4D99">
        <w:rPr>
          <w:b/>
          <w:szCs w:val="24"/>
        </w:rPr>
        <w:tab/>
        <w:t>EGS Parties’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pPr>
      <w:r>
        <w:rPr>
          <w:lang w:val="en-US"/>
        </w:rPr>
        <w:tab/>
      </w:r>
      <w:r w:rsidR="00CA14AF">
        <w:rPr>
          <w:lang w:val="en-US"/>
        </w:rPr>
        <w:tab/>
      </w:r>
      <w:r>
        <w:rPr>
          <w:lang w:val="en-US"/>
        </w:rPr>
        <w:t>EGS Parties take</w:t>
      </w:r>
      <w:r>
        <w:t xml:space="preserve"> no position on this issue.</w:t>
      </w:r>
    </w:p>
    <w:p w:rsidR="006D4D99" w:rsidRDefault="006D4D99" w:rsidP="00A14704">
      <w:pPr>
        <w:pStyle w:val="BodyText"/>
        <w:spacing w:after="0" w:line="360" w:lineRule="auto"/>
        <w:ind w:left="0" w:firstLine="0"/>
        <w:rPr>
          <w:szCs w:val="24"/>
          <w:lang w:val="en-US"/>
        </w:rPr>
      </w:pPr>
    </w:p>
    <w:p w:rsidR="006D4D99" w:rsidRDefault="00A14704" w:rsidP="00A14704">
      <w:pPr>
        <w:pStyle w:val="BriefL3"/>
        <w:numPr>
          <w:ilvl w:val="0"/>
          <w:numId w:val="0"/>
        </w:numPr>
        <w:spacing w:after="0" w:line="360" w:lineRule="auto"/>
        <w:ind w:left="720" w:firstLine="720"/>
        <w:rPr>
          <w:b/>
          <w:szCs w:val="24"/>
        </w:rPr>
      </w:pPr>
      <w:r>
        <w:rPr>
          <w:b/>
          <w:szCs w:val="24"/>
        </w:rPr>
        <w:t>i</w:t>
      </w:r>
      <w:r w:rsidR="006D4D99">
        <w:rPr>
          <w:b/>
          <w:szCs w:val="24"/>
        </w:rPr>
        <w:t>.</w:t>
      </w:r>
      <w:r w:rsidR="006D4D99">
        <w:rPr>
          <w:b/>
          <w:szCs w:val="24"/>
        </w:rPr>
        <w:tab/>
        <w:t>FirstEnergy Solutions’ Position</w:t>
      </w:r>
    </w:p>
    <w:p w:rsidR="006D4D99" w:rsidRDefault="006D4D99" w:rsidP="00A14704">
      <w:pPr>
        <w:pStyle w:val="BodyText"/>
        <w:spacing w:after="0" w:line="360" w:lineRule="auto"/>
        <w:ind w:left="0" w:firstLine="0"/>
        <w:rPr>
          <w:szCs w:val="24"/>
          <w:lang w:val="en-US"/>
        </w:rPr>
      </w:pPr>
    </w:p>
    <w:p w:rsidR="006D4D99" w:rsidRDefault="006D4D99" w:rsidP="00A14704">
      <w:pPr>
        <w:pStyle w:val="BodyText2"/>
        <w:spacing w:after="0" w:line="360" w:lineRule="auto"/>
      </w:pPr>
      <w:r>
        <w:rPr>
          <w:lang w:val="en-US"/>
        </w:rPr>
        <w:tab/>
      </w:r>
      <w:r w:rsidR="00CA14AF">
        <w:rPr>
          <w:lang w:val="en-US"/>
        </w:rPr>
        <w:tab/>
      </w:r>
      <w:r>
        <w:rPr>
          <w:lang w:val="en-US"/>
        </w:rPr>
        <w:t>FES</w:t>
      </w:r>
      <w:r>
        <w:t xml:space="preserve"> takes no position on this issue.</w:t>
      </w:r>
    </w:p>
    <w:p w:rsidR="000B30A3" w:rsidRDefault="000B30A3" w:rsidP="00A14704">
      <w:pPr>
        <w:pStyle w:val="BriefL3"/>
        <w:numPr>
          <w:ilvl w:val="0"/>
          <w:numId w:val="0"/>
        </w:numPr>
        <w:spacing w:after="0" w:line="360" w:lineRule="auto"/>
        <w:ind w:firstLine="720"/>
        <w:rPr>
          <w:b/>
          <w:szCs w:val="24"/>
        </w:rPr>
      </w:pPr>
    </w:p>
    <w:p w:rsidR="006D4D99" w:rsidRDefault="00A14704" w:rsidP="008F2DA8">
      <w:pPr>
        <w:pStyle w:val="BriefL3"/>
        <w:numPr>
          <w:ilvl w:val="0"/>
          <w:numId w:val="0"/>
        </w:numPr>
        <w:spacing w:after="0" w:line="360" w:lineRule="auto"/>
        <w:ind w:left="720" w:firstLine="720"/>
        <w:rPr>
          <w:b/>
          <w:szCs w:val="24"/>
        </w:rPr>
      </w:pPr>
      <w:r>
        <w:rPr>
          <w:b/>
          <w:szCs w:val="24"/>
        </w:rPr>
        <w:t>j</w:t>
      </w:r>
      <w:r w:rsidR="006D4D99">
        <w:rPr>
          <w:b/>
          <w:szCs w:val="24"/>
        </w:rPr>
        <w:t>.</w:t>
      </w:r>
      <w:r w:rsidR="006D4D99">
        <w:rPr>
          <w:b/>
          <w:szCs w:val="24"/>
        </w:rPr>
        <w:tab/>
        <w:t>Joint Suppliers’ Position</w:t>
      </w:r>
    </w:p>
    <w:p w:rsidR="006D4D99" w:rsidRDefault="006D4D99" w:rsidP="008F2DA8">
      <w:pPr>
        <w:pStyle w:val="BodyText"/>
        <w:spacing w:after="0" w:line="360" w:lineRule="auto"/>
        <w:ind w:left="0" w:firstLine="0"/>
        <w:rPr>
          <w:szCs w:val="24"/>
          <w:lang w:val="en-US"/>
        </w:rPr>
      </w:pPr>
    </w:p>
    <w:p w:rsidR="006D4D99" w:rsidRDefault="006D4D99" w:rsidP="008F2DA8">
      <w:pPr>
        <w:pStyle w:val="BodyText2"/>
        <w:spacing w:after="0" w:line="360" w:lineRule="auto"/>
        <w:rPr>
          <w:lang w:val="en-US"/>
        </w:rPr>
      </w:pPr>
      <w:r>
        <w:rPr>
          <w:lang w:val="en-US"/>
        </w:rPr>
        <w:tab/>
      </w:r>
      <w:r w:rsidR="00CA14AF">
        <w:rPr>
          <w:lang w:val="en-US"/>
        </w:rPr>
        <w:tab/>
      </w:r>
      <w:r>
        <w:rPr>
          <w:lang w:val="en-US"/>
        </w:rPr>
        <w:t>Joint Suppliers take</w:t>
      </w:r>
      <w:r>
        <w:t xml:space="preserve"> no position on this issue.</w:t>
      </w:r>
    </w:p>
    <w:p w:rsidR="008F2DA8" w:rsidRPr="008F2DA8" w:rsidRDefault="008F2DA8" w:rsidP="008F2DA8">
      <w:pPr>
        <w:pStyle w:val="BodyText2"/>
        <w:spacing w:after="0" w:line="360" w:lineRule="auto"/>
        <w:rPr>
          <w:lang w:val="en-US"/>
        </w:rPr>
      </w:pPr>
    </w:p>
    <w:p w:rsidR="00DD6125" w:rsidRPr="00E36A29" w:rsidRDefault="00DD6125" w:rsidP="008F2DA8">
      <w:pPr>
        <w:pStyle w:val="ListParagraph"/>
        <w:autoSpaceDE/>
        <w:autoSpaceDN/>
        <w:spacing w:line="360" w:lineRule="auto"/>
        <w:ind w:left="0"/>
        <w:rPr>
          <w:b/>
        </w:rPr>
      </w:pPr>
      <w:r w:rsidRPr="00E36A29">
        <w:rPr>
          <w:b/>
        </w:rPr>
        <w:t>Disposition</w:t>
      </w:r>
      <w:r w:rsidR="004A6054" w:rsidRPr="00E36A29">
        <w:rPr>
          <w:b/>
        </w:rPr>
        <w:t xml:space="preserve"> – Procurements for Delivery Beyond May 31, 2015</w:t>
      </w:r>
    </w:p>
    <w:p w:rsidR="00DD6125" w:rsidRDefault="00DD6125" w:rsidP="008F2DA8">
      <w:pPr>
        <w:pStyle w:val="BodyText"/>
        <w:spacing w:after="0" w:line="360" w:lineRule="auto"/>
        <w:ind w:left="0" w:firstLine="0"/>
        <w:rPr>
          <w:szCs w:val="24"/>
          <w:lang w:val="en-US"/>
        </w:rPr>
      </w:pPr>
    </w:p>
    <w:p w:rsidR="00B918E3" w:rsidRDefault="00B918E3" w:rsidP="008F2DA8">
      <w:pPr>
        <w:pStyle w:val="BodyText"/>
        <w:spacing w:after="0" w:line="360" w:lineRule="auto"/>
        <w:ind w:left="0" w:firstLine="0"/>
        <w:rPr>
          <w:szCs w:val="24"/>
          <w:lang w:val="en-US"/>
        </w:rPr>
      </w:pPr>
      <w:r>
        <w:rPr>
          <w:szCs w:val="24"/>
          <w:lang w:val="en-US"/>
        </w:rPr>
        <w:tab/>
      </w:r>
      <w:r>
        <w:rPr>
          <w:szCs w:val="24"/>
          <w:lang w:val="en-US"/>
        </w:rPr>
        <w:tab/>
        <w:t>I recommend approval of DLC’s proposal to “overhang” procurement beyond the end of this DSP term</w:t>
      </w:r>
      <w:r w:rsidR="00E36A29">
        <w:rPr>
          <w:szCs w:val="24"/>
          <w:lang w:val="en-US"/>
        </w:rPr>
        <w:t>.  T</w:t>
      </w:r>
      <w:r>
        <w:rPr>
          <w:szCs w:val="24"/>
          <w:lang w:val="en-US"/>
        </w:rPr>
        <w:t>his provision provides for rate stability benefits yet the time frame is far</w:t>
      </w:r>
      <w:r w:rsidR="00E36A29">
        <w:rPr>
          <w:szCs w:val="24"/>
          <w:lang w:val="en-US"/>
        </w:rPr>
        <w:t xml:space="preserve"> enough</w:t>
      </w:r>
      <w:r>
        <w:rPr>
          <w:szCs w:val="24"/>
          <w:lang w:val="en-US"/>
        </w:rPr>
        <w:t xml:space="preserve"> into the future that DSP VI can be re-designed</w:t>
      </w:r>
      <w:r w:rsidR="00E36A29">
        <w:rPr>
          <w:szCs w:val="24"/>
          <w:lang w:val="en-US"/>
        </w:rPr>
        <w:t>,</w:t>
      </w:r>
      <w:r>
        <w:rPr>
          <w:szCs w:val="24"/>
          <w:lang w:val="en-US"/>
        </w:rPr>
        <w:t xml:space="preserve"> should future conditions require changes.  In addition, this proposal is consistent with </w:t>
      </w:r>
      <w:r w:rsidR="00E36A29">
        <w:rPr>
          <w:szCs w:val="24"/>
          <w:lang w:val="en-US"/>
        </w:rPr>
        <w:t>prior</w:t>
      </w:r>
      <w:r>
        <w:rPr>
          <w:szCs w:val="24"/>
          <w:lang w:val="en-US"/>
        </w:rPr>
        <w:t xml:space="preserve"> Commission decisions.  </w:t>
      </w:r>
    </w:p>
    <w:p w:rsidR="00B918E3" w:rsidRDefault="00B918E3" w:rsidP="008F2DA8">
      <w:pPr>
        <w:pStyle w:val="BodyText"/>
        <w:spacing w:after="0" w:line="360" w:lineRule="auto"/>
        <w:ind w:left="0" w:firstLine="0"/>
        <w:rPr>
          <w:szCs w:val="24"/>
          <w:lang w:val="en-US"/>
        </w:rPr>
      </w:pPr>
    </w:p>
    <w:p w:rsidR="0084672B" w:rsidRDefault="0084672B">
      <w:pPr>
        <w:autoSpaceDE/>
        <w:autoSpaceDN/>
        <w:rPr>
          <w:lang w:eastAsia="x-none"/>
        </w:rPr>
      </w:pPr>
      <w:r>
        <w:br w:type="page"/>
      </w:r>
    </w:p>
    <w:p w:rsidR="00EE639F" w:rsidRPr="00DD6125" w:rsidRDefault="00EE639F" w:rsidP="008F2DA8">
      <w:pPr>
        <w:pStyle w:val="BodyText"/>
        <w:spacing w:after="0" w:line="360" w:lineRule="auto"/>
        <w:ind w:left="0" w:firstLine="0"/>
        <w:rPr>
          <w:b/>
          <w:szCs w:val="24"/>
          <w:lang w:val="en-US"/>
        </w:rPr>
      </w:pPr>
      <w:r>
        <w:rPr>
          <w:szCs w:val="24"/>
          <w:lang w:val="en-US"/>
        </w:rPr>
        <w:lastRenderedPageBreak/>
        <w:tab/>
      </w:r>
      <w:r w:rsidRPr="00DD6125">
        <w:rPr>
          <w:b/>
          <w:szCs w:val="24"/>
          <w:lang w:val="en-US"/>
        </w:rPr>
        <w:t>7.</w:t>
      </w:r>
      <w:r w:rsidRPr="00DD6125">
        <w:rPr>
          <w:b/>
          <w:szCs w:val="24"/>
          <w:lang w:val="en-US"/>
        </w:rPr>
        <w:tab/>
        <w:t xml:space="preserve">Miscellaneous Procurement Issues </w:t>
      </w:r>
    </w:p>
    <w:p w:rsidR="00EE639F" w:rsidRDefault="00EE639F" w:rsidP="008F2DA8">
      <w:pPr>
        <w:pStyle w:val="BodyText"/>
        <w:spacing w:after="0" w:line="360" w:lineRule="auto"/>
        <w:ind w:left="0" w:firstLine="0"/>
        <w:rPr>
          <w:szCs w:val="24"/>
          <w:lang w:val="en-US"/>
        </w:rPr>
      </w:pPr>
    </w:p>
    <w:p w:rsidR="001543F6" w:rsidRPr="001543F6" w:rsidRDefault="001543F6" w:rsidP="008F2DA8">
      <w:pPr>
        <w:pStyle w:val="BodyText"/>
        <w:spacing w:after="0" w:line="360" w:lineRule="auto"/>
        <w:ind w:left="0" w:firstLine="0"/>
        <w:rPr>
          <w:szCs w:val="24"/>
          <w:lang w:val="en-US"/>
        </w:rPr>
      </w:pPr>
      <w:r>
        <w:rPr>
          <w:szCs w:val="24"/>
          <w:lang w:val="en-US"/>
        </w:rPr>
        <w:tab/>
      </w:r>
      <w:r>
        <w:rPr>
          <w:szCs w:val="24"/>
          <w:lang w:val="en-US"/>
        </w:rPr>
        <w:tab/>
      </w:r>
      <w:r w:rsidR="00CA14AF">
        <w:rPr>
          <w:szCs w:val="24"/>
          <w:lang w:val="en-US"/>
        </w:rPr>
        <w:t xml:space="preserve">No party raised </w:t>
      </w:r>
      <w:r>
        <w:t xml:space="preserve">any </w:t>
      </w:r>
      <w:r>
        <w:rPr>
          <w:lang w:val="en-US"/>
        </w:rPr>
        <w:t>miscellaneous</w:t>
      </w:r>
      <w:r>
        <w:t xml:space="preserve"> procurement issues in their testimony </w:t>
      </w:r>
      <w:r>
        <w:rPr>
          <w:lang w:val="en-US"/>
        </w:rPr>
        <w:t>or in their briefs</w:t>
      </w:r>
      <w:r w:rsidR="00CA14AF">
        <w:rPr>
          <w:lang w:val="en-US"/>
        </w:rPr>
        <w:t>.</w:t>
      </w:r>
    </w:p>
    <w:p w:rsidR="001543F6" w:rsidRDefault="001543F6" w:rsidP="008F2DA8">
      <w:pPr>
        <w:pStyle w:val="BodyText"/>
        <w:spacing w:after="0" w:line="360" w:lineRule="auto"/>
        <w:ind w:left="0" w:firstLine="0"/>
        <w:rPr>
          <w:szCs w:val="24"/>
          <w:lang w:val="en-US"/>
        </w:rPr>
      </w:pPr>
    </w:p>
    <w:p w:rsidR="00EE639F" w:rsidRPr="00265AAB" w:rsidRDefault="00EE639F" w:rsidP="008F2DA8">
      <w:pPr>
        <w:pStyle w:val="BriefL1"/>
        <w:numPr>
          <w:ilvl w:val="0"/>
          <w:numId w:val="0"/>
        </w:numPr>
        <w:spacing w:after="0" w:line="360" w:lineRule="auto"/>
        <w:jc w:val="left"/>
        <w:outlineLvl w:val="9"/>
        <w:rPr>
          <w:szCs w:val="24"/>
        </w:rPr>
      </w:pPr>
      <w:r>
        <w:rPr>
          <w:szCs w:val="24"/>
        </w:rPr>
        <w:t>C</w:t>
      </w:r>
      <w:r w:rsidRPr="00265AAB">
        <w:rPr>
          <w:szCs w:val="24"/>
        </w:rPr>
        <w:t>.</w:t>
      </w:r>
      <w:r w:rsidRPr="00265AAB">
        <w:rPr>
          <w:szCs w:val="24"/>
        </w:rPr>
        <w:tab/>
      </w:r>
      <w:r w:rsidR="006146CB">
        <w:rPr>
          <w:szCs w:val="24"/>
        </w:rPr>
        <w:t>R</w:t>
      </w:r>
      <w:r w:rsidR="006146CB">
        <w:rPr>
          <w:caps w:val="0"/>
          <w:szCs w:val="24"/>
        </w:rPr>
        <w:t xml:space="preserve">etail </w:t>
      </w:r>
      <w:r w:rsidR="008F2DA8">
        <w:rPr>
          <w:caps w:val="0"/>
          <w:szCs w:val="24"/>
        </w:rPr>
        <w:t>Market Enhancement Programs</w:t>
      </w:r>
      <w:r w:rsidR="006146CB">
        <w:rPr>
          <w:caps w:val="0"/>
          <w:szCs w:val="24"/>
        </w:rPr>
        <w:t xml:space="preserve"> (“RME Programs”)</w:t>
      </w:r>
      <w:r>
        <w:rPr>
          <w:caps w:val="0"/>
          <w:szCs w:val="24"/>
        </w:rPr>
        <w:fldChar w:fldCharType="begin"/>
      </w:r>
      <w:r>
        <w:instrText xml:space="preserve"> TC "</w:instrText>
      </w:r>
      <w:r w:rsidRPr="002A1620">
        <w:rPr>
          <w:szCs w:val="24"/>
        </w:rPr>
        <w:instrText>A.</w:instrText>
      </w:r>
      <w:r w:rsidRPr="002A1620">
        <w:rPr>
          <w:szCs w:val="24"/>
        </w:rPr>
        <w:tab/>
        <w:instrText>D</w:instrText>
      </w:r>
      <w:r w:rsidRPr="002A1620">
        <w:rPr>
          <w:caps w:val="0"/>
          <w:szCs w:val="24"/>
        </w:rPr>
        <w:instrText>efault Service Procurement and Implementation Plans</w:instrText>
      </w:r>
      <w:r>
        <w:instrText xml:space="preserve">" \f C \l "2" </w:instrText>
      </w:r>
      <w:r>
        <w:rPr>
          <w:caps w:val="0"/>
          <w:szCs w:val="24"/>
        </w:rPr>
        <w:fldChar w:fldCharType="end"/>
      </w:r>
    </w:p>
    <w:p w:rsidR="00EE639F" w:rsidRPr="00265AAB" w:rsidRDefault="00EE639F" w:rsidP="008F2DA8">
      <w:pPr>
        <w:pStyle w:val="BodyText"/>
        <w:spacing w:after="0" w:line="360" w:lineRule="auto"/>
        <w:ind w:left="0"/>
        <w:rPr>
          <w:b/>
          <w:szCs w:val="24"/>
        </w:rPr>
      </w:pPr>
    </w:p>
    <w:p w:rsidR="00EE639F" w:rsidRDefault="00A87018" w:rsidP="008F2DA8">
      <w:pPr>
        <w:pStyle w:val="BriefL3"/>
        <w:numPr>
          <w:ilvl w:val="0"/>
          <w:numId w:val="0"/>
        </w:numPr>
        <w:spacing w:after="0" w:line="360" w:lineRule="auto"/>
        <w:outlineLvl w:val="9"/>
        <w:rPr>
          <w:b/>
          <w:szCs w:val="24"/>
        </w:rPr>
      </w:pPr>
      <w:r>
        <w:rPr>
          <w:b/>
          <w:szCs w:val="24"/>
        </w:rPr>
        <w:tab/>
      </w:r>
      <w:r w:rsidR="00EE639F">
        <w:rPr>
          <w:b/>
          <w:szCs w:val="24"/>
        </w:rPr>
        <w:t>1.</w:t>
      </w:r>
      <w:r w:rsidR="00EE639F">
        <w:rPr>
          <w:b/>
          <w:szCs w:val="24"/>
        </w:rPr>
        <w:tab/>
        <w:t xml:space="preserve">Retail Opt-In Program </w:t>
      </w:r>
    </w:p>
    <w:p w:rsidR="00EE639F" w:rsidRDefault="00EE639F" w:rsidP="008F2DA8">
      <w:pPr>
        <w:pStyle w:val="BriefL3"/>
        <w:numPr>
          <w:ilvl w:val="0"/>
          <w:numId w:val="0"/>
        </w:numPr>
        <w:spacing w:after="0" w:line="360" w:lineRule="auto"/>
        <w:ind w:firstLine="720"/>
        <w:outlineLvl w:val="9"/>
        <w:rPr>
          <w:b/>
          <w:szCs w:val="24"/>
        </w:rPr>
      </w:pPr>
    </w:p>
    <w:p w:rsidR="00EE639F" w:rsidRDefault="00A87018" w:rsidP="008F2DA8">
      <w:pPr>
        <w:pStyle w:val="BriefL3"/>
        <w:numPr>
          <w:ilvl w:val="0"/>
          <w:numId w:val="0"/>
        </w:numPr>
        <w:spacing w:after="0" w:line="360" w:lineRule="auto"/>
        <w:ind w:firstLine="720"/>
        <w:outlineLvl w:val="9"/>
        <w:rPr>
          <w:b/>
          <w:szCs w:val="24"/>
        </w:rPr>
      </w:pPr>
      <w:r>
        <w:rPr>
          <w:b/>
          <w:szCs w:val="24"/>
        </w:rPr>
        <w:tab/>
      </w:r>
      <w:r w:rsidR="00EE639F">
        <w:rPr>
          <w:b/>
          <w:szCs w:val="24"/>
        </w:rPr>
        <w:t>a.</w:t>
      </w:r>
      <w:r w:rsidR="00EE639F">
        <w:rPr>
          <w:b/>
          <w:szCs w:val="24"/>
        </w:rPr>
        <w:tab/>
        <w:t>Auction versus ROI Program</w:t>
      </w:r>
    </w:p>
    <w:p w:rsidR="0099674A" w:rsidRDefault="0099674A" w:rsidP="008F2DA8">
      <w:pPr>
        <w:pStyle w:val="BriefL3"/>
        <w:numPr>
          <w:ilvl w:val="0"/>
          <w:numId w:val="0"/>
        </w:numPr>
        <w:spacing w:after="0" w:line="360" w:lineRule="auto"/>
        <w:ind w:left="2160"/>
        <w:outlineLvl w:val="9"/>
        <w:rPr>
          <w:b/>
          <w:szCs w:val="24"/>
        </w:rPr>
      </w:pPr>
    </w:p>
    <w:p w:rsidR="00EE639F" w:rsidRDefault="008F2DA8" w:rsidP="008F2DA8">
      <w:pPr>
        <w:pStyle w:val="BriefL3"/>
        <w:numPr>
          <w:ilvl w:val="0"/>
          <w:numId w:val="0"/>
        </w:numPr>
        <w:spacing w:after="0" w:line="360" w:lineRule="auto"/>
        <w:ind w:left="2160"/>
        <w:outlineLvl w:val="9"/>
        <w:rPr>
          <w:b/>
          <w:szCs w:val="24"/>
        </w:rPr>
      </w:pPr>
      <w:r>
        <w:rPr>
          <w:b/>
          <w:szCs w:val="24"/>
        </w:rPr>
        <w:t>i</w:t>
      </w:r>
      <w:r w:rsidR="000B0DA3">
        <w:rPr>
          <w:b/>
          <w:szCs w:val="24"/>
        </w:rPr>
        <w:t>.</w:t>
      </w:r>
      <w:r w:rsidR="000B0DA3">
        <w:rPr>
          <w:b/>
          <w:szCs w:val="24"/>
        </w:rPr>
        <w:tab/>
      </w:r>
      <w:r w:rsidR="00EE639F">
        <w:rPr>
          <w:b/>
          <w:szCs w:val="24"/>
        </w:rPr>
        <w:t>DLC’s Propos</w:t>
      </w:r>
      <w:r w:rsidR="00BF767C">
        <w:rPr>
          <w:b/>
          <w:szCs w:val="24"/>
        </w:rPr>
        <w:t>al</w:t>
      </w:r>
    </w:p>
    <w:p w:rsidR="00EE639F" w:rsidRDefault="00EE639F" w:rsidP="008F2DA8">
      <w:pPr>
        <w:pStyle w:val="BodyText"/>
        <w:spacing w:after="0" w:line="360" w:lineRule="auto"/>
        <w:ind w:left="0" w:firstLine="0"/>
        <w:rPr>
          <w:szCs w:val="24"/>
          <w:lang w:val="en-US"/>
        </w:rPr>
      </w:pPr>
    </w:p>
    <w:p w:rsidR="001543F6" w:rsidRDefault="001543F6" w:rsidP="008F2DA8">
      <w:pPr>
        <w:pStyle w:val="BodyText2"/>
        <w:spacing w:after="0" w:line="360" w:lineRule="auto"/>
      </w:pPr>
      <w:r>
        <w:rPr>
          <w:lang w:val="en-US"/>
        </w:rPr>
        <w:tab/>
      </w:r>
      <w:r>
        <w:rPr>
          <w:lang w:val="en-US"/>
        </w:rPr>
        <w:tab/>
      </w:r>
      <w:r>
        <w:t xml:space="preserve">Duquesne Light </w:t>
      </w:r>
      <w:r>
        <w:rPr>
          <w:lang w:val="en-US"/>
        </w:rPr>
        <w:t xml:space="preserve">avers it </w:t>
      </w:r>
      <w:r>
        <w:t xml:space="preserve">designed </w:t>
      </w:r>
      <w:r>
        <w:rPr>
          <w:lang w:val="en-US"/>
        </w:rPr>
        <w:t>the</w:t>
      </w:r>
      <w:r>
        <w:t xml:space="preserve"> proposed RME Programs to balance </w:t>
      </w:r>
      <w:r>
        <w:rPr>
          <w:lang w:val="en-US"/>
        </w:rPr>
        <w:t xml:space="preserve">the </w:t>
      </w:r>
      <w:r>
        <w:t>interests of customers and the benefits that such programs could produce in enhancing the already highly successful competitive market</w:t>
      </w:r>
      <w:r w:rsidR="00632E52">
        <w:rPr>
          <w:lang w:val="en-US"/>
        </w:rPr>
        <w:t xml:space="preserve"> </w:t>
      </w:r>
      <w:r>
        <w:t>place in its service territory.</w:t>
      </w:r>
      <w:r w:rsidR="00692C19">
        <w:rPr>
          <w:lang w:val="en-US"/>
        </w:rPr>
        <w:t xml:space="preserve"> </w:t>
      </w:r>
      <w:r>
        <w:rPr>
          <w:lang w:val="en-US"/>
        </w:rPr>
        <w:t xml:space="preserve"> </w:t>
      </w:r>
      <w:r w:rsidR="003B2D25">
        <w:rPr>
          <w:lang w:val="en-US"/>
        </w:rPr>
        <w:t>T</w:t>
      </w:r>
      <w:r>
        <w:t xml:space="preserve">he Company designed its ROI Program to follow the guidelines provided by the Commission in the </w:t>
      </w:r>
      <w:r>
        <w:rPr>
          <w:i/>
        </w:rPr>
        <w:t>Intermediate Work Plan Order</w:t>
      </w:r>
      <w:r>
        <w:t xml:space="preserve">, noting that the Commission authorized variances from the guidelines for good reason.  </w:t>
      </w:r>
      <w:r>
        <w:rPr>
          <w:i/>
        </w:rPr>
        <w:t>Intermediate Work Plan Order</w:t>
      </w:r>
      <w:r>
        <w:t>, pp. 6-7.  Duquesne Light’s proposal provides for:  (1) an RFP to determine the winning EGS bidders for 10 tranches of supply to serve customers that elect to participate; (2) a fixed price for a 12</w:t>
      </w:r>
      <w:r w:rsidR="002C7890">
        <w:rPr>
          <w:lang w:val="en-US"/>
        </w:rPr>
        <w:t>-</w:t>
      </w:r>
      <w:r>
        <w:t xml:space="preserve">month period; (3) a minimum discount of 5% off the PTC at the time of the offer; (4) a $50 bonus payment; (5) a cap on customer participation of 50% of default service customers; and (6) a limit that prohibits any EGS from obtaining more than 50% of the customers that elect to participate.  Duquesne Light St. No. 3, pp. 14-28.  The only component </w:t>
      </w:r>
      <w:r w:rsidR="003B2D25">
        <w:rPr>
          <w:lang w:val="en-US"/>
        </w:rPr>
        <w:t xml:space="preserve">of its plan </w:t>
      </w:r>
      <w:r>
        <w:t>that deviates from the Commission guidelines is the 12</w:t>
      </w:r>
      <w:r w:rsidR="008F6D51">
        <w:rPr>
          <w:lang w:val="en-US"/>
        </w:rPr>
        <w:t>-</w:t>
      </w:r>
      <w:r>
        <w:t xml:space="preserve">month term, for reasons </w:t>
      </w:r>
      <w:r w:rsidR="003B2D25">
        <w:rPr>
          <w:lang w:val="en-US"/>
        </w:rPr>
        <w:t xml:space="preserve">DLC </w:t>
      </w:r>
      <w:r>
        <w:t>explained</w:t>
      </w:r>
      <w:r w:rsidR="003B2D25">
        <w:rPr>
          <w:lang w:val="en-US"/>
        </w:rPr>
        <w:t xml:space="preserve"> make this proceeding different from the one envisioned in the guidelines</w:t>
      </w:r>
      <w:r>
        <w:t>.</w:t>
      </w:r>
    </w:p>
    <w:p w:rsidR="00692C19" w:rsidRDefault="00692C19" w:rsidP="00692C19">
      <w:pPr>
        <w:pStyle w:val="BodyText2"/>
        <w:spacing w:after="0" w:line="360" w:lineRule="auto"/>
        <w:rPr>
          <w:lang w:val="en-US"/>
        </w:rPr>
      </w:pPr>
      <w:r>
        <w:rPr>
          <w:lang w:val="en-US"/>
        </w:rPr>
        <w:tab/>
      </w:r>
    </w:p>
    <w:p w:rsidR="00D91550" w:rsidRDefault="00692C19" w:rsidP="00692C19">
      <w:pPr>
        <w:pStyle w:val="BodyText2"/>
        <w:spacing w:after="0" w:line="360" w:lineRule="auto"/>
        <w:rPr>
          <w:lang w:val="en-US"/>
        </w:rPr>
      </w:pPr>
      <w:r>
        <w:rPr>
          <w:lang w:val="en-US"/>
        </w:rPr>
        <w:tab/>
      </w:r>
      <w:r>
        <w:rPr>
          <w:lang w:val="en-US"/>
        </w:rPr>
        <w:tab/>
      </w:r>
      <w:r w:rsidR="003B2D25">
        <w:rPr>
          <w:lang w:val="en-US"/>
        </w:rPr>
        <w:t>T</w:t>
      </w:r>
      <w:r w:rsidR="001543F6">
        <w:t xml:space="preserve">he proposed program elicited wide support from most parties in this proceeding, including EGSs and OCA.  In contrast, RESA proposed broad changes to Duquesne Light’s proposed plan.  </w:t>
      </w:r>
      <w:r w:rsidR="003B2D25">
        <w:rPr>
          <w:lang w:val="en-US"/>
        </w:rPr>
        <w:t>DLC compared the</w:t>
      </w:r>
      <w:r w:rsidR="001543F6">
        <w:t xml:space="preserve"> merits of </w:t>
      </w:r>
      <w:r w:rsidR="003B2D25">
        <w:rPr>
          <w:lang w:val="en-US"/>
        </w:rPr>
        <w:t>its</w:t>
      </w:r>
      <w:r w:rsidR="001543F6">
        <w:t xml:space="preserve"> proposed program </w:t>
      </w:r>
      <w:r w:rsidR="003B2D25">
        <w:rPr>
          <w:lang w:val="en-US"/>
        </w:rPr>
        <w:t xml:space="preserve">with </w:t>
      </w:r>
      <w:r w:rsidR="00D91550">
        <w:rPr>
          <w:lang w:val="en-US"/>
        </w:rPr>
        <w:t>RESA’s</w:t>
      </w:r>
      <w:r w:rsidR="001543F6">
        <w:t xml:space="preserve"> program, based </w:t>
      </w:r>
      <w:r w:rsidR="001543F6">
        <w:lastRenderedPageBreak/>
        <w:t>upon a 4-month initial product followed by an 8-month product at a price not known to the customer at the time of enrollment</w:t>
      </w:r>
      <w:r w:rsidR="00D91550">
        <w:rPr>
          <w:lang w:val="en-US"/>
        </w:rPr>
        <w:t>.  DLC ave</w:t>
      </w:r>
      <w:r w:rsidR="00AE5B46">
        <w:rPr>
          <w:lang w:val="en-US"/>
        </w:rPr>
        <w:t>r</w:t>
      </w:r>
      <w:r w:rsidR="00D91550">
        <w:rPr>
          <w:lang w:val="en-US"/>
        </w:rPr>
        <w:t>s its proposal is better because it advances the following goals and features:</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1.</w:t>
      </w:r>
      <w:r>
        <w:rPr>
          <w:lang w:val="en-US"/>
        </w:rPr>
        <w:tab/>
        <w:t xml:space="preserve">Provides customers with guaranteed savings for 12 months, versus </w:t>
      </w:r>
      <w:r w:rsidR="00C8592B">
        <w:rPr>
          <w:lang w:val="en-US"/>
        </w:rPr>
        <w:t>four </w:t>
      </w:r>
      <w:r>
        <w:rPr>
          <w:lang w:val="en-US"/>
        </w:rPr>
        <w:t>months.</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2.</w:t>
      </w:r>
      <w:r>
        <w:rPr>
          <w:lang w:val="en-US"/>
        </w:rPr>
        <w:tab/>
        <w:t xml:space="preserve">Provides greater price transparency to customers at the time of enrollment with a fixed rate known for 12 months, instead of an unknown fixed rate for </w:t>
      </w:r>
      <w:r w:rsidR="00D71F74">
        <w:rPr>
          <w:lang w:val="en-US"/>
        </w:rPr>
        <w:t>eight</w:t>
      </w:r>
      <w:r>
        <w:rPr>
          <w:lang w:val="en-US"/>
        </w:rPr>
        <w:t xml:space="preserve"> months.</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3.</w:t>
      </w:r>
      <w:r>
        <w:rPr>
          <w:lang w:val="en-US"/>
        </w:rPr>
        <w:tab/>
        <w:t xml:space="preserve">Provides easier-to-understand product at enrollment with a single opt-in product using a known fixed </w:t>
      </w:r>
      <w:r w:rsidR="005B62CE">
        <w:rPr>
          <w:lang w:val="en-US"/>
        </w:rPr>
        <w:t xml:space="preserve">period </w:t>
      </w:r>
      <w:r>
        <w:rPr>
          <w:lang w:val="en-US"/>
        </w:rPr>
        <w:t xml:space="preserve">for 12 months, versus two different products (opt-in for </w:t>
      </w:r>
      <w:r w:rsidR="000F61A3">
        <w:rPr>
          <w:lang w:val="en-US"/>
        </w:rPr>
        <w:t>four</w:t>
      </w:r>
      <w:r>
        <w:rPr>
          <w:lang w:val="en-US"/>
        </w:rPr>
        <w:t xml:space="preserve"> months followed by opt-out for </w:t>
      </w:r>
      <w:r w:rsidR="000F61A3">
        <w:rPr>
          <w:lang w:val="en-US"/>
        </w:rPr>
        <w:t>eight</w:t>
      </w:r>
      <w:r>
        <w:rPr>
          <w:lang w:val="en-US"/>
        </w:rPr>
        <w:t xml:space="preserve"> months).</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4.</w:t>
      </w:r>
      <w:r>
        <w:rPr>
          <w:lang w:val="en-US"/>
        </w:rPr>
        <w:tab/>
        <w:t>Relies on competitive market to establish the pricing with the discount determined through competitive bids versus determined administratively.</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5.</w:t>
      </w:r>
      <w:r>
        <w:rPr>
          <w:lang w:val="en-US"/>
        </w:rPr>
        <w:tab/>
        <w:t>Offers a $50 rebate after 3 months versus offered after</w:t>
      </w:r>
      <w:r w:rsidR="000F61A3">
        <w:rPr>
          <w:lang w:val="en-US"/>
        </w:rPr>
        <w:t xml:space="preserve"> four</w:t>
      </w:r>
      <w:r>
        <w:rPr>
          <w:lang w:val="en-US"/>
        </w:rPr>
        <w:t xml:space="preserve"> months but coupled with consumer confusion that $50 rebate is tied to accepting unknown </w:t>
      </w:r>
      <w:r w:rsidR="000F61A3">
        <w:rPr>
          <w:lang w:val="en-US"/>
        </w:rPr>
        <w:t>eight</w:t>
      </w:r>
      <w:r>
        <w:rPr>
          <w:lang w:val="en-US"/>
        </w:rPr>
        <w:t xml:space="preserve"> month fixed rate.</w:t>
      </w:r>
    </w:p>
    <w:p w:rsidR="00D91550" w:rsidRDefault="00D91550" w:rsidP="00692C19">
      <w:pPr>
        <w:pStyle w:val="BodyText2"/>
        <w:spacing w:after="0" w:line="360" w:lineRule="auto"/>
        <w:rPr>
          <w:lang w:val="en-US"/>
        </w:rPr>
      </w:pPr>
    </w:p>
    <w:p w:rsidR="00D91550" w:rsidRDefault="00D91550" w:rsidP="00692C19">
      <w:pPr>
        <w:pStyle w:val="BodyText2"/>
        <w:spacing w:after="0" w:line="360" w:lineRule="auto"/>
        <w:rPr>
          <w:lang w:val="en-US"/>
        </w:rPr>
      </w:pPr>
      <w:r>
        <w:rPr>
          <w:lang w:val="en-US"/>
        </w:rPr>
        <w:tab/>
      </w:r>
      <w:r>
        <w:rPr>
          <w:lang w:val="en-US"/>
        </w:rPr>
        <w:tab/>
        <w:t>6.</w:t>
      </w:r>
      <w:r>
        <w:rPr>
          <w:lang w:val="en-US"/>
        </w:rPr>
        <w:tab/>
        <w:t xml:space="preserve">Provides greater customer protection against “bait and switch” tactics because typical residential consumer would have “no harm” protection for 12 months versus potential harm if consumer does not re-evaluate options after initial </w:t>
      </w:r>
      <w:r w:rsidR="00322F2D">
        <w:rPr>
          <w:lang w:val="en-US"/>
        </w:rPr>
        <w:t>four</w:t>
      </w:r>
      <w:r>
        <w:rPr>
          <w:lang w:val="en-US"/>
        </w:rPr>
        <w:t xml:space="preserve"> month term.</w:t>
      </w:r>
    </w:p>
    <w:p w:rsidR="00322F2D" w:rsidRDefault="00322F2D" w:rsidP="00692C19">
      <w:pPr>
        <w:pStyle w:val="BodyText2"/>
        <w:spacing w:after="0" w:line="360" w:lineRule="auto"/>
        <w:rPr>
          <w:lang w:val="en-US"/>
        </w:rPr>
      </w:pPr>
    </w:p>
    <w:p w:rsidR="00D91550" w:rsidRDefault="00B3082C" w:rsidP="00692C19">
      <w:pPr>
        <w:pStyle w:val="BodyText2"/>
        <w:spacing w:after="0" w:line="360" w:lineRule="auto"/>
        <w:rPr>
          <w:lang w:val="en-US"/>
        </w:rPr>
      </w:pPr>
      <w:r>
        <w:rPr>
          <w:lang w:val="en-US"/>
        </w:rPr>
        <w:tab/>
      </w:r>
      <w:r>
        <w:rPr>
          <w:lang w:val="en-US"/>
        </w:rPr>
        <w:tab/>
        <w:t>7.</w:t>
      </w:r>
      <w:r>
        <w:rPr>
          <w:lang w:val="en-US"/>
        </w:rPr>
        <w:tab/>
        <w:t xml:space="preserve">Encourages customer participation with greater guaranteed savings over a longer time period with a simple product versus a temporary benefit coupled with potential harm after </w:t>
      </w:r>
      <w:r w:rsidR="00345B47">
        <w:rPr>
          <w:lang w:val="en-US"/>
        </w:rPr>
        <w:t>four</w:t>
      </w:r>
      <w:r>
        <w:rPr>
          <w:lang w:val="en-US"/>
        </w:rPr>
        <w:t xml:space="preserve"> months.</w:t>
      </w:r>
    </w:p>
    <w:p w:rsidR="00B3082C" w:rsidRDefault="00B3082C" w:rsidP="00692C19">
      <w:pPr>
        <w:pStyle w:val="BodyText2"/>
        <w:spacing w:after="0" w:line="360" w:lineRule="auto"/>
        <w:rPr>
          <w:lang w:val="en-US"/>
        </w:rPr>
      </w:pPr>
    </w:p>
    <w:p w:rsidR="00B3082C" w:rsidRDefault="00B3082C" w:rsidP="00692C19">
      <w:pPr>
        <w:pStyle w:val="BodyText2"/>
        <w:spacing w:after="0" w:line="360" w:lineRule="auto"/>
        <w:rPr>
          <w:lang w:val="en-US"/>
        </w:rPr>
      </w:pPr>
      <w:r>
        <w:rPr>
          <w:lang w:val="en-US"/>
        </w:rPr>
        <w:tab/>
      </w:r>
      <w:r>
        <w:rPr>
          <w:lang w:val="en-US"/>
        </w:rPr>
        <w:tab/>
        <w:t>8.</w:t>
      </w:r>
      <w:r>
        <w:rPr>
          <w:lang w:val="en-US"/>
        </w:rPr>
        <w:tab/>
        <w:t xml:space="preserve">Favors a market-based allocation of customers and program costs to EGSs because allocation determined by competitive market based on number of tranches won by EGSs </w:t>
      </w:r>
      <w:r>
        <w:rPr>
          <w:lang w:val="en-US"/>
        </w:rPr>
        <w:lastRenderedPageBreak/>
        <w:t xml:space="preserve">with flexibility to choose bid quantities versus allocation determined administrative </w:t>
      </w:r>
      <w:r w:rsidR="003C07BF">
        <w:rPr>
          <w:lang w:val="en-US"/>
        </w:rPr>
        <w:t>with no EGS flexibility and cost allocation depends on the number of other EGSs that participate.</w:t>
      </w:r>
    </w:p>
    <w:p w:rsidR="003C07BF" w:rsidRDefault="003C07BF" w:rsidP="00692C19">
      <w:pPr>
        <w:pStyle w:val="BodyText2"/>
        <w:spacing w:after="0" w:line="360" w:lineRule="auto"/>
        <w:rPr>
          <w:lang w:val="en-US"/>
        </w:rPr>
      </w:pPr>
    </w:p>
    <w:p w:rsidR="003C07BF" w:rsidRDefault="003C07BF" w:rsidP="00692C19">
      <w:pPr>
        <w:pStyle w:val="BodyText2"/>
        <w:spacing w:after="0" w:line="360" w:lineRule="auto"/>
        <w:rPr>
          <w:lang w:val="en-US"/>
        </w:rPr>
      </w:pPr>
      <w:r>
        <w:rPr>
          <w:lang w:val="en-US"/>
        </w:rPr>
        <w:tab/>
      </w:r>
      <w:r>
        <w:rPr>
          <w:lang w:val="en-US"/>
        </w:rPr>
        <w:tab/>
        <w:t>9.</w:t>
      </w:r>
      <w:r>
        <w:rPr>
          <w:lang w:val="en-US"/>
        </w:rPr>
        <w:tab/>
        <w:t>Provides uniform EGS product over the entire 12</w:t>
      </w:r>
      <w:r w:rsidR="00102C05">
        <w:rPr>
          <w:lang w:val="en-US"/>
        </w:rPr>
        <w:t>-</w:t>
      </w:r>
      <w:r>
        <w:rPr>
          <w:lang w:val="en-US"/>
        </w:rPr>
        <w:t>month period which is known at the time of enrollment that avoids DLC having to assign customers to EGSs with different rates versus discriminatory rates during the 12</w:t>
      </w:r>
      <w:r w:rsidR="00102C05">
        <w:rPr>
          <w:lang w:val="en-US"/>
        </w:rPr>
        <w:t>-</w:t>
      </w:r>
      <w:r>
        <w:rPr>
          <w:lang w:val="en-US"/>
        </w:rPr>
        <w:t xml:space="preserve">month contract term in which customers could face different fixed rates after </w:t>
      </w:r>
      <w:r w:rsidR="002078C8">
        <w:rPr>
          <w:lang w:val="en-US"/>
        </w:rPr>
        <w:t>four</w:t>
      </w:r>
      <w:r>
        <w:rPr>
          <w:lang w:val="en-US"/>
        </w:rPr>
        <w:t xml:space="preserve"> months.</w:t>
      </w:r>
    </w:p>
    <w:p w:rsidR="00FA5A47" w:rsidRDefault="003C07BF" w:rsidP="003C07BF">
      <w:pPr>
        <w:pStyle w:val="BodyText2"/>
        <w:spacing w:after="0" w:line="360" w:lineRule="auto"/>
        <w:rPr>
          <w:lang w:val="en-US"/>
        </w:rPr>
      </w:pPr>
      <w:r>
        <w:rPr>
          <w:lang w:val="en-US"/>
        </w:rPr>
        <w:tab/>
      </w:r>
      <w:r>
        <w:rPr>
          <w:lang w:val="en-US"/>
        </w:rPr>
        <w:tab/>
      </w:r>
    </w:p>
    <w:p w:rsidR="003C07BF" w:rsidRDefault="00FA5A47" w:rsidP="003C07BF">
      <w:pPr>
        <w:pStyle w:val="BodyText2"/>
        <w:spacing w:after="0" w:line="360" w:lineRule="auto"/>
        <w:rPr>
          <w:lang w:val="en-US"/>
        </w:rPr>
      </w:pPr>
      <w:r>
        <w:rPr>
          <w:lang w:val="en-US"/>
        </w:rPr>
        <w:tab/>
      </w:r>
      <w:r>
        <w:rPr>
          <w:lang w:val="en-US"/>
        </w:rPr>
        <w:tab/>
      </w:r>
      <w:r w:rsidR="003C07BF">
        <w:rPr>
          <w:lang w:val="en-US"/>
        </w:rPr>
        <w:t>10.</w:t>
      </w:r>
      <w:r w:rsidR="003C07BF">
        <w:rPr>
          <w:lang w:val="en-US"/>
        </w:rPr>
        <w:tab/>
        <w:t>Supported by customer advocates with annual PTC and guaranteed savings versus RESA’s plan which OCA opposes if no guaranteed savings.</w:t>
      </w:r>
    </w:p>
    <w:p w:rsidR="001543F6" w:rsidRPr="003C07BF" w:rsidRDefault="001543F6" w:rsidP="003C07BF">
      <w:pPr>
        <w:pStyle w:val="BodyText2"/>
        <w:spacing w:after="0" w:line="360" w:lineRule="auto"/>
        <w:rPr>
          <w:lang w:val="en-US"/>
        </w:rPr>
      </w:pPr>
      <w:r>
        <w:t>Duquesne Light St. No. 3-RJ, pp. 4-5.</w:t>
      </w:r>
    </w:p>
    <w:p w:rsidR="003C07BF" w:rsidRDefault="003C07BF" w:rsidP="00415028">
      <w:pPr>
        <w:pStyle w:val="BodyText2"/>
        <w:spacing w:after="0" w:line="360" w:lineRule="auto"/>
        <w:ind w:left="720"/>
        <w:rPr>
          <w:lang w:val="en-US"/>
        </w:rPr>
      </w:pPr>
    </w:p>
    <w:p w:rsidR="00A6292E" w:rsidRDefault="001543F6" w:rsidP="003C07BF">
      <w:pPr>
        <w:pStyle w:val="BodyText2"/>
        <w:spacing w:after="0" w:line="360" w:lineRule="auto"/>
        <w:rPr>
          <w:lang w:val="en-US"/>
        </w:rPr>
      </w:pPr>
      <w:r>
        <w:rPr>
          <w:lang w:val="en-US"/>
        </w:rPr>
        <w:tab/>
      </w:r>
      <w:r>
        <w:rPr>
          <w:lang w:val="en-US"/>
        </w:rPr>
        <w:tab/>
      </w:r>
      <w:r>
        <w:t xml:space="preserve">Duquesne Light proposed program components which it </w:t>
      </w:r>
      <w:r>
        <w:rPr>
          <w:lang w:val="en-US"/>
        </w:rPr>
        <w:t>avers will</w:t>
      </w:r>
      <w:r>
        <w:t xml:space="preserve"> better serve and protect the interests of customers and that</w:t>
      </w:r>
      <w:r>
        <w:rPr>
          <w:lang w:val="en-US"/>
        </w:rPr>
        <w:t xml:space="preserve"> its programs</w:t>
      </w:r>
      <w:r>
        <w:t xml:space="preserve"> are more likely to generate customer interest in shopping.  </w:t>
      </w:r>
      <w:r>
        <w:rPr>
          <w:lang w:val="en-US"/>
        </w:rPr>
        <w:t xml:space="preserve">The Company </w:t>
      </w:r>
      <w:r w:rsidR="00A6292E">
        <w:rPr>
          <w:lang w:val="en-US"/>
        </w:rPr>
        <w:t>acknowled</w:t>
      </w:r>
      <w:r w:rsidR="00415028">
        <w:rPr>
          <w:lang w:val="en-US"/>
        </w:rPr>
        <w:t>g</w:t>
      </w:r>
      <w:r w:rsidR="00A6292E">
        <w:rPr>
          <w:lang w:val="en-US"/>
        </w:rPr>
        <w:t>es</w:t>
      </w:r>
      <w:r>
        <w:rPr>
          <w:lang w:val="en-US"/>
        </w:rPr>
        <w:t xml:space="preserve"> t</w:t>
      </w:r>
      <w:r>
        <w:t xml:space="preserve">he Commission appears to have concluded in the FE and PECO cases that a shorter initial period for ROI service is more likely to attract EGSs to this program.  However, </w:t>
      </w:r>
      <w:r>
        <w:rPr>
          <w:lang w:val="en-US"/>
        </w:rPr>
        <w:t xml:space="preserve">Duquesne Light contends </w:t>
      </w:r>
      <w:r>
        <w:t xml:space="preserve">the record evidence in this proceeding </w:t>
      </w:r>
      <w:r>
        <w:rPr>
          <w:lang w:val="en-US"/>
        </w:rPr>
        <w:t>proves the</w:t>
      </w:r>
      <w:r>
        <w:t xml:space="preserve"> major EGSs serving residential customers in </w:t>
      </w:r>
      <w:r w:rsidR="003C07BF">
        <w:rPr>
          <w:lang w:val="en-US"/>
        </w:rPr>
        <w:t>this</w:t>
      </w:r>
      <w:r>
        <w:t xml:space="preserve"> Company’s service area support the proposed fixed rate for a 12-month term and will participate in the proposed program.  </w:t>
      </w:r>
    </w:p>
    <w:p w:rsidR="00A6292E" w:rsidRDefault="00A6292E" w:rsidP="003C07BF">
      <w:pPr>
        <w:pStyle w:val="BodyText2"/>
        <w:spacing w:after="0" w:line="360" w:lineRule="auto"/>
        <w:rPr>
          <w:lang w:val="en-US"/>
        </w:rPr>
      </w:pPr>
    </w:p>
    <w:p w:rsidR="001543F6" w:rsidRDefault="00A6292E" w:rsidP="008F2DA8">
      <w:pPr>
        <w:pStyle w:val="BodyText2"/>
        <w:spacing w:after="0" w:line="360" w:lineRule="auto"/>
      </w:pPr>
      <w:r>
        <w:rPr>
          <w:lang w:val="en-US"/>
        </w:rPr>
        <w:tab/>
      </w:r>
      <w:r>
        <w:rPr>
          <w:lang w:val="en-US"/>
        </w:rPr>
        <w:tab/>
      </w:r>
      <w:r w:rsidR="001543F6">
        <w:t xml:space="preserve">By adopting Duquesne Light’s ROI Program components, </w:t>
      </w:r>
      <w:r>
        <w:rPr>
          <w:lang w:val="en-US"/>
        </w:rPr>
        <w:t xml:space="preserve">it avers </w:t>
      </w:r>
      <w:r w:rsidR="001543F6">
        <w:t xml:space="preserve">the Commission will implement a program that is both likely to </w:t>
      </w:r>
      <w:r>
        <w:rPr>
          <w:lang w:val="en-US"/>
        </w:rPr>
        <w:t>succeed</w:t>
      </w:r>
      <w:r w:rsidR="001543F6">
        <w:t xml:space="preserve"> and will provide customers </w:t>
      </w:r>
      <w:r w:rsidR="003B6ACD">
        <w:rPr>
          <w:lang w:val="en-US"/>
        </w:rPr>
        <w:t>– who have</w:t>
      </w:r>
      <w:r w:rsidR="001543F6">
        <w:t xml:space="preserve"> not been inclined to shop </w:t>
      </w:r>
      <w:r w:rsidR="003B6ACD">
        <w:rPr>
          <w:lang w:val="en-US"/>
        </w:rPr>
        <w:t xml:space="preserve">previously </w:t>
      </w:r>
      <w:r w:rsidR="003654EE">
        <w:rPr>
          <w:lang w:val="en-US"/>
        </w:rPr>
        <w:t>–</w:t>
      </w:r>
      <w:r w:rsidR="003B6ACD">
        <w:rPr>
          <w:lang w:val="en-US"/>
        </w:rPr>
        <w:t xml:space="preserve"> </w:t>
      </w:r>
      <w:r w:rsidR="001543F6">
        <w:t xml:space="preserve">with a positive experience in the competitive market.  Unlike other EDC default service plans that do not have a fixed annual PTC for residential customers, Duquesne Light designed a ROI Program that allows EGSs to offer and </w:t>
      </w:r>
      <w:r w:rsidR="003B6ACD">
        <w:rPr>
          <w:lang w:val="en-US"/>
        </w:rPr>
        <w:t>permi</w:t>
      </w:r>
      <w:r w:rsidR="003C07BF">
        <w:rPr>
          <w:lang w:val="en-US"/>
        </w:rPr>
        <w:t>t</w:t>
      </w:r>
      <w:r w:rsidR="003B6ACD">
        <w:rPr>
          <w:lang w:val="en-US"/>
        </w:rPr>
        <w:t xml:space="preserve">s </w:t>
      </w:r>
      <w:r w:rsidR="001543F6">
        <w:t xml:space="preserve">customers to receive “guaranteed savings” over a 12-month period.  Duquesne Light believes this path </w:t>
      </w:r>
      <w:r w:rsidR="003B6ACD">
        <w:rPr>
          <w:lang w:val="en-US"/>
        </w:rPr>
        <w:t xml:space="preserve">is the best method </w:t>
      </w:r>
      <w:r w:rsidR="001543F6">
        <w:t>to enhanc</w:t>
      </w:r>
      <w:r w:rsidR="003B6ACD">
        <w:rPr>
          <w:lang w:val="en-US"/>
        </w:rPr>
        <w:t>e</w:t>
      </w:r>
      <w:r w:rsidR="001543F6">
        <w:t xml:space="preserve"> competition and advanc</w:t>
      </w:r>
      <w:r w:rsidR="003B6ACD">
        <w:rPr>
          <w:lang w:val="en-US"/>
        </w:rPr>
        <w:t>e</w:t>
      </w:r>
      <w:r w:rsidR="001543F6">
        <w:t xml:space="preserve"> the interests of both customers and EGSs.  </w:t>
      </w:r>
    </w:p>
    <w:p w:rsidR="00283A52" w:rsidRDefault="00283A52" w:rsidP="008F2DA8">
      <w:pPr>
        <w:pStyle w:val="BriefL3"/>
        <w:numPr>
          <w:ilvl w:val="0"/>
          <w:numId w:val="0"/>
        </w:numPr>
        <w:spacing w:after="0" w:line="360" w:lineRule="auto"/>
        <w:ind w:left="2880"/>
        <w:rPr>
          <w:szCs w:val="24"/>
          <w:lang w:eastAsia="x-none"/>
        </w:rPr>
      </w:pPr>
    </w:p>
    <w:p w:rsidR="0084672B" w:rsidRDefault="0084672B">
      <w:pPr>
        <w:autoSpaceDE/>
        <w:autoSpaceDN/>
        <w:rPr>
          <w:b/>
        </w:rPr>
      </w:pPr>
      <w:r>
        <w:rPr>
          <w:b/>
        </w:rPr>
        <w:br w:type="page"/>
      </w:r>
    </w:p>
    <w:p w:rsidR="00415028" w:rsidRDefault="008F2DA8" w:rsidP="008F2DA8">
      <w:pPr>
        <w:pStyle w:val="BriefL3"/>
        <w:numPr>
          <w:ilvl w:val="0"/>
          <w:numId w:val="0"/>
        </w:numPr>
        <w:spacing w:after="0" w:line="360" w:lineRule="auto"/>
        <w:ind w:left="1440" w:firstLine="720"/>
        <w:rPr>
          <w:b/>
          <w:szCs w:val="24"/>
        </w:rPr>
      </w:pPr>
      <w:r>
        <w:rPr>
          <w:b/>
          <w:szCs w:val="24"/>
        </w:rPr>
        <w:lastRenderedPageBreak/>
        <w:t>ii</w:t>
      </w:r>
      <w:r w:rsidR="00415028">
        <w:rPr>
          <w:b/>
          <w:szCs w:val="24"/>
        </w:rPr>
        <w:t>.</w:t>
      </w:r>
      <w:r w:rsidR="00415028">
        <w:rPr>
          <w:b/>
          <w:szCs w:val="24"/>
        </w:rPr>
        <w:tab/>
        <w:t>OCA’s Position</w:t>
      </w:r>
    </w:p>
    <w:p w:rsidR="00415028" w:rsidRDefault="00415028" w:rsidP="008F2DA8">
      <w:pPr>
        <w:pStyle w:val="BodyText"/>
        <w:spacing w:after="0" w:line="360" w:lineRule="auto"/>
        <w:ind w:left="720" w:firstLine="0"/>
        <w:rPr>
          <w:szCs w:val="24"/>
          <w:lang w:val="en-US"/>
        </w:rPr>
      </w:pPr>
    </w:p>
    <w:p w:rsidR="004C177B" w:rsidRDefault="004C177B" w:rsidP="008F2DA8">
      <w:pPr>
        <w:pStyle w:val="Level2"/>
        <w:tabs>
          <w:tab w:val="left" w:pos="720"/>
        </w:tabs>
        <w:spacing w:line="360" w:lineRule="auto"/>
        <w:ind w:left="0" w:firstLine="1440"/>
        <w:jc w:val="left"/>
      </w:pPr>
      <w:r>
        <w:t xml:space="preserve">It is OCA’s understanding that this Section is meant to address the different forms of Opt-In </w:t>
      </w:r>
      <w:r w:rsidR="00B337B1">
        <w:t>P</w:t>
      </w:r>
      <w:r>
        <w:t xml:space="preserve">rograms </w:t>
      </w:r>
      <w:r>
        <w:rPr>
          <w:i/>
        </w:rPr>
        <w:t>(i.e.</w:t>
      </w:r>
      <w:r>
        <w:t xml:space="preserve">, auction or aggregation) and that this Section is specifically responsive to the </w:t>
      </w:r>
      <w:r>
        <w:rPr>
          <w:u w:val="single"/>
        </w:rPr>
        <w:t>FirstEnergy DSP Order</w:t>
      </w:r>
      <w:r>
        <w:rPr>
          <w:u w:val="single"/>
        </w:rPr>
        <w:fldChar w:fldCharType="begin"/>
      </w:r>
      <w:r>
        <w:instrText xml:space="preserve"> TA \s "FirstEnergy DSP Order" </w:instrText>
      </w:r>
      <w:r>
        <w:rPr>
          <w:u w:val="single"/>
        </w:rPr>
        <w:fldChar w:fldCharType="end"/>
      </w:r>
      <w:r>
        <w:t>.  That order was issued on August 16, 2012 during the pendency of this proceeding.  In Surrebuttal Testimony, RESA presented, for the first time, a number o</w:t>
      </w:r>
      <w:r w:rsidR="003C07BF">
        <w:t xml:space="preserve">f proposals and comments responsive to the </w:t>
      </w:r>
      <w:r>
        <w:t>Final Order in the FirstEnergy Companies</w:t>
      </w:r>
      <w:r w:rsidR="003C07BF">
        <w:t xml:space="preserve"> DSP proceeding</w:t>
      </w:r>
      <w:r>
        <w:t xml:space="preserve"> and recommend</w:t>
      </w:r>
      <w:r w:rsidR="003C07BF">
        <w:t>ed</w:t>
      </w:r>
      <w:r>
        <w:t xml:space="preserve"> an aggregation program along the lines of the one adopted by the Commission for the FirstEnergy Companies.  </w:t>
      </w:r>
      <w:r w:rsidR="003C07BF">
        <w:t>RES</w:t>
      </w:r>
      <w:r w:rsidR="009921FF">
        <w:t>A</w:t>
      </w:r>
      <w:r>
        <w:t xml:space="preserve"> recommended an aggregation program with a four month discount of 5% and an 8-month fixed-price product rather than an auction program.  The Company was able to respond to </w:t>
      </w:r>
      <w:r w:rsidR="003C07BF">
        <w:t>RESA’s surrebuttal</w:t>
      </w:r>
      <w:r>
        <w:t xml:space="preserve"> testimony in its rejoinder, but the other parties, including OCA, were not afforded the opportunity to present rejoinder.    </w:t>
      </w:r>
    </w:p>
    <w:p w:rsidR="004C177B" w:rsidRDefault="004C177B" w:rsidP="004C177B">
      <w:pPr>
        <w:pStyle w:val="Level2"/>
        <w:tabs>
          <w:tab w:val="left" w:pos="720"/>
        </w:tabs>
        <w:spacing w:line="360" w:lineRule="auto"/>
        <w:ind w:left="0" w:firstLine="1440"/>
        <w:jc w:val="left"/>
      </w:pPr>
    </w:p>
    <w:p w:rsidR="004C177B" w:rsidRDefault="004C177B" w:rsidP="008F2DA8">
      <w:pPr>
        <w:pStyle w:val="Level2"/>
        <w:tabs>
          <w:tab w:val="left" w:pos="720"/>
        </w:tabs>
        <w:spacing w:line="360" w:lineRule="auto"/>
        <w:ind w:left="0" w:firstLine="1440"/>
        <w:jc w:val="left"/>
      </w:pPr>
      <w:r>
        <w:t xml:space="preserve">OCA submits Duquesne’s service territory and </w:t>
      </w:r>
      <w:r w:rsidR="003C07BF">
        <w:t xml:space="preserve">Duquesne’s proposed </w:t>
      </w:r>
      <w:r>
        <w:t xml:space="preserve">plan are unique, which is why the plan proposed rates adjusted and reconciled once a year.  Accordingly, OCA submits the findings in the FirstEnergy DSP should not be treated as precedential and should not fully inform the Commission’s ultimate decision in Duquesne’s Default Service Plan.  </w:t>
      </w:r>
    </w:p>
    <w:p w:rsidR="004C177B" w:rsidRDefault="004C177B" w:rsidP="004C177B">
      <w:pPr>
        <w:pStyle w:val="Level2"/>
        <w:tabs>
          <w:tab w:val="left" w:pos="720"/>
        </w:tabs>
        <w:spacing w:line="360" w:lineRule="auto"/>
        <w:ind w:left="0" w:firstLine="1440"/>
        <w:jc w:val="left"/>
      </w:pPr>
    </w:p>
    <w:p w:rsidR="00884AFB" w:rsidRDefault="004C177B" w:rsidP="00884AFB">
      <w:pPr>
        <w:pStyle w:val="Level2"/>
        <w:tabs>
          <w:tab w:val="left" w:pos="720"/>
        </w:tabs>
        <w:spacing w:line="360" w:lineRule="auto"/>
        <w:ind w:left="0" w:firstLine="1440"/>
        <w:jc w:val="left"/>
      </w:pPr>
      <w:r>
        <w:t>As to the issue of the use of an auction program or an aggregation program, OCA takes no position with respect to the specific mechanism selected.  OCA submits, however, that the important consumer protections detailed in the testimony of OCA witnesses Alexander and Estomin should be adopted regardless of the type of Op</w:t>
      </w:r>
      <w:r w:rsidR="00884AFB">
        <w:t xml:space="preserve">t-In </w:t>
      </w:r>
      <w:r w:rsidR="00DF45BC">
        <w:t>P</w:t>
      </w:r>
      <w:r w:rsidR="00884AFB">
        <w:t xml:space="preserve">rogram that is selected. </w:t>
      </w:r>
    </w:p>
    <w:p w:rsidR="00884AFB" w:rsidRDefault="00884AFB" w:rsidP="00884AFB">
      <w:pPr>
        <w:pStyle w:val="Level2"/>
        <w:tabs>
          <w:tab w:val="left" w:pos="720"/>
        </w:tabs>
        <w:spacing w:line="360" w:lineRule="auto"/>
        <w:ind w:left="0" w:firstLine="0"/>
        <w:jc w:val="left"/>
      </w:pPr>
    </w:p>
    <w:p w:rsidR="00884AFB" w:rsidRDefault="008F2DA8" w:rsidP="008F2DA8">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884AFB" w:rsidRDefault="00884AFB" w:rsidP="00332002">
      <w:pPr>
        <w:pStyle w:val="Level2"/>
        <w:tabs>
          <w:tab w:val="left" w:pos="720"/>
        </w:tabs>
        <w:spacing w:line="360" w:lineRule="auto"/>
        <w:ind w:left="0" w:firstLine="0"/>
        <w:jc w:val="left"/>
      </w:pPr>
    </w:p>
    <w:p w:rsidR="00332002" w:rsidRDefault="00332002" w:rsidP="008F2DA8">
      <w:pPr>
        <w:pStyle w:val="BodyText2"/>
        <w:spacing w:after="0" w:line="360" w:lineRule="auto"/>
        <w:rPr>
          <w:lang w:val="en-US"/>
        </w:rPr>
      </w:pPr>
      <w:r>
        <w:rPr>
          <w:lang w:val="en-US"/>
        </w:rPr>
        <w:tab/>
      </w:r>
      <w:r>
        <w:rPr>
          <w:lang w:val="en-US"/>
        </w:rPr>
        <w:tab/>
      </w:r>
      <w:r>
        <w:t>RESA supports an opt-in aggregation program and would like to see it adopted on a uniform basis in the service territories of all the EDCs with default service plans pending before the Commission.</w:t>
      </w:r>
      <w:r>
        <w:rPr>
          <w:rStyle w:val="FootnoteReference"/>
        </w:rPr>
        <w:footnoteReference w:id="58"/>
      </w:r>
      <w:r>
        <w:rPr>
          <w:lang w:val="en-US"/>
        </w:rPr>
        <w:t xml:space="preserve">  </w:t>
      </w:r>
      <w:r w:rsidR="003C07BF">
        <w:rPr>
          <w:lang w:val="en-US"/>
        </w:rPr>
        <w:t>RESA contends the</w:t>
      </w:r>
      <w:r>
        <w:t xml:space="preserve"> ROI aggregation approach, as adopted in the </w:t>
      </w:r>
      <w:r>
        <w:rPr>
          <w:i/>
        </w:rPr>
        <w:t>FE</w:t>
      </w:r>
      <w:r>
        <w:t xml:space="preserve"> case and with the details provided by RESA, offers customers and EGSs at least four benefits.  </w:t>
      </w:r>
    </w:p>
    <w:p w:rsidR="00940CE1" w:rsidRDefault="00332002" w:rsidP="008F2DA8">
      <w:pPr>
        <w:pStyle w:val="BodyText2"/>
        <w:spacing w:after="0" w:line="360" w:lineRule="auto"/>
        <w:rPr>
          <w:lang w:val="en-US"/>
        </w:rPr>
      </w:pPr>
      <w:r>
        <w:rPr>
          <w:lang w:val="en-US"/>
        </w:rPr>
        <w:lastRenderedPageBreak/>
        <w:tab/>
      </w:r>
      <w:r>
        <w:rPr>
          <w:lang w:val="en-US"/>
        </w:rPr>
        <w:tab/>
      </w:r>
      <w:r>
        <w:t xml:space="preserve">First, the aggregation approach is more likely to attract robust EGS participation </w:t>
      </w:r>
      <w:r w:rsidR="003C07BF">
        <w:rPr>
          <w:lang w:val="en-US"/>
        </w:rPr>
        <w:t>and</w:t>
      </w:r>
      <w:r>
        <w:t xml:space="preserve"> alleviat</w:t>
      </w:r>
      <w:r w:rsidR="003C07BF">
        <w:rPr>
          <w:lang w:val="en-US"/>
        </w:rPr>
        <w:t>e</w:t>
      </w:r>
      <w:r>
        <w:t xml:space="preserve"> any concerns that a lack of EGS response might prevent the program from </w:t>
      </w:r>
    </w:p>
    <w:p w:rsidR="00332002" w:rsidRDefault="00332002" w:rsidP="008F2DA8">
      <w:pPr>
        <w:pStyle w:val="BodyText2"/>
        <w:spacing w:after="0" w:line="360" w:lineRule="auto"/>
        <w:rPr>
          <w:bCs/>
          <w:lang w:val="en-US"/>
        </w:rPr>
      </w:pPr>
      <w:r>
        <w:t>achieving its intended goal.</w:t>
      </w:r>
      <w:r>
        <w:rPr>
          <w:rStyle w:val="FootnoteReference"/>
        </w:rPr>
        <w:footnoteReference w:id="59"/>
      </w:r>
      <w:r>
        <w:t xml:space="preserve">  Second, </w:t>
      </w:r>
      <w:r w:rsidR="003C07BF">
        <w:rPr>
          <w:lang w:val="en-US"/>
        </w:rPr>
        <w:t xml:space="preserve">it contends </w:t>
      </w:r>
      <w:r>
        <w:t>the aggregation approach offer</w:t>
      </w:r>
      <w:r w:rsidR="003C07BF">
        <w:rPr>
          <w:lang w:val="en-US"/>
        </w:rPr>
        <w:t>s</w:t>
      </w:r>
      <w:r>
        <w:t xml:space="preserve"> a more consensus way forward on certain issues of cost recovery for this program.</w:t>
      </w:r>
      <w:r>
        <w:rPr>
          <w:rStyle w:val="FootnoteReference"/>
        </w:rPr>
        <w:footnoteReference w:id="60"/>
      </w:r>
      <w:r>
        <w:t xml:space="preserve">  Third, a properly-designed ROI aggregation program could incent competition and encourage EGSs to invest in and offer innovative products and service to customers.</w:t>
      </w:r>
      <w:r>
        <w:rPr>
          <w:rStyle w:val="FootnoteReference"/>
        </w:rPr>
        <w:footnoteReference w:id="61"/>
      </w:r>
      <w:r w:rsidR="008F2DA8">
        <w:rPr>
          <w:lang w:val="en-US"/>
        </w:rPr>
        <w:t xml:space="preserve">  </w:t>
      </w:r>
      <w:r>
        <w:t>F</w:t>
      </w:r>
      <w:r w:rsidR="008F2DA8">
        <w:rPr>
          <w:lang w:val="en-US"/>
        </w:rPr>
        <w:t>ourth</w:t>
      </w:r>
      <w:r>
        <w:t>, the ROI aggregation program offers the opportunity to achieve a higher degree of consistency and uniformity between the ROI program and the standard offer referral program across the various EDC service territories.</w:t>
      </w:r>
      <w:r>
        <w:rPr>
          <w:rStyle w:val="FootnoteReference"/>
        </w:rPr>
        <w:footnoteReference w:id="62"/>
      </w:r>
      <w:r>
        <w:rPr>
          <w:bCs/>
          <w:szCs w:val="26"/>
        </w:rPr>
        <w:t xml:space="preserve">  </w:t>
      </w:r>
    </w:p>
    <w:p w:rsidR="006D25F9" w:rsidRPr="006D25F9" w:rsidRDefault="006D25F9" w:rsidP="008F2DA8">
      <w:pPr>
        <w:pStyle w:val="BodyText2"/>
        <w:spacing w:after="0" w:line="360" w:lineRule="auto"/>
        <w:rPr>
          <w:bCs/>
          <w:lang w:val="en-US"/>
        </w:rPr>
      </w:pPr>
    </w:p>
    <w:p w:rsidR="00332002" w:rsidRDefault="00332002" w:rsidP="008F2DA8">
      <w:pPr>
        <w:pStyle w:val="BodyText2"/>
        <w:spacing w:after="0" w:line="360" w:lineRule="auto"/>
      </w:pPr>
      <w:r>
        <w:rPr>
          <w:bCs/>
          <w:lang w:val="en-US"/>
        </w:rPr>
        <w:tab/>
      </w:r>
      <w:r>
        <w:rPr>
          <w:bCs/>
          <w:lang w:val="en-US"/>
        </w:rPr>
        <w:tab/>
      </w:r>
      <w:r>
        <w:rPr>
          <w:bCs/>
        </w:rPr>
        <w:t>RESA recommends the Commission capitalize on the similarities between the programs by harmonizing them to an even greater extent and applying them in all EDC service territories.</w:t>
      </w:r>
      <w:r>
        <w:rPr>
          <w:rStyle w:val="FootnoteReference"/>
          <w:bCs/>
        </w:rPr>
        <w:footnoteReference w:id="63"/>
      </w:r>
      <w:r>
        <w:rPr>
          <w:bCs/>
        </w:rPr>
        <w:t xml:space="preserve">  </w:t>
      </w:r>
    </w:p>
    <w:p w:rsidR="006D4D99" w:rsidRDefault="006D4D99" w:rsidP="006D4D99">
      <w:pPr>
        <w:pStyle w:val="BodyText"/>
        <w:spacing w:after="0" w:line="360" w:lineRule="auto"/>
        <w:ind w:left="0" w:firstLine="0"/>
        <w:rPr>
          <w:szCs w:val="24"/>
          <w:lang w:val="en-US"/>
        </w:rPr>
      </w:pPr>
    </w:p>
    <w:p w:rsidR="006D4D99" w:rsidRDefault="008F2DA8" w:rsidP="008F2DA8">
      <w:pPr>
        <w:pStyle w:val="BriefL3"/>
        <w:numPr>
          <w:ilvl w:val="0"/>
          <w:numId w:val="0"/>
        </w:numPr>
        <w:spacing w:after="0"/>
        <w:ind w:left="1440" w:firstLine="720"/>
        <w:rPr>
          <w:b/>
          <w:szCs w:val="24"/>
        </w:rPr>
      </w:pPr>
      <w:r>
        <w:rPr>
          <w:b/>
          <w:szCs w:val="24"/>
        </w:rPr>
        <w:t>iv</w:t>
      </w:r>
      <w:r w:rsidR="006D4D99">
        <w:rPr>
          <w:b/>
          <w:szCs w:val="24"/>
        </w:rPr>
        <w:t>.</w:t>
      </w:r>
      <w:r w:rsidR="006D4D99">
        <w:rPr>
          <w:b/>
          <w:szCs w:val="24"/>
        </w:rPr>
        <w:tab/>
        <w:t>OSBA’s Position</w:t>
      </w:r>
    </w:p>
    <w:p w:rsidR="006D4D99" w:rsidRDefault="006D4D99" w:rsidP="00833501">
      <w:pPr>
        <w:pStyle w:val="BodyText"/>
        <w:spacing w:after="0" w:line="360" w:lineRule="auto"/>
        <w:ind w:left="0" w:firstLine="0"/>
        <w:rPr>
          <w:szCs w:val="24"/>
          <w:lang w:val="en-US"/>
        </w:rPr>
      </w:pPr>
    </w:p>
    <w:p w:rsidR="006D4D99" w:rsidRDefault="006D4D99" w:rsidP="00833501">
      <w:pPr>
        <w:pStyle w:val="BodyText2"/>
        <w:spacing w:after="0" w:line="360" w:lineRule="auto"/>
      </w:pPr>
      <w:r>
        <w:rPr>
          <w:lang w:val="en-US"/>
        </w:rPr>
        <w:tab/>
      </w:r>
      <w:r w:rsidR="00833501">
        <w:rPr>
          <w:lang w:val="en-US"/>
        </w:rPr>
        <w:tab/>
      </w:r>
      <w:r>
        <w:t>O</w:t>
      </w:r>
      <w:r>
        <w:rPr>
          <w:lang w:val="en-US"/>
        </w:rPr>
        <w:t>SB</w:t>
      </w:r>
      <w:r>
        <w:t>A takes no position on this issue</w:t>
      </w:r>
      <w:r w:rsidR="00833501">
        <w:rPr>
          <w:lang w:val="en-US"/>
        </w:rPr>
        <w:t xml:space="preserve"> because the Company proposed an Opt-In Program that only applies to residential customers</w:t>
      </w:r>
      <w:r>
        <w:t>.</w:t>
      </w:r>
    </w:p>
    <w:p w:rsidR="006D4D99" w:rsidRDefault="006D4D99" w:rsidP="00833501">
      <w:pPr>
        <w:pStyle w:val="BodyText"/>
        <w:spacing w:after="0" w:line="360" w:lineRule="auto"/>
        <w:ind w:left="0" w:firstLine="0"/>
        <w:rPr>
          <w:szCs w:val="24"/>
          <w:lang w:val="en-US"/>
        </w:rPr>
      </w:pPr>
    </w:p>
    <w:p w:rsidR="006D4D99" w:rsidRDefault="008F2DA8" w:rsidP="008F2DA8">
      <w:pPr>
        <w:pStyle w:val="BriefL3"/>
        <w:numPr>
          <w:ilvl w:val="0"/>
          <w:numId w:val="0"/>
        </w:numPr>
        <w:spacing w:after="0"/>
        <w:ind w:left="1440" w:firstLine="720"/>
        <w:rPr>
          <w:b/>
          <w:szCs w:val="24"/>
        </w:rPr>
      </w:pPr>
      <w:r>
        <w:rPr>
          <w:b/>
          <w:szCs w:val="24"/>
        </w:rPr>
        <w:t>v</w:t>
      </w:r>
      <w:r w:rsidR="006D4D99">
        <w:rPr>
          <w:b/>
          <w:szCs w:val="24"/>
        </w:rPr>
        <w:t>.</w:t>
      </w:r>
      <w:r w:rsidR="006D4D99">
        <w:rPr>
          <w:b/>
          <w:szCs w:val="24"/>
        </w:rPr>
        <w:tab/>
        <w:t>CAUSE’s Position</w:t>
      </w:r>
    </w:p>
    <w:p w:rsidR="006D4D99" w:rsidRDefault="006D4D99" w:rsidP="00AE5B46">
      <w:pPr>
        <w:pStyle w:val="BodyText"/>
        <w:spacing w:after="0" w:line="360" w:lineRule="auto"/>
        <w:ind w:left="0" w:firstLine="0"/>
        <w:rPr>
          <w:szCs w:val="24"/>
          <w:lang w:val="en-US"/>
        </w:rPr>
      </w:pPr>
    </w:p>
    <w:p w:rsidR="00AE5B46" w:rsidRDefault="00AE5B46" w:rsidP="008F2DA8">
      <w:pPr>
        <w:spacing w:line="360" w:lineRule="auto"/>
        <w:ind w:firstLine="720"/>
      </w:pPr>
      <w:r>
        <w:tab/>
        <w:t>CAUSE-PA notes its agreement with Duquesne and OCA that there is presently a significantly high level of retail migration within the Duquesne Light territory.</w:t>
      </w:r>
      <w:r>
        <w:rPr>
          <w:rStyle w:val="FootnoteReference"/>
        </w:rPr>
        <w:footnoteReference w:id="64"/>
      </w:r>
      <w:r>
        <w:t xml:space="preserve">  There are currently a robust number of suppliers within the Duquesne service territory which are making offers, and there are a significant number of customers who are switching to EGSs each and </w:t>
      </w:r>
      <w:r>
        <w:lastRenderedPageBreak/>
        <w:t xml:space="preserve">every month.  Duquesne CAP customers are not within this group and CAUSE- PA supports Duquesne’s plan to exclude its CAP customers from the retail market enhancements. Current Duquesne customer information system limitations, the complexity involved in assuring that Duquesne CAP customers will benefit by the retail market enhancements and the inability to direct LIHEAP benefits to suppliers make CAP customer participation not advisable at this time. Thus, CAP customer participation should continue to be deferred until Duquesne and the Commission take the necessary steps to ensure that low-income and other economically vulnerable consumers are adequately protected.  </w:t>
      </w:r>
    </w:p>
    <w:p w:rsidR="008F2DA8" w:rsidRDefault="008F2DA8" w:rsidP="008F2DA8">
      <w:pPr>
        <w:spacing w:line="360" w:lineRule="auto"/>
        <w:ind w:firstLine="720"/>
      </w:pPr>
    </w:p>
    <w:p w:rsidR="00AE5B46" w:rsidRDefault="00AE5B46" w:rsidP="008F2DA8">
      <w:pPr>
        <w:spacing w:line="360" w:lineRule="auto"/>
        <w:ind w:firstLine="720"/>
      </w:pPr>
      <w:r>
        <w:tab/>
        <w:t>Electricity is essential to the health and welfare of households, a fact that the General Assembly recognized in enacting the Choice Act.</w:t>
      </w:r>
      <w:r>
        <w:rPr>
          <w:rStyle w:val="FootnoteReference"/>
        </w:rPr>
        <w:footnoteReference w:id="65"/>
      </w:r>
      <w:r>
        <w:t xml:space="preserve">  For an economically vulnerable low-income Duquesne customer, any increase in electric cost for any period of time is very likely to mean unaffordable bills and termination of service.  CAUSE notes the retail market for the sale of generation supply service is growing in Pennsylvania and significant costs have already been paid by ratepayers to support customer choice.  Therefore</w:t>
      </w:r>
      <w:r w:rsidR="000D5615">
        <w:t>,</w:t>
      </w:r>
      <w:r>
        <w:t xml:space="preserve"> it is inappropriate to pass these additional costs along to default service customers in order to provide service and infrastructure for competitive retail operations.  CAUSE leaves it up to the Commission, Duquesne and the EGSs to determine how the EGSs will pay for the costs of the auction so long as the process is consistent with the Commission’s IWP Final Order and the costs are not borne by Duquesne’s customers.</w:t>
      </w:r>
    </w:p>
    <w:p w:rsidR="006D4D99" w:rsidRDefault="006D4D99" w:rsidP="008F2DA8">
      <w:pPr>
        <w:pStyle w:val="BriefL3"/>
        <w:numPr>
          <w:ilvl w:val="0"/>
          <w:numId w:val="0"/>
        </w:numPr>
        <w:spacing w:after="0" w:line="360" w:lineRule="auto"/>
        <w:rPr>
          <w:b/>
          <w:szCs w:val="24"/>
        </w:rPr>
      </w:pPr>
    </w:p>
    <w:p w:rsidR="006D4D99" w:rsidRDefault="008F2DA8" w:rsidP="008F2DA8">
      <w:pPr>
        <w:pStyle w:val="BriefL3"/>
        <w:numPr>
          <w:ilvl w:val="0"/>
          <w:numId w:val="0"/>
        </w:numPr>
        <w:spacing w:after="0" w:line="360" w:lineRule="auto"/>
        <w:ind w:left="1440" w:firstLine="720"/>
        <w:rPr>
          <w:b/>
          <w:szCs w:val="24"/>
        </w:rPr>
      </w:pPr>
      <w:r>
        <w:rPr>
          <w:b/>
          <w:szCs w:val="24"/>
        </w:rPr>
        <w:t>vi</w:t>
      </w:r>
      <w:r w:rsidR="006D4D99">
        <w:rPr>
          <w:b/>
          <w:szCs w:val="24"/>
        </w:rPr>
        <w:t>.</w:t>
      </w:r>
      <w:r w:rsidR="006D4D99">
        <w:rPr>
          <w:b/>
          <w:szCs w:val="24"/>
        </w:rPr>
        <w:tab/>
        <w:t>Citizen Power’s Position</w:t>
      </w:r>
    </w:p>
    <w:p w:rsidR="006D4D99" w:rsidRDefault="006D4D99" w:rsidP="008F2DA8">
      <w:pPr>
        <w:pStyle w:val="BodyText"/>
        <w:spacing w:after="0" w:line="360" w:lineRule="auto"/>
        <w:ind w:left="0" w:firstLine="0"/>
        <w:rPr>
          <w:szCs w:val="24"/>
          <w:lang w:val="en-US"/>
        </w:rPr>
      </w:pPr>
    </w:p>
    <w:p w:rsidR="00C06FB1" w:rsidRDefault="00C06FB1" w:rsidP="008F2DA8">
      <w:pPr>
        <w:spacing w:line="360" w:lineRule="auto"/>
        <w:ind w:firstLine="720"/>
      </w:pPr>
      <w:r>
        <w:tab/>
        <w:t xml:space="preserve">Although Citizen Power did not formulate a position regarding whether an auction or ROI program would be preferable as a generic matter, Citizen Power did contend that RESA’s specific proposal should be rejected for many of the reasons outlined by Company witness Mr. Fisher in his Rejoinder Testimony. </w:t>
      </w:r>
      <w:r w:rsidR="002A7660">
        <w:t xml:space="preserve"> </w:t>
      </w:r>
      <w:r>
        <w:t>Duquesne St. 3-RJ at 4.</w:t>
      </w:r>
    </w:p>
    <w:p w:rsidR="00491896" w:rsidRDefault="00491896" w:rsidP="008F2DA8">
      <w:pPr>
        <w:pStyle w:val="BriefL3"/>
        <w:numPr>
          <w:ilvl w:val="0"/>
          <w:numId w:val="0"/>
        </w:numPr>
        <w:spacing w:after="0" w:line="360" w:lineRule="auto"/>
        <w:ind w:firstLine="720"/>
        <w:rPr>
          <w:b/>
          <w:szCs w:val="24"/>
        </w:rPr>
      </w:pPr>
    </w:p>
    <w:p w:rsidR="00491896" w:rsidRDefault="00491896" w:rsidP="008F2DA8">
      <w:pPr>
        <w:pStyle w:val="BriefL3"/>
        <w:numPr>
          <w:ilvl w:val="0"/>
          <w:numId w:val="0"/>
        </w:numPr>
        <w:spacing w:after="0" w:line="360" w:lineRule="auto"/>
        <w:ind w:firstLine="720"/>
        <w:rPr>
          <w:b/>
          <w:szCs w:val="24"/>
        </w:rPr>
      </w:pPr>
    </w:p>
    <w:p w:rsidR="0084672B" w:rsidRDefault="008F2DA8" w:rsidP="008F2DA8">
      <w:pPr>
        <w:pStyle w:val="BriefL3"/>
        <w:numPr>
          <w:ilvl w:val="0"/>
          <w:numId w:val="0"/>
        </w:numPr>
        <w:spacing w:after="0" w:line="360" w:lineRule="auto"/>
        <w:ind w:firstLine="720"/>
        <w:rPr>
          <w:b/>
          <w:szCs w:val="24"/>
        </w:rPr>
      </w:pPr>
      <w:r>
        <w:rPr>
          <w:b/>
          <w:szCs w:val="24"/>
        </w:rPr>
        <w:t xml:space="preserve"> </w:t>
      </w:r>
    </w:p>
    <w:p w:rsidR="006D4D99" w:rsidRDefault="008F2DA8" w:rsidP="008F2DA8">
      <w:pPr>
        <w:pStyle w:val="BriefL3"/>
        <w:numPr>
          <w:ilvl w:val="0"/>
          <w:numId w:val="0"/>
        </w:numPr>
        <w:spacing w:after="0" w:line="360" w:lineRule="auto"/>
        <w:ind w:firstLine="720"/>
        <w:rPr>
          <w:b/>
          <w:szCs w:val="24"/>
        </w:rPr>
      </w:pPr>
      <w:r>
        <w:rPr>
          <w:b/>
          <w:szCs w:val="24"/>
        </w:rPr>
        <w:lastRenderedPageBreak/>
        <w:tab/>
      </w:r>
      <w:r>
        <w:rPr>
          <w:b/>
          <w:szCs w:val="24"/>
        </w:rPr>
        <w:tab/>
        <w:t>vii</w:t>
      </w:r>
      <w:r w:rsidR="006D4D99">
        <w:rPr>
          <w:b/>
          <w:szCs w:val="24"/>
        </w:rPr>
        <w:t>.</w:t>
      </w:r>
      <w:r w:rsidR="006D4D99">
        <w:rPr>
          <w:b/>
          <w:szCs w:val="24"/>
        </w:rPr>
        <w:tab/>
        <w:t>Duquesne Industrial Intervenors’ Position</w:t>
      </w:r>
    </w:p>
    <w:p w:rsidR="006D4D99" w:rsidRDefault="006D4D99" w:rsidP="008F2DA8">
      <w:pPr>
        <w:pStyle w:val="BodyText"/>
        <w:spacing w:after="0" w:line="360" w:lineRule="auto"/>
        <w:ind w:left="0" w:firstLine="0"/>
        <w:rPr>
          <w:szCs w:val="24"/>
          <w:lang w:val="en-US"/>
        </w:rPr>
      </w:pPr>
    </w:p>
    <w:p w:rsidR="006D4D99" w:rsidRDefault="006D4D99" w:rsidP="008F2DA8">
      <w:pPr>
        <w:pStyle w:val="BodyText2"/>
        <w:spacing w:after="0" w:line="360" w:lineRule="auto"/>
      </w:pPr>
      <w:r>
        <w:rPr>
          <w:lang w:val="en-US"/>
        </w:rPr>
        <w:tab/>
      </w:r>
      <w:r w:rsidR="00C06FB1">
        <w:rPr>
          <w:lang w:val="en-US"/>
        </w:rPr>
        <w:tab/>
      </w:r>
      <w:r>
        <w:rPr>
          <w:lang w:val="en-US"/>
        </w:rPr>
        <w:t>DII</w:t>
      </w:r>
      <w:r>
        <w:t xml:space="preserve"> takes no position on this issue.</w:t>
      </w:r>
    </w:p>
    <w:p w:rsidR="006D4D99" w:rsidRDefault="006D4D99" w:rsidP="008F2DA8">
      <w:pPr>
        <w:pStyle w:val="BodyText"/>
        <w:spacing w:after="0" w:line="360" w:lineRule="auto"/>
        <w:ind w:left="0" w:firstLine="0"/>
        <w:rPr>
          <w:szCs w:val="24"/>
          <w:lang w:val="en-US"/>
        </w:rPr>
      </w:pPr>
    </w:p>
    <w:p w:rsidR="006D4D99" w:rsidRDefault="008F2DA8" w:rsidP="008F2DA8">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6D4D99" w:rsidRDefault="006D4D99" w:rsidP="008F2DA8">
      <w:pPr>
        <w:pStyle w:val="BodyText"/>
        <w:spacing w:after="0" w:line="360" w:lineRule="auto"/>
        <w:ind w:left="0" w:firstLine="0"/>
        <w:rPr>
          <w:szCs w:val="24"/>
          <w:lang w:val="en-US"/>
        </w:rPr>
      </w:pPr>
    </w:p>
    <w:p w:rsidR="006D4D99" w:rsidRDefault="006D4D99" w:rsidP="008F2DA8">
      <w:pPr>
        <w:pStyle w:val="BodyText2"/>
        <w:spacing w:after="0" w:line="360" w:lineRule="auto"/>
        <w:rPr>
          <w:lang w:val="en-US"/>
        </w:rPr>
      </w:pPr>
      <w:r>
        <w:rPr>
          <w:lang w:val="en-US"/>
        </w:rPr>
        <w:tab/>
      </w:r>
      <w:r w:rsidR="00C06FB1">
        <w:rPr>
          <w:lang w:val="en-US"/>
        </w:rPr>
        <w:tab/>
        <w:t xml:space="preserve">The </w:t>
      </w:r>
      <w:r>
        <w:rPr>
          <w:lang w:val="en-US"/>
        </w:rPr>
        <w:t>EGS Parties take</w:t>
      </w:r>
      <w:r>
        <w:t xml:space="preserve"> </w:t>
      </w:r>
      <w:r w:rsidR="00C06FB1">
        <w:rPr>
          <w:lang w:val="en-US"/>
        </w:rPr>
        <w:t>the</w:t>
      </w:r>
      <w:r>
        <w:t xml:space="preserve"> position </w:t>
      </w:r>
      <w:r w:rsidR="00C06FB1">
        <w:rPr>
          <w:lang w:val="en-US"/>
        </w:rPr>
        <w:t xml:space="preserve">the Commission intends to impose the </w:t>
      </w:r>
      <w:r w:rsidR="00C06FB1" w:rsidRPr="00C06FB1">
        <w:rPr>
          <w:i/>
          <w:lang w:val="en-US"/>
        </w:rPr>
        <w:t>FE Order</w:t>
      </w:r>
      <w:r w:rsidR="00C06FB1">
        <w:rPr>
          <w:lang w:val="en-US"/>
        </w:rPr>
        <w:t xml:space="preserve"> style program in all EDC service territories.  If that is the Commission’s intention, the EGS Parties support that result if there are some modifications.  Otherwise, except with regard to cost recovery and the level of the discount, the EGS Parties support the Company’s proposal.</w:t>
      </w:r>
    </w:p>
    <w:p w:rsidR="00AD2F57" w:rsidRDefault="00AD2F57" w:rsidP="008F2DA8">
      <w:pPr>
        <w:spacing w:line="360" w:lineRule="auto"/>
        <w:ind w:firstLine="720"/>
      </w:pPr>
    </w:p>
    <w:p w:rsidR="00AD2F57" w:rsidRDefault="00AD2F57" w:rsidP="008F2DA8">
      <w:pPr>
        <w:spacing w:line="360" w:lineRule="auto"/>
        <w:ind w:firstLine="720"/>
      </w:pPr>
      <w:r>
        <w:tab/>
        <w:t>With the exception of a recommendation to reduce the discount or eliminate the bonus due to historically low market prices, the EGS Parties endorse Duquesne’s proposal.  (TJB St. No. 1, p. 5:20-6:8).  With the new vision expressed in the Commission’s more recent pronouncements on the issues, however, it appears the Company’s plan is likely to be modified by the Commission to bring it into line with those new standards.  Those requirements, discussed below, are acceptable to the EGS Parties, so long as the Commission imposes the financial security and transparency measures</w:t>
      </w:r>
      <w:r w:rsidR="008F2DA8">
        <w:t xml:space="preserve"> that</w:t>
      </w:r>
      <w:r>
        <w:t xml:space="preserve"> include eliminating the auction process and replacing it with an assignment method by which all eligible suppliers wishing to serve customers will be allocated a </w:t>
      </w:r>
      <w:r>
        <w:rPr>
          <w:i/>
        </w:rPr>
        <w:t>pro rata</w:t>
      </w:r>
      <w:r>
        <w:t xml:space="preserve"> percentage of the customers that choose to participate in the program.  </w:t>
      </w:r>
    </w:p>
    <w:p w:rsidR="00AD2F57" w:rsidRDefault="00AD2F57" w:rsidP="008F2DA8">
      <w:pPr>
        <w:spacing w:line="360" w:lineRule="auto"/>
        <w:ind w:firstLine="720"/>
      </w:pPr>
    </w:p>
    <w:p w:rsidR="00AD2F57" w:rsidRDefault="00AD2F57" w:rsidP="0059627C">
      <w:pPr>
        <w:spacing w:line="360" w:lineRule="auto"/>
        <w:ind w:firstLine="1440"/>
      </w:pPr>
      <w:r>
        <w:t xml:space="preserve">In order to ensure the customers’ expectations are met and considering these will mostly be first time shopping customers, the EGS Parties believe it is necessary to have some sort of screening process to ensure the suppliers participating in the ROA provide a positive first time experience.  Mr. Butler proposed two (2) requirements that will accomplish this goal if the Commission were to impose an </w:t>
      </w:r>
      <w:r>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xml:space="preserve"> style program for Duquesne.  (TJB St. No. 1-R, pp.</w:t>
      </w:r>
      <w:r w:rsidR="007369CC">
        <w:t> </w:t>
      </w:r>
      <w:r>
        <w:t xml:space="preserve">2:5-5:8).  </w:t>
      </w:r>
    </w:p>
    <w:p w:rsidR="00AD2F57" w:rsidRDefault="00AD2F57" w:rsidP="008F2DA8">
      <w:pPr>
        <w:spacing w:line="360" w:lineRule="auto"/>
        <w:ind w:firstLine="720"/>
      </w:pPr>
    </w:p>
    <w:p w:rsidR="00AD2F57" w:rsidRDefault="00AD2F57" w:rsidP="008F2DA8">
      <w:pPr>
        <w:spacing w:line="360" w:lineRule="auto"/>
        <w:ind w:firstLine="720"/>
      </w:pPr>
      <w:r>
        <w:tab/>
      </w:r>
      <w:r w:rsidR="0059627C">
        <w:t>P</w:t>
      </w:r>
      <w:r>
        <w:t xml:space="preserve">articipating suppliers </w:t>
      </w:r>
      <w:r w:rsidR="0059627C">
        <w:t xml:space="preserve">should </w:t>
      </w:r>
      <w:r>
        <w:t xml:space="preserve">provide financial assurance that they are capable of providing the fifty-dollar ($50) cash bonus to customers, either in the form of a performance </w:t>
      </w:r>
      <w:r>
        <w:lastRenderedPageBreak/>
        <w:t xml:space="preserve">bond or a cash deposit that will adequately ensure that when the time comes to pay the fifty-dollar ($50) bonus to customers that the suppliers are able to do so.  </w:t>
      </w:r>
    </w:p>
    <w:p w:rsidR="00AD2F57" w:rsidRDefault="00AD2F57" w:rsidP="008F2DA8">
      <w:pPr>
        <w:spacing w:line="360" w:lineRule="auto"/>
        <w:ind w:firstLine="720"/>
      </w:pPr>
    </w:p>
    <w:p w:rsidR="00AD2F57" w:rsidRDefault="00AD2F57" w:rsidP="0084672B">
      <w:pPr>
        <w:spacing w:line="360" w:lineRule="auto"/>
        <w:ind w:firstLine="720"/>
      </w:pPr>
      <w:r>
        <w:tab/>
        <w:t>Due to the two-part nature of the offer, with the first part having a defined discount and the second part with no required discount, it is necessary to provide transparency to customers so that they understand the pricing they will receive, particularly for the 8</w:t>
      </w:r>
      <w:r w:rsidR="00FD02F5">
        <w:t>-</w:t>
      </w:r>
      <w:r>
        <w:t>month fixed price part of the program, since that price may not be the same price charged for the initial 4</w:t>
      </w:r>
      <w:r w:rsidR="00BE22C1">
        <w:noBreakHyphen/>
      </w:r>
      <w:r>
        <w:t>month period.  Customers should be provided with the opportunity to ensure that the offer suits their needs.  The EGS Parties thus propose that suppliers provide customers with the pricing for that 8</w:t>
      </w:r>
      <w:r w:rsidR="009570DC">
        <w:t>-</w:t>
      </w:r>
      <w:r>
        <w:t>month period when they provide the terms and conditions for the initial 4</w:t>
      </w:r>
      <w:r w:rsidR="009570DC">
        <w:t>-</w:t>
      </w:r>
      <w:r>
        <w:t xml:space="preserve">month term, as well as post that price at a specially delineated section of the Commission’s PAPowerSwitch.com website so that customers will be able to compare the price of their </w:t>
      </w:r>
      <w:r w:rsidR="00324710">
        <w:t>8</w:t>
      </w:r>
      <w:r w:rsidR="00324710">
        <w:noBreakHyphen/>
      </w:r>
      <w:r>
        <w:t>month component to other offers in the market</w:t>
      </w:r>
      <w:r w:rsidR="0065677C">
        <w:t xml:space="preserve"> </w:t>
      </w:r>
      <w:r>
        <w:t>place and make sure the offer is in fact the one best suited for them.  (TJB St. No. 1-SR, p. 4:4-14).</w:t>
      </w:r>
    </w:p>
    <w:p w:rsidR="00AD2F57" w:rsidRDefault="00AD2F57" w:rsidP="0084672B">
      <w:pPr>
        <w:spacing w:line="360" w:lineRule="auto"/>
        <w:ind w:firstLine="720"/>
      </w:pPr>
    </w:p>
    <w:p w:rsidR="00AD2F57" w:rsidRDefault="00AD2F57" w:rsidP="0084672B">
      <w:pPr>
        <w:spacing w:line="360" w:lineRule="auto"/>
        <w:ind w:firstLine="720"/>
      </w:pPr>
      <w:r>
        <w:tab/>
        <w:t xml:space="preserve">If the </w:t>
      </w:r>
      <w:r>
        <w:rPr>
          <w:i/>
        </w:rPr>
        <w:t>FE Order</w:t>
      </w:r>
      <w: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fldChar w:fldCharType="end"/>
      </w:r>
      <w:r>
        <w:t xml:space="preserve"> model is applied here as it has been elsewhere, these changes are the bare minimum that is required to ensure program success.</w:t>
      </w:r>
    </w:p>
    <w:p w:rsidR="0084672B" w:rsidRDefault="0084672B" w:rsidP="0084672B">
      <w:pPr>
        <w:spacing w:line="360" w:lineRule="auto"/>
        <w:ind w:firstLine="720"/>
      </w:pPr>
    </w:p>
    <w:p w:rsidR="006D4D99" w:rsidRDefault="0059627C" w:rsidP="0084672B">
      <w:pPr>
        <w:pStyle w:val="BriefL3"/>
        <w:numPr>
          <w:ilvl w:val="0"/>
          <w:numId w:val="0"/>
        </w:numPr>
        <w:spacing w:after="0" w:line="360" w:lineRule="auto"/>
        <w:ind w:left="1440" w:firstLine="720"/>
        <w:rPr>
          <w:b/>
          <w:szCs w:val="24"/>
        </w:rPr>
      </w:pPr>
      <w:r>
        <w:rPr>
          <w:b/>
          <w:szCs w:val="24"/>
        </w:rPr>
        <w:t>ix</w:t>
      </w:r>
      <w:r w:rsidR="006D4D99">
        <w:rPr>
          <w:b/>
          <w:szCs w:val="24"/>
        </w:rPr>
        <w:t>.</w:t>
      </w:r>
      <w:r w:rsidR="006D4D99">
        <w:rPr>
          <w:b/>
          <w:szCs w:val="24"/>
        </w:rPr>
        <w:tab/>
        <w:t>FirstEnergy Solutions’ Position</w:t>
      </w:r>
    </w:p>
    <w:p w:rsidR="006D4D99" w:rsidRDefault="006D4D99" w:rsidP="0084672B">
      <w:pPr>
        <w:pStyle w:val="BodyText"/>
        <w:spacing w:after="0" w:line="360" w:lineRule="auto"/>
        <w:ind w:left="0" w:firstLine="0"/>
        <w:rPr>
          <w:szCs w:val="24"/>
          <w:lang w:val="en-US"/>
        </w:rPr>
      </w:pPr>
    </w:p>
    <w:p w:rsidR="00175AC8" w:rsidRDefault="00175AC8" w:rsidP="0084672B">
      <w:pPr>
        <w:pStyle w:val="BodyTextFirstLine5DS"/>
        <w:spacing w:line="360" w:lineRule="auto"/>
        <w:jc w:val="left"/>
      </w:pPr>
      <w:r>
        <w:tab/>
        <w:t xml:space="preserve">FES strongly believes the Opt-In Program should include some form of bidding competition.  Without a bidding competition, the price to participating customers will not provide the maximum savings, the program does not deliver any benefits of retail competition, and to date, there is no clear methodology for allocating customers among participating suppliers.  Consistent with this position, FES believes the product should continue to be priced </w:t>
      </w:r>
      <w:r w:rsidR="00C36241">
        <w:t>“</w:t>
      </w:r>
      <w:r>
        <w:t>at least</w:t>
      </w:r>
      <w:r w:rsidR="00C36241">
        <w:t>”</w:t>
      </w:r>
      <w:r>
        <w:t xml:space="preserve"> 5% below the PTC, as determined by a competitive bidding process, since there needs to be a clear and sustained benefit to the customer for participation in the program.  FES St. No.</w:t>
      </w:r>
      <w:r w:rsidR="002237FA">
        <w:t> </w:t>
      </w:r>
      <w:r>
        <w:t>1-R at 16-17.</w:t>
      </w:r>
    </w:p>
    <w:p w:rsidR="00175AC8" w:rsidRDefault="00175AC8" w:rsidP="0059627C">
      <w:pPr>
        <w:pStyle w:val="BriefL3"/>
        <w:numPr>
          <w:ilvl w:val="0"/>
          <w:numId w:val="0"/>
        </w:numPr>
        <w:spacing w:after="0" w:line="360" w:lineRule="auto"/>
        <w:ind w:firstLine="2880"/>
        <w:rPr>
          <w:b/>
          <w:szCs w:val="24"/>
        </w:rPr>
      </w:pPr>
    </w:p>
    <w:p w:rsidR="0084672B" w:rsidRDefault="0084672B">
      <w:pPr>
        <w:autoSpaceDE/>
        <w:autoSpaceDN/>
        <w:rPr>
          <w:b/>
        </w:rPr>
      </w:pPr>
      <w:r>
        <w:rPr>
          <w:b/>
        </w:rPr>
        <w:br w:type="page"/>
      </w:r>
    </w:p>
    <w:p w:rsidR="006D4D99" w:rsidRDefault="0059627C" w:rsidP="0059627C">
      <w:pPr>
        <w:pStyle w:val="BriefL3"/>
        <w:numPr>
          <w:ilvl w:val="0"/>
          <w:numId w:val="0"/>
        </w:numPr>
        <w:spacing w:after="0" w:line="360" w:lineRule="auto"/>
        <w:ind w:left="1440" w:firstLine="720"/>
        <w:rPr>
          <w:b/>
          <w:szCs w:val="24"/>
        </w:rPr>
      </w:pPr>
      <w:r>
        <w:rPr>
          <w:b/>
          <w:szCs w:val="24"/>
        </w:rPr>
        <w:lastRenderedPageBreak/>
        <w:t>x</w:t>
      </w:r>
      <w:r w:rsidR="006D4D99">
        <w:rPr>
          <w:b/>
          <w:szCs w:val="24"/>
        </w:rPr>
        <w:t>.</w:t>
      </w:r>
      <w:r w:rsidR="006D4D99">
        <w:rPr>
          <w:b/>
          <w:szCs w:val="24"/>
        </w:rPr>
        <w:tab/>
        <w:t>Joint Suppliers’ Position</w:t>
      </w:r>
    </w:p>
    <w:p w:rsidR="006D4D99" w:rsidRDefault="006D4D99" w:rsidP="0059627C">
      <w:pPr>
        <w:pStyle w:val="BodyText"/>
        <w:spacing w:after="0" w:line="360" w:lineRule="auto"/>
        <w:ind w:left="0" w:firstLine="0"/>
        <w:rPr>
          <w:szCs w:val="24"/>
          <w:lang w:val="en-US"/>
        </w:rPr>
      </w:pPr>
    </w:p>
    <w:p w:rsidR="006D4D99" w:rsidRDefault="006D4D99" w:rsidP="0059627C">
      <w:pPr>
        <w:pStyle w:val="BodyText2"/>
        <w:spacing w:after="0" w:line="360" w:lineRule="auto"/>
      </w:pPr>
      <w:r>
        <w:rPr>
          <w:lang w:val="en-US"/>
        </w:rPr>
        <w:tab/>
      </w:r>
      <w:r w:rsidR="00897260">
        <w:rPr>
          <w:lang w:val="en-US"/>
        </w:rPr>
        <w:tab/>
      </w:r>
      <w:r>
        <w:rPr>
          <w:lang w:val="en-US"/>
        </w:rPr>
        <w:t>Joint Suppliers take</w:t>
      </w:r>
      <w:r>
        <w:t xml:space="preserve"> no position on this issue.</w:t>
      </w:r>
    </w:p>
    <w:p w:rsidR="00617453" w:rsidRDefault="00617453" w:rsidP="0059627C">
      <w:pPr>
        <w:pStyle w:val="ListParagraph"/>
        <w:autoSpaceDE/>
        <w:autoSpaceDN/>
        <w:spacing w:line="360" w:lineRule="auto"/>
        <w:ind w:left="0"/>
        <w:rPr>
          <w:b/>
          <w:u w:val="single"/>
        </w:rPr>
      </w:pPr>
    </w:p>
    <w:p w:rsidR="00DD6125" w:rsidRPr="00E36A29" w:rsidRDefault="00DD6125" w:rsidP="00E36A29">
      <w:pPr>
        <w:pStyle w:val="ListParagraph"/>
        <w:autoSpaceDE/>
        <w:autoSpaceDN/>
        <w:ind w:left="1440" w:hanging="1440"/>
        <w:rPr>
          <w:b/>
        </w:rPr>
      </w:pPr>
      <w:r w:rsidRPr="00E36A29">
        <w:rPr>
          <w:b/>
        </w:rPr>
        <w:t>Disposition</w:t>
      </w:r>
      <w:r w:rsidR="008F2A6C" w:rsidRPr="00E36A29">
        <w:rPr>
          <w:b/>
        </w:rPr>
        <w:t xml:space="preserve"> – Market Enhancement Programs – Retail Opt-In Program – Auction ROI </w:t>
      </w:r>
      <w:r w:rsidR="002642AE">
        <w:rPr>
          <w:b/>
        </w:rPr>
        <w:t>V</w:t>
      </w:r>
      <w:r w:rsidR="008F2A6C" w:rsidRPr="00E36A29">
        <w:rPr>
          <w:b/>
        </w:rPr>
        <w:t xml:space="preserve">ersus </w:t>
      </w:r>
      <w:r w:rsidR="002642AE">
        <w:rPr>
          <w:b/>
        </w:rPr>
        <w:t>A</w:t>
      </w:r>
      <w:r w:rsidR="008F2A6C" w:rsidRPr="00E36A29">
        <w:rPr>
          <w:b/>
        </w:rPr>
        <w:t>ggregation ROI</w:t>
      </w:r>
    </w:p>
    <w:p w:rsidR="00DD6125" w:rsidRDefault="00DD6125" w:rsidP="0059627C">
      <w:pPr>
        <w:pStyle w:val="BodyText"/>
        <w:spacing w:after="0" w:line="360" w:lineRule="auto"/>
        <w:ind w:left="0" w:firstLine="0"/>
        <w:rPr>
          <w:szCs w:val="24"/>
          <w:lang w:val="en-US"/>
        </w:rPr>
      </w:pPr>
    </w:p>
    <w:p w:rsidR="00415028" w:rsidRDefault="00415028" w:rsidP="0059627C">
      <w:pPr>
        <w:pStyle w:val="Level2"/>
        <w:tabs>
          <w:tab w:val="left" w:pos="720"/>
        </w:tabs>
        <w:spacing w:line="360" w:lineRule="auto"/>
        <w:ind w:left="0" w:firstLine="1440"/>
        <w:jc w:val="left"/>
      </w:pPr>
      <w:r>
        <w:t>Duquesne Light is uniquely situated among the other large EDCs in Pennsylvania</w:t>
      </w:r>
      <w:r w:rsidR="00E36A29">
        <w:t>,</w:t>
      </w:r>
      <w:r w:rsidR="00257550">
        <w:t xml:space="preserve"> </w:t>
      </w:r>
      <w:r w:rsidR="00E36A29">
        <w:t xml:space="preserve">in that the Company </w:t>
      </w:r>
      <w:r>
        <w:t xml:space="preserve">has been out from under rate caps for many years and has robust customer shopping </w:t>
      </w:r>
      <w:r w:rsidR="00257550">
        <w:t>with</w:t>
      </w:r>
      <w:r>
        <w:t xml:space="preserve">in its service territory.  </w:t>
      </w:r>
      <w:r w:rsidR="00B918E3">
        <w:t>T</w:t>
      </w:r>
      <w:r w:rsidR="00E36A29">
        <w:t>o date, t</w:t>
      </w:r>
      <w:r w:rsidR="00B918E3">
        <w:t>here has been a</w:t>
      </w:r>
      <w:r>
        <w:t xml:space="preserve"> high level of retail migration compared to other electric utilities in Pennsylvania and in any state that has adopted retail electricity competition.</w:t>
      </w:r>
      <w:r w:rsidR="00B918E3">
        <w:rPr>
          <w:rStyle w:val="FootnoteReference"/>
        </w:rPr>
        <w:footnoteReference w:id="66"/>
      </w:r>
      <w:r>
        <w:t xml:space="preserve">  </w:t>
      </w:r>
      <w:r w:rsidR="00F2262D">
        <w:t>These retail migration trends document that D</w:t>
      </w:r>
      <w:r w:rsidR="00E36A29">
        <w:t>uquesne Light</w:t>
      </w:r>
      <w:r w:rsidR="00F2262D">
        <w:t xml:space="preserve"> has a mature retail market.  I took </w:t>
      </w:r>
      <w:r w:rsidR="00E36A29">
        <w:t xml:space="preserve">into account </w:t>
      </w:r>
      <w:r w:rsidR="00F2262D">
        <w:t>t</w:t>
      </w:r>
      <w:r>
        <w:t xml:space="preserve">hese </w:t>
      </w:r>
      <w:r w:rsidR="00E36A29">
        <w:t>high</w:t>
      </w:r>
      <w:r>
        <w:t xml:space="preserve"> levels of customer migration to an EGS when considering </w:t>
      </w:r>
      <w:r w:rsidR="00F2262D">
        <w:t xml:space="preserve">which </w:t>
      </w:r>
      <w:r>
        <w:t xml:space="preserve">programs </w:t>
      </w:r>
      <w:r w:rsidR="00F2262D">
        <w:t>will aid in j</w:t>
      </w:r>
      <w:r>
        <w:t>ump</w:t>
      </w:r>
      <w:r w:rsidR="00E36A29">
        <w:t>-</w:t>
      </w:r>
      <w:r>
        <w:t>start</w:t>
      </w:r>
      <w:r w:rsidR="00F2262D">
        <w:t>ing increased shopping in</w:t>
      </w:r>
      <w:r>
        <w:t xml:space="preserve"> the competitive marke</w:t>
      </w:r>
      <w:r w:rsidR="00F2262D">
        <w:t>ts</w:t>
      </w:r>
      <w:r w:rsidR="00257550">
        <w:t xml:space="preserve">.  </w:t>
      </w:r>
      <w:r w:rsidR="00F2262D">
        <w:t>In addition, I took into account</w:t>
      </w:r>
      <w:r>
        <w:t xml:space="preserve"> </w:t>
      </w:r>
      <w:r w:rsidR="00F2262D">
        <w:t>D</w:t>
      </w:r>
      <w:r w:rsidR="00E36A29">
        <w:t>uquesne Light</w:t>
      </w:r>
      <w:r w:rsidR="00F2262D">
        <w:t>’s uniqueness in providing</w:t>
      </w:r>
      <w:r>
        <w:t xml:space="preserve"> flat rates </w:t>
      </w:r>
      <w:r w:rsidR="00F2262D">
        <w:t>in</w:t>
      </w:r>
      <w:r>
        <w:t xml:space="preserve"> its last DSP</w:t>
      </w:r>
      <w:r w:rsidR="00F2262D">
        <w:t xml:space="preserve"> </w:t>
      </w:r>
      <w:r w:rsidR="00E36A29">
        <w:t xml:space="preserve">– </w:t>
      </w:r>
      <w:r w:rsidR="00F2262D">
        <w:t xml:space="preserve">which sheltered </w:t>
      </w:r>
      <w:r>
        <w:t xml:space="preserve">its customers </w:t>
      </w:r>
      <w:r w:rsidR="00F2262D">
        <w:t>from</w:t>
      </w:r>
      <w:r>
        <w:t xml:space="preserve"> the quarterly price changes experienced in other EDC’s service territories.    </w:t>
      </w:r>
    </w:p>
    <w:p w:rsidR="0059627C" w:rsidRDefault="0059627C" w:rsidP="0059627C">
      <w:pPr>
        <w:pStyle w:val="Level2"/>
        <w:tabs>
          <w:tab w:val="left" w:pos="720"/>
        </w:tabs>
        <w:spacing w:line="360" w:lineRule="auto"/>
        <w:ind w:left="0" w:firstLine="1440"/>
        <w:jc w:val="left"/>
      </w:pPr>
    </w:p>
    <w:p w:rsidR="00F2262D" w:rsidRDefault="00F2262D" w:rsidP="004C177B">
      <w:pPr>
        <w:pStyle w:val="Level2"/>
        <w:tabs>
          <w:tab w:val="left" w:pos="720"/>
        </w:tabs>
        <w:spacing w:line="360" w:lineRule="auto"/>
        <w:ind w:left="0" w:firstLine="1440"/>
        <w:jc w:val="left"/>
      </w:pPr>
      <w:r>
        <w:t xml:space="preserve">RESA’s </w:t>
      </w:r>
      <w:r w:rsidR="008F2A6C">
        <w:t xml:space="preserve">proposed </w:t>
      </w:r>
      <w:r>
        <w:t xml:space="preserve">approach herein will alienate and/or intimidate non-shopping customers, resulting in </w:t>
      </w:r>
      <w:r w:rsidRPr="00E36A29">
        <w:rPr>
          <w:u w:val="single"/>
        </w:rPr>
        <w:t>lower</w:t>
      </w:r>
      <w:r>
        <w:t xml:space="preserve"> customer participation and, therefore,</w:t>
      </w:r>
      <w:r w:rsidR="00E36A29">
        <w:t xml:space="preserve"> is</w:t>
      </w:r>
      <w:r>
        <w:t xml:space="preserve"> </w:t>
      </w:r>
      <w:r w:rsidRPr="00E36A29">
        <w:rPr>
          <w:u w:val="single"/>
        </w:rPr>
        <w:t>contrary</w:t>
      </w:r>
      <w:r>
        <w:t xml:space="preserve"> to the primary goal in default service planning</w:t>
      </w:r>
      <w:r w:rsidR="00E36A29">
        <w:t xml:space="preserve"> at this time</w:t>
      </w:r>
      <w:r>
        <w:t xml:space="preserve">.  That primary goal </w:t>
      </w:r>
      <w:r w:rsidR="00E36A29">
        <w:t xml:space="preserve">likely </w:t>
      </w:r>
      <w:r>
        <w:t>will change as the retail market matures and consumers become more comfortable with the competitive market.  However, D</w:t>
      </w:r>
      <w:r w:rsidR="00E36A29">
        <w:t>uquesne Light</w:t>
      </w:r>
      <w:r>
        <w:t>’s concerns (as stated in part in its Reply Brief at page 21) are legitimate</w:t>
      </w:r>
      <w:r w:rsidR="002642AE">
        <w:t>,</w:t>
      </w:r>
      <w:r>
        <w:t xml:space="preserve"> and should be discussed and “fleshed out” more fully than was possible in this proceeding.  As correctly noted by OCA, </w:t>
      </w:r>
      <w:r w:rsidR="00A36735">
        <w:t xml:space="preserve">the Company </w:t>
      </w:r>
      <w:r>
        <w:t xml:space="preserve">was the </w:t>
      </w:r>
      <w:r w:rsidRPr="00A36735">
        <w:rPr>
          <w:u w:val="single"/>
        </w:rPr>
        <w:t>only</w:t>
      </w:r>
      <w:r>
        <w:t xml:space="preserve"> party in this proceeding afforded the due process opportunity to respond to RESA’s proposal.  </w:t>
      </w:r>
    </w:p>
    <w:p w:rsidR="00F2262D" w:rsidRDefault="00F2262D" w:rsidP="004C177B">
      <w:pPr>
        <w:pStyle w:val="Level2"/>
        <w:tabs>
          <w:tab w:val="left" w:pos="720"/>
        </w:tabs>
        <w:spacing w:line="360" w:lineRule="auto"/>
        <w:ind w:left="0" w:firstLine="1440"/>
        <w:jc w:val="left"/>
      </w:pPr>
    </w:p>
    <w:p w:rsidR="00F2262D" w:rsidRDefault="00F2262D" w:rsidP="005310C0">
      <w:pPr>
        <w:pStyle w:val="Level2"/>
        <w:tabs>
          <w:tab w:val="left" w:pos="720"/>
        </w:tabs>
        <w:spacing w:line="360" w:lineRule="auto"/>
        <w:ind w:left="0" w:firstLine="1440"/>
        <w:jc w:val="left"/>
      </w:pPr>
      <w:r>
        <w:t>The</w:t>
      </w:r>
      <w:r w:rsidR="00A36735">
        <w:t xml:space="preserve"> Company’s proposal for retail market enhancement is likely to succeed and to provide customers – especially those who have not been inclined to shop to date – with a positive experience in the competitive market.  Unlike other EDC default service plans that do not have a fixed annual PTC for residential customers, Duquesne Light’s ROI Program allows EGSs to </w:t>
      </w:r>
      <w:r w:rsidR="00A36735">
        <w:lastRenderedPageBreak/>
        <w:t xml:space="preserve">offer – and permits customers to receive – “guaranteed savings” over a 12-month period.  This path is the best method to enhance competition and advance the interests of both customers and EGSs.  Therefore, I recommend the approval of Duquesne Light’s proposal for Retail Market Enhancement and the Retail Opt-In Program.  </w:t>
      </w:r>
      <w:r>
        <w:t xml:space="preserve">  </w:t>
      </w:r>
    </w:p>
    <w:p w:rsidR="00415028" w:rsidRDefault="00415028" w:rsidP="005310C0">
      <w:pPr>
        <w:pStyle w:val="Level2"/>
        <w:tabs>
          <w:tab w:val="left" w:pos="720"/>
        </w:tabs>
        <w:spacing w:line="360" w:lineRule="auto"/>
        <w:ind w:left="0" w:firstLine="1440"/>
        <w:jc w:val="left"/>
      </w:pPr>
      <w:r>
        <w:t xml:space="preserve"> </w:t>
      </w:r>
    </w:p>
    <w:p w:rsidR="000B0DA3" w:rsidRDefault="000B0DA3" w:rsidP="005310C0">
      <w:pPr>
        <w:pStyle w:val="BriefL3"/>
        <w:numPr>
          <w:ilvl w:val="0"/>
          <w:numId w:val="44"/>
        </w:numPr>
        <w:spacing w:after="0" w:line="360" w:lineRule="auto"/>
        <w:rPr>
          <w:b/>
          <w:szCs w:val="24"/>
        </w:rPr>
      </w:pPr>
      <w:r>
        <w:rPr>
          <w:b/>
          <w:szCs w:val="24"/>
        </w:rPr>
        <w:t>Term of Offer</w:t>
      </w:r>
    </w:p>
    <w:p w:rsidR="00391B13" w:rsidRDefault="00391B13" w:rsidP="005310C0">
      <w:pPr>
        <w:pStyle w:val="BriefL3"/>
        <w:numPr>
          <w:ilvl w:val="0"/>
          <w:numId w:val="0"/>
        </w:numPr>
        <w:spacing w:after="0" w:line="360" w:lineRule="auto"/>
        <w:ind w:left="2160"/>
        <w:rPr>
          <w:b/>
          <w:szCs w:val="24"/>
        </w:rPr>
      </w:pPr>
    </w:p>
    <w:p w:rsidR="000B0DA3" w:rsidRDefault="005310C0" w:rsidP="005310C0">
      <w:pPr>
        <w:pStyle w:val="BriefL3"/>
        <w:numPr>
          <w:ilvl w:val="0"/>
          <w:numId w:val="0"/>
        </w:numPr>
        <w:spacing w:after="0" w:line="360" w:lineRule="auto"/>
        <w:ind w:left="1440" w:firstLine="720"/>
        <w:rPr>
          <w:b/>
          <w:szCs w:val="24"/>
        </w:rPr>
      </w:pPr>
      <w:r>
        <w:rPr>
          <w:b/>
          <w:szCs w:val="24"/>
        </w:rPr>
        <w:t>i</w:t>
      </w:r>
      <w:r w:rsidR="000B0DA3">
        <w:rPr>
          <w:b/>
          <w:szCs w:val="24"/>
        </w:rPr>
        <w:t>.</w:t>
      </w:r>
      <w:r w:rsidR="000B0DA3">
        <w:rPr>
          <w:b/>
          <w:szCs w:val="24"/>
        </w:rPr>
        <w:tab/>
        <w:t>DLC’s Propos</w:t>
      </w:r>
      <w:r w:rsidR="00627782">
        <w:rPr>
          <w:b/>
          <w:szCs w:val="24"/>
        </w:rPr>
        <w:t>al</w:t>
      </w:r>
    </w:p>
    <w:p w:rsidR="000B0DA3" w:rsidRDefault="000B0DA3" w:rsidP="005310C0">
      <w:pPr>
        <w:pStyle w:val="BodyText"/>
        <w:spacing w:after="0" w:line="360" w:lineRule="auto"/>
        <w:ind w:left="0" w:firstLine="0"/>
        <w:rPr>
          <w:szCs w:val="24"/>
          <w:lang w:val="en-US"/>
        </w:rPr>
      </w:pPr>
    </w:p>
    <w:p w:rsidR="003B6ACD" w:rsidRDefault="003B6ACD" w:rsidP="005310C0">
      <w:pPr>
        <w:pStyle w:val="BodyText2"/>
        <w:spacing w:after="0" w:line="360" w:lineRule="auto"/>
        <w:rPr>
          <w:lang w:val="en-US"/>
        </w:rPr>
      </w:pPr>
      <w:r>
        <w:rPr>
          <w:lang w:val="en-US"/>
        </w:rPr>
        <w:tab/>
      </w:r>
      <w:r>
        <w:rPr>
          <w:lang w:val="en-US"/>
        </w:rPr>
        <w:tab/>
      </w:r>
      <w:r>
        <w:t xml:space="preserve">The Company proposes a </w:t>
      </w:r>
      <w:r w:rsidR="006B0C3F">
        <w:rPr>
          <w:lang w:val="en-US"/>
        </w:rPr>
        <w:t>1</w:t>
      </w:r>
      <w:r>
        <w:t>-year term contract for the ROI Program</w:t>
      </w:r>
      <w:r>
        <w:rPr>
          <w:lang w:val="en-US"/>
        </w:rPr>
        <w:t xml:space="preserve"> </w:t>
      </w:r>
      <w:r w:rsidR="00257550">
        <w:rPr>
          <w:lang w:val="en-US"/>
        </w:rPr>
        <w:t>because using</w:t>
      </w:r>
      <w:r>
        <w:t xml:space="preserve"> a </w:t>
      </w:r>
      <w:r w:rsidR="006B0C3F">
        <w:rPr>
          <w:lang w:val="en-US"/>
        </w:rPr>
        <w:t>1</w:t>
      </w:r>
      <w:r>
        <w:t xml:space="preserve">-year term for a product commencing in June 2013 will produce savings off the PTC set for one year from June 1, 2013 to May 31, 2014.  As a result, customers electing the ROI Program will receive </w:t>
      </w:r>
      <w:r>
        <w:rPr>
          <w:lang w:val="en-US"/>
        </w:rPr>
        <w:t xml:space="preserve">savings that are </w:t>
      </w:r>
      <w:r>
        <w:t xml:space="preserve">guaranteed </w:t>
      </w:r>
      <w:r w:rsidR="00257550">
        <w:t xml:space="preserve">essentially </w:t>
      </w:r>
      <w:r>
        <w:t xml:space="preserve">for a </w:t>
      </w:r>
      <w:r w:rsidR="00BC0BCE">
        <w:rPr>
          <w:lang w:val="en-US"/>
        </w:rPr>
        <w:t>1-</w:t>
      </w:r>
      <w:r>
        <w:t xml:space="preserve">year period if Duquesne Light’s </w:t>
      </w:r>
      <w:r w:rsidR="006B0C3F">
        <w:rPr>
          <w:lang w:val="en-US"/>
        </w:rPr>
        <w:t>1</w:t>
      </w:r>
      <w:r w:rsidR="006B0C3F">
        <w:rPr>
          <w:lang w:val="en-US"/>
        </w:rPr>
        <w:noBreakHyphen/>
      </w:r>
      <w:r>
        <w:t>year opt</w:t>
      </w:r>
      <w:r>
        <w:rPr>
          <w:lang w:val="en-US"/>
        </w:rPr>
        <w:t>-</w:t>
      </w:r>
      <w:r>
        <w:t xml:space="preserve">in service product term and </w:t>
      </w:r>
      <w:r w:rsidR="004B5935">
        <w:rPr>
          <w:lang w:val="en-US"/>
        </w:rPr>
        <w:t>1-</w:t>
      </w:r>
      <w:r>
        <w:t>year residential procurements are accepted.  Duquesne Light St. No. 3-R, pp. 21-22.</w:t>
      </w:r>
      <w:r>
        <w:rPr>
          <w:rStyle w:val="FootnoteReference"/>
        </w:rPr>
        <w:footnoteReference w:id="67"/>
      </w:r>
      <w:r>
        <w:t xml:space="preserve">  Duquesne Light believes the clear savings for an extended 12</w:t>
      </w:r>
      <w:r w:rsidR="004B5935">
        <w:rPr>
          <w:lang w:val="en-US"/>
        </w:rPr>
        <w:noBreakHyphen/>
      </w:r>
      <w:r>
        <w:t xml:space="preserve">month period and </w:t>
      </w:r>
      <w:r>
        <w:rPr>
          <w:lang w:val="en-US"/>
        </w:rPr>
        <w:t xml:space="preserve">the availability of </w:t>
      </w:r>
      <w:r>
        <w:t xml:space="preserve">stable rates is more likely to encourage default service customers </w:t>
      </w:r>
      <w:r w:rsidR="00257550">
        <w:rPr>
          <w:lang w:val="en-US"/>
        </w:rPr>
        <w:t>who</w:t>
      </w:r>
      <w:r>
        <w:t xml:space="preserve"> have not shopped </w:t>
      </w:r>
      <w:r>
        <w:rPr>
          <w:lang w:val="en-US"/>
        </w:rPr>
        <w:t xml:space="preserve">previously </w:t>
      </w:r>
      <w:r>
        <w:t xml:space="preserve">to participate as compared to RESA’s alternative proposal </w:t>
      </w:r>
      <w:r>
        <w:rPr>
          <w:lang w:val="en-US"/>
        </w:rPr>
        <w:t>which offers</w:t>
      </w:r>
      <w:r>
        <w:t xml:space="preserve"> </w:t>
      </w:r>
      <w:r w:rsidR="009C10CA">
        <w:rPr>
          <w:lang w:val="en-US"/>
        </w:rPr>
        <w:t>4</w:t>
      </w:r>
      <w:r>
        <w:t>-month savings followed by uncertain and potentially higher rates.</w:t>
      </w:r>
    </w:p>
    <w:p w:rsidR="00AA4AF1" w:rsidRDefault="00AA4AF1" w:rsidP="003B6ACD">
      <w:pPr>
        <w:pStyle w:val="BodyText2"/>
        <w:spacing w:after="0" w:line="360" w:lineRule="auto"/>
        <w:rPr>
          <w:lang w:val="en-US"/>
        </w:rPr>
      </w:pPr>
    </w:p>
    <w:p w:rsidR="003B6ACD" w:rsidRDefault="00AA4AF1" w:rsidP="003B6ACD">
      <w:pPr>
        <w:pStyle w:val="BodyText2"/>
        <w:spacing w:after="0" w:line="360" w:lineRule="auto"/>
        <w:rPr>
          <w:lang w:val="en-US"/>
        </w:rPr>
      </w:pPr>
      <w:r>
        <w:rPr>
          <w:lang w:val="en-US"/>
        </w:rPr>
        <w:tab/>
      </w:r>
      <w:r>
        <w:rPr>
          <w:lang w:val="en-US"/>
        </w:rPr>
        <w:tab/>
      </w:r>
      <w:r w:rsidR="003B6ACD">
        <w:t xml:space="preserve">Duquesne Light </w:t>
      </w:r>
      <w:r>
        <w:rPr>
          <w:lang w:val="en-US"/>
        </w:rPr>
        <w:t>expressed</w:t>
      </w:r>
      <w:r w:rsidR="003B6ACD">
        <w:t xml:space="preserve"> significant concerns about the RESA proposal, which </w:t>
      </w:r>
      <w:r>
        <w:rPr>
          <w:lang w:val="en-US"/>
        </w:rPr>
        <w:t>the Commission</w:t>
      </w:r>
      <w:r w:rsidR="003B6ACD">
        <w:t xml:space="preserve"> adopted in the FE and PECO cases.  </w:t>
      </w:r>
      <w:r>
        <w:rPr>
          <w:lang w:val="en-US"/>
        </w:rPr>
        <w:t>The Company</w:t>
      </w:r>
      <w:r w:rsidR="003B6ACD">
        <w:t xml:space="preserve"> characterized </w:t>
      </w:r>
      <w:r>
        <w:rPr>
          <w:lang w:val="en-US"/>
        </w:rPr>
        <w:t xml:space="preserve">the RESA proposal </w:t>
      </w:r>
      <w:r w:rsidR="003B6ACD">
        <w:t>as a 4-month “Opt In” program followed by an 8-month “Opt Out” program because the customer must opt out if he/she discovers the 8-month price is above the PTC or other offers then available in the market.  Further, customers that elect ROI service will be provided a uniform initial price for four months but potentially receive different 8-month prices depending on which EGS they are assigned under the program.</w:t>
      </w:r>
      <w:r w:rsidR="00146789">
        <w:rPr>
          <w:lang w:val="en-US"/>
        </w:rPr>
        <w:t xml:space="preserve"> </w:t>
      </w:r>
      <w:r w:rsidR="003B6ACD">
        <w:t xml:space="preserve"> In this regard, RESA indicated that the 8</w:t>
      </w:r>
      <w:r w:rsidR="00B9412F">
        <w:rPr>
          <w:lang w:val="en-US"/>
        </w:rPr>
        <w:noBreakHyphen/>
      </w:r>
      <w:r w:rsidR="003B6ACD">
        <w:t xml:space="preserve">month price need not be uniform.  RESA St. No. 2-SR, p. 10.  The Commission indicated it will review </w:t>
      </w:r>
      <w:r>
        <w:rPr>
          <w:lang w:val="en-US"/>
        </w:rPr>
        <w:t xml:space="preserve">the </w:t>
      </w:r>
      <w:r w:rsidR="003B6ACD">
        <w:t>EGS</w:t>
      </w:r>
      <w:r>
        <w:rPr>
          <w:lang w:val="en-US"/>
        </w:rPr>
        <w:t>’</w:t>
      </w:r>
      <w:r w:rsidR="003B6ACD">
        <w:t xml:space="preserve"> offers to establish the 8-month price but has not indicated that this price </w:t>
      </w:r>
      <w:r w:rsidR="003B6ACD">
        <w:lastRenderedPageBreak/>
        <w:t xml:space="preserve">will be uniform among participating EGSs in a particular service territory.  The Company does not know how </w:t>
      </w:r>
      <w:r>
        <w:rPr>
          <w:lang w:val="en-US"/>
        </w:rPr>
        <w:t>to</w:t>
      </w:r>
      <w:r w:rsidR="003B6ACD">
        <w:t xml:space="preserve"> explain such distinctions to customers when they discover they are paying different rates under a program sponsored by the Company, particularly where enrollment involves the Company.</w:t>
      </w:r>
    </w:p>
    <w:p w:rsidR="00AA4AF1" w:rsidRDefault="00AA4AF1" w:rsidP="003B6ACD">
      <w:pPr>
        <w:pStyle w:val="BodyText2"/>
        <w:spacing w:after="0" w:line="360" w:lineRule="auto"/>
        <w:rPr>
          <w:lang w:val="en-US"/>
        </w:rPr>
      </w:pPr>
    </w:p>
    <w:p w:rsidR="003B6ACD" w:rsidRDefault="00AA4AF1" w:rsidP="003B6ACD">
      <w:pPr>
        <w:pStyle w:val="BodyText2"/>
        <w:spacing w:after="0" w:line="360" w:lineRule="auto"/>
      </w:pPr>
      <w:r>
        <w:rPr>
          <w:lang w:val="en-US"/>
        </w:rPr>
        <w:tab/>
      </w:r>
      <w:r>
        <w:rPr>
          <w:lang w:val="en-US"/>
        </w:rPr>
        <w:tab/>
        <w:t xml:space="preserve">Duquesne Light contends </w:t>
      </w:r>
      <w:r w:rsidR="003B6ACD">
        <w:t xml:space="preserve">RESA </w:t>
      </w:r>
      <w:r>
        <w:rPr>
          <w:lang w:val="en-US"/>
        </w:rPr>
        <w:t>did</w:t>
      </w:r>
      <w:r w:rsidR="003B6ACD">
        <w:t xml:space="preserve"> not </w:t>
      </w:r>
      <w:r w:rsidR="00257550">
        <w:rPr>
          <w:lang w:val="en-US"/>
        </w:rPr>
        <w:t>show</w:t>
      </w:r>
      <w:r w:rsidR="003B6ACD">
        <w:t xml:space="preserve"> its proposed product term is better for customers or for competition.  </w:t>
      </w:r>
      <w:r w:rsidR="00257550">
        <w:rPr>
          <w:lang w:val="en-US"/>
        </w:rPr>
        <w:t>The</w:t>
      </w:r>
      <w:r>
        <w:rPr>
          <w:lang w:val="en-US"/>
        </w:rPr>
        <w:t xml:space="preserve"> Company points out that </w:t>
      </w:r>
      <w:r w:rsidR="003B6ACD">
        <w:t>two of the EGSs with the largest residential customer bases in Duquesne Light’s service territory</w:t>
      </w:r>
      <w:r>
        <w:rPr>
          <w:lang w:val="en-US"/>
        </w:rPr>
        <w:t xml:space="preserve"> (</w:t>
      </w:r>
      <w:r w:rsidR="003B6ACD">
        <w:t>Dominion Retail and FES</w:t>
      </w:r>
      <w:r>
        <w:rPr>
          <w:lang w:val="en-US"/>
        </w:rPr>
        <w:t>)</w:t>
      </w:r>
      <w:r w:rsidR="003B6ACD">
        <w:t xml:space="preserve"> support the Company’s proposal and can be expected to participate in the ROI program as designed by the Company</w:t>
      </w:r>
      <w:r>
        <w:rPr>
          <w:lang w:val="en-US"/>
        </w:rPr>
        <w:t>,</w:t>
      </w:r>
      <w:r w:rsidR="003B6ACD">
        <w:t xml:space="preserve"> if approved.  Dominion/IGS St. No. 1, p. 5; FES St. No. </w:t>
      </w:r>
      <w:r w:rsidR="00257550">
        <w:t>1, p. 3.  Moreover, even RESA</w:t>
      </w:r>
      <w:r w:rsidR="00257550">
        <w:rPr>
          <w:lang w:val="en-US"/>
        </w:rPr>
        <w:t xml:space="preserve"> </w:t>
      </w:r>
      <w:r w:rsidR="003B6ACD">
        <w:t xml:space="preserve">admitted EGSs are “generally comfortable providing a fixed 12-month price, as such offers can be hedged at the time they are made.”  RESA St. No. 2-R, p. 8.  Therefore, EGSs should not be discouraged from providing a 12-month, fixed rate ROI product that guarantees savings to customers relative to the Company’s </w:t>
      </w:r>
      <w:r w:rsidR="00146789">
        <w:rPr>
          <w:lang w:val="en-US"/>
        </w:rPr>
        <w:t>1-</w:t>
      </w:r>
      <w:r w:rsidR="003B6ACD">
        <w:t xml:space="preserve">year PTC.  Duquesne Light believes its program will encourage </w:t>
      </w:r>
      <w:r w:rsidR="00257550">
        <w:rPr>
          <w:lang w:val="en-US"/>
        </w:rPr>
        <w:t xml:space="preserve">shopping among those </w:t>
      </w:r>
      <w:r w:rsidR="003B6ACD">
        <w:t xml:space="preserve">default service customers </w:t>
      </w:r>
      <w:r>
        <w:rPr>
          <w:lang w:val="en-US"/>
        </w:rPr>
        <w:t>who</w:t>
      </w:r>
      <w:r w:rsidR="003B6ACD">
        <w:t xml:space="preserve"> have not shopped </w:t>
      </w:r>
      <w:r>
        <w:rPr>
          <w:lang w:val="en-US"/>
        </w:rPr>
        <w:t>previously</w:t>
      </w:r>
      <w:r w:rsidR="003B6ACD">
        <w:t>.</w:t>
      </w:r>
    </w:p>
    <w:p w:rsidR="00AA4AF1" w:rsidRDefault="00AA4AF1" w:rsidP="003B6ACD">
      <w:pPr>
        <w:pStyle w:val="BodyText2"/>
        <w:spacing w:after="0" w:line="360" w:lineRule="auto"/>
        <w:rPr>
          <w:lang w:val="en-US"/>
        </w:rPr>
      </w:pPr>
    </w:p>
    <w:p w:rsidR="003B6ACD" w:rsidRDefault="00AA4AF1" w:rsidP="003B6ACD">
      <w:pPr>
        <w:pStyle w:val="BodyText2"/>
        <w:spacing w:after="0" w:line="360" w:lineRule="auto"/>
      </w:pPr>
      <w:r>
        <w:rPr>
          <w:lang w:val="en-US"/>
        </w:rPr>
        <w:tab/>
      </w:r>
      <w:r>
        <w:rPr>
          <w:lang w:val="en-US"/>
        </w:rPr>
        <w:tab/>
        <w:t xml:space="preserve">Lastly, </w:t>
      </w:r>
      <w:r w:rsidR="003B6ACD">
        <w:t>Duquesne Light notes its residential default service customers have had long</w:t>
      </w:r>
      <w:r w:rsidR="00CF74E6">
        <w:rPr>
          <w:lang w:val="en-US"/>
        </w:rPr>
        <w:t>-</w:t>
      </w:r>
      <w:r w:rsidR="003B6ACD">
        <w:t xml:space="preserve">term stable prices for </w:t>
      </w:r>
      <w:r w:rsidR="00720545">
        <w:rPr>
          <w:lang w:val="en-US"/>
        </w:rPr>
        <w:t>three</w:t>
      </w:r>
      <w:r w:rsidR="003B6ACD">
        <w:t xml:space="preserve"> years in DSP III, </w:t>
      </w:r>
      <w:r w:rsidR="00720545">
        <w:rPr>
          <w:lang w:val="en-US"/>
        </w:rPr>
        <w:t>three</w:t>
      </w:r>
      <w:r w:rsidR="003B6ACD">
        <w:t xml:space="preserve"> years in DSP IV and 29 months in DSP</w:t>
      </w:r>
      <w:r w:rsidR="00E5063C">
        <w:rPr>
          <w:lang w:val="en-US"/>
        </w:rPr>
        <w:t> </w:t>
      </w:r>
      <w:r w:rsidR="003B6ACD">
        <w:t xml:space="preserve">V.  </w:t>
      </w:r>
      <w:r>
        <w:rPr>
          <w:lang w:val="en-US"/>
        </w:rPr>
        <w:t>The Company</w:t>
      </w:r>
      <w:r w:rsidR="003B6ACD">
        <w:t xml:space="preserve"> question</w:t>
      </w:r>
      <w:r>
        <w:rPr>
          <w:lang w:val="en-US"/>
        </w:rPr>
        <w:t>s</w:t>
      </w:r>
      <w:r w:rsidR="003B6ACD">
        <w:t xml:space="preserve"> whether customers that remain on default service will shop if anything less than a known </w:t>
      </w:r>
      <w:r w:rsidR="00E5063C">
        <w:rPr>
          <w:lang w:val="en-US"/>
        </w:rPr>
        <w:t>1</w:t>
      </w:r>
      <w:r w:rsidR="003B6ACD">
        <w:t>-year price with guaranteed savings is offered.</w:t>
      </w:r>
      <w:r>
        <w:rPr>
          <w:lang w:val="en-US"/>
        </w:rPr>
        <w:t xml:space="preserve">  For all these reasons, Duquesne Light argues its proposed </w:t>
      </w:r>
      <w:r w:rsidR="003B6ACD">
        <w:t xml:space="preserve">one-year product term best serves residential customers </w:t>
      </w:r>
      <w:r w:rsidR="003B6ACD" w:rsidRPr="00AA4AF1">
        <w:rPr>
          <w:u w:val="single"/>
        </w:rPr>
        <w:t>and</w:t>
      </w:r>
      <w:r w:rsidR="003B6ACD">
        <w:t xml:space="preserve"> is the most constructive approach to enhancing competitive markets in </w:t>
      </w:r>
      <w:r w:rsidR="003B6ACD" w:rsidRPr="00AA4AF1">
        <w:rPr>
          <w:u w:val="single"/>
        </w:rPr>
        <w:t>Duquesne Light’s</w:t>
      </w:r>
      <w:r w:rsidR="003B6ACD">
        <w:t xml:space="preserve"> service territory.</w:t>
      </w:r>
    </w:p>
    <w:p w:rsidR="003B6ACD" w:rsidRDefault="003B6ACD" w:rsidP="00EE639F">
      <w:pPr>
        <w:pStyle w:val="BodyText"/>
        <w:spacing w:after="0" w:line="360" w:lineRule="auto"/>
        <w:ind w:left="0" w:firstLine="0"/>
        <w:rPr>
          <w:szCs w:val="24"/>
          <w:lang w:val="en-US"/>
        </w:rPr>
      </w:pPr>
    </w:p>
    <w:p w:rsidR="002A65D3" w:rsidRDefault="00283369" w:rsidP="00283369">
      <w:pPr>
        <w:pStyle w:val="BriefL3"/>
        <w:numPr>
          <w:ilvl w:val="0"/>
          <w:numId w:val="0"/>
        </w:numPr>
        <w:spacing w:after="0" w:line="360" w:lineRule="auto"/>
        <w:ind w:left="1440" w:firstLine="720"/>
        <w:rPr>
          <w:szCs w:val="24"/>
        </w:rPr>
      </w:pPr>
      <w:r>
        <w:rPr>
          <w:b/>
          <w:szCs w:val="24"/>
        </w:rPr>
        <w:t>ii</w:t>
      </w:r>
      <w:r w:rsidR="002A65D3">
        <w:rPr>
          <w:b/>
          <w:szCs w:val="24"/>
        </w:rPr>
        <w:t>.</w:t>
      </w:r>
      <w:r w:rsidR="002A65D3">
        <w:rPr>
          <w:b/>
          <w:szCs w:val="24"/>
        </w:rPr>
        <w:tab/>
        <w:t>OCA’s Position</w:t>
      </w:r>
    </w:p>
    <w:p w:rsidR="002A65D3" w:rsidRDefault="002A65D3" w:rsidP="002A65D3">
      <w:pPr>
        <w:pStyle w:val="BodyText"/>
        <w:spacing w:after="0" w:line="360" w:lineRule="auto"/>
        <w:ind w:left="0" w:firstLine="0"/>
        <w:rPr>
          <w:szCs w:val="24"/>
          <w:lang w:val="en-US"/>
        </w:rPr>
      </w:pPr>
    </w:p>
    <w:p w:rsidR="002A65D3" w:rsidRDefault="002A65D3" w:rsidP="004F2098">
      <w:pPr>
        <w:pStyle w:val="BodyText2"/>
        <w:spacing w:after="0" w:line="360" w:lineRule="auto"/>
        <w:ind w:firstLine="1440"/>
        <w:rPr>
          <w:lang w:val="en-US"/>
        </w:rPr>
      </w:pPr>
      <w:r>
        <w:t xml:space="preserve">OCA generally prefers the 12-month contract term proposed by </w:t>
      </w:r>
      <w:r w:rsidR="00634AA2">
        <w:rPr>
          <w:lang w:val="en-US"/>
        </w:rPr>
        <w:t xml:space="preserve">the </w:t>
      </w:r>
      <w:r>
        <w:t>Company and its proposal to require that EGSs offer a fixed price or fixed discount off the PTC that will be effect</w:t>
      </w:r>
      <w:r w:rsidR="00283369">
        <w:rPr>
          <w:lang w:val="en-US"/>
        </w:rPr>
        <w:t>ive</w:t>
      </w:r>
      <w:r>
        <w:t xml:space="preserve"> during this term.  OCA St. 2 at 11, OCA St. 2-R at 7-9.  </w:t>
      </w:r>
      <w:r w:rsidR="00257550">
        <w:rPr>
          <w:lang w:val="en-US"/>
        </w:rPr>
        <w:t xml:space="preserve">OCA avers EGS bidders should guarantee </w:t>
      </w:r>
      <w:r>
        <w:t>substantial savings for the 12-month term</w:t>
      </w:r>
      <w:r w:rsidR="00257550">
        <w:rPr>
          <w:lang w:val="en-US"/>
        </w:rPr>
        <w:t xml:space="preserve"> and </w:t>
      </w:r>
      <w:r>
        <w:t xml:space="preserve">customers </w:t>
      </w:r>
      <w:r w:rsidR="00257550">
        <w:rPr>
          <w:lang w:val="en-US"/>
        </w:rPr>
        <w:t xml:space="preserve">should </w:t>
      </w:r>
      <w:r>
        <w:t xml:space="preserve">be assured the </w:t>
      </w:r>
      <w:r>
        <w:lastRenderedPageBreak/>
        <w:t xml:space="preserve">savings </w:t>
      </w:r>
      <w:r w:rsidR="004F2098">
        <w:rPr>
          <w:lang w:val="en-US"/>
        </w:rPr>
        <w:t>will</w:t>
      </w:r>
      <w:r>
        <w:t xml:space="preserve"> continue during the entire contract term.</w:t>
      </w:r>
      <w:r w:rsidR="004F2098">
        <w:rPr>
          <w:lang w:val="en-US"/>
        </w:rPr>
        <w:t xml:space="preserve">  </w:t>
      </w:r>
      <w:r>
        <w:t xml:space="preserve">OCA St. 2 at 11.  This </w:t>
      </w:r>
      <w:r w:rsidR="004F2098">
        <w:rPr>
          <w:lang w:val="en-US"/>
        </w:rPr>
        <w:t xml:space="preserve">term </w:t>
      </w:r>
      <w:r>
        <w:t>is especially important given the design of Duquesne’s default service program.  Duquesne’s June 1, 2013 default service rate will be known at the time customers are solicited for the program, and will remain the same for 12 months</w:t>
      </w:r>
      <w:r w:rsidR="004F2098">
        <w:rPr>
          <w:lang w:val="en-US"/>
        </w:rPr>
        <w:t>.  Therefore</w:t>
      </w:r>
      <w:r>
        <w:t xml:space="preserve">, savings for the entire term of the program will be assured.  OCA urges the Commission to accept the Company’s position on this issue. </w:t>
      </w:r>
    </w:p>
    <w:p w:rsidR="002A65D3" w:rsidRPr="002A65D3" w:rsidRDefault="002A65D3" w:rsidP="002A65D3">
      <w:pPr>
        <w:pStyle w:val="BodyText2"/>
        <w:spacing w:after="0" w:line="360" w:lineRule="auto"/>
        <w:rPr>
          <w:lang w:val="en-US"/>
        </w:rPr>
      </w:pPr>
    </w:p>
    <w:p w:rsidR="002A65D3" w:rsidRDefault="002A65D3" w:rsidP="004F2098">
      <w:pPr>
        <w:pStyle w:val="BodyText2"/>
        <w:spacing w:after="0" w:line="360" w:lineRule="auto"/>
        <w:rPr>
          <w:lang w:val="en-US"/>
        </w:rPr>
      </w:pPr>
      <w:r>
        <w:tab/>
      </w:r>
      <w:r>
        <w:tab/>
        <w:t xml:space="preserve">OCA submits that, for the reasons detailed in the Rejoinder Testimony of Neil Fisher, RESA’s proposal should be rejected.  </w:t>
      </w:r>
      <w:r w:rsidR="004F2098">
        <w:rPr>
          <w:lang w:val="en-US"/>
        </w:rPr>
        <w:t>The</w:t>
      </w:r>
      <w:r>
        <w:t xml:space="preserve"> structure proposed by RESA will not provide a positive experience for Duquesne’s customers.  First, the 5% discount would be off of the Company’s current PTC as that will be the price “at the time of enrollment.”  This price is likely to be much higher than the June 1, 2013 price as Duquesne’s current price was fixed </w:t>
      </w:r>
      <w:r>
        <w:rPr>
          <w:lang w:val="en-US"/>
        </w:rPr>
        <w:t>more</w:t>
      </w:r>
      <w:r>
        <w:t xml:space="preserve"> than two years ago.  As a result, customers could actually pay more on June 1, 2013 if they joined the aggregation program</w:t>
      </w:r>
      <w:r w:rsidR="004F2098">
        <w:rPr>
          <w:lang w:val="en-US"/>
        </w:rPr>
        <w:t>.  Such</w:t>
      </w:r>
      <w:r>
        <w:t xml:space="preserve"> a result could </w:t>
      </w:r>
      <w:r w:rsidR="004F2098">
        <w:rPr>
          <w:lang w:val="en-US"/>
        </w:rPr>
        <w:t>prove</w:t>
      </w:r>
      <w:r>
        <w:t xml:space="preserve"> disastrous for the competitive market.  Second, Duquesne’s default service rate will be known well in advance of any customer enrolling in the program.  </w:t>
      </w:r>
      <w:r w:rsidR="00283369">
        <w:rPr>
          <w:lang w:val="en-US"/>
        </w:rPr>
        <w:t>Third</w:t>
      </w:r>
      <w:r>
        <w:t xml:space="preserve">, the RESA proposal – if it produces any savings at all – only guarantees such savings for four months.  Given that Duquesne proposes annual PTC that will change only once per year, EGSs will face no risk of PTC changes during the program term and should, therefore, be able to guarantee savings for the entire 12 months.  </w:t>
      </w:r>
    </w:p>
    <w:p w:rsidR="002A65D3" w:rsidRPr="002A65D3" w:rsidRDefault="002A65D3" w:rsidP="002A65D3">
      <w:pPr>
        <w:pStyle w:val="BodyText2"/>
        <w:spacing w:after="0" w:line="360" w:lineRule="auto"/>
        <w:ind w:firstLine="1440"/>
        <w:rPr>
          <w:lang w:val="en-US"/>
        </w:rPr>
      </w:pPr>
    </w:p>
    <w:p w:rsidR="002A65D3" w:rsidRDefault="002A65D3" w:rsidP="00884AFB">
      <w:pPr>
        <w:pStyle w:val="BodyText2"/>
        <w:spacing w:after="0" w:line="360" w:lineRule="auto"/>
        <w:ind w:firstLine="1440"/>
        <w:rPr>
          <w:lang w:val="en-US"/>
        </w:rPr>
      </w:pPr>
      <w:r>
        <w:t>For the foregoing reasons, OCA supports the 12</w:t>
      </w:r>
      <w:r w:rsidR="00814C77">
        <w:rPr>
          <w:lang w:val="en-US"/>
        </w:rPr>
        <w:t>-</w:t>
      </w:r>
      <w:r>
        <w:t xml:space="preserve">month term of the Opt-In plan as being consistent with Duquesne’s unique service territory as well as with the goal of guaranteeing savings over the entire term of the plan.    </w:t>
      </w:r>
    </w:p>
    <w:p w:rsidR="00884AFB" w:rsidRDefault="00884AFB" w:rsidP="00884AFB">
      <w:pPr>
        <w:pStyle w:val="BodyText2"/>
        <w:spacing w:after="0" w:line="360" w:lineRule="auto"/>
        <w:ind w:firstLine="1440"/>
        <w:rPr>
          <w:lang w:val="en-US"/>
        </w:rPr>
      </w:pPr>
    </w:p>
    <w:p w:rsidR="00884AFB" w:rsidRDefault="00283369" w:rsidP="00283369">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884AFB" w:rsidRPr="00884AFB" w:rsidRDefault="00884AFB" w:rsidP="00332002">
      <w:pPr>
        <w:pStyle w:val="BodyText2"/>
        <w:spacing w:after="0" w:line="360" w:lineRule="auto"/>
        <w:rPr>
          <w:lang w:val="en-US"/>
        </w:rPr>
      </w:pPr>
    </w:p>
    <w:p w:rsidR="00332002" w:rsidRDefault="00332002" w:rsidP="00332002">
      <w:pPr>
        <w:pStyle w:val="BodyText2"/>
        <w:spacing w:after="0" w:line="360" w:lineRule="auto"/>
        <w:rPr>
          <w:lang w:val="en-US"/>
        </w:rPr>
      </w:pPr>
      <w:r>
        <w:rPr>
          <w:lang w:val="en-US"/>
        </w:rPr>
        <w:tab/>
      </w:r>
      <w:r>
        <w:rPr>
          <w:lang w:val="en-US"/>
        </w:rPr>
        <w:tab/>
      </w:r>
      <w:r>
        <w:t xml:space="preserve">RESA recommends a </w:t>
      </w:r>
      <w:r w:rsidR="00F57EE7">
        <w:rPr>
          <w:lang w:val="en-US"/>
        </w:rPr>
        <w:t>1</w:t>
      </w:r>
      <w:r>
        <w:t xml:space="preserve">-year product, with a discount off of the PTC for the first four months followed by a fixed price for eight months beginning in month five.  The initial </w:t>
      </w:r>
      <w:r w:rsidR="0085530A">
        <w:rPr>
          <w:lang w:val="en-US"/>
        </w:rPr>
        <w:t>4</w:t>
      </w:r>
      <w:r w:rsidR="0085530A">
        <w:rPr>
          <w:lang w:val="en-US"/>
        </w:rPr>
        <w:noBreakHyphen/>
      </w:r>
      <w:r>
        <w:t xml:space="preserve">month price is in line with RESA’s procurement proposal for residential customers, which includes a PTC that changes every quarter.  </w:t>
      </w:r>
      <w:r w:rsidR="004F2098">
        <w:rPr>
          <w:lang w:val="en-US"/>
        </w:rPr>
        <w:t>RESA contends</w:t>
      </w:r>
      <w:r>
        <w:t xml:space="preserve"> an offer with a 12-month term that guarantees a five percent savings off of the PTC (as </w:t>
      </w:r>
      <w:r w:rsidR="004F2098">
        <w:rPr>
          <w:lang w:val="en-US"/>
        </w:rPr>
        <w:t xml:space="preserve">proposed by </w:t>
      </w:r>
      <w:r>
        <w:t>Duquesne</w:t>
      </w:r>
      <w:r>
        <w:rPr>
          <w:rStyle w:val="FootnoteReference"/>
        </w:rPr>
        <w:footnoteReference w:id="68"/>
      </w:r>
      <w:r>
        <w:t xml:space="preserve">), even if the PTC </w:t>
      </w:r>
      <w:r>
        <w:lastRenderedPageBreak/>
        <w:t>changes during the contract term, is unlikely to produce the best price for the customer because it exposes EGSs to an unreasonable level of risk.</w:t>
      </w:r>
      <w:r>
        <w:rPr>
          <w:rStyle w:val="FootnoteReference"/>
        </w:rPr>
        <w:footnoteReference w:id="69"/>
      </w:r>
      <w:r>
        <w:t xml:space="preserve">  EGSs are generally comfortable providing a fixed 12-month price, as such offers can be hedged at the time they are made.</w:t>
      </w:r>
      <w:r>
        <w:rPr>
          <w:rStyle w:val="FootnoteReference"/>
        </w:rPr>
        <w:footnoteReference w:id="70"/>
      </w:r>
      <w:r>
        <w:t xml:space="preserve">  EGSs generally are not comfortable offering a mandated guaranteed savings against a price that might change over time in an unforeseeable manner.</w:t>
      </w:r>
      <w:r>
        <w:rPr>
          <w:rStyle w:val="FootnoteReference"/>
        </w:rPr>
        <w:footnoteReference w:id="71"/>
      </w:r>
      <w:r>
        <w:t xml:space="preserve">  </w:t>
      </w:r>
    </w:p>
    <w:p w:rsidR="00332002" w:rsidRPr="00332002" w:rsidRDefault="00332002" w:rsidP="00332002">
      <w:pPr>
        <w:pStyle w:val="BodyText2"/>
        <w:spacing w:after="0" w:line="360" w:lineRule="auto"/>
        <w:rPr>
          <w:lang w:val="en-US"/>
        </w:rPr>
      </w:pPr>
    </w:p>
    <w:p w:rsidR="00332002" w:rsidRDefault="00332002" w:rsidP="00283369">
      <w:pPr>
        <w:pStyle w:val="BodyText2"/>
        <w:spacing w:after="0" w:line="360" w:lineRule="auto"/>
      </w:pPr>
      <w:r>
        <w:rPr>
          <w:lang w:val="en-US"/>
        </w:rPr>
        <w:tab/>
      </w:r>
      <w:r>
        <w:rPr>
          <w:lang w:val="en-US"/>
        </w:rPr>
        <w:tab/>
      </w:r>
      <w:r>
        <w:t xml:space="preserve">With respect to the final eight months of the </w:t>
      </w:r>
      <w:r w:rsidR="00D01850">
        <w:rPr>
          <w:lang w:val="en-US"/>
        </w:rPr>
        <w:t>1-</w:t>
      </w:r>
      <w:r>
        <w:t>year duration, each EGS would offer its customer a fixed rate that it would communicate to the customer consistent with the Commission’s regulations requiring two notices before a price change.</w:t>
      </w:r>
      <w:r>
        <w:rPr>
          <w:rStyle w:val="FootnoteReference"/>
        </w:rPr>
        <w:footnoteReference w:id="72"/>
      </w:r>
      <w:r>
        <w:t xml:space="preserve">   Customers who were dissatisfied with the price or terms in the EGS’s communication would be allowed to switch away from the EGS without any penalty.</w:t>
      </w:r>
      <w:r>
        <w:rPr>
          <w:rStyle w:val="FootnoteReference"/>
        </w:rPr>
        <w:footnoteReference w:id="73"/>
      </w:r>
      <w:r>
        <w:t xml:space="preserve">  This approach is consistent with </w:t>
      </w:r>
      <w:r w:rsidR="004F2098">
        <w:rPr>
          <w:lang w:val="en-US"/>
        </w:rPr>
        <w:t>prior</w:t>
      </w:r>
      <w:r>
        <w:t xml:space="preserve"> Commission</w:t>
      </w:r>
      <w:r w:rsidR="004F2098">
        <w:rPr>
          <w:lang w:val="en-US"/>
        </w:rPr>
        <w:t xml:space="preserve"> action a</w:t>
      </w:r>
      <w:r>
        <w:t xml:space="preserve">ddressing the </w:t>
      </w:r>
      <w:r w:rsidR="00271E91">
        <w:rPr>
          <w:lang w:val="en-US"/>
        </w:rPr>
        <w:t>R</w:t>
      </w:r>
      <w:r>
        <w:t xml:space="preserve">etail </w:t>
      </w:r>
      <w:r w:rsidR="00271E91">
        <w:rPr>
          <w:lang w:val="en-US"/>
        </w:rPr>
        <w:t>M</w:t>
      </w:r>
      <w:r>
        <w:t xml:space="preserve">arket </w:t>
      </w:r>
      <w:r w:rsidR="00271E91">
        <w:rPr>
          <w:lang w:val="en-US"/>
        </w:rPr>
        <w:t>E</w:t>
      </w:r>
      <w:r>
        <w:t xml:space="preserve">nhancement </w:t>
      </w:r>
      <w:r w:rsidR="00271E91">
        <w:rPr>
          <w:lang w:val="en-US"/>
        </w:rPr>
        <w:t>P</w:t>
      </w:r>
      <w:r>
        <w:t>rograms, which “require that participating EGSs provide the PUC for review, the terms and conditions of the 8-month ROI fixed-priced offering.”</w:t>
      </w:r>
      <w:r>
        <w:rPr>
          <w:rStyle w:val="FootnoteReference"/>
        </w:rPr>
        <w:footnoteReference w:id="74"/>
      </w:r>
      <w:r>
        <w:t xml:space="preserve">  RESA interprets this passage to mean the Commission intends EGSs </w:t>
      </w:r>
      <w:r w:rsidR="004F2098">
        <w:rPr>
          <w:lang w:val="en-US"/>
        </w:rPr>
        <w:t xml:space="preserve">should </w:t>
      </w:r>
      <w:r>
        <w:t xml:space="preserve">actively compete against one another to retain customers after the initial </w:t>
      </w:r>
      <w:r w:rsidR="00E46427">
        <w:rPr>
          <w:lang w:val="en-US"/>
        </w:rPr>
        <w:t>4-</w:t>
      </w:r>
      <w:r>
        <w:t>month price expires, rather than dictating an administratively-determined price for that 8-month period.</w:t>
      </w:r>
      <w:r>
        <w:rPr>
          <w:rStyle w:val="FootnoteReference"/>
        </w:rPr>
        <w:footnoteReference w:id="75"/>
      </w:r>
    </w:p>
    <w:p w:rsidR="006D4D99" w:rsidRDefault="006D4D99" w:rsidP="00283369">
      <w:pPr>
        <w:pStyle w:val="BodyText"/>
        <w:spacing w:after="0" w:line="360" w:lineRule="auto"/>
        <w:ind w:left="0" w:firstLine="0"/>
        <w:rPr>
          <w:szCs w:val="24"/>
          <w:lang w:val="en-US"/>
        </w:rPr>
      </w:pPr>
    </w:p>
    <w:p w:rsidR="006D4D99" w:rsidRDefault="00283369" w:rsidP="00283369">
      <w:pPr>
        <w:pStyle w:val="BriefL3"/>
        <w:numPr>
          <w:ilvl w:val="0"/>
          <w:numId w:val="0"/>
        </w:numPr>
        <w:spacing w:after="0" w:line="360" w:lineRule="auto"/>
        <w:ind w:left="1440" w:firstLine="720"/>
        <w:rPr>
          <w:b/>
          <w:szCs w:val="24"/>
        </w:rPr>
      </w:pPr>
      <w:r>
        <w:rPr>
          <w:b/>
          <w:szCs w:val="24"/>
        </w:rPr>
        <w:t>iv</w:t>
      </w:r>
      <w:r w:rsidR="006D4D99">
        <w:rPr>
          <w:b/>
          <w:szCs w:val="24"/>
        </w:rPr>
        <w:t>.</w:t>
      </w:r>
      <w:r w:rsidR="006D4D99">
        <w:rPr>
          <w:b/>
          <w:szCs w:val="24"/>
        </w:rPr>
        <w:tab/>
        <w:t>OSBA’s Position</w:t>
      </w:r>
    </w:p>
    <w:p w:rsidR="006D4D99" w:rsidRDefault="006D4D99" w:rsidP="00283369">
      <w:pPr>
        <w:pStyle w:val="BodyText"/>
        <w:spacing w:after="0" w:line="360" w:lineRule="auto"/>
        <w:ind w:left="0" w:firstLine="0"/>
        <w:rPr>
          <w:szCs w:val="24"/>
          <w:lang w:val="en-US"/>
        </w:rPr>
      </w:pPr>
    </w:p>
    <w:p w:rsidR="006D4D99" w:rsidRPr="00833501" w:rsidRDefault="006D4D99" w:rsidP="00283369">
      <w:pPr>
        <w:pStyle w:val="BodyText2"/>
        <w:spacing w:after="0" w:line="360" w:lineRule="auto"/>
        <w:rPr>
          <w:lang w:val="en-US"/>
        </w:rPr>
      </w:pPr>
      <w:r>
        <w:rPr>
          <w:lang w:val="en-US"/>
        </w:rPr>
        <w:tab/>
      </w:r>
      <w:r w:rsidR="00833501">
        <w:rPr>
          <w:lang w:val="en-US"/>
        </w:rPr>
        <w:tab/>
      </w:r>
      <w:r>
        <w:t>O</w:t>
      </w:r>
      <w:r>
        <w:rPr>
          <w:lang w:val="en-US"/>
        </w:rPr>
        <w:t>SB</w:t>
      </w:r>
      <w:r>
        <w:t xml:space="preserve">A </w:t>
      </w:r>
      <w:r w:rsidR="00833501">
        <w:t>takes no position on this issue</w:t>
      </w:r>
      <w:r w:rsidR="00833501">
        <w:rPr>
          <w:lang w:val="en-US"/>
        </w:rPr>
        <w:t xml:space="preserve"> because the Company proposed an Opt-In Program that only applies to residential customers.</w:t>
      </w:r>
    </w:p>
    <w:p w:rsidR="006D4D99" w:rsidRDefault="00283369" w:rsidP="00283369">
      <w:pPr>
        <w:pStyle w:val="BriefL3"/>
        <w:numPr>
          <w:ilvl w:val="0"/>
          <w:numId w:val="0"/>
        </w:numPr>
        <w:spacing w:after="0" w:line="360" w:lineRule="auto"/>
        <w:ind w:left="1440" w:firstLine="720"/>
        <w:rPr>
          <w:b/>
          <w:szCs w:val="24"/>
        </w:rPr>
      </w:pPr>
      <w:r>
        <w:rPr>
          <w:b/>
          <w:szCs w:val="24"/>
        </w:rPr>
        <w:lastRenderedPageBreak/>
        <w:t>v</w:t>
      </w:r>
      <w:r w:rsidR="006D4D99">
        <w:rPr>
          <w:b/>
          <w:szCs w:val="24"/>
        </w:rPr>
        <w:t>.</w:t>
      </w:r>
      <w:r w:rsidR="006D4D99">
        <w:rPr>
          <w:b/>
          <w:szCs w:val="24"/>
        </w:rPr>
        <w:tab/>
        <w:t>CAUSE’s Position</w:t>
      </w:r>
    </w:p>
    <w:p w:rsidR="006D4D99" w:rsidRDefault="006D4D99" w:rsidP="00283369">
      <w:pPr>
        <w:pStyle w:val="BodyText"/>
        <w:spacing w:after="0" w:line="360" w:lineRule="auto"/>
        <w:ind w:left="0" w:firstLine="0"/>
        <w:rPr>
          <w:szCs w:val="24"/>
          <w:lang w:val="en-US"/>
        </w:rPr>
      </w:pPr>
    </w:p>
    <w:p w:rsidR="00283369" w:rsidRDefault="00433E69" w:rsidP="00283369">
      <w:pPr>
        <w:spacing w:line="360" w:lineRule="auto"/>
        <w:ind w:firstLine="720"/>
      </w:pPr>
      <w:r>
        <w:tab/>
        <w:t xml:space="preserve">CAUSE-PA fully supports a 12-month fixed price contract that is guaranteed to be 5% less than the PTC during the entire term of the agreement.  This program design will allow customers, particularly low-income customers who are not enrolled in the CAP program, to obtain meaningful savings over the life of the plan.  CAUSE-PA agrees that this proposal is “far superior” to the proposed alternative of a </w:t>
      </w:r>
      <w:r w:rsidR="00DD0BF8">
        <w:t>4</w:t>
      </w:r>
      <w:r w:rsidR="00393DE8">
        <w:noBreakHyphen/>
      </w:r>
      <w:r>
        <w:t xml:space="preserve">month contract at 5% less than the PTC and an EGS determined fixed rate contract for </w:t>
      </w:r>
      <w:r w:rsidR="00393DE8">
        <w:t>eight </w:t>
      </w:r>
      <w:r>
        <w:t>months.</w:t>
      </w:r>
      <w:r>
        <w:rPr>
          <w:rStyle w:val="FootnoteReference"/>
        </w:rPr>
        <w:footnoteReference w:id="76"/>
      </w:r>
      <w:r>
        <w:t xml:space="preserve">  Duquesne’s proposal is better for customers than the alternatives proposed by RESA and adopted by the Commission in the FirstEnergy and PECO proceedings.  Duquesne’s proposal is simpler to understand, simpler to market, and, when coupled with a 12-month reconciliation of default service, provides guaranteed savings to residential customers who participate.  </w:t>
      </w:r>
    </w:p>
    <w:p w:rsidR="00283369" w:rsidRDefault="00283369" w:rsidP="00283369">
      <w:pPr>
        <w:spacing w:line="360" w:lineRule="auto"/>
        <w:ind w:firstLine="720"/>
      </w:pPr>
    </w:p>
    <w:p w:rsidR="00283369" w:rsidRDefault="00433E69" w:rsidP="00A36735">
      <w:pPr>
        <w:spacing w:line="360" w:lineRule="auto"/>
        <w:ind w:firstLine="1440"/>
      </w:pPr>
      <w:r>
        <w:t xml:space="preserve">In the end, it should be adopted because it is better for customers and acceptable to EGSs.  While RESA made an alternative proposal, no individual EGS has stated that Duquesne’s proposal is unworkable or not preferable.  CAUSE-PA agrees with Duquesne that the alternative proposal of a 4-month “opt-in” proposal followed by an </w:t>
      </w:r>
      <w:r w:rsidR="00B70538">
        <w:t>8</w:t>
      </w:r>
      <w:r>
        <w:t>-month “opt-out” agreement would produce less desirable outcomes for customers than a known fixed price</w:t>
      </w:r>
      <w:r w:rsidR="00A36735">
        <w:t xml:space="preserve"> </w:t>
      </w:r>
      <w:r>
        <w:t>product guaranteed to be less than Duquesne’s PTC.  Accordingly, the Commission should adopt the opt-in design proposed by Duquesne which is a 12-month opt-in proposal.</w:t>
      </w:r>
      <w:r>
        <w:rPr>
          <w:rStyle w:val="FootnoteReference"/>
        </w:rPr>
        <w:footnoteReference w:id="77"/>
      </w:r>
      <w:r>
        <w:t xml:space="preserve"> </w:t>
      </w:r>
    </w:p>
    <w:p w:rsidR="00433E69" w:rsidRDefault="00433E69" w:rsidP="00283369">
      <w:pPr>
        <w:spacing w:line="360" w:lineRule="auto"/>
      </w:pPr>
      <w:r>
        <w:t xml:space="preserve">        </w:t>
      </w:r>
    </w:p>
    <w:p w:rsidR="006D4D99" w:rsidRDefault="00283369" w:rsidP="00283369">
      <w:pPr>
        <w:pStyle w:val="BriefL3"/>
        <w:numPr>
          <w:ilvl w:val="0"/>
          <w:numId w:val="0"/>
        </w:numPr>
        <w:spacing w:after="0" w:line="360" w:lineRule="auto"/>
        <w:ind w:left="1440" w:firstLine="720"/>
        <w:rPr>
          <w:b/>
          <w:szCs w:val="24"/>
        </w:rPr>
      </w:pPr>
      <w:r>
        <w:rPr>
          <w:b/>
          <w:szCs w:val="24"/>
        </w:rPr>
        <w:t>vi</w:t>
      </w:r>
      <w:r w:rsidR="006D4D99">
        <w:rPr>
          <w:b/>
          <w:szCs w:val="24"/>
        </w:rPr>
        <w:t>.</w:t>
      </w:r>
      <w:r w:rsidR="006D4D99">
        <w:rPr>
          <w:b/>
          <w:szCs w:val="24"/>
        </w:rPr>
        <w:tab/>
        <w:t>Citizen Power’s Position</w:t>
      </w:r>
    </w:p>
    <w:p w:rsidR="006D4D99" w:rsidRDefault="006D4D99" w:rsidP="00564484">
      <w:pPr>
        <w:pStyle w:val="BodyText"/>
        <w:spacing w:after="0" w:line="360" w:lineRule="auto"/>
        <w:ind w:left="0" w:firstLine="0"/>
        <w:rPr>
          <w:szCs w:val="24"/>
          <w:lang w:val="en-US"/>
        </w:rPr>
      </w:pPr>
    </w:p>
    <w:p w:rsidR="00564484" w:rsidRDefault="00564484" w:rsidP="00283369">
      <w:pPr>
        <w:spacing w:line="360" w:lineRule="auto"/>
        <w:ind w:firstLine="720"/>
      </w:pPr>
      <w:r>
        <w:tab/>
        <w:t>Citizen Power believes a fixed 12</w:t>
      </w:r>
      <w:r w:rsidR="00DF4A8E">
        <w:t>-</w:t>
      </w:r>
      <w:r>
        <w:t xml:space="preserve">month rate as proposed by Duquesne is vastly superior to an approach where the rate changes after </w:t>
      </w:r>
      <w:r w:rsidR="00147BD8">
        <w:t>four</w:t>
      </w:r>
      <w:r>
        <w:t xml:space="preserve"> months to an unknown fixed rate.  Citizen Power agreed with Duquesne regarding its concerns that an initial 4</w:t>
      </w:r>
      <w:r w:rsidR="00147BD8">
        <w:t>-</w:t>
      </w:r>
      <w:r>
        <w:t>month rate would include potential harm to customers if they do not re-evaluate their options after a 4</w:t>
      </w:r>
      <w:r w:rsidR="00552868">
        <w:t>-</w:t>
      </w:r>
      <w:r>
        <w:t xml:space="preserve">month period, that there may be an incentive for EGSs to increase the rates for months 5 through 12 to </w:t>
      </w:r>
      <w:r>
        <w:lastRenderedPageBreak/>
        <w:t>take advantage of the “status quo” bias, and that differing rates for opt-in auction participants may engender hostility towards retail electrical markets in general.</w:t>
      </w:r>
      <w:r w:rsidR="007513EE">
        <w:t xml:space="preserve"> </w:t>
      </w:r>
      <w:r>
        <w:t xml:space="preserve"> Duquesne St. 3-RJ at Fig. 9 and 10-11. </w:t>
      </w:r>
      <w:r w:rsidR="001A4001">
        <w:t xml:space="preserve"> </w:t>
      </w:r>
      <w:r>
        <w:t xml:space="preserve">Citizen Power also shared OCA’s concerns </w:t>
      </w:r>
      <w:r w:rsidR="00724191">
        <w:t xml:space="preserve">about </w:t>
      </w:r>
      <w:r>
        <w:t xml:space="preserve">these approaches </w:t>
      </w:r>
      <w:r w:rsidR="00382B3D">
        <w:t>–</w:t>
      </w:r>
      <w:r>
        <w:t xml:space="preserve"> where the rate changes after </w:t>
      </w:r>
      <w:r w:rsidR="00223A59">
        <w:t>four</w:t>
      </w:r>
      <w:r>
        <w:t xml:space="preserve"> months </w:t>
      </w:r>
      <w:r w:rsidR="00382B3D">
        <w:t>–</w:t>
      </w:r>
      <w:r>
        <w:t xml:space="preserve"> may be confusing to customers and will no longer guarantee savings over the entire contract term.  OCA St. 2-6 at 6.</w:t>
      </w:r>
    </w:p>
    <w:p w:rsidR="00283369" w:rsidRDefault="00283369" w:rsidP="00283369">
      <w:pPr>
        <w:spacing w:line="360" w:lineRule="auto"/>
        <w:ind w:firstLine="720"/>
      </w:pPr>
    </w:p>
    <w:p w:rsidR="006D4D99" w:rsidRDefault="00283369" w:rsidP="00283369">
      <w:pPr>
        <w:pStyle w:val="BriefL3"/>
        <w:numPr>
          <w:ilvl w:val="0"/>
          <w:numId w:val="0"/>
        </w:numPr>
        <w:spacing w:after="0" w:line="360" w:lineRule="auto"/>
        <w:ind w:left="1440" w:firstLine="720"/>
        <w:rPr>
          <w:b/>
          <w:szCs w:val="24"/>
        </w:rPr>
      </w:pPr>
      <w:r>
        <w:rPr>
          <w:b/>
          <w:szCs w:val="24"/>
        </w:rPr>
        <w:t>vii</w:t>
      </w:r>
      <w:r w:rsidR="006D4D99">
        <w:rPr>
          <w:b/>
          <w:szCs w:val="24"/>
        </w:rPr>
        <w:t>.</w:t>
      </w:r>
      <w:r w:rsidR="006D4D99">
        <w:rPr>
          <w:b/>
          <w:szCs w:val="24"/>
        </w:rPr>
        <w:tab/>
        <w:t>Duquesne Industrial Intervenors’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564484">
        <w:rPr>
          <w:lang w:val="en-US"/>
        </w:rPr>
        <w:tab/>
      </w:r>
      <w:r>
        <w:rPr>
          <w:lang w:val="en-US"/>
        </w:rPr>
        <w:t>DII</w:t>
      </w:r>
      <w:r>
        <w:t xml:space="preserve"> takes no position on this issue.</w:t>
      </w:r>
    </w:p>
    <w:p w:rsidR="006D4D99" w:rsidRDefault="006D4D99" w:rsidP="00283369">
      <w:pPr>
        <w:pStyle w:val="BodyText"/>
        <w:spacing w:after="0" w:line="360" w:lineRule="auto"/>
        <w:ind w:left="0" w:firstLine="0"/>
        <w:rPr>
          <w:szCs w:val="24"/>
          <w:lang w:val="en-US"/>
        </w:rPr>
      </w:pPr>
    </w:p>
    <w:p w:rsidR="006D4D99" w:rsidRDefault="00283369" w:rsidP="00283369">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rPr>
          <w:lang w:val="en-US"/>
        </w:rPr>
      </w:pPr>
      <w:r>
        <w:rPr>
          <w:lang w:val="en-US"/>
        </w:rPr>
        <w:tab/>
      </w:r>
      <w:r w:rsidR="00564484">
        <w:rPr>
          <w:lang w:val="en-US"/>
        </w:rPr>
        <w:tab/>
        <w:t xml:space="preserve">The </w:t>
      </w:r>
      <w:r>
        <w:rPr>
          <w:lang w:val="en-US"/>
        </w:rPr>
        <w:t xml:space="preserve">EGS Parties </w:t>
      </w:r>
      <w:r w:rsidR="00564484">
        <w:rPr>
          <w:lang w:val="en-US"/>
        </w:rPr>
        <w:t xml:space="preserve">support a </w:t>
      </w:r>
      <w:r w:rsidR="0034029E">
        <w:rPr>
          <w:lang w:val="en-US"/>
        </w:rPr>
        <w:t>1-</w:t>
      </w:r>
      <w:r w:rsidR="00564484">
        <w:rPr>
          <w:lang w:val="en-US"/>
        </w:rPr>
        <w:t>year product, whether provided as a unified price or a bifurcated price as required elsewhere.  (TJB St. No. 1, pp. 4:17-5:16; TJB St. No 1-R, pp.</w:t>
      </w:r>
      <w:r w:rsidR="00AE6816">
        <w:rPr>
          <w:lang w:val="en-US"/>
        </w:rPr>
        <w:t> </w:t>
      </w:r>
      <w:r w:rsidR="00564484">
        <w:rPr>
          <w:lang w:val="en-US"/>
        </w:rPr>
        <w:t>2:5</w:t>
      </w:r>
      <w:r w:rsidR="006F220B">
        <w:rPr>
          <w:lang w:val="en-US"/>
        </w:rPr>
        <w:noBreakHyphen/>
      </w:r>
      <w:r w:rsidR="00564484">
        <w:rPr>
          <w:lang w:val="en-US"/>
        </w:rPr>
        <w:t>5:8)</w:t>
      </w:r>
      <w:r>
        <w:t>.</w:t>
      </w:r>
    </w:p>
    <w:p w:rsidR="00CD7428" w:rsidRPr="00CD7428" w:rsidRDefault="00CD7428" w:rsidP="00283369">
      <w:pPr>
        <w:pStyle w:val="BodyText2"/>
        <w:spacing w:after="0" w:line="360" w:lineRule="auto"/>
        <w:rPr>
          <w:lang w:val="en-US"/>
        </w:rPr>
      </w:pPr>
    </w:p>
    <w:p w:rsidR="006D4D99" w:rsidRDefault="00283369" w:rsidP="00283369">
      <w:pPr>
        <w:pStyle w:val="BriefL3"/>
        <w:numPr>
          <w:ilvl w:val="0"/>
          <w:numId w:val="0"/>
        </w:numPr>
        <w:spacing w:after="0" w:line="360" w:lineRule="auto"/>
        <w:ind w:left="1440" w:firstLine="720"/>
        <w:rPr>
          <w:b/>
          <w:szCs w:val="24"/>
        </w:rPr>
      </w:pPr>
      <w:r>
        <w:rPr>
          <w:b/>
          <w:szCs w:val="24"/>
        </w:rPr>
        <w:t>ix</w:t>
      </w:r>
      <w:r w:rsidR="006D4D99">
        <w:rPr>
          <w:b/>
          <w:szCs w:val="24"/>
        </w:rPr>
        <w:t>.</w:t>
      </w:r>
      <w:r w:rsidR="006D4D99">
        <w:rPr>
          <w:b/>
          <w:szCs w:val="24"/>
        </w:rPr>
        <w:tab/>
        <w:t>FirstEnergy Solutions’ Position</w:t>
      </w:r>
    </w:p>
    <w:p w:rsidR="006D4D99" w:rsidRDefault="006D4D99" w:rsidP="00283369">
      <w:pPr>
        <w:pStyle w:val="BodyText"/>
        <w:spacing w:after="0" w:line="360" w:lineRule="auto"/>
        <w:ind w:left="0" w:firstLine="0"/>
        <w:rPr>
          <w:szCs w:val="24"/>
          <w:lang w:val="en-US"/>
        </w:rPr>
      </w:pPr>
    </w:p>
    <w:p w:rsidR="00564484" w:rsidRDefault="00564484" w:rsidP="00283369">
      <w:pPr>
        <w:pStyle w:val="BodyTextFirstLine5DS"/>
        <w:spacing w:line="360" w:lineRule="auto"/>
        <w:jc w:val="left"/>
      </w:pPr>
      <w:r>
        <w:tab/>
        <w:t xml:space="preserve">FES recommends two further improvements to this </w:t>
      </w:r>
      <w:r w:rsidR="00283369">
        <w:t xml:space="preserve">ROI </w:t>
      </w:r>
      <w:r>
        <w:t xml:space="preserve">product.  First, the EGS provided fixed-price product during the last </w:t>
      </w:r>
      <w:r w:rsidR="00FF2625">
        <w:t>eight</w:t>
      </w:r>
      <w:r>
        <w:t xml:space="preserve"> months of the initial Opt-In contract should be a uniform price among participating EGSs.  Without that uniform price, some customers may receive better pricing than others during the last </w:t>
      </w:r>
      <w:r w:rsidR="00943089">
        <w:t>eight</w:t>
      </w:r>
      <w:r>
        <w:t xml:space="preserve"> months of the Opt-In Program, based solely on their random assignment to an EGS.  Customers that believe they have fared worse than their neighbors may blame Duquesne Light, the Commission, or the competitive retail market for their misfortune.  Second, the EGS provided fixed-price product should be established and made known to customers before they decide whether to participate in the Opt-In Program, not during the introductory </w:t>
      </w:r>
      <w:r w:rsidR="004346CD">
        <w:t>4</w:t>
      </w:r>
      <w:r>
        <w:t xml:space="preserve">-month period.  FES St. No. 1-R at 16.  By communicating the price at the time of enrollment, FES contends any concerns over </w:t>
      </w:r>
      <w:r w:rsidR="00D4770E">
        <w:t>“</w:t>
      </w:r>
      <w:r>
        <w:t>bait-and-switch</w:t>
      </w:r>
      <w:r w:rsidR="00D4770E">
        <w:t>”</w:t>
      </w:r>
      <w:r>
        <w:t xml:space="preserve"> offers will be avoided.</w:t>
      </w:r>
    </w:p>
    <w:p w:rsidR="006318A4" w:rsidRDefault="006318A4" w:rsidP="00283369">
      <w:pPr>
        <w:pStyle w:val="BriefL3"/>
        <w:numPr>
          <w:ilvl w:val="0"/>
          <w:numId w:val="0"/>
        </w:numPr>
        <w:spacing w:after="0" w:line="360" w:lineRule="auto"/>
        <w:ind w:firstLine="720"/>
        <w:rPr>
          <w:b/>
          <w:szCs w:val="24"/>
        </w:rPr>
      </w:pPr>
    </w:p>
    <w:p w:rsidR="00FF4D92" w:rsidRDefault="00FF4D92" w:rsidP="00283369">
      <w:pPr>
        <w:pStyle w:val="BriefL3"/>
        <w:numPr>
          <w:ilvl w:val="0"/>
          <w:numId w:val="0"/>
        </w:numPr>
        <w:spacing w:after="0" w:line="360" w:lineRule="auto"/>
        <w:ind w:firstLine="720"/>
        <w:rPr>
          <w:b/>
          <w:szCs w:val="24"/>
        </w:rPr>
      </w:pPr>
    </w:p>
    <w:p w:rsidR="006D4D99" w:rsidRDefault="00283369" w:rsidP="00283369">
      <w:pPr>
        <w:pStyle w:val="BriefL3"/>
        <w:numPr>
          <w:ilvl w:val="0"/>
          <w:numId w:val="0"/>
        </w:numPr>
        <w:spacing w:after="0" w:line="360" w:lineRule="auto"/>
        <w:ind w:left="1440" w:firstLine="720"/>
        <w:rPr>
          <w:b/>
          <w:szCs w:val="24"/>
        </w:rPr>
      </w:pPr>
      <w:r>
        <w:rPr>
          <w:b/>
          <w:szCs w:val="24"/>
        </w:rPr>
        <w:lastRenderedPageBreak/>
        <w:t>x</w:t>
      </w:r>
      <w:r w:rsidR="006D4D99">
        <w:rPr>
          <w:b/>
          <w:szCs w:val="24"/>
        </w:rPr>
        <w:t>.</w:t>
      </w:r>
      <w:r w:rsidR="006D4D99">
        <w:rPr>
          <w:b/>
          <w:szCs w:val="24"/>
        </w:rPr>
        <w:tab/>
        <w:t>Joint Suppliers’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F2262D">
        <w:rPr>
          <w:lang w:val="en-US"/>
        </w:rPr>
        <w:tab/>
      </w:r>
      <w:r>
        <w:rPr>
          <w:lang w:val="en-US"/>
        </w:rPr>
        <w:t>Joint Suppliers take</w:t>
      </w:r>
      <w:r>
        <w:t xml:space="preserve"> no position on this issue.</w:t>
      </w:r>
    </w:p>
    <w:p w:rsidR="00283369" w:rsidRDefault="00283369" w:rsidP="00283369">
      <w:pPr>
        <w:pStyle w:val="ListParagraph"/>
        <w:autoSpaceDE/>
        <w:autoSpaceDN/>
        <w:spacing w:line="360" w:lineRule="auto"/>
        <w:ind w:left="0"/>
        <w:rPr>
          <w:b/>
          <w:u w:val="single"/>
        </w:rPr>
      </w:pPr>
    </w:p>
    <w:p w:rsidR="00DD6125" w:rsidRPr="00A36735" w:rsidRDefault="00DD6125" w:rsidP="00283369">
      <w:pPr>
        <w:pStyle w:val="ListParagraph"/>
        <w:autoSpaceDE/>
        <w:autoSpaceDN/>
        <w:spacing w:line="360" w:lineRule="auto"/>
        <w:ind w:left="0"/>
        <w:rPr>
          <w:b/>
        </w:rPr>
      </w:pPr>
      <w:r w:rsidRPr="00A36735">
        <w:rPr>
          <w:b/>
        </w:rPr>
        <w:t>Disposition</w:t>
      </w:r>
      <w:r w:rsidR="00A36735">
        <w:rPr>
          <w:b/>
        </w:rPr>
        <w:t xml:space="preserve"> – Market Enhancement Programs – Retail Opt-In Program – Term of Offer </w:t>
      </w:r>
    </w:p>
    <w:p w:rsidR="00DD6125" w:rsidRDefault="00DD6125" w:rsidP="00283369">
      <w:pPr>
        <w:pStyle w:val="BodyText"/>
        <w:spacing w:after="0" w:line="360" w:lineRule="auto"/>
        <w:ind w:left="0" w:firstLine="0"/>
        <w:rPr>
          <w:szCs w:val="24"/>
          <w:lang w:val="en-US"/>
        </w:rPr>
      </w:pPr>
    </w:p>
    <w:p w:rsidR="00F2262D" w:rsidRDefault="00F2262D" w:rsidP="00283369">
      <w:pPr>
        <w:pStyle w:val="BodyText"/>
        <w:spacing w:after="0" w:line="360" w:lineRule="auto"/>
        <w:ind w:left="0" w:firstLine="0"/>
        <w:rPr>
          <w:szCs w:val="24"/>
          <w:lang w:val="en-US"/>
        </w:rPr>
      </w:pPr>
      <w:r>
        <w:rPr>
          <w:szCs w:val="24"/>
          <w:lang w:val="en-US"/>
        </w:rPr>
        <w:tab/>
      </w:r>
      <w:r>
        <w:rPr>
          <w:szCs w:val="24"/>
          <w:lang w:val="en-US"/>
        </w:rPr>
        <w:tab/>
        <w:t>I recommend the adoption of D</w:t>
      </w:r>
      <w:r w:rsidR="00A36735">
        <w:rPr>
          <w:szCs w:val="24"/>
          <w:lang w:val="en-US"/>
        </w:rPr>
        <w:t>uquesne Light</w:t>
      </w:r>
      <w:r>
        <w:rPr>
          <w:szCs w:val="24"/>
          <w:lang w:val="en-US"/>
        </w:rPr>
        <w:t xml:space="preserve">’s proposal for </w:t>
      </w:r>
      <w:r w:rsidR="00A36735">
        <w:rPr>
          <w:szCs w:val="24"/>
          <w:lang w:val="en-US"/>
        </w:rPr>
        <w:t>one-</w:t>
      </w:r>
      <w:r>
        <w:rPr>
          <w:szCs w:val="24"/>
          <w:lang w:val="en-US"/>
        </w:rPr>
        <w:t>year fixed price per percentage of the PTC for the ROI program and D</w:t>
      </w:r>
      <w:r w:rsidR="00A36735">
        <w:rPr>
          <w:szCs w:val="24"/>
          <w:lang w:val="en-US"/>
        </w:rPr>
        <w:t>uquesne Light</w:t>
      </w:r>
      <w:r>
        <w:rPr>
          <w:szCs w:val="24"/>
          <w:lang w:val="en-US"/>
        </w:rPr>
        <w:t>’s one-year Residential procurement and annual PTC</w:t>
      </w:r>
      <w:r w:rsidR="00A36735">
        <w:rPr>
          <w:szCs w:val="24"/>
          <w:lang w:val="en-US"/>
        </w:rPr>
        <w:t>.  T</w:t>
      </w:r>
      <w:r>
        <w:rPr>
          <w:szCs w:val="24"/>
          <w:lang w:val="en-US"/>
        </w:rPr>
        <w:t>hese approaches provide a straight-forward product with guaranteed savings to customers who a</w:t>
      </w:r>
      <w:r w:rsidR="00A36735">
        <w:rPr>
          <w:szCs w:val="24"/>
          <w:lang w:val="en-US"/>
        </w:rPr>
        <w:t>ppear</w:t>
      </w:r>
      <w:r>
        <w:rPr>
          <w:szCs w:val="24"/>
          <w:lang w:val="en-US"/>
        </w:rPr>
        <w:t xml:space="preserve"> reluctant to shop outside of the default service product.  D</w:t>
      </w:r>
      <w:r w:rsidR="00A36735">
        <w:rPr>
          <w:szCs w:val="24"/>
          <w:lang w:val="en-US"/>
        </w:rPr>
        <w:t>uquesne Light</w:t>
      </w:r>
      <w:r>
        <w:rPr>
          <w:szCs w:val="24"/>
          <w:lang w:val="en-US"/>
        </w:rPr>
        <w:t xml:space="preserve"> correct</w:t>
      </w:r>
      <w:r w:rsidR="00A36735">
        <w:rPr>
          <w:szCs w:val="24"/>
          <w:lang w:val="en-US"/>
        </w:rPr>
        <w:t>ly notes</w:t>
      </w:r>
      <w:r>
        <w:rPr>
          <w:szCs w:val="24"/>
          <w:lang w:val="en-US"/>
        </w:rPr>
        <w:t xml:space="preserve"> its already high levels of residential participation (which </w:t>
      </w:r>
      <w:r w:rsidR="00A36735">
        <w:rPr>
          <w:szCs w:val="24"/>
          <w:lang w:val="en-US"/>
        </w:rPr>
        <w:t>amounted to</w:t>
      </w:r>
      <w:r w:rsidR="00C41A33">
        <w:rPr>
          <w:szCs w:val="24"/>
          <w:lang w:val="en-US"/>
        </w:rPr>
        <w:t xml:space="preserve"> 44.7% of the residential load as of September 2012) justify this deviation from the approaches approved by the Commission in the F</w:t>
      </w:r>
      <w:r w:rsidR="00A36735">
        <w:rPr>
          <w:szCs w:val="24"/>
          <w:lang w:val="en-US"/>
        </w:rPr>
        <w:t>irst</w:t>
      </w:r>
      <w:r w:rsidR="00C41A33">
        <w:rPr>
          <w:szCs w:val="24"/>
          <w:lang w:val="en-US"/>
        </w:rPr>
        <w:t>E</w:t>
      </w:r>
      <w:r w:rsidR="00A36735">
        <w:rPr>
          <w:szCs w:val="24"/>
          <w:lang w:val="en-US"/>
        </w:rPr>
        <w:t>nergy</w:t>
      </w:r>
      <w:r w:rsidR="00C41A33">
        <w:rPr>
          <w:szCs w:val="24"/>
          <w:lang w:val="en-US"/>
        </w:rPr>
        <w:t xml:space="preserve"> and PECO proceedings.  </w:t>
      </w:r>
      <w:r w:rsidR="00A36735">
        <w:rPr>
          <w:szCs w:val="24"/>
          <w:lang w:val="en-US"/>
        </w:rPr>
        <w:t>In addition, I recommend t</w:t>
      </w:r>
      <w:r w:rsidR="00C41A33">
        <w:rPr>
          <w:szCs w:val="24"/>
          <w:lang w:val="en-US"/>
        </w:rPr>
        <w:t>hese savings should extend for the entire 12</w:t>
      </w:r>
      <w:r w:rsidR="00E544F2">
        <w:rPr>
          <w:szCs w:val="24"/>
          <w:lang w:val="en-US"/>
        </w:rPr>
        <w:noBreakHyphen/>
      </w:r>
      <w:r w:rsidR="00C41A33">
        <w:rPr>
          <w:szCs w:val="24"/>
          <w:lang w:val="en-US"/>
        </w:rPr>
        <w:t xml:space="preserve">month period and not only for </w:t>
      </w:r>
      <w:r w:rsidR="006003AA">
        <w:rPr>
          <w:szCs w:val="24"/>
          <w:lang w:val="en-US"/>
        </w:rPr>
        <w:t>four</w:t>
      </w:r>
      <w:r w:rsidR="00C41A33">
        <w:rPr>
          <w:szCs w:val="24"/>
          <w:lang w:val="en-US"/>
        </w:rPr>
        <w:t xml:space="preserve"> months</w:t>
      </w:r>
      <w:r w:rsidR="00A36735">
        <w:rPr>
          <w:szCs w:val="24"/>
          <w:lang w:val="en-US"/>
        </w:rPr>
        <w:t>,</w:t>
      </w:r>
      <w:r w:rsidR="00C41A33">
        <w:rPr>
          <w:szCs w:val="24"/>
          <w:lang w:val="en-US"/>
        </w:rPr>
        <w:t xml:space="preserve"> as proposed by RESA.  If the savings are only guaranteed for </w:t>
      </w:r>
      <w:r w:rsidR="006003AA">
        <w:rPr>
          <w:szCs w:val="24"/>
          <w:lang w:val="en-US"/>
        </w:rPr>
        <w:t>four</w:t>
      </w:r>
      <w:r w:rsidR="00C41A33">
        <w:rPr>
          <w:szCs w:val="24"/>
          <w:lang w:val="en-US"/>
        </w:rPr>
        <w:t xml:space="preserve"> months and the customer is not given the price or terms prior to enrollment in the 8-month portion of the program, then customers will refuse to shop due to concerns over too much ambiguity in who are the responsible parties and an inability to plan ahead for future energy costs.</w:t>
      </w:r>
    </w:p>
    <w:p w:rsidR="00F2262D" w:rsidRDefault="00F2262D" w:rsidP="00EE639F">
      <w:pPr>
        <w:pStyle w:val="BodyText"/>
        <w:spacing w:after="0" w:line="360" w:lineRule="auto"/>
        <w:ind w:left="0" w:firstLine="0"/>
        <w:rPr>
          <w:szCs w:val="24"/>
          <w:lang w:val="en-US"/>
        </w:rPr>
      </w:pPr>
    </w:p>
    <w:p w:rsidR="000B0DA3" w:rsidRDefault="000B0DA3" w:rsidP="005310C0">
      <w:pPr>
        <w:pStyle w:val="BriefL3"/>
        <w:numPr>
          <w:ilvl w:val="0"/>
          <w:numId w:val="44"/>
        </w:numPr>
        <w:spacing w:after="0" w:line="360" w:lineRule="auto"/>
        <w:rPr>
          <w:b/>
          <w:szCs w:val="24"/>
        </w:rPr>
      </w:pPr>
      <w:r>
        <w:rPr>
          <w:b/>
          <w:szCs w:val="24"/>
        </w:rPr>
        <w:t>Discount Percentage</w:t>
      </w:r>
    </w:p>
    <w:p w:rsidR="00283369" w:rsidRDefault="00283369" w:rsidP="00283369">
      <w:pPr>
        <w:pStyle w:val="BriefL3"/>
        <w:numPr>
          <w:ilvl w:val="0"/>
          <w:numId w:val="0"/>
        </w:numPr>
        <w:spacing w:after="0" w:line="360" w:lineRule="auto"/>
        <w:ind w:left="2160" w:hanging="720"/>
        <w:rPr>
          <w:b/>
          <w:szCs w:val="24"/>
        </w:rPr>
      </w:pPr>
    </w:p>
    <w:p w:rsidR="00283369" w:rsidRDefault="00283369" w:rsidP="00283369">
      <w:pPr>
        <w:pStyle w:val="BriefL3"/>
        <w:numPr>
          <w:ilvl w:val="0"/>
          <w:numId w:val="45"/>
        </w:numPr>
        <w:spacing w:after="0" w:line="360" w:lineRule="auto"/>
        <w:rPr>
          <w:b/>
          <w:szCs w:val="24"/>
        </w:rPr>
      </w:pPr>
      <w:r>
        <w:rPr>
          <w:b/>
          <w:szCs w:val="24"/>
        </w:rPr>
        <w:t>DLC’s Proposal</w:t>
      </w:r>
    </w:p>
    <w:p w:rsidR="000B0DA3" w:rsidRDefault="000B0DA3" w:rsidP="00CA3537">
      <w:pPr>
        <w:pStyle w:val="BodyText"/>
        <w:spacing w:after="0" w:line="360" w:lineRule="auto"/>
        <w:ind w:left="0" w:firstLine="0"/>
        <w:rPr>
          <w:szCs w:val="24"/>
          <w:lang w:val="en-US"/>
        </w:rPr>
      </w:pPr>
    </w:p>
    <w:p w:rsidR="00AA4AF1" w:rsidRDefault="00AA4AF1" w:rsidP="00283369">
      <w:pPr>
        <w:pStyle w:val="BodyText2"/>
        <w:spacing w:after="0" w:line="360" w:lineRule="auto"/>
      </w:pPr>
      <w:r>
        <w:rPr>
          <w:lang w:val="en-US"/>
        </w:rPr>
        <w:tab/>
      </w:r>
      <w:r>
        <w:rPr>
          <w:lang w:val="en-US"/>
        </w:rPr>
        <w:tab/>
      </w:r>
      <w:r w:rsidR="00CA3537">
        <w:rPr>
          <w:lang w:val="en-US"/>
        </w:rPr>
        <w:t>Two issues arose in this proceeding:</w:t>
      </w:r>
      <w:r w:rsidR="00D62265">
        <w:rPr>
          <w:lang w:val="en-US"/>
        </w:rPr>
        <w:t xml:space="preserve"> </w:t>
      </w:r>
      <w:r w:rsidR="00CA3537">
        <w:rPr>
          <w:lang w:val="en-US"/>
        </w:rPr>
        <w:t xml:space="preserve"> (1) </w:t>
      </w:r>
      <w:r>
        <w:t>Dominion</w:t>
      </w:r>
      <w:r w:rsidR="00CA3537">
        <w:rPr>
          <w:lang w:val="en-US"/>
        </w:rPr>
        <w:t>’s suggestion that</w:t>
      </w:r>
      <w:r>
        <w:t xml:space="preserve"> the ROI minimum percentage discount of 5% be lowered to 2%</w:t>
      </w:r>
      <w:r w:rsidR="00CA3537">
        <w:rPr>
          <w:lang w:val="en-US"/>
        </w:rPr>
        <w:t xml:space="preserve"> (</w:t>
      </w:r>
      <w:r>
        <w:t>Dominion/IGS St. 1, p. 5</w:t>
      </w:r>
      <w:r w:rsidR="00CA3537">
        <w:rPr>
          <w:lang w:val="en-US"/>
        </w:rPr>
        <w:t>) and</w:t>
      </w:r>
      <w:r w:rsidR="004F2098">
        <w:rPr>
          <w:lang w:val="en-US"/>
        </w:rPr>
        <w:t xml:space="preserve"> (2)</w:t>
      </w:r>
      <w:r w:rsidR="008B6A92">
        <w:rPr>
          <w:lang w:val="en-US"/>
        </w:rPr>
        <w:t> </w:t>
      </w:r>
      <w:r w:rsidR="00CA3537">
        <w:rPr>
          <w:lang w:val="en-US"/>
        </w:rPr>
        <w:t xml:space="preserve">whether the discount percentage </w:t>
      </w:r>
      <w:r>
        <w:t xml:space="preserve">should be administratively set by the Commission at 5% or established at or above 5% through an RFP.  </w:t>
      </w:r>
      <w:r w:rsidR="00CA3537">
        <w:rPr>
          <w:lang w:val="en-US"/>
        </w:rPr>
        <w:t>Duquesne Light</w:t>
      </w:r>
      <w:r>
        <w:t xml:space="preserve"> chose to follow the guidelines provided by the Commission in its </w:t>
      </w:r>
      <w:r>
        <w:rPr>
          <w:i/>
        </w:rPr>
        <w:t>Intermediate Work Plan Order</w:t>
      </w:r>
      <w:r>
        <w:t xml:space="preserve">, and </w:t>
      </w:r>
      <w:r w:rsidR="00CA3537">
        <w:rPr>
          <w:lang w:val="en-US"/>
        </w:rPr>
        <w:t>recommended</w:t>
      </w:r>
      <w:r>
        <w:t xml:space="preserve"> the discount percentage should be established by the Company’s proposed RFP.</w:t>
      </w:r>
    </w:p>
    <w:p w:rsidR="00AA4AF1" w:rsidRDefault="00AA4AF1" w:rsidP="00283369">
      <w:pPr>
        <w:pStyle w:val="BodyText"/>
        <w:spacing w:after="0" w:line="360" w:lineRule="auto"/>
        <w:ind w:left="0" w:firstLine="0"/>
        <w:rPr>
          <w:szCs w:val="24"/>
          <w:lang w:val="en-US"/>
        </w:rPr>
      </w:pPr>
    </w:p>
    <w:p w:rsidR="004E2F83" w:rsidRDefault="004E2F83">
      <w:pPr>
        <w:autoSpaceDE/>
        <w:autoSpaceDN/>
        <w:rPr>
          <w:b/>
        </w:rPr>
      </w:pPr>
      <w:r>
        <w:rPr>
          <w:b/>
        </w:rPr>
        <w:br w:type="page"/>
      </w:r>
    </w:p>
    <w:p w:rsidR="00F133E6" w:rsidRDefault="00283369" w:rsidP="00283369">
      <w:pPr>
        <w:pStyle w:val="BriefL3"/>
        <w:numPr>
          <w:ilvl w:val="0"/>
          <w:numId w:val="0"/>
        </w:numPr>
        <w:spacing w:after="0" w:line="360" w:lineRule="auto"/>
        <w:ind w:left="1440" w:firstLine="720"/>
        <w:rPr>
          <w:b/>
          <w:szCs w:val="24"/>
        </w:rPr>
      </w:pPr>
      <w:r>
        <w:rPr>
          <w:b/>
          <w:szCs w:val="24"/>
        </w:rPr>
        <w:lastRenderedPageBreak/>
        <w:t>ii</w:t>
      </w:r>
      <w:r w:rsidR="00F133E6">
        <w:rPr>
          <w:b/>
          <w:szCs w:val="24"/>
        </w:rPr>
        <w:t>.</w:t>
      </w:r>
      <w:r w:rsidR="00F133E6">
        <w:rPr>
          <w:b/>
          <w:szCs w:val="24"/>
        </w:rPr>
        <w:tab/>
        <w:t>OCA’s Position</w:t>
      </w:r>
    </w:p>
    <w:p w:rsidR="00AA4AF1" w:rsidRDefault="00AA4AF1" w:rsidP="00283369">
      <w:pPr>
        <w:pStyle w:val="BodyText"/>
        <w:spacing w:after="0" w:line="360" w:lineRule="auto"/>
        <w:ind w:left="0" w:firstLine="0"/>
        <w:rPr>
          <w:szCs w:val="24"/>
          <w:lang w:val="en-US"/>
        </w:rPr>
      </w:pPr>
    </w:p>
    <w:p w:rsidR="00F133E6" w:rsidRDefault="00F133E6" w:rsidP="00283369">
      <w:pPr>
        <w:pStyle w:val="BodyText2"/>
        <w:spacing w:after="0" w:line="360" w:lineRule="auto"/>
        <w:ind w:firstLine="1440"/>
      </w:pPr>
      <w:r>
        <w:t xml:space="preserve">OCA does not support </w:t>
      </w:r>
      <w:r w:rsidR="004F2098">
        <w:rPr>
          <w:lang w:val="en-US"/>
        </w:rPr>
        <w:t>Dominion’s</w:t>
      </w:r>
      <w:r>
        <w:t xml:space="preserve"> proposal.  OCA explains</w:t>
      </w:r>
      <w:r w:rsidR="004F2098">
        <w:rPr>
          <w:lang w:val="en-US"/>
        </w:rPr>
        <w:t xml:space="preserve"> a “</w:t>
      </w:r>
      <w:r>
        <w:t>reduction in discount in particular would cause a significant change in the customer benefits associated with this Opt-In Auction program as it has been discussed for over a year.</w:t>
      </w:r>
      <w:r w:rsidR="004F2098">
        <w:rPr>
          <w:lang w:val="en-US"/>
        </w:rPr>
        <w:t>”</w:t>
      </w:r>
      <w:r w:rsidR="00AB2347">
        <w:rPr>
          <w:lang w:val="en-US"/>
        </w:rPr>
        <w:t xml:space="preserve">  </w:t>
      </w:r>
      <w:r>
        <w:t xml:space="preserve">OCA St. 2-R at 9; </w:t>
      </w:r>
      <w:r>
        <w:rPr>
          <w:u w:val="single"/>
        </w:rPr>
        <w:t>see</w:t>
      </w:r>
      <w:r>
        <w:t xml:space="preserve"> </w:t>
      </w:r>
      <w:r>
        <w:rPr>
          <w:u w:val="single"/>
        </w:rPr>
        <w:t>also</w:t>
      </w:r>
      <w:r>
        <w:t xml:space="preserve"> OCA St. 1-R at 13-14.  </w:t>
      </w:r>
      <w:r w:rsidR="004F2098">
        <w:rPr>
          <w:lang w:val="en-US"/>
        </w:rPr>
        <w:t xml:space="preserve">OCA contends Dominion’s </w:t>
      </w:r>
      <w:r>
        <w:t xml:space="preserve">proposed reduction in the discount program should be rejected.  </w:t>
      </w:r>
    </w:p>
    <w:p w:rsidR="00F133E6" w:rsidRDefault="00F133E6" w:rsidP="00F133E6">
      <w:pPr>
        <w:pStyle w:val="BodyText"/>
        <w:spacing w:after="0" w:line="360" w:lineRule="auto"/>
        <w:ind w:left="0" w:firstLine="0"/>
        <w:rPr>
          <w:szCs w:val="24"/>
          <w:lang w:val="en-US"/>
        </w:rPr>
      </w:pPr>
    </w:p>
    <w:p w:rsidR="00884AFB" w:rsidRDefault="00283369" w:rsidP="00283369">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F133E6" w:rsidRDefault="00F133E6" w:rsidP="00085C3A">
      <w:pPr>
        <w:pStyle w:val="BodyText"/>
        <w:spacing w:after="0" w:line="360" w:lineRule="auto"/>
        <w:ind w:left="0" w:firstLine="0"/>
        <w:rPr>
          <w:szCs w:val="24"/>
          <w:lang w:val="en-US"/>
        </w:rPr>
      </w:pPr>
    </w:p>
    <w:p w:rsidR="00332002" w:rsidRDefault="00085C3A" w:rsidP="00085C3A">
      <w:pPr>
        <w:pStyle w:val="BodyText2"/>
        <w:spacing w:after="0" w:line="360" w:lineRule="auto"/>
        <w:rPr>
          <w:lang w:val="en-US"/>
        </w:rPr>
      </w:pPr>
      <w:r>
        <w:rPr>
          <w:lang w:val="en-US"/>
        </w:rPr>
        <w:tab/>
      </w:r>
      <w:r>
        <w:rPr>
          <w:lang w:val="en-US"/>
        </w:rPr>
        <w:tab/>
      </w:r>
      <w:r w:rsidR="00332002">
        <w:t xml:space="preserve">RESA </w:t>
      </w:r>
      <w:r w:rsidR="004F2098">
        <w:rPr>
          <w:lang w:val="en-US"/>
        </w:rPr>
        <w:t xml:space="preserve">avers it would agree with </w:t>
      </w:r>
      <w:r w:rsidR="00332002">
        <w:t xml:space="preserve">Duquesne’s “at least 5%” proposal </w:t>
      </w:r>
      <w:r w:rsidR="004F2098">
        <w:rPr>
          <w:lang w:val="en-US"/>
        </w:rPr>
        <w:t>if</w:t>
      </w:r>
      <w:r w:rsidR="00332002">
        <w:t xml:space="preserve"> the Commission implement</w:t>
      </w:r>
      <w:r w:rsidR="004F2098">
        <w:rPr>
          <w:lang w:val="en-US"/>
        </w:rPr>
        <w:t>ed</w:t>
      </w:r>
      <w:r w:rsidR="00332002">
        <w:t xml:space="preserve"> an ROI auction instead of an ROI aggregation</w:t>
      </w:r>
      <w:r w:rsidR="004F2098">
        <w:rPr>
          <w:lang w:val="en-US"/>
        </w:rPr>
        <w:t xml:space="preserve">.  However, RESA argues </w:t>
      </w:r>
      <w:r w:rsidR="00332002">
        <w:t xml:space="preserve">the discount </w:t>
      </w:r>
      <w:r w:rsidR="004F2098">
        <w:rPr>
          <w:lang w:val="en-US"/>
        </w:rPr>
        <w:t>should cover only</w:t>
      </w:r>
      <w:r w:rsidR="00332002">
        <w:t xml:space="preserve"> the initial four months and not the entire 12-month period</w:t>
      </w:r>
      <w:r w:rsidR="004F2098">
        <w:rPr>
          <w:lang w:val="en-US"/>
        </w:rPr>
        <w:t>, because, u</w:t>
      </w:r>
      <w:r w:rsidR="00332002">
        <w:t>nder an aggregation program,</w:t>
      </w:r>
      <w:r w:rsidR="004F2098">
        <w:rPr>
          <w:lang w:val="en-US"/>
        </w:rPr>
        <w:t xml:space="preserve"> </w:t>
      </w:r>
      <w:r w:rsidR="00332002">
        <w:t>“there is no need for a [competitive process] to be run in order to solicit EGS participation” and the ROI product discount is a “set amount.”</w:t>
      </w:r>
      <w:r w:rsidR="00332002">
        <w:rPr>
          <w:rStyle w:val="FootnoteReference"/>
        </w:rPr>
        <w:footnoteReference w:id="78"/>
      </w:r>
      <w:r w:rsidR="00332002">
        <w:t xml:space="preserve"> </w:t>
      </w:r>
    </w:p>
    <w:p w:rsidR="00085C3A" w:rsidRPr="00085C3A" w:rsidRDefault="00085C3A" w:rsidP="00085C3A">
      <w:pPr>
        <w:pStyle w:val="BodyText2"/>
        <w:spacing w:after="0" w:line="360" w:lineRule="auto"/>
        <w:rPr>
          <w:lang w:val="en-US"/>
        </w:rPr>
      </w:pPr>
    </w:p>
    <w:p w:rsidR="00085C3A" w:rsidRDefault="00085C3A" w:rsidP="00085C3A">
      <w:pPr>
        <w:pStyle w:val="BodyText2"/>
        <w:spacing w:after="0" w:line="360" w:lineRule="auto"/>
        <w:rPr>
          <w:lang w:val="en-US"/>
        </w:rPr>
      </w:pPr>
      <w:r>
        <w:rPr>
          <w:lang w:val="en-US"/>
        </w:rPr>
        <w:tab/>
      </w:r>
      <w:r>
        <w:rPr>
          <w:lang w:val="en-US"/>
        </w:rPr>
        <w:tab/>
        <w:t xml:space="preserve">RESA argues </w:t>
      </w:r>
      <w:r w:rsidR="00332002">
        <w:t>there are benefits from the ROI program and standard offer program working in tandem.</w:t>
      </w:r>
      <w:r w:rsidR="00332002">
        <w:rPr>
          <w:rStyle w:val="FootnoteReference"/>
        </w:rPr>
        <w:footnoteReference w:id="79"/>
      </w:r>
      <w:r w:rsidR="00332002">
        <w:t xml:space="preserve">  The percentage discount should be the same for both programs, assuming the Commission adopts the ROI aggregation approach for the Duquesne territory.</w:t>
      </w:r>
      <w:r w:rsidR="00332002">
        <w:rPr>
          <w:rStyle w:val="FootnoteReference"/>
        </w:rPr>
        <w:footnoteReference w:id="80"/>
      </w:r>
      <w:r w:rsidR="00332002">
        <w:t xml:space="preserve">    </w:t>
      </w:r>
    </w:p>
    <w:p w:rsidR="00085C3A" w:rsidRDefault="00085C3A" w:rsidP="00085C3A">
      <w:pPr>
        <w:pStyle w:val="BodyText2"/>
        <w:spacing w:after="0" w:line="360" w:lineRule="auto"/>
        <w:rPr>
          <w:lang w:val="en-US"/>
        </w:rPr>
      </w:pPr>
    </w:p>
    <w:p w:rsidR="00332002" w:rsidRDefault="00085C3A" w:rsidP="00283369">
      <w:pPr>
        <w:pStyle w:val="BodyText2"/>
        <w:spacing w:after="0" w:line="360" w:lineRule="auto"/>
      </w:pPr>
      <w:r>
        <w:rPr>
          <w:lang w:val="en-US"/>
        </w:rPr>
        <w:tab/>
      </w:r>
      <w:r>
        <w:rPr>
          <w:lang w:val="en-US"/>
        </w:rPr>
        <w:tab/>
      </w:r>
      <w:r w:rsidR="00332002">
        <w:t xml:space="preserve">With the shift to the ROI aggregation program, RESA does not oppose 7% for each program during the initial 4-month term (even if the PTC changes during the </w:t>
      </w:r>
      <w:r w:rsidR="006B6973">
        <w:rPr>
          <w:lang w:val="en-US"/>
        </w:rPr>
        <w:t>4-</w:t>
      </w:r>
      <w:r w:rsidR="00332002">
        <w:t>month period) but would not extend 7% for a longer period of time.  The same programs with a 5% discount may still be enticing to customers and would likely attract more EGS participation</w:t>
      </w:r>
      <w:r w:rsidR="004F2098">
        <w:rPr>
          <w:lang w:val="en-US"/>
        </w:rPr>
        <w:t xml:space="preserve">.  It believes this proposal </w:t>
      </w:r>
      <w:r w:rsidR="00332002">
        <w:t>would attain the goals of construct</w:t>
      </w:r>
      <w:r w:rsidR="004F2098">
        <w:rPr>
          <w:lang w:val="en-US"/>
        </w:rPr>
        <w:t>ing</w:t>
      </w:r>
      <w:r w:rsidR="00332002">
        <w:t xml:space="preserve"> these programs so that they offer the same price and term to customers, but for the bonus payment, and are attractive to EGSs and customers.  The larger the discount and the longer the term, the less likely that EGSs will want to </w:t>
      </w:r>
      <w:r w:rsidR="00332002">
        <w:lastRenderedPageBreak/>
        <w:t>participate.  Thus, adopting a 12-month fixed price or guaranteed discount of 7% would be less attractive to EGSs than the same term at a lower percentage.</w:t>
      </w:r>
    </w:p>
    <w:p w:rsidR="00332002" w:rsidRDefault="00332002" w:rsidP="00283369">
      <w:pPr>
        <w:pStyle w:val="BodyText"/>
        <w:spacing w:after="0" w:line="360" w:lineRule="auto"/>
        <w:ind w:left="0" w:firstLine="0"/>
        <w:rPr>
          <w:szCs w:val="24"/>
          <w:lang w:val="en-US"/>
        </w:rPr>
      </w:pPr>
    </w:p>
    <w:p w:rsidR="006D4D99" w:rsidRDefault="00283369" w:rsidP="00283369">
      <w:pPr>
        <w:pStyle w:val="BriefL3"/>
        <w:numPr>
          <w:ilvl w:val="0"/>
          <w:numId w:val="0"/>
        </w:numPr>
        <w:spacing w:after="0" w:line="360" w:lineRule="auto"/>
        <w:ind w:left="1440" w:firstLine="720"/>
        <w:rPr>
          <w:b/>
          <w:szCs w:val="24"/>
        </w:rPr>
      </w:pPr>
      <w:r>
        <w:rPr>
          <w:b/>
          <w:szCs w:val="24"/>
        </w:rPr>
        <w:t>iv</w:t>
      </w:r>
      <w:r w:rsidR="006D4D99">
        <w:rPr>
          <w:b/>
          <w:szCs w:val="24"/>
        </w:rPr>
        <w:t>.</w:t>
      </w:r>
      <w:r w:rsidR="006D4D99">
        <w:rPr>
          <w:b/>
          <w:szCs w:val="24"/>
        </w:rPr>
        <w:tab/>
        <w:t>OSBA’s Position</w:t>
      </w:r>
    </w:p>
    <w:p w:rsidR="006D4D99" w:rsidRDefault="006D4D99" w:rsidP="00283369">
      <w:pPr>
        <w:pStyle w:val="BodyText"/>
        <w:spacing w:after="0" w:line="360" w:lineRule="auto"/>
        <w:ind w:left="0" w:firstLine="0"/>
        <w:rPr>
          <w:szCs w:val="24"/>
          <w:lang w:val="en-US"/>
        </w:rPr>
      </w:pPr>
    </w:p>
    <w:p w:rsidR="00833501" w:rsidRPr="00833501" w:rsidRDefault="00833501" w:rsidP="00283369">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Program that only applies to residential customers.</w:t>
      </w:r>
    </w:p>
    <w:p w:rsidR="006D4D99" w:rsidRDefault="006D4D99" w:rsidP="00283369">
      <w:pPr>
        <w:pStyle w:val="BodyText"/>
        <w:spacing w:after="0" w:line="360" w:lineRule="auto"/>
        <w:ind w:left="0" w:firstLine="0"/>
        <w:rPr>
          <w:szCs w:val="24"/>
          <w:lang w:val="en-US"/>
        </w:rPr>
      </w:pPr>
    </w:p>
    <w:p w:rsidR="006D4D99" w:rsidRDefault="00283369" w:rsidP="00283369">
      <w:pPr>
        <w:pStyle w:val="BriefL3"/>
        <w:numPr>
          <w:ilvl w:val="0"/>
          <w:numId w:val="0"/>
        </w:numPr>
        <w:spacing w:after="0" w:line="360" w:lineRule="auto"/>
        <w:ind w:left="1440" w:firstLine="720"/>
        <w:rPr>
          <w:b/>
          <w:szCs w:val="24"/>
        </w:rPr>
      </w:pPr>
      <w:r>
        <w:rPr>
          <w:b/>
          <w:szCs w:val="24"/>
        </w:rPr>
        <w:t>v</w:t>
      </w:r>
      <w:r w:rsidR="006D4D99">
        <w:rPr>
          <w:b/>
          <w:szCs w:val="24"/>
        </w:rPr>
        <w:t>.</w:t>
      </w:r>
      <w:r w:rsidR="006D4D99">
        <w:rPr>
          <w:b/>
          <w:szCs w:val="24"/>
        </w:rPr>
        <w:tab/>
        <w:t>CAUSE’s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433E69">
        <w:rPr>
          <w:lang w:val="en-US"/>
        </w:rPr>
        <w:tab/>
        <w:t>CAUSE believes the best program design is the one proposed by DLC, which would have participating customers receive a guaranteed 5% off the known PTC for a full 12</w:t>
      </w:r>
      <w:r w:rsidR="00E33211">
        <w:rPr>
          <w:lang w:val="en-US"/>
        </w:rPr>
        <w:t> </w:t>
      </w:r>
      <w:r w:rsidR="00433E69">
        <w:rPr>
          <w:lang w:val="en-US"/>
        </w:rPr>
        <w:t>months with no cancellation fee and a $50 bonus after three months’ participation.</w:t>
      </w:r>
    </w:p>
    <w:p w:rsidR="006D4D99" w:rsidRDefault="006D4D99" w:rsidP="00283369">
      <w:pPr>
        <w:pStyle w:val="BriefL3"/>
        <w:numPr>
          <w:ilvl w:val="0"/>
          <w:numId w:val="0"/>
        </w:numPr>
        <w:spacing w:after="0" w:line="360" w:lineRule="auto"/>
        <w:rPr>
          <w:b/>
          <w:szCs w:val="24"/>
        </w:rPr>
      </w:pPr>
    </w:p>
    <w:p w:rsidR="006D4D99" w:rsidRDefault="00283369" w:rsidP="00283369">
      <w:pPr>
        <w:pStyle w:val="BriefL3"/>
        <w:numPr>
          <w:ilvl w:val="0"/>
          <w:numId w:val="0"/>
        </w:numPr>
        <w:spacing w:after="0" w:line="360" w:lineRule="auto"/>
        <w:ind w:left="1440" w:firstLine="720"/>
        <w:rPr>
          <w:b/>
          <w:szCs w:val="24"/>
        </w:rPr>
      </w:pPr>
      <w:r>
        <w:rPr>
          <w:b/>
          <w:szCs w:val="24"/>
        </w:rPr>
        <w:t>vi</w:t>
      </w:r>
      <w:r w:rsidR="006D4D99">
        <w:rPr>
          <w:b/>
          <w:szCs w:val="24"/>
        </w:rPr>
        <w:t>.</w:t>
      </w:r>
      <w:r w:rsidR="006D4D99">
        <w:rPr>
          <w:b/>
          <w:szCs w:val="24"/>
        </w:rPr>
        <w:tab/>
        <w:t>Citizen Power’s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564484">
        <w:rPr>
          <w:lang w:val="en-US"/>
        </w:rPr>
        <w:tab/>
      </w:r>
      <w:r>
        <w:rPr>
          <w:lang w:val="en-US"/>
        </w:rPr>
        <w:t>Citizen Power</w:t>
      </w:r>
      <w:r>
        <w:t xml:space="preserve"> takes no position on this issue.</w:t>
      </w:r>
    </w:p>
    <w:p w:rsidR="006D4D99" w:rsidRDefault="006D4D99" w:rsidP="00283369">
      <w:pPr>
        <w:pStyle w:val="BodyText"/>
        <w:spacing w:after="0" w:line="360" w:lineRule="auto"/>
        <w:ind w:left="0" w:firstLine="0"/>
        <w:rPr>
          <w:szCs w:val="24"/>
          <w:lang w:val="en-US"/>
        </w:rPr>
      </w:pPr>
    </w:p>
    <w:p w:rsidR="006D4D99" w:rsidRDefault="00283369" w:rsidP="00283369">
      <w:pPr>
        <w:pStyle w:val="BriefL3"/>
        <w:numPr>
          <w:ilvl w:val="0"/>
          <w:numId w:val="0"/>
        </w:numPr>
        <w:spacing w:after="0" w:line="360" w:lineRule="auto"/>
        <w:ind w:left="1440" w:firstLine="720"/>
        <w:rPr>
          <w:b/>
          <w:szCs w:val="24"/>
        </w:rPr>
      </w:pPr>
      <w:r>
        <w:rPr>
          <w:b/>
          <w:szCs w:val="24"/>
        </w:rPr>
        <w:t>vii</w:t>
      </w:r>
      <w:r w:rsidR="006D4D99">
        <w:rPr>
          <w:b/>
          <w:szCs w:val="24"/>
        </w:rPr>
        <w:t>.</w:t>
      </w:r>
      <w:r w:rsidR="006D4D99">
        <w:rPr>
          <w:b/>
          <w:szCs w:val="24"/>
        </w:rPr>
        <w:tab/>
        <w:t>Duquesne Industrial Intervenors’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564484">
        <w:rPr>
          <w:lang w:val="en-US"/>
        </w:rPr>
        <w:tab/>
      </w:r>
      <w:r>
        <w:rPr>
          <w:lang w:val="en-US"/>
        </w:rPr>
        <w:t>DII</w:t>
      </w:r>
      <w:r>
        <w:t xml:space="preserve"> takes no position on this issue.</w:t>
      </w:r>
    </w:p>
    <w:p w:rsidR="006D4D99" w:rsidRDefault="006D4D99" w:rsidP="00283369">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6D4D99" w:rsidRDefault="006D4D99" w:rsidP="00283369">
      <w:pPr>
        <w:pStyle w:val="BodyText"/>
        <w:spacing w:after="0" w:line="360" w:lineRule="auto"/>
        <w:ind w:left="0" w:firstLine="0"/>
        <w:rPr>
          <w:szCs w:val="24"/>
          <w:lang w:val="en-US"/>
        </w:rPr>
      </w:pPr>
    </w:p>
    <w:p w:rsidR="00564484" w:rsidRDefault="00564484" w:rsidP="00283369">
      <w:pPr>
        <w:spacing w:line="360" w:lineRule="auto"/>
        <w:ind w:firstLine="720"/>
      </w:pPr>
      <w:r>
        <w:tab/>
        <w:t>The EGS Parties suggest the minimum discount percentage be lowered to two</w:t>
      </w:r>
      <w:r w:rsidR="005668AC">
        <w:t> </w:t>
      </w:r>
      <w:r>
        <w:t>percent (2%) or the fifty-dollar ($50) rebate be eliminated, as discussed by Mr. Butler (TJB St. No. 1, pp. 5:20-6:8).  Given that electricity prices are extremely low right now, it has become much more difficult for retailers to create headroom or differential below the PTC.  It would be tragic if the retail auction were to fail to garner supplier participation because the criteria to start the auction were set too high.  Accordingly, the EGS Parties support lowering the discount or eliminating the fifty-dollar ($50) bonus payment.</w:t>
      </w:r>
    </w:p>
    <w:p w:rsidR="006D4D99" w:rsidRDefault="004F65FA" w:rsidP="004F65FA">
      <w:pPr>
        <w:pStyle w:val="BriefL3"/>
        <w:numPr>
          <w:ilvl w:val="0"/>
          <w:numId w:val="0"/>
        </w:numPr>
        <w:spacing w:after="0" w:line="360" w:lineRule="auto"/>
        <w:ind w:left="1440" w:firstLine="720"/>
        <w:rPr>
          <w:b/>
          <w:szCs w:val="24"/>
        </w:rPr>
      </w:pPr>
      <w:r>
        <w:rPr>
          <w:b/>
          <w:szCs w:val="24"/>
        </w:rPr>
        <w:lastRenderedPageBreak/>
        <w:t>ix</w:t>
      </w:r>
      <w:r w:rsidR="006D4D99">
        <w:rPr>
          <w:b/>
          <w:szCs w:val="24"/>
        </w:rPr>
        <w:t>.</w:t>
      </w:r>
      <w:r w:rsidR="006D4D99">
        <w:rPr>
          <w:b/>
          <w:szCs w:val="24"/>
        </w:rPr>
        <w:tab/>
        <w:t>FirstEnergy Solutions’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120267">
        <w:rPr>
          <w:lang w:val="en-US"/>
        </w:rPr>
        <w:tab/>
      </w:r>
      <w:r>
        <w:rPr>
          <w:lang w:val="en-US"/>
        </w:rPr>
        <w:t>FES</w:t>
      </w:r>
      <w:r>
        <w:t xml:space="preserve"> takes no position on this issue.</w:t>
      </w:r>
    </w:p>
    <w:p w:rsidR="006D4D99" w:rsidRDefault="006D4D99" w:rsidP="00283369">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x</w:t>
      </w:r>
      <w:r w:rsidR="006D4D99">
        <w:rPr>
          <w:b/>
          <w:szCs w:val="24"/>
        </w:rPr>
        <w:t>.</w:t>
      </w:r>
      <w:r w:rsidR="006D4D99">
        <w:rPr>
          <w:b/>
          <w:szCs w:val="24"/>
        </w:rPr>
        <w:tab/>
        <w:t>Joint Suppliers’ Position</w:t>
      </w:r>
    </w:p>
    <w:p w:rsidR="006D4D99" w:rsidRDefault="006D4D99" w:rsidP="00283369">
      <w:pPr>
        <w:pStyle w:val="BodyText"/>
        <w:spacing w:after="0" w:line="360" w:lineRule="auto"/>
        <w:ind w:left="0" w:firstLine="0"/>
        <w:rPr>
          <w:szCs w:val="24"/>
          <w:lang w:val="en-US"/>
        </w:rPr>
      </w:pPr>
    </w:p>
    <w:p w:rsidR="006D4D99" w:rsidRDefault="006D4D99" w:rsidP="00283369">
      <w:pPr>
        <w:pStyle w:val="BodyText2"/>
        <w:spacing w:after="0" w:line="360" w:lineRule="auto"/>
      </w:pPr>
      <w:r>
        <w:rPr>
          <w:lang w:val="en-US"/>
        </w:rPr>
        <w:tab/>
      </w:r>
      <w:r w:rsidR="00B67AC7">
        <w:rPr>
          <w:lang w:val="en-US"/>
        </w:rPr>
        <w:tab/>
      </w:r>
      <w:r>
        <w:rPr>
          <w:lang w:val="en-US"/>
        </w:rPr>
        <w:t>Joint Suppliers take</w:t>
      </w:r>
      <w:r>
        <w:t xml:space="preserve"> no position on this issue.</w:t>
      </w:r>
    </w:p>
    <w:p w:rsidR="004F65FA" w:rsidRDefault="004F65FA" w:rsidP="00283369">
      <w:pPr>
        <w:pStyle w:val="ListParagraph"/>
        <w:autoSpaceDE/>
        <w:autoSpaceDN/>
        <w:spacing w:line="360" w:lineRule="auto"/>
        <w:ind w:left="0"/>
        <w:rPr>
          <w:b/>
          <w:u w:val="single"/>
        </w:rPr>
      </w:pPr>
    </w:p>
    <w:p w:rsidR="00DD6125" w:rsidRPr="00A36735" w:rsidRDefault="00DD6125" w:rsidP="00A36735">
      <w:pPr>
        <w:pStyle w:val="ListParagraph"/>
        <w:autoSpaceDE/>
        <w:autoSpaceDN/>
        <w:ind w:left="1440" w:hanging="1440"/>
        <w:rPr>
          <w:b/>
        </w:rPr>
      </w:pPr>
      <w:r w:rsidRPr="00A36735">
        <w:rPr>
          <w:b/>
        </w:rPr>
        <w:t>Disposition</w:t>
      </w:r>
      <w:r w:rsidR="00A36735">
        <w:rPr>
          <w:b/>
        </w:rPr>
        <w:t xml:space="preserve"> – Market Enhancement Programs – Retail Opt-In Program – Discount Percentage</w:t>
      </w:r>
    </w:p>
    <w:p w:rsidR="00DD6125" w:rsidRDefault="00DD6125" w:rsidP="00283369">
      <w:pPr>
        <w:pStyle w:val="BodyText"/>
        <w:spacing w:after="0" w:line="360" w:lineRule="auto"/>
        <w:ind w:left="0" w:firstLine="0"/>
        <w:rPr>
          <w:szCs w:val="24"/>
          <w:lang w:val="en-US"/>
        </w:rPr>
      </w:pPr>
    </w:p>
    <w:p w:rsidR="00C41A33" w:rsidRDefault="00C41A33" w:rsidP="00283369">
      <w:pPr>
        <w:pStyle w:val="BodyText"/>
        <w:spacing w:after="0" w:line="360" w:lineRule="auto"/>
        <w:ind w:left="0" w:firstLine="0"/>
        <w:rPr>
          <w:szCs w:val="24"/>
          <w:lang w:val="en-US"/>
        </w:rPr>
      </w:pPr>
      <w:r>
        <w:rPr>
          <w:szCs w:val="24"/>
          <w:lang w:val="en-US"/>
        </w:rPr>
        <w:tab/>
      </w:r>
      <w:r>
        <w:rPr>
          <w:szCs w:val="24"/>
          <w:lang w:val="en-US"/>
        </w:rPr>
        <w:tab/>
        <w:t>I recommend approval of D</w:t>
      </w:r>
      <w:r w:rsidR="00F47991">
        <w:rPr>
          <w:szCs w:val="24"/>
          <w:lang w:val="en-US"/>
        </w:rPr>
        <w:t>uquesne Light</w:t>
      </w:r>
      <w:r>
        <w:rPr>
          <w:szCs w:val="24"/>
          <w:lang w:val="en-US"/>
        </w:rPr>
        <w:t>’s proposal to establish the discount percentage based on the Company’s proposed RFP but with a guaranteed savings totaling at least 5% for the entire length of the contract.  I recommend rejecting Dominion’s suggestion to lower the ROI minimum percentage discount from 5% to 2%</w:t>
      </w:r>
      <w:r w:rsidR="00F47991">
        <w:rPr>
          <w:szCs w:val="24"/>
          <w:lang w:val="en-US"/>
        </w:rPr>
        <w:t xml:space="preserve"> because the prices for electricity dropped.  Duquesne Light’s </w:t>
      </w:r>
      <w:r>
        <w:rPr>
          <w:szCs w:val="24"/>
          <w:lang w:val="en-US"/>
        </w:rPr>
        <w:t xml:space="preserve">proposal is consistent with the Commission’s </w:t>
      </w:r>
      <w:r w:rsidR="00F47991">
        <w:rPr>
          <w:szCs w:val="24"/>
          <w:lang w:val="en-US"/>
        </w:rPr>
        <w:t xml:space="preserve">prior actions.  A reduction in discount would lead to a significant reduction in the benefits a customer would see </w:t>
      </w:r>
      <w:r w:rsidR="00176536">
        <w:rPr>
          <w:szCs w:val="24"/>
          <w:lang w:val="en-US"/>
        </w:rPr>
        <w:t xml:space="preserve">with </w:t>
      </w:r>
      <w:r w:rsidR="00F47991">
        <w:rPr>
          <w:szCs w:val="24"/>
          <w:lang w:val="en-US"/>
        </w:rPr>
        <w:t>the Opt-In Program</w:t>
      </w:r>
      <w:r>
        <w:rPr>
          <w:szCs w:val="24"/>
          <w:lang w:val="en-US"/>
        </w:rPr>
        <w:t xml:space="preserve">.  </w:t>
      </w:r>
    </w:p>
    <w:p w:rsidR="00C41A33" w:rsidRDefault="00C41A33" w:rsidP="00EE639F">
      <w:pPr>
        <w:pStyle w:val="BodyText"/>
        <w:spacing w:after="0" w:line="360" w:lineRule="auto"/>
        <w:ind w:left="0" w:firstLine="0"/>
        <w:rPr>
          <w:szCs w:val="24"/>
          <w:lang w:val="en-US"/>
        </w:rPr>
      </w:pPr>
    </w:p>
    <w:p w:rsidR="000B0DA3" w:rsidRDefault="000B0DA3" w:rsidP="000B0DA3">
      <w:pPr>
        <w:pStyle w:val="BriefL3"/>
        <w:numPr>
          <w:ilvl w:val="0"/>
          <w:numId w:val="0"/>
        </w:numPr>
        <w:spacing w:after="0" w:line="360" w:lineRule="auto"/>
        <w:ind w:left="720" w:firstLine="720"/>
        <w:rPr>
          <w:b/>
          <w:szCs w:val="24"/>
        </w:rPr>
      </w:pPr>
      <w:r>
        <w:rPr>
          <w:b/>
          <w:szCs w:val="24"/>
        </w:rPr>
        <w:t>d.</w:t>
      </w:r>
      <w:r>
        <w:rPr>
          <w:b/>
          <w:szCs w:val="24"/>
        </w:rPr>
        <w:tab/>
        <w:t>$50 Bonus Payment</w:t>
      </w:r>
    </w:p>
    <w:p w:rsidR="00E12FD5" w:rsidRDefault="00E12FD5" w:rsidP="000B0DA3">
      <w:pPr>
        <w:pStyle w:val="BriefL3"/>
        <w:numPr>
          <w:ilvl w:val="0"/>
          <w:numId w:val="0"/>
        </w:numPr>
        <w:spacing w:after="0" w:line="360" w:lineRule="auto"/>
        <w:ind w:left="720" w:firstLine="720"/>
        <w:rPr>
          <w:b/>
          <w:szCs w:val="24"/>
        </w:rPr>
      </w:pPr>
    </w:p>
    <w:p w:rsidR="000B0DA3" w:rsidRDefault="004F65FA" w:rsidP="004F65FA">
      <w:pPr>
        <w:pStyle w:val="BriefL3"/>
        <w:numPr>
          <w:ilvl w:val="0"/>
          <w:numId w:val="0"/>
        </w:numPr>
        <w:spacing w:after="0" w:line="360" w:lineRule="auto"/>
        <w:ind w:left="1440" w:firstLine="720"/>
        <w:rPr>
          <w:b/>
          <w:szCs w:val="24"/>
        </w:rPr>
      </w:pPr>
      <w:r>
        <w:rPr>
          <w:b/>
          <w:szCs w:val="24"/>
        </w:rPr>
        <w:t>i</w:t>
      </w:r>
      <w:r w:rsidR="000B0DA3">
        <w:rPr>
          <w:b/>
          <w:szCs w:val="24"/>
        </w:rPr>
        <w:t>.</w:t>
      </w:r>
      <w:r w:rsidR="000B0DA3">
        <w:rPr>
          <w:b/>
          <w:szCs w:val="24"/>
        </w:rPr>
        <w:tab/>
        <w:t>DLC’s Propos</w:t>
      </w:r>
      <w:r w:rsidR="00105981">
        <w:rPr>
          <w:b/>
          <w:szCs w:val="24"/>
        </w:rPr>
        <w:t>al</w:t>
      </w:r>
    </w:p>
    <w:p w:rsidR="000B0DA3" w:rsidRDefault="000B0DA3" w:rsidP="00CA3537">
      <w:pPr>
        <w:pStyle w:val="BodyText"/>
        <w:spacing w:after="0" w:line="360" w:lineRule="auto"/>
        <w:ind w:left="0" w:firstLine="0"/>
        <w:rPr>
          <w:szCs w:val="24"/>
          <w:lang w:val="en-US"/>
        </w:rPr>
      </w:pPr>
    </w:p>
    <w:p w:rsidR="00874CB6" w:rsidRDefault="00AA4AF1" w:rsidP="00CA3537">
      <w:pPr>
        <w:pStyle w:val="BodyText2"/>
        <w:spacing w:after="0" w:line="360" w:lineRule="auto"/>
        <w:rPr>
          <w:lang w:val="en-US"/>
        </w:rPr>
      </w:pPr>
      <w:r>
        <w:rPr>
          <w:lang w:val="en-US"/>
        </w:rPr>
        <w:tab/>
      </w:r>
      <w:r>
        <w:rPr>
          <w:lang w:val="en-US"/>
        </w:rPr>
        <w:tab/>
      </w:r>
      <w:r w:rsidR="0017234C">
        <w:rPr>
          <w:lang w:val="en-US"/>
        </w:rPr>
        <w:t xml:space="preserve">In the </w:t>
      </w:r>
      <w:r w:rsidR="0017234C" w:rsidRPr="00BB3E39">
        <w:rPr>
          <w:i/>
          <w:lang w:val="en-US"/>
        </w:rPr>
        <w:t>IWP Order</w:t>
      </w:r>
      <w:r w:rsidR="0017234C">
        <w:rPr>
          <w:lang w:val="en-US"/>
        </w:rPr>
        <w:t>, t</w:t>
      </w:r>
      <w:r>
        <w:t xml:space="preserve">he Commission recommended </w:t>
      </w:r>
      <w:r w:rsidR="0017234C">
        <w:rPr>
          <w:lang w:val="en-US"/>
        </w:rPr>
        <w:t>providing a $50 bonus payment to</w:t>
      </w:r>
      <w:r>
        <w:t xml:space="preserve"> residential customers electing the Opt</w:t>
      </w:r>
      <w:r w:rsidR="00CA3537">
        <w:rPr>
          <w:lang w:val="en-US"/>
        </w:rPr>
        <w:t>-</w:t>
      </w:r>
      <w:r>
        <w:t xml:space="preserve">In Service Program.  </w:t>
      </w:r>
      <w:r>
        <w:rPr>
          <w:i/>
        </w:rPr>
        <w:t>Intermediate Work Plan Order</w:t>
      </w:r>
      <w:r>
        <w:t>, p.</w:t>
      </w:r>
      <w:r w:rsidR="001D47AE">
        <w:rPr>
          <w:lang w:val="en-US"/>
        </w:rPr>
        <w:t> </w:t>
      </w:r>
      <w:r>
        <w:t xml:space="preserve">70.  </w:t>
      </w:r>
      <w:r w:rsidR="00874CB6">
        <w:rPr>
          <w:lang w:val="en-US"/>
        </w:rPr>
        <w:t xml:space="preserve">As an alternative, </w:t>
      </w:r>
      <w:r>
        <w:t xml:space="preserve">Duquesne Light proposed </w:t>
      </w:r>
      <w:r w:rsidR="0017234C">
        <w:rPr>
          <w:lang w:val="en-US"/>
        </w:rPr>
        <w:t>making that</w:t>
      </w:r>
      <w:r>
        <w:t xml:space="preserve"> bonus payment </w:t>
      </w:r>
      <w:r w:rsidRPr="0017234C">
        <w:rPr>
          <w:u w:val="single"/>
        </w:rPr>
        <w:t>after</w:t>
      </w:r>
      <w:r>
        <w:t xml:space="preserve"> the customer remained with the Opt</w:t>
      </w:r>
      <w:r w:rsidR="00874CB6">
        <w:rPr>
          <w:lang w:val="en-US"/>
        </w:rPr>
        <w:t>-</w:t>
      </w:r>
      <w:r>
        <w:t xml:space="preserve">In Service for </w:t>
      </w:r>
      <w:r w:rsidR="001D47AE">
        <w:rPr>
          <w:lang w:val="en-US"/>
        </w:rPr>
        <w:t>three</w:t>
      </w:r>
      <w:r>
        <w:t xml:space="preserve"> months.  Duquesne </w:t>
      </w:r>
      <w:r w:rsidR="00874CB6">
        <w:t>Light St. No. 3, p. 23.</w:t>
      </w:r>
      <w:r w:rsidR="00874CB6">
        <w:rPr>
          <w:lang w:val="en-US"/>
        </w:rPr>
        <w:t xml:space="preserve">  </w:t>
      </w:r>
      <w:r>
        <w:t xml:space="preserve">However, Duquesne Light </w:t>
      </w:r>
      <w:r w:rsidR="00874CB6">
        <w:rPr>
          <w:lang w:val="en-US"/>
        </w:rPr>
        <w:t>expressed concern</w:t>
      </w:r>
      <w:r>
        <w:t xml:space="preserve"> about the use of a $50 bonus payment in conjunction with RESA’s proposal for an initial 4-month price followed by an 8-month product with disclosure of the price after initiation of service.  </w:t>
      </w:r>
    </w:p>
    <w:p w:rsidR="00874CB6" w:rsidRDefault="00874CB6" w:rsidP="00CA3537">
      <w:pPr>
        <w:pStyle w:val="BodyText2"/>
        <w:spacing w:after="0" w:line="360" w:lineRule="auto"/>
        <w:rPr>
          <w:lang w:val="en-US"/>
        </w:rPr>
      </w:pPr>
    </w:p>
    <w:p w:rsidR="00874CB6" w:rsidRDefault="00874CB6" w:rsidP="00CA3537">
      <w:pPr>
        <w:pStyle w:val="BodyText2"/>
        <w:spacing w:after="0" w:line="360" w:lineRule="auto"/>
        <w:rPr>
          <w:lang w:val="en-US"/>
        </w:rPr>
      </w:pPr>
      <w:r>
        <w:rPr>
          <w:lang w:val="en-US"/>
        </w:rPr>
        <w:lastRenderedPageBreak/>
        <w:tab/>
      </w:r>
      <w:r>
        <w:rPr>
          <w:lang w:val="en-US"/>
        </w:rPr>
        <w:tab/>
      </w:r>
      <w:r w:rsidR="00AA4AF1">
        <w:t xml:space="preserve">Specifically, </w:t>
      </w:r>
      <w:r>
        <w:rPr>
          <w:lang w:val="en-US"/>
        </w:rPr>
        <w:t xml:space="preserve">the Company pointed to </w:t>
      </w:r>
      <w:r w:rsidR="00AA4AF1">
        <w:t>RESA</w:t>
      </w:r>
      <w:r>
        <w:rPr>
          <w:lang w:val="en-US"/>
        </w:rPr>
        <w:t>’s position</w:t>
      </w:r>
      <w:r w:rsidR="00AA4AF1">
        <w:t xml:space="preserve"> that the customer must stay for </w:t>
      </w:r>
      <w:r w:rsidR="00451823">
        <w:rPr>
          <w:lang w:val="en-US"/>
        </w:rPr>
        <w:t>four</w:t>
      </w:r>
      <w:r w:rsidR="00AA4AF1">
        <w:t xml:space="preserve"> months to receive the bonus.  </w:t>
      </w:r>
      <w:r>
        <w:rPr>
          <w:lang w:val="en-US"/>
        </w:rPr>
        <w:t>Duquesne Light contends that, if</w:t>
      </w:r>
      <w:r w:rsidR="00AA4AF1">
        <w:t xml:space="preserve"> </w:t>
      </w:r>
      <w:r>
        <w:rPr>
          <w:lang w:val="en-US"/>
        </w:rPr>
        <w:t xml:space="preserve">the Commission adopts </w:t>
      </w:r>
      <w:r w:rsidR="00AA4AF1">
        <w:t xml:space="preserve">this pricing approach, it must be made clear that the customer </w:t>
      </w:r>
      <w:r>
        <w:rPr>
          <w:lang w:val="en-US"/>
        </w:rPr>
        <w:t xml:space="preserve">still </w:t>
      </w:r>
      <w:r w:rsidR="00AA4AF1">
        <w:t xml:space="preserve">will receive the bonus if the customer opts out of the 8-month contract on receipt of notice of the 8-month contract price.  The Company is concerned the combination of a $50 bonus payment with an initial 4-month price below the PTC followed by an 8-month price above the PTC could create customer confusion that the $50 rebate is somehow tied to accepting the new 8-month fixed rate.  Accordingly, if RESA’s alternative proposal were adopted, assurances should be provided to customers that they will receive the $50 payment as long as the customer remains with the EGS for </w:t>
      </w:r>
      <w:r w:rsidR="002A54D9">
        <w:rPr>
          <w:lang w:val="en-US"/>
        </w:rPr>
        <w:t>four</w:t>
      </w:r>
      <w:r w:rsidR="00AA4AF1">
        <w:t xml:space="preserve"> months </w:t>
      </w:r>
      <w:r w:rsidR="00AA4AF1" w:rsidRPr="0017234C">
        <w:rPr>
          <w:u w:val="single"/>
        </w:rPr>
        <w:t>regardless</w:t>
      </w:r>
      <w:r w:rsidR="00AA4AF1">
        <w:t xml:space="preserve"> of whether they elect the </w:t>
      </w:r>
      <w:r w:rsidR="00AF725A">
        <w:rPr>
          <w:lang w:val="en-US"/>
        </w:rPr>
        <w:t>8</w:t>
      </w:r>
      <w:r w:rsidR="00AA4AF1">
        <w:t xml:space="preserve">-month price.  </w:t>
      </w:r>
    </w:p>
    <w:p w:rsidR="00874CB6" w:rsidRDefault="00874CB6" w:rsidP="00CA3537">
      <w:pPr>
        <w:pStyle w:val="BodyText2"/>
        <w:spacing w:after="0" w:line="360" w:lineRule="auto"/>
        <w:rPr>
          <w:lang w:val="en-US"/>
        </w:rPr>
      </w:pPr>
    </w:p>
    <w:p w:rsidR="00AA4AF1" w:rsidRDefault="00874CB6" w:rsidP="00CA3537">
      <w:pPr>
        <w:pStyle w:val="BodyText2"/>
        <w:spacing w:after="0" w:line="360" w:lineRule="auto"/>
      </w:pPr>
      <w:r>
        <w:rPr>
          <w:lang w:val="en-US"/>
        </w:rPr>
        <w:tab/>
      </w:r>
      <w:r>
        <w:rPr>
          <w:lang w:val="en-US"/>
        </w:rPr>
        <w:tab/>
        <w:t>The</w:t>
      </w:r>
      <w:r w:rsidR="00AA4AF1">
        <w:t xml:space="preserve"> Company </w:t>
      </w:r>
      <w:r>
        <w:rPr>
          <w:lang w:val="en-US"/>
        </w:rPr>
        <w:t>expressed</w:t>
      </w:r>
      <w:r>
        <w:t xml:space="preserve"> concern</w:t>
      </w:r>
      <w:r w:rsidR="00AA4AF1">
        <w:t xml:space="preserve"> that temporary savings over a </w:t>
      </w:r>
      <w:r w:rsidR="00FA16D0">
        <w:rPr>
          <w:lang w:val="en-US"/>
        </w:rPr>
        <w:t>4</w:t>
      </w:r>
      <w:r w:rsidR="00AA4AF1">
        <w:t xml:space="preserve">-month period followed by higher rates than the PTC over an </w:t>
      </w:r>
      <w:r w:rsidR="003C04D8">
        <w:rPr>
          <w:lang w:val="en-US"/>
        </w:rPr>
        <w:t>8</w:t>
      </w:r>
      <w:r w:rsidR="00AA4AF1">
        <w:t xml:space="preserve">-month period could be viewed by customers as a “bait and switch” tactic.  </w:t>
      </w:r>
      <w:r>
        <w:rPr>
          <w:lang w:val="en-US"/>
        </w:rPr>
        <w:t>Due to that concern,</w:t>
      </w:r>
      <w:r w:rsidR="00AA4AF1">
        <w:t xml:space="preserve"> the Company recommends the Commission approve a 12-month fixed-price product that offers customers guaranteed savings over the entire 12-month product term.  This </w:t>
      </w:r>
      <w:r>
        <w:rPr>
          <w:lang w:val="en-US"/>
        </w:rPr>
        <w:t xml:space="preserve">approach </w:t>
      </w:r>
      <w:r w:rsidR="00AA4AF1">
        <w:t xml:space="preserve">will provide better protection for participating customers and better promote customer shopping.   </w:t>
      </w:r>
    </w:p>
    <w:p w:rsidR="00AA4AF1" w:rsidRDefault="00AA4AF1" w:rsidP="00EE639F">
      <w:pPr>
        <w:pStyle w:val="BodyText"/>
        <w:spacing w:after="0" w:line="360" w:lineRule="auto"/>
        <w:ind w:left="0" w:firstLine="0"/>
        <w:rPr>
          <w:szCs w:val="24"/>
          <w:lang w:val="en-US"/>
        </w:rPr>
      </w:pPr>
    </w:p>
    <w:p w:rsidR="00847E37" w:rsidRDefault="004F65FA" w:rsidP="004F65FA">
      <w:pPr>
        <w:pStyle w:val="BriefL3"/>
        <w:numPr>
          <w:ilvl w:val="0"/>
          <w:numId w:val="0"/>
        </w:numPr>
        <w:spacing w:after="0" w:line="360" w:lineRule="auto"/>
        <w:ind w:left="1440" w:firstLine="720"/>
        <w:rPr>
          <w:b/>
          <w:szCs w:val="24"/>
        </w:rPr>
      </w:pPr>
      <w:r>
        <w:rPr>
          <w:b/>
          <w:szCs w:val="24"/>
        </w:rPr>
        <w:t>ii</w:t>
      </w:r>
      <w:r w:rsidR="00847E37">
        <w:rPr>
          <w:b/>
          <w:szCs w:val="24"/>
        </w:rPr>
        <w:t>.</w:t>
      </w:r>
      <w:r w:rsidR="00847E37">
        <w:rPr>
          <w:b/>
          <w:szCs w:val="24"/>
        </w:rPr>
        <w:tab/>
        <w:t>OCA’s Position</w:t>
      </w:r>
    </w:p>
    <w:p w:rsidR="00847E37" w:rsidRDefault="00847E37" w:rsidP="004F65FA">
      <w:pPr>
        <w:pStyle w:val="BodyText"/>
        <w:spacing w:after="0" w:line="360" w:lineRule="auto"/>
        <w:ind w:left="0" w:firstLine="0"/>
        <w:rPr>
          <w:szCs w:val="24"/>
          <w:lang w:val="en-US"/>
        </w:rPr>
      </w:pPr>
    </w:p>
    <w:p w:rsidR="004F65FA" w:rsidRDefault="0017234C" w:rsidP="004F65FA">
      <w:pPr>
        <w:pStyle w:val="BodyText2"/>
        <w:spacing w:after="0" w:line="360" w:lineRule="auto"/>
        <w:ind w:firstLine="1440"/>
        <w:rPr>
          <w:lang w:val="en-US"/>
        </w:rPr>
      </w:pPr>
      <w:r>
        <w:t xml:space="preserve">OCA does not support the elimination of the $50 bonus payment </w:t>
      </w:r>
      <w:r>
        <w:rPr>
          <w:lang w:val="en-US"/>
        </w:rPr>
        <w:t>f</w:t>
      </w:r>
      <w:r w:rsidR="00847E37">
        <w:t xml:space="preserve">or the same reasons it does not support a reduction in the discount percentage.  </w:t>
      </w:r>
      <w:r w:rsidR="00847E37">
        <w:rPr>
          <w:u w:val="single"/>
        </w:rPr>
        <w:t>See</w:t>
      </w:r>
      <w:r w:rsidR="00847E37">
        <w:t xml:space="preserve"> OCA St. 2-R at 8-</w:t>
      </w:r>
      <w:r>
        <w:t>9.</w:t>
      </w:r>
      <w:r>
        <w:rPr>
          <w:lang w:val="en-US"/>
        </w:rPr>
        <w:t xml:space="preserve">  </w:t>
      </w:r>
      <w:r w:rsidR="004F65FA">
        <w:rPr>
          <w:lang w:val="en-US"/>
        </w:rPr>
        <w:t>Previously, t</w:t>
      </w:r>
      <w:r w:rsidR="00847E37">
        <w:t xml:space="preserve">he Commission considered the comments of various stakeholders on this issue and specifically found that the $50 bonus would be needed to differentiate the program from other supplier offers.  </w:t>
      </w:r>
    </w:p>
    <w:p w:rsidR="004F65FA" w:rsidRPr="004F65FA" w:rsidRDefault="004F65FA" w:rsidP="004F65FA">
      <w:pPr>
        <w:pStyle w:val="BodyText2"/>
        <w:spacing w:after="0" w:line="360" w:lineRule="auto"/>
        <w:ind w:firstLine="1440"/>
        <w:rPr>
          <w:lang w:val="en-US"/>
        </w:rPr>
      </w:pPr>
    </w:p>
    <w:p w:rsidR="00847E37" w:rsidRDefault="00847E37" w:rsidP="004F65FA">
      <w:pPr>
        <w:pStyle w:val="BodyText2"/>
        <w:spacing w:after="0" w:line="360" w:lineRule="auto"/>
        <w:ind w:firstLine="1440"/>
      </w:pPr>
      <w:r>
        <w:t xml:space="preserve">Accordingly, OCA supports the inclusion of a $50 bonus payment as part of any Opt-In </w:t>
      </w:r>
      <w:r w:rsidR="00E61F8B">
        <w:rPr>
          <w:lang w:val="en-US"/>
        </w:rPr>
        <w:t>P</w:t>
      </w:r>
      <w:r>
        <w:t xml:space="preserve">rogram.          </w:t>
      </w:r>
    </w:p>
    <w:p w:rsidR="00847E37" w:rsidRDefault="00847E37" w:rsidP="004F65FA">
      <w:pPr>
        <w:pStyle w:val="BodyText"/>
        <w:spacing w:after="0" w:line="360" w:lineRule="auto"/>
        <w:ind w:left="0" w:firstLine="0"/>
        <w:rPr>
          <w:szCs w:val="24"/>
          <w:lang w:val="en-US"/>
        </w:rPr>
      </w:pPr>
    </w:p>
    <w:p w:rsidR="004E2F83" w:rsidRDefault="004E2F83">
      <w:pPr>
        <w:autoSpaceDE/>
        <w:autoSpaceDN/>
        <w:rPr>
          <w:b/>
        </w:rPr>
      </w:pPr>
      <w:r>
        <w:rPr>
          <w:b/>
        </w:rPr>
        <w:br w:type="page"/>
      </w:r>
    </w:p>
    <w:p w:rsidR="00884AFB" w:rsidRDefault="004F65FA" w:rsidP="004F65FA">
      <w:pPr>
        <w:pStyle w:val="BriefL3"/>
        <w:numPr>
          <w:ilvl w:val="0"/>
          <w:numId w:val="0"/>
        </w:numPr>
        <w:spacing w:after="0" w:line="360" w:lineRule="auto"/>
        <w:ind w:left="1440" w:firstLine="720"/>
        <w:rPr>
          <w:b/>
          <w:szCs w:val="24"/>
        </w:rPr>
      </w:pPr>
      <w:r>
        <w:rPr>
          <w:b/>
          <w:szCs w:val="24"/>
        </w:rPr>
        <w:lastRenderedPageBreak/>
        <w:t>iii</w:t>
      </w:r>
      <w:r w:rsidR="00884AFB">
        <w:rPr>
          <w:b/>
          <w:szCs w:val="24"/>
        </w:rPr>
        <w:t>.</w:t>
      </w:r>
      <w:r w:rsidR="00884AFB">
        <w:rPr>
          <w:b/>
          <w:szCs w:val="24"/>
        </w:rPr>
        <w:tab/>
        <w:t>RESA’s Position</w:t>
      </w:r>
    </w:p>
    <w:p w:rsidR="00847E37" w:rsidRDefault="00847E37" w:rsidP="004F65FA">
      <w:pPr>
        <w:pStyle w:val="BodyText"/>
        <w:spacing w:after="0" w:line="360" w:lineRule="auto"/>
        <w:ind w:left="0" w:firstLine="0"/>
        <w:rPr>
          <w:szCs w:val="24"/>
          <w:lang w:val="en-US"/>
        </w:rPr>
      </w:pPr>
    </w:p>
    <w:p w:rsidR="004F65FA" w:rsidRDefault="00085C3A" w:rsidP="004F65FA">
      <w:pPr>
        <w:pStyle w:val="BodyText2"/>
        <w:spacing w:after="0" w:line="360" w:lineRule="auto"/>
        <w:rPr>
          <w:lang w:val="en-US"/>
        </w:rPr>
      </w:pPr>
      <w:r>
        <w:rPr>
          <w:lang w:val="en-US"/>
        </w:rPr>
        <w:tab/>
      </w:r>
      <w:r>
        <w:rPr>
          <w:lang w:val="en-US"/>
        </w:rPr>
        <w:tab/>
      </w:r>
      <w:r>
        <w:t xml:space="preserve">RESA proposes </w:t>
      </w:r>
      <w:r w:rsidR="0017234C">
        <w:rPr>
          <w:lang w:val="en-US"/>
        </w:rPr>
        <w:t xml:space="preserve">the EGS pay </w:t>
      </w:r>
      <w:r>
        <w:t xml:space="preserve">a $50 bonus to its customer at the conclusion of the initial </w:t>
      </w:r>
      <w:r w:rsidR="004F6326" w:rsidRPr="001018E8">
        <w:rPr>
          <w:lang w:val="en-US"/>
        </w:rPr>
        <w:t>4</w:t>
      </w:r>
      <w:r>
        <w:t xml:space="preserve">-month period.  </w:t>
      </w:r>
      <w:r>
        <w:rPr>
          <w:lang w:val="en-US"/>
        </w:rPr>
        <w:t>RESA contends this</w:t>
      </w:r>
      <w:r>
        <w:t xml:space="preserve"> </w:t>
      </w:r>
      <w:r>
        <w:rPr>
          <w:lang w:val="en-US"/>
        </w:rPr>
        <w:t xml:space="preserve">proposal </w:t>
      </w:r>
      <w:r>
        <w:t xml:space="preserve">is consistent with the Commission’s decision in the </w:t>
      </w:r>
      <w:r>
        <w:rPr>
          <w:i/>
        </w:rPr>
        <w:t>FirstEnergy Default Service Order</w:t>
      </w:r>
      <w:r>
        <w:t>.</w:t>
      </w:r>
      <w:r>
        <w:rPr>
          <w:rStyle w:val="FootnoteReference"/>
        </w:rPr>
        <w:footnoteReference w:id="81"/>
      </w:r>
      <w:r w:rsidR="0017234C">
        <w:rPr>
          <w:lang w:val="en-US"/>
        </w:rPr>
        <w:t xml:space="preserve"> </w:t>
      </w:r>
      <w:r>
        <w:t xml:space="preserve"> </w:t>
      </w:r>
      <w:r>
        <w:rPr>
          <w:lang w:val="en-US"/>
        </w:rPr>
        <w:t xml:space="preserve">RESA </w:t>
      </w:r>
      <w:r w:rsidR="0017234C">
        <w:rPr>
          <w:lang w:val="en-US"/>
        </w:rPr>
        <w:t>disagrees with</w:t>
      </w:r>
      <w:r>
        <w:rPr>
          <w:lang w:val="en-US"/>
        </w:rPr>
        <w:t xml:space="preserve"> </w:t>
      </w:r>
      <w:r>
        <w:t>Duquesne</w:t>
      </w:r>
      <w:r w:rsidR="0017234C">
        <w:rPr>
          <w:lang w:val="en-US"/>
        </w:rPr>
        <w:t>’s contention</w:t>
      </w:r>
      <w:r>
        <w:t xml:space="preserve"> there is a potential for customer confusion that the $50 bonus could be tied to acceptance of the customer’s 8-month fixed price offer for months </w:t>
      </w:r>
      <w:r w:rsidR="003F20CD">
        <w:rPr>
          <w:lang w:val="en-US"/>
        </w:rPr>
        <w:t>5</w:t>
      </w:r>
      <w:r>
        <w:t xml:space="preserve"> through </w:t>
      </w:r>
      <w:r w:rsidR="0017234C">
        <w:rPr>
          <w:lang w:val="en-US"/>
        </w:rPr>
        <w:t>twelve</w:t>
      </w:r>
      <w:r>
        <w:t>.</w:t>
      </w:r>
      <w:r>
        <w:rPr>
          <w:rStyle w:val="FootnoteReference"/>
        </w:rPr>
        <w:footnoteReference w:id="82"/>
      </w:r>
      <w:r>
        <w:t xml:space="preserve">  The Companies in the </w:t>
      </w:r>
      <w:r>
        <w:rPr>
          <w:i/>
        </w:rPr>
        <w:t>FE</w:t>
      </w:r>
      <w:r>
        <w:t xml:space="preserve"> proceeding made a similar argument, which the Commission rejected, that bonuses are “gimmicks” that come with a “catch” or would amount to a “bait and switch” by the EGS</w:t>
      </w:r>
      <w:r w:rsidR="00946AAD">
        <w:rPr>
          <w:lang w:val="en-US"/>
        </w:rPr>
        <w:t>.</w:t>
      </w:r>
      <w:r>
        <w:rPr>
          <w:rStyle w:val="FootnoteReference"/>
        </w:rPr>
        <w:footnoteReference w:id="83"/>
      </w:r>
      <w:r>
        <w:t xml:space="preserve">  With proper notice to the customer as recommended by RESA,</w:t>
      </w:r>
      <w:r>
        <w:rPr>
          <w:rStyle w:val="FootnoteReference"/>
        </w:rPr>
        <w:footnoteReference w:id="84"/>
      </w:r>
      <w:r>
        <w:t xml:space="preserve"> a customer should be able to distinguish between the bonus and the need to decide whether to remain with the EGS for an additional eight months.</w:t>
      </w:r>
    </w:p>
    <w:p w:rsidR="00085C3A" w:rsidRDefault="00085C3A" w:rsidP="004F65FA">
      <w:pPr>
        <w:pStyle w:val="BodyText2"/>
        <w:spacing w:after="0" w:line="360" w:lineRule="auto"/>
      </w:pPr>
      <w:r>
        <w:t xml:space="preserve"> </w:t>
      </w:r>
    </w:p>
    <w:p w:rsidR="006D4D99" w:rsidRDefault="004F65FA" w:rsidP="004F65FA">
      <w:pPr>
        <w:pStyle w:val="BriefL3"/>
        <w:numPr>
          <w:ilvl w:val="0"/>
          <w:numId w:val="0"/>
        </w:numPr>
        <w:spacing w:after="0" w:line="360" w:lineRule="auto"/>
        <w:ind w:left="1440" w:firstLine="720"/>
        <w:rPr>
          <w:b/>
          <w:szCs w:val="24"/>
        </w:rPr>
      </w:pPr>
      <w:r>
        <w:rPr>
          <w:b/>
          <w:szCs w:val="24"/>
        </w:rPr>
        <w:t>iv</w:t>
      </w:r>
      <w:r w:rsidR="006D4D99">
        <w:rPr>
          <w:b/>
          <w:szCs w:val="24"/>
        </w:rPr>
        <w:t>.</w:t>
      </w:r>
      <w:r w:rsidR="006D4D99">
        <w:rPr>
          <w:b/>
          <w:szCs w:val="24"/>
        </w:rPr>
        <w:tab/>
        <w:t>OSBA’s Position</w:t>
      </w:r>
    </w:p>
    <w:p w:rsidR="006D4D99" w:rsidRDefault="006D4D99" w:rsidP="004F65FA">
      <w:pPr>
        <w:pStyle w:val="BodyText"/>
        <w:spacing w:after="0" w:line="360" w:lineRule="auto"/>
        <w:ind w:left="0" w:firstLine="0"/>
        <w:rPr>
          <w:szCs w:val="24"/>
          <w:lang w:val="en-US"/>
        </w:rPr>
      </w:pPr>
    </w:p>
    <w:p w:rsidR="00833501" w:rsidRPr="00833501" w:rsidRDefault="00833501" w:rsidP="004F65FA">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Program that only applies to residential customers.</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w:t>
      </w:r>
      <w:r w:rsidR="006D4D99">
        <w:rPr>
          <w:b/>
          <w:szCs w:val="24"/>
        </w:rPr>
        <w:t>.</w:t>
      </w:r>
      <w:r w:rsidR="006D4D99">
        <w:rPr>
          <w:b/>
          <w:szCs w:val="24"/>
        </w:rPr>
        <w:tab/>
        <w:t>CAUSE’s Position</w:t>
      </w:r>
    </w:p>
    <w:p w:rsidR="00433E69" w:rsidRDefault="00433E69" w:rsidP="004F65FA">
      <w:pPr>
        <w:pStyle w:val="BodyText"/>
        <w:spacing w:after="0" w:line="360" w:lineRule="auto"/>
        <w:ind w:left="0" w:firstLine="0"/>
        <w:rPr>
          <w:szCs w:val="24"/>
          <w:lang w:val="en-US"/>
        </w:rPr>
      </w:pPr>
    </w:p>
    <w:p w:rsidR="00433E69" w:rsidRDefault="00433E69" w:rsidP="004F65FA">
      <w:pPr>
        <w:pStyle w:val="BodyText2"/>
        <w:spacing w:after="0" w:line="360" w:lineRule="auto"/>
      </w:pPr>
      <w:r>
        <w:rPr>
          <w:lang w:val="en-US"/>
        </w:rPr>
        <w:tab/>
      </w:r>
      <w:r>
        <w:rPr>
          <w:lang w:val="en-US"/>
        </w:rPr>
        <w:tab/>
        <w:t>CAUSE believes the best program design is the one proposed by DLC, which would have participating customers receive a guaranteed 5% off the known PTC for a full 12</w:t>
      </w:r>
      <w:r w:rsidR="008621CB">
        <w:rPr>
          <w:lang w:val="en-US"/>
        </w:rPr>
        <w:t> </w:t>
      </w:r>
      <w:r>
        <w:rPr>
          <w:lang w:val="en-US"/>
        </w:rPr>
        <w:t>months with no cancellation fee and a $50 bonus after three months’ participation.</w:t>
      </w:r>
    </w:p>
    <w:p w:rsidR="006D4D99" w:rsidRDefault="006D4D99" w:rsidP="004F65FA">
      <w:pPr>
        <w:pStyle w:val="BriefL3"/>
        <w:numPr>
          <w:ilvl w:val="0"/>
          <w:numId w:val="0"/>
        </w:numPr>
        <w:spacing w:after="0" w:line="360" w:lineRule="auto"/>
        <w:rPr>
          <w:b/>
          <w:szCs w:val="24"/>
        </w:rPr>
      </w:pPr>
    </w:p>
    <w:p w:rsidR="004E2F83" w:rsidRDefault="004E2F83">
      <w:pPr>
        <w:autoSpaceDE/>
        <w:autoSpaceDN/>
        <w:rPr>
          <w:b/>
        </w:rPr>
      </w:pPr>
      <w:r>
        <w:rPr>
          <w:b/>
        </w:rPr>
        <w:br w:type="page"/>
      </w:r>
    </w:p>
    <w:p w:rsidR="006D4D99" w:rsidRDefault="004F65FA" w:rsidP="004F65FA">
      <w:pPr>
        <w:pStyle w:val="BriefL3"/>
        <w:numPr>
          <w:ilvl w:val="0"/>
          <w:numId w:val="0"/>
        </w:numPr>
        <w:spacing w:after="0" w:line="360" w:lineRule="auto"/>
        <w:ind w:left="1440" w:firstLine="720"/>
        <w:rPr>
          <w:b/>
          <w:szCs w:val="24"/>
        </w:rPr>
      </w:pPr>
      <w:r>
        <w:rPr>
          <w:b/>
          <w:szCs w:val="24"/>
        </w:rPr>
        <w:lastRenderedPageBreak/>
        <w:t>vi</w:t>
      </w:r>
      <w:r w:rsidR="006D4D99">
        <w:rPr>
          <w:b/>
          <w:szCs w:val="24"/>
        </w:rPr>
        <w:t>.</w:t>
      </w:r>
      <w:r w:rsidR="006D4D99">
        <w:rPr>
          <w:b/>
          <w:szCs w:val="24"/>
        </w:rPr>
        <w:tab/>
        <w:t>Citizen Power’s Position</w:t>
      </w:r>
    </w:p>
    <w:p w:rsidR="006D4D99" w:rsidRDefault="006D4D99" w:rsidP="004F65FA">
      <w:pPr>
        <w:pStyle w:val="BodyText"/>
        <w:spacing w:after="0" w:line="360" w:lineRule="auto"/>
        <w:ind w:left="0" w:firstLine="0"/>
        <w:rPr>
          <w:szCs w:val="24"/>
          <w:lang w:val="en-US"/>
        </w:rPr>
      </w:pPr>
    </w:p>
    <w:p w:rsidR="00564484" w:rsidRDefault="00564484" w:rsidP="004F65FA">
      <w:pPr>
        <w:spacing w:line="360" w:lineRule="auto"/>
        <w:ind w:firstLine="720"/>
      </w:pPr>
      <w:r>
        <w:tab/>
        <w:t xml:space="preserve">Citizen Power supports a $50 dollar bonus payment in order to incent customers to try the Opt-In Program as contingent upon the existence of guaranteed savings relative to the price to compare. </w:t>
      </w:r>
      <w:r w:rsidR="00274102">
        <w:t xml:space="preserve"> </w:t>
      </w:r>
      <w:r>
        <w:t xml:space="preserve">However, </w:t>
      </w:r>
      <w:r w:rsidR="00AD3299">
        <w:t>in scenarios where there are no</w:t>
      </w:r>
      <w:r>
        <w:t xml:space="preserve"> guaranteed savings, either because the price to compare will not remain stable for the term of the </w:t>
      </w:r>
      <w:r w:rsidR="0037301E">
        <w:t>O</w:t>
      </w:r>
      <w:r>
        <w:t>pt-</w:t>
      </w:r>
      <w:r w:rsidR="0037301E">
        <w:t>I</w:t>
      </w:r>
      <w:r>
        <w:t xml:space="preserve">n </w:t>
      </w:r>
      <w:r w:rsidR="0037301E">
        <w:t>P</w:t>
      </w:r>
      <w:r>
        <w:t xml:space="preserve">rogram or because of an </w:t>
      </w:r>
      <w:r w:rsidR="0037301E">
        <w:t>O</w:t>
      </w:r>
      <w:r>
        <w:t>pt-</w:t>
      </w:r>
      <w:r w:rsidR="0037301E">
        <w:t>I</w:t>
      </w:r>
      <w:r>
        <w:t xml:space="preserve">n </w:t>
      </w:r>
      <w:r w:rsidR="0037301E">
        <w:t>P</w:t>
      </w:r>
      <w:r>
        <w:t>rogram where the rates are not fixed for an entire 12</w:t>
      </w:r>
      <w:r w:rsidR="0015685D">
        <w:t>-</w:t>
      </w:r>
      <w:r>
        <w:t>month period, Citizen Power opposes the use of a bonus payment because it may entice customers to choose a plan that in the long</w:t>
      </w:r>
      <w:r w:rsidR="00843727">
        <w:t xml:space="preserve"> </w:t>
      </w:r>
      <w:r>
        <w:t>run is not in their best interest.</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vii</w:t>
      </w:r>
      <w:r w:rsidR="006D4D99">
        <w:rPr>
          <w:b/>
          <w:szCs w:val="24"/>
        </w:rPr>
        <w:t>.</w:t>
      </w:r>
      <w:r w:rsidR="006D4D99">
        <w:rPr>
          <w:b/>
          <w:szCs w:val="24"/>
        </w:rPr>
        <w:tab/>
        <w:t>Duquesne Industrial Intervenors’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pPr>
      <w:r>
        <w:rPr>
          <w:lang w:val="en-US"/>
        </w:rPr>
        <w:tab/>
      </w:r>
      <w:r w:rsidR="00564484">
        <w:rPr>
          <w:lang w:val="en-US"/>
        </w:rPr>
        <w:tab/>
      </w:r>
      <w:r>
        <w:rPr>
          <w:lang w:val="en-US"/>
        </w:rPr>
        <w:t>DII</w:t>
      </w:r>
      <w:r>
        <w:t xml:space="preserve"> takes no position on this issue.</w:t>
      </w:r>
    </w:p>
    <w:p w:rsidR="00A47EE2" w:rsidRDefault="00A47EE2" w:rsidP="004F65FA">
      <w:pPr>
        <w:pStyle w:val="BriefL3"/>
        <w:numPr>
          <w:ilvl w:val="0"/>
          <w:numId w:val="0"/>
        </w:numPr>
        <w:spacing w:after="0" w:line="360" w:lineRule="auto"/>
        <w:ind w:firstLine="720"/>
        <w:rPr>
          <w:b/>
          <w:szCs w:val="24"/>
        </w:rPr>
      </w:pPr>
    </w:p>
    <w:p w:rsidR="006D4D99" w:rsidRDefault="004F65FA" w:rsidP="004F65FA">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rPr>
          <w:lang w:val="en-US"/>
        </w:rPr>
      </w:pPr>
      <w:r>
        <w:rPr>
          <w:lang w:val="en-US"/>
        </w:rPr>
        <w:tab/>
      </w:r>
      <w:r w:rsidR="00AD3299">
        <w:rPr>
          <w:lang w:val="en-US"/>
        </w:rPr>
        <w:tab/>
        <w:t xml:space="preserve">The </w:t>
      </w:r>
      <w:r>
        <w:rPr>
          <w:lang w:val="en-US"/>
        </w:rPr>
        <w:t xml:space="preserve">EGS Parties </w:t>
      </w:r>
      <w:r w:rsidR="00AD3299">
        <w:rPr>
          <w:lang w:val="en-US"/>
        </w:rPr>
        <w:t xml:space="preserve">support elimination of the bonus if the discount rate is not lowered.  </w:t>
      </w:r>
    </w:p>
    <w:p w:rsidR="00F56E70" w:rsidRDefault="00F56E70" w:rsidP="004F65FA">
      <w:pPr>
        <w:pStyle w:val="BriefL3"/>
        <w:numPr>
          <w:ilvl w:val="0"/>
          <w:numId w:val="0"/>
        </w:numPr>
        <w:spacing w:after="0" w:line="360" w:lineRule="auto"/>
        <w:ind w:firstLine="720"/>
        <w:rPr>
          <w:b/>
          <w:szCs w:val="24"/>
        </w:rPr>
      </w:pPr>
    </w:p>
    <w:p w:rsidR="006D4D99" w:rsidRDefault="004F65FA" w:rsidP="004F65FA">
      <w:pPr>
        <w:pStyle w:val="BriefL3"/>
        <w:numPr>
          <w:ilvl w:val="0"/>
          <w:numId w:val="0"/>
        </w:numPr>
        <w:spacing w:after="0" w:line="360" w:lineRule="auto"/>
        <w:ind w:left="1440" w:firstLine="720"/>
        <w:rPr>
          <w:b/>
          <w:szCs w:val="24"/>
        </w:rPr>
      </w:pPr>
      <w:r>
        <w:rPr>
          <w:b/>
          <w:szCs w:val="24"/>
        </w:rPr>
        <w:t>ix</w:t>
      </w:r>
      <w:r w:rsidR="006D4D99">
        <w:rPr>
          <w:b/>
          <w:szCs w:val="24"/>
        </w:rPr>
        <w:t>.</w:t>
      </w:r>
      <w:r w:rsidR="006D4D99">
        <w:rPr>
          <w:b/>
          <w:szCs w:val="24"/>
        </w:rPr>
        <w:tab/>
        <w:t>FirstEnergy Solutions’ Position</w:t>
      </w:r>
    </w:p>
    <w:p w:rsidR="006D4D99" w:rsidRDefault="006D4D99" w:rsidP="006D4D99">
      <w:pPr>
        <w:pStyle w:val="BodyText"/>
        <w:spacing w:after="0" w:line="360" w:lineRule="auto"/>
        <w:ind w:left="0" w:firstLine="0"/>
        <w:rPr>
          <w:szCs w:val="24"/>
          <w:lang w:val="en-US"/>
        </w:rPr>
      </w:pPr>
    </w:p>
    <w:p w:rsidR="006D4D99" w:rsidRDefault="006D4D99" w:rsidP="004F65FA">
      <w:pPr>
        <w:pStyle w:val="BodyText2"/>
        <w:spacing w:after="0" w:line="360" w:lineRule="auto"/>
      </w:pPr>
      <w:r>
        <w:rPr>
          <w:lang w:val="en-US"/>
        </w:rPr>
        <w:tab/>
      </w:r>
      <w:r w:rsidR="00AD3299">
        <w:rPr>
          <w:lang w:val="en-US"/>
        </w:rPr>
        <w:tab/>
      </w:r>
      <w:r>
        <w:rPr>
          <w:lang w:val="en-US"/>
        </w:rPr>
        <w:t>FES</w:t>
      </w:r>
      <w:r>
        <w:t xml:space="preserve"> takes no position on this issue.</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x</w:t>
      </w:r>
      <w:r w:rsidR="006D4D99">
        <w:rPr>
          <w:b/>
          <w:szCs w:val="24"/>
        </w:rPr>
        <w:t>.</w:t>
      </w:r>
      <w:r w:rsidR="006D4D99">
        <w:rPr>
          <w:b/>
          <w:szCs w:val="24"/>
        </w:rPr>
        <w:tab/>
        <w:t>Joint Suppliers’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rPr>
          <w:lang w:val="en-US"/>
        </w:rPr>
      </w:pPr>
      <w:r>
        <w:rPr>
          <w:lang w:val="en-US"/>
        </w:rPr>
        <w:tab/>
      </w:r>
      <w:r w:rsidR="00AD3299">
        <w:rPr>
          <w:lang w:val="en-US"/>
        </w:rPr>
        <w:tab/>
      </w:r>
      <w:r>
        <w:rPr>
          <w:lang w:val="en-US"/>
        </w:rPr>
        <w:t>Joint Suppliers take</w:t>
      </w:r>
      <w:r>
        <w:t xml:space="preserve"> no position on this issue.</w:t>
      </w:r>
    </w:p>
    <w:p w:rsidR="00586343" w:rsidRPr="00586343" w:rsidRDefault="00586343" w:rsidP="004F65FA">
      <w:pPr>
        <w:pStyle w:val="BodyText2"/>
        <w:spacing w:after="0" w:line="360" w:lineRule="auto"/>
        <w:rPr>
          <w:lang w:val="en-US"/>
        </w:rPr>
      </w:pPr>
    </w:p>
    <w:p w:rsidR="00F47991" w:rsidRPr="00A36735" w:rsidRDefault="00F47991" w:rsidP="00F47991">
      <w:pPr>
        <w:pStyle w:val="ListParagraph"/>
        <w:autoSpaceDE/>
        <w:autoSpaceDN/>
        <w:ind w:left="1440" w:hanging="1440"/>
        <w:rPr>
          <w:b/>
        </w:rPr>
      </w:pPr>
      <w:r w:rsidRPr="00A36735">
        <w:rPr>
          <w:b/>
        </w:rPr>
        <w:t>Disposition</w:t>
      </w:r>
      <w:r>
        <w:rPr>
          <w:b/>
        </w:rPr>
        <w:t xml:space="preserve"> – Market Enhancement Programs – Retail Opt-In Program – $50 Bonus Payment</w:t>
      </w:r>
    </w:p>
    <w:p w:rsidR="00DD6125" w:rsidRDefault="00DD6125" w:rsidP="004F65FA">
      <w:pPr>
        <w:pStyle w:val="BodyText"/>
        <w:spacing w:after="0" w:line="360" w:lineRule="auto"/>
        <w:ind w:left="0" w:firstLine="0"/>
        <w:rPr>
          <w:szCs w:val="24"/>
          <w:lang w:val="en-US"/>
        </w:rPr>
      </w:pPr>
    </w:p>
    <w:p w:rsidR="00C41A33" w:rsidRDefault="00C41A33" w:rsidP="004F65FA">
      <w:pPr>
        <w:pStyle w:val="BodyText"/>
        <w:spacing w:after="0" w:line="360" w:lineRule="auto"/>
        <w:ind w:left="0" w:firstLine="0"/>
        <w:rPr>
          <w:szCs w:val="24"/>
          <w:lang w:val="en-US"/>
        </w:rPr>
      </w:pPr>
      <w:r>
        <w:rPr>
          <w:szCs w:val="24"/>
          <w:lang w:val="en-US"/>
        </w:rPr>
        <w:tab/>
      </w:r>
      <w:r>
        <w:rPr>
          <w:szCs w:val="24"/>
          <w:lang w:val="en-US"/>
        </w:rPr>
        <w:tab/>
        <w:t xml:space="preserve">I recommend approval of DLC’s proposal </w:t>
      </w:r>
      <w:r w:rsidR="002917C7">
        <w:rPr>
          <w:szCs w:val="24"/>
          <w:lang w:val="en-US"/>
        </w:rPr>
        <w:t>–</w:t>
      </w:r>
      <w:r>
        <w:rPr>
          <w:szCs w:val="24"/>
          <w:lang w:val="en-US"/>
        </w:rPr>
        <w:t xml:space="preserve"> for a 12-month fixed price product with a guaranteed savings over the entire </w:t>
      </w:r>
      <w:r w:rsidR="00F47991">
        <w:rPr>
          <w:szCs w:val="24"/>
          <w:lang w:val="en-US"/>
        </w:rPr>
        <w:t>one</w:t>
      </w:r>
      <w:r>
        <w:rPr>
          <w:szCs w:val="24"/>
          <w:lang w:val="en-US"/>
        </w:rPr>
        <w:t xml:space="preserve">-year term and to pay the $50 bonus payment after </w:t>
      </w:r>
      <w:r>
        <w:rPr>
          <w:szCs w:val="24"/>
          <w:lang w:val="en-US"/>
        </w:rPr>
        <w:lastRenderedPageBreak/>
        <w:t xml:space="preserve">the customer remains with the Opt-In service for three months – </w:t>
      </w:r>
      <w:r w:rsidR="00F47991">
        <w:rPr>
          <w:szCs w:val="24"/>
          <w:lang w:val="en-US"/>
        </w:rPr>
        <w:t xml:space="preserve">because this proposal will provide better protection for those customers who participate and go farther to encourage default service customers to shop.  Under RESA’s proposal, the real possibility exists that a participating customer might receive the $50 bonus while receiving the promised discounted PTC rate only to </w:t>
      </w:r>
      <w:r w:rsidR="00F47991" w:rsidRPr="00176536">
        <w:rPr>
          <w:szCs w:val="24"/>
          <w:u w:val="single"/>
          <w:lang w:val="en-US"/>
        </w:rPr>
        <w:t>then</w:t>
      </w:r>
      <w:r w:rsidR="00F47991">
        <w:rPr>
          <w:szCs w:val="24"/>
          <w:lang w:val="en-US"/>
        </w:rPr>
        <w:t xml:space="preserve"> see his/her rate rise above the PTC rate for the next eight months.  Such an eventuality will create a chilling effect upon participation for the short run and in the long run.  In addition, the real possibility exists that customers could easily get confused into thinking that the $50 bonus payment was tied to </w:t>
      </w:r>
      <w:r w:rsidR="00F47991" w:rsidRPr="00F47991">
        <w:rPr>
          <w:szCs w:val="24"/>
          <w:u w:val="single"/>
          <w:lang w:val="en-US"/>
        </w:rPr>
        <w:t>continuing</w:t>
      </w:r>
      <w:r w:rsidR="00F47991">
        <w:rPr>
          <w:szCs w:val="24"/>
          <w:lang w:val="en-US"/>
        </w:rPr>
        <w:t xml:space="preserve"> for the following eight months.  </w:t>
      </w:r>
    </w:p>
    <w:p w:rsidR="00C41A33" w:rsidRDefault="00C41A33" w:rsidP="00EE639F">
      <w:pPr>
        <w:pStyle w:val="BodyText"/>
        <w:spacing w:after="0" w:line="360" w:lineRule="auto"/>
        <w:ind w:left="0" w:firstLine="0"/>
        <w:rPr>
          <w:szCs w:val="24"/>
          <w:lang w:val="en-US"/>
        </w:rPr>
      </w:pPr>
    </w:p>
    <w:p w:rsidR="000B0DA3" w:rsidRDefault="000B0DA3" w:rsidP="000B0DA3">
      <w:pPr>
        <w:pStyle w:val="BriefL3"/>
        <w:numPr>
          <w:ilvl w:val="0"/>
          <w:numId w:val="0"/>
        </w:numPr>
        <w:spacing w:after="0" w:line="360" w:lineRule="auto"/>
        <w:ind w:left="720" w:firstLine="720"/>
        <w:rPr>
          <w:b/>
          <w:szCs w:val="24"/>
        </w:rPr>
      </w:pPr>
      <w:r>
        <w:rPr>
          <w:b/>
          <w:szCs w:val="24"/>
        </w:rPr>
        <w:t>e.</w:t>
      </w:r>
      <w:r>
        <w:rPr>
          <w:b/>
          <w:szCs w:val="24"/>
        </w:rPr>
        <w:tab/>
        <w:t>Guaranteed Savings</w:t>
      </w:r>
    </w:p>
    <w:p w:rsidR="00FE2447" w:rsidRDefault="00FE2447" w:rsidP="000B0DA3">
      <w:pPr>
        <w:pStyle w:val="BriefL3"/>
        <w:numPr>
          <w:ilvl w:val="0"/>
          <w:numId w:val="0"/>
        </w:numPr>
        <w:spacing w:after="0" w:line="360" w:lineRule="auto"/>
        <w:ind w:left="2160"/>
        <w:rPr>
          <w:b/>
          <w:szCs w:val="24"/>
        </w:rPr>
      </w:pPr>
    </w:p>
    <w:p w:rsidR="000B0DA3" w:rsidRDefault="004F65FA" w:rsidP="004F65FA">
      <w:pPr>
        <w:pStyle w:val="BriefL3"/>
        <w:numPr>
          <w:ilvl w:val="0"/>
          <w:numId w:val="0"/>
        </w:numPr>
        <w:spacing w:after="0" w:line="360" w:lineRule="auto"/>
        <w:ind w:left="1440" w:firstLine="720"/>
        <w:rPr>
          <w:b/>
          <w:szCs w:val="24"/>
        </w:rPr>
      </w:pPr>
      <w:r>
        <w:rPr>
          <w:b/>
          <w:szCs w:val="24"/>
        </w:rPr>
        <w:t>i</w:t>
      </w:r>
      <w:r w:rsidR="00FE2447">
        <w:rPr>
          <w:b/>
          <w:szCs w:val="24"/>
        </w:rPr>
        <w:t>.</w:t>
      </w:r>
      <w:r w:rsidR="00FE2447">
        <w:rPr>
          <w:b/>
          <w:szCs w:val="24"/>
        </w:rPr>
        <w:tab/>
        <w:t>DLC’s Proposal</w:t>
      </w:r>
    </w:p>
    <w:p w:rsidR="000B0DA3" w:rsidRDefault="000B0DA3" w:rsidP="00EE639F">
      <w:pPr>
        <w:pStyle w:val="BodyText"/>
        <w:spacing w:after="0" w:line="360" w:lineRule="auto"/>
        <w:ind w:left="0" w:firstLine="0"/>
        <w:rPr>
          <w:szCs w:val="24"/>
          <w:lang w:val="en-US"/>
        </w:rPr>
      </w:pPr>
    </w:p>
    <w:p w:rsidR="005D5EE9" w:rsidRDefault="00AA4AF1" w:rsidP="00CA3537">
      <w:pPr>
        <w:pStyle w:val="BodyText2"/>
        <w:spacing w:after="0" w:line="360" w:lineRule="auto"/>
        <w:rPr>
          <w:lang w:val="en-US"/>
        </w:rPr>
      </w:pPr>
      <w:r>
        <w:rPr>
          <w:lang w:val="en-US"/>
        </w:rPr>
        <w:tab/>
      </w:r>
      <w:r>
        <w:rPr>
          <w:lang w:val="en-US"/>
        </w:rPr>
        <w:tab/>
      </w:r>
      <w:r>
        <w:t xml:space="preserve">Duquesne Light believes guaranteed savings are important for customers and for creation of confidence in competitive markets.  </w:t>
      </w:r>
      <w:r w:rsidR="00874CB6">
        <w:rPr>
          <w:lang w:val="en-US"/>
        </w:rPr>
        <w:t>The Company contends</w:t>
      </w:r>
      <w:r>
        <w:t xml:space="preserve"> the </w:t>
      </w:r>
      <w:r w:rsidR="0046675E">
        <w:rPr>
          <w:lang w:val="en-US"/>
        </w:rPr>
        <w:t>12</w:t>
      </w:r>
      <w:r>
        <w:t xml:space="preserve">-month term of ROI service combined with 12-month procurements and price changes for residential customers provides the longest guaranteed savings.  In contrast, </w:t>
      </w:r>
      <w:r w:rsidR="00874CB6">
        <w:rPr>
          <w:lang w:val="en-US"/>
        </w:rPr>
        <w:t xml:space="preserve">Duquesne Light avers </w:t>
      </w:r>
      <w:r>
        <w:t xml:space="preserve">the RESA proposal provides guaranteed savings </w:t>
      </w:r>
      <w:r w:rsidR="00874CB6">
        <w:rPr>
          <w:lang w:val="en-US"/>
        </w:rPr>
        <w:t xml:space="preserve">only </w:t>
      </w:r>
      <w:r>
        <w:t xml:space="preserve">for </w:t>
      </w:r>
      <w:r w:rsidR="00533922">
        <w:rPr>
          <w:lang w:val="en-US"/>
        </w:rPr>
        <w:t>four</w:t>
      </w:r>
      <w:r>
        <w:t xml:space="preserve"> months.  Duquesne Light’s current default </w:t>
      </w:r>
    </w:p>
    <w:p w:rsidR="00AA4AF1" w:rsidRDefault="00AA4AF1" w:rsidP="00CA3537">
      <w:pPr>
        <w:pStyle w:val="BodyText2"/>
        <w:spacing w:after="0" w:line="360" w:lineRule="auto"/>
      </w:pPr>
      <w:r>
        <w:t>service customers have fixed rates for 29 months</w:t>
      </w:r>
      <w:r w:rsidR="00874CB6">
        <w:rPr>
          <w:lang w:val="en-US"/>
        </w:rPr>
        <w:t xml:space="preserve"> and believes</w:t>
      </w:r>
      <w:r>
        <w:t xml:space="preserve"> </w:t>
      </w:r>
      <w:r w:rsidR="00874CB6">
        <w:rPr>
          <w:lang w:val="en-US"/>
        </w:rPr>
        <w:t>the</w:t>
      </w:r>
      <w:r>
        <w:t xml:space="preserve"> customers are less likely to shop </w:t>
      </w:r>
      <w:r w:rsidR="00874CB6">
        <w:rPr>
          <w:lang w:val="en-US"/>
        </w:rPr>
        <w:t xml:space="preserve">if there are </w:t>
      </w:r>
      <w:r>
        <w:t xml:space="preserve">only </w:t>
      </w:r>
      <w:r w:rsidR="002D38D3">
        <w:rPr>
          <w:lang w:val="en-US"/>
        </w:rPr>
        <w:t>four</w:t>
      </w:r>
      <w:r>
        <w:t xml:space="preserve"> months of savings</w:t>
      </w:r>
      <w:r w:rsidR="00874CB6">
        <w:rPr>
          <w:lang w:val="en-US"/>
        </w:rPr>
        <w:t>, as provided</w:t>
      </w:r>
      <w:r>
        <w:t xml:space="preserve"> under RESA’s proposal.  A key objective of the ROI Program is to promote customer participation</w:t>
      </w:r>
      <w:r w:rsidR="00874CB6">
        <w:rPr>
          <w:lang w:val="en-US"/>
        </w:rPr>
        <w:t xml:space="preserve"> and the Company avers its</w:t>
      </w:r>
      <w:r>
        <w:t xml:space="preserve"> proposal is more likely to encourage customer participation and result in customer satisfaction with competitive markets.</w:t>
      </w:r>
    </w:p>
    <w:p w:rsidR="00AA4AF1" w:rsidRDefault="00AA4AF1" w:rsidP="00EE639F">
      <w:pPr>
        <w:pStyle w:val="BodyText"/>
        <w:spacing w:after="0" w:line="360" w:lineRule="auto"/>
        <w:ind w:left="0" w:firstLine="0"/>
        <w:rPr>
          <w:szCs w:val="24"/>
          <w:lang w:val="en-US"/>
        </w:rPr>
      </w:pPr>
    </w:p>
    <w:p w:rsidR="00847E37" w:rsidRDefault="004F65FA" w:rsidP="004F65FA">
      <w:pPr>
        <w:pStyle w:val="BriefL3"/>
        <w:numPr>
          <w:ilvl w:val="0"/>
          <w:numId w:val="0"/>
        </w:numPr>
        <w:spacing w:after="0" w:line="360" w:lineRule="auto"/>
        <w:ind w:left="1440" w:firstLine="720"/>
        <w:rPr>
          <w:b/>
          <w:szCs w:val="24"/>
        </w:rPr>
      </w:pPr>
      <w:r>
        <w:rPr>
          <w:b/>
          <w:szCs w:val="24"/>
        </w:rPr>
        <w:t>ii</w:t>
      </w:r>
      <w:r w:rsidR="00847E37">
        <w:rPr>
          <w:b/>
          <w:szCs w:val="24"/>
        </w:rPr>
        <w:t>.</w:t>
      </w:r>
      <w:r w:rsidR="00847E37">
        <w:rPr>
          <w:b/>
          <w:szCs w:val="24"/>
        </w:rPr>
        <w:tab/>
        <w:t>OCA’s Position</w:t>
      </w:r>
    </w:p>
    <w:p w:rsidR="00847E37" w:rsidRDefault="00847E37" w:rsidP="005B5909">
      <w:pPr>
        <w:pStyle w:val="BodyText"/>
        <w:spacing w:after="0" w:line="360" w:lineRule="auto"/>
        <w:ind w:left="0" w:firstLine="0"/>
        <w:rPr>
          <w:szCs w:val="24"/>
          <w:lang w:val="en-US"/>
        </w:rPr>
      </w:pPr>
    </w:p>
    <w:p w:rsidR="005B5909" w:rsidRDefault="005B5909" w:rsidP="005B5909">
      <w:pPr>
        <w:pStyle w:val="BodyText2"/>
        <w:spacing w:after="0" w:line="360" w:lineRule="auto"/>
        <w:ind w:firstLine="1440"/>
        <w:rPr>
          <w:lang w:val="en-US"/>
        </w:rPr>
      </w:pPr>
      <w:r>
        <w:t xml:space="preserve">OCA supports guaranteed customer savings during the product term because </w:t>
      </w:r>
      <w:r w:rsidR="004F65FA">
        <w:rPr>
          <w:lang w:val="en-US"/>
        </w:rPr>
        <w:t xml:space="preserve">the alternative -- </w:t>
      </w:r>
      <w:r>
        <w:t xml:space="preserve">encouraging customers to enter this optional program as a means of “jump starting” the retail competitive market and then creating the potential for customers to pay a higher price for generation supply as a result of their enrollment </w:t>
      </w:r>
      <w:r w:rsidR="004F65FA">
        <w:rPr>
          <w:lang w:val="en-US"/>
        </w:rPr>
        <w:t xml:space="preserve">-- </w:t>
      </w:r>
      <w:r>
        <w:t xml:space="preserve">is </w:t>
      </w:r>
      <w:r w:rsidRPr="0017234C">
        <w:rPr>
          <w:u w:val="single"/>
        </w:rPr>
        <w:t>not</w:t>
      </w:r>
      <w:r>
        <w:t xml:space="preserve"> a reasonable path to securing customer interest in or satisfaction with the competitive market.  </w:t>
      </w:r>
    </w:p>
    <w:p w:rsidR="005B5909" w:rsidRDefault="005B5909" w:rsidP="004F65FA">
      <w:pPr>
        <w:pStyle w:val="BodyText2"/>
        <w:spacing w:after="0" w:line="360" w:lineRule="auto"/>
        <w:ind w:firstLine="1440"/>
      </w:pPr>
      <w:r>
        <w:lastRenderedPageBreak/>
        <w:t xml:space="preserve">Without the guarantee of savings, the Opt-In </w:t>
      </w:r>
      <w:r w:rsidR="00ED78FF">
        <w:rPr>
          <w:lang w:val="en-US"/>
        </w:rPr>
        <w:t>P</w:t>
      </w:r>
      <w:r>
        <w:t xml:space="preserve">rogram could work contrary to its intent and cause participants to become </w:t>
      </w:r>
      <w:r w:rsidRPr="0017234C">
        <w:rPr>
          <w:u w:val="single"/>
        </w:rPr>
        <w:t>dis</w:t>
      </w:r>
      <w:r w:rsidRPr="0017234C">
        <w:t>satisfied</w:t>
      </w:r>
      <w:r>
        <w:t xml:space="preserve"> with their shopping experience.  </w:t>
      </w:r>
      <w:r w:rsidR="004F65FA">
        <w:rPr>
          <w:lang w:val="en-US"/>
        </w:rPr>
        <w:t>A</w:t>
      </w:r>
      <w:r>
        <w:t xml:space="preserve">ccordingly, OCA respectfully requests the Commission adopt Duquesne’s recommendations as to the product offer and term for the Opt-In Auction Program. </w:t>
      </w:r>
    </w:p>
    <w:p w:rsidR="00B75DE4" w:rsidRDefault="00B75DE4" w:rsidP="00884AFB">
      <w:pPr>
        <w:pStyle w:val="BriefL3"/>
        <w:numPr>
          <w:ilvl w:val="0"/>
          <w:numId w:val="0"/>
        </w:numPr>
        <w:spacing w:after="0" w:line="360" w:lineRule="auto"/>
        <w:ind w:left="2880"/>
        <w:rPr>
          <w:b/>
          <w:szCs w:val="24"/>
        </w:rPr>
      </w:pPr>
    </w:p>
    <w:p w:rsidR="00884AFB" w:rsidRDefault="004F65FA" w:rsidP="004F65FA">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884AFB" w:rsidRDefault="00884AFB" w:rsidP="00085C3A">
      <w:pPr>
        <w:pStyle w:val="BodyText"/>
        <w:spacing w:after="0" w:line="360" w:lineRule="auto"/>
        <w:ind w:left="0" w:firstLine="0"/>
        <w:rPr>
          <w:szCs w:val="24"/>
          <w:lang w:val="en-US"/>
        </w:rPr>
      </w:pPr>
    </w:p>
    <w:p w:rsidR="00085C3A" w:rsidRDefault="00085C3A" w:rsidP="004F65FA">
      <w:pPr>
        <w:pStyle w:val="BodyText2"/>
        <w:spacing w:after="0" w:line="360" w:lineRule="auto"/>
      </w:pPr>
      <w:r>
        <w:rPr>
          <w:lang w:val="en-US"/>
        </w:rPr>
        <w:tab/>
      </w:r>
      <w:r>
        <w:rPr>
          <w:lang w:val="en-US"/>
        </w:rPr>
        <w:tab/>
      </w:r>
      <w:r>
        <w:t xml:space="preserve">RESA proposes that the Commission adopt an ROI aggregation program, consistent with the </w:t>
      </w:r>
      <w:r>
        <w:rPr>
          <w:i/>
        </w:rPr>
        <w:t>FirstEnergy Default Service Order</w:t>
      </w:r>
      <w:r>
        <w:t>, that includes guaranteed savings.  RESA does not oppose 7% off the PTC for the initial four months of the program, and the same savings should apply to the standard offer program; alternatively, the savings could be 5% for both (and the $50 bonus for the aggregation participants remains).</w:t>
      </w:r>
      <w:r>
        <w:rPr>
          <w:rStyle w:val="FootnoteReference"/>
        </w:rPr>
        <w:footnoteReference w:id="85"/>
      </w:r>
      <w:r w:rsidR="004F65FA">
        <w:rPr>
          <w:lang w:val="en-US"/>
        </w:rPr>
        <w:t xml:space="preserve">  A</w:t>
      </w:r>
      <w:r>
        <w:t>ny proposal that requires EGSs participating in the program to offer longer-term guaranteed savings off the PTC, even when the PTC changes, is unlikely to produce the best price for the customer and will deter EGSs from participating because it exposes EGSs to an unreasonable level of risk.</w:t>
      </w:r>
      <w:r>
        <w:rPr>
          <w:rStyle w:val="FootnoteReference"/>
        </w:rPr>
        <w:footnoteReference w:id="86"/>
      </w:r>
      <w:r>
        <w:t xml:space="preserve">      </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iv</w:t>
      </w:r>
      <w:r w:rsidR="006D4D99">
        <w:rPr>
          <w:b/>
          <w:szCs w:val="24"/>
        </w:rPr>
        <w:t>.</w:t>
      </w:r>
      <w:r w:rsidR="006D4D99">
        <w:rPr>
          <w:b/>
          <w:szCs w:val="24"/>
        </w:rPr>
        <w:tab/>
        <w:t>OSBA’s Position</w:t>
      </w:r>
    </w:p>
    <w:p w:rsidR="00833501" w:rsidRDefault="00833501" w:rsidP="004F65FA">
      <w:pPr>
        <w:pStyle w:val="BodyText"/>
        <w:spacing w:after="0" w:line="360" w:lineRule="auto"/>
        <w:ind w:left="0" w:firstLine="0"/>
        <w:rPr>
          <w:szCs w:val="24"/>
          <w:lang w:val="en-US"/>
        </w:rPr>
      </w:pPr>
    </w:p>
    <w:p w:rsidR="00833501" w:rsidRPr="00833501" w:rsidRDefault="00833501" w:rsidP="004F65FA">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Program that only applies to residential customers.</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w:t>
      </w:r>
      <w:r w:rsidR="006D4D99">
        <w:rPr>
          <w:b/>
          <w:szCs w:val="24"/>
        </w:rPr>
        <w:t>.</w:t>
      </w:r>
      <w:r w:rsidR="006D4D99">
        <w:rPr>
          <w:b/>
          <w:szCs w:val="24"/>
        </w:rPr>
        <w:tab/>
        <w:t>CAUSE’s Position</w:t>
      </w:r>
    </w:p>
    <w:p w:rsidR="00433E69" w:rsidRDefault="00433E69" w:rsidP="004F65FA">
      <w:pPr>
        <w:pStyle w:val="BodyText"/>
        <w:spacing w:after="0" w:line="360" w:lineRule="auto"/>
        <w:ind w:left="0" w:firstLine="0"/>
        <w:rPr>
          <w:szCs w:val="24"/>
          <w:lang w:val="en-US"/>
        </w:rPr>
      </w:pPr>
    </w:p>
    <w:p w:rsidR="00433E69" w:rsidRDefault="00433E69" w:rsidP="004F65FA">
      <w:pPr>
        <w:pStyle w:val="BodyText2"/>
        <w:spacing w:after="0" w:line="360" w:lineRule="auto"/>
      </w:pPr>
      <w:r>
        <w:rPr>
          <w:lang w:val="en-US"/>
        </w:rPr>
        <w:tab/>
      </w:r>
      <w:r>
        <w:rPr>
          <w:lang w:val="en-US"/>
        </w:rPr>
        <w:tab/>
        <w:t>CAUSE believes the best program design is the one proposed by DLC, which would have participating customers receive a guaranteed 5% off the known PTC for a full 12</w:t>
      </w:r>
      <w:r w:rsidR="00AE76FC">
        <w:rPr>
          <w:lang w:val="en-US"/>
        </w:rPr>
        <w:t> </w:t>
      </w:r>
      <w:r>
        <w:rPr>
          <w:lang w:val="en-US"/>
        </w:rPr>
        <w:t>months with no cancellation fee and a $50 bonus after three months’ participation.</w:t>
      </w:r>
    </w:p>
    <w:p w:rsidR="006D4D99" w:rsidRDefault="006D4D99" w:rsidP="004F65FA">
      <w:pPr>
        <w:pStyle w:val="BriefL3"/>
        <w:numPr>
          <w:ilvl w:val="0"/>
          <w:numId w:val="0"/>
        </w:numPr>
        <w:spacing w:after="0" w:line="360" w:lineRule="auto"/>
        <w:outlineLvl w:val="9"/>
        <w:rPr>
          <w:b/>
          <w:szCs w:val="24"/>
        </w:rPr>
      </w:pPr>
    </w:p>
    <w:p w:rsidR="004E2F83" w:rsidRDefault="004E2F83">
      <w:pPr>
        <w:autoSpaceDE/>
        <w:autoSpaceDN/>
        <w:rPr>
          <w:b/>
        </w:rPr>
      </w:pPr>
      <w:r>
        <w:rPr>
          <w:b/>
        </w:rPr>
        <w:br w:type="page"/>
      </w:r>
    </w:p>
    <w:p w:rsidR="006D4D99" w:rsidRDefault="004F65FA" w:rsidP="004F65FA">
      <w:pPr>
        <w:pStyle w:val="BriefL3"/>
        <w:numPr>
          <w:ilvl w:val="0"/>
          <w:numId w:val="0"/>
        </w:numPr>
        <w:spacing w:after="0" w:line="360" w:lineRule="auto"/>
        <w:ind w:left="1440" w:firstLine="720"/>
        <w:rPr>
          <w:b/>
          <w:szCs w:val="24"/>
        </w:rPr>
      </w:pPr>
      <w:r>
        <w:rPr>
          <w:b/>
          <w:szCs w:val="24"/>
        </w:rPr>
        <w:lastRenderedPageBreak/>
        <w:t>vi</w:t>
      </w:r>
      <w:r w:rsidR="006D4D99">
        <w:rPr>
          <w:b/>
          <w:szCs w:val="24"/>
        </w:rPr>
        <w:t>.</w:t>
      </w:r>
      <w:r w:rsidR="006D4D99">
        <w:rPr>
          <w:b/>
          <w:szCs w:val="24"/>
        </w:rPr>
        <w:tab/>
        <w:t>Citizen Power’s Position</w:t>
      </w:r>
    </w:p>
    <w:p w:rsidR="006D4D99" w:rsidRDefault="006D4D99" w:rsidP="004F65FA">
      <w:pPr>
        <w:pStyle w:val="BodyText"/>
        <w:spacing w:after="0" w:line="360" w:lineRule="auto"/>
        <w:ind w:left="0" w:firstLine="0"/>
        <w:rPr>
          <w:szCs w:val="24"/>
          <w:lang w:val="en-US"/>
        </w:rPr>
      </w:pPr>
    </w:p>
    <w:p w:rsidR="00AD3299" w:rsidRDefault="00AD3299" w:rsidP="004F65FA">
      <w:pPr>
        <w:spacing w:line="360" w:lineRule="auto"/>
        <w:ind w:firstLine="720"/>
      </w:pPr>
      <w:r>
        <w:tab/>
        <w:t>Citizen Power fully supports Duquesne’s opt-in approach which guarantees savings for all customers participating in the program.</w:t>
      </w:r>
      <w:r w:rsidR="00293BBE">
        <w:t xml:space="preserve"> </w:t>
      </w:r>
      <w:r>
        <w:t xml:space="preserve"> One of the purposes of the </w:t>
      </w:r>
      <w:r w:rsidR="0037301E">
        <w:t>O</w:t>
      </w:r>
      <w:r>
        <w:t>pt-</w:t>
      </w:r>
      <w:r w:rsidR="0037301E">
        <w:t>I</w:t>
      </w:r>
      <w:r>
        <w:t xml:space="preserve">n </w:t>
      </w:r>
      <w:r w:rsidR="0037301E">
        <w:t>P</w:t>
      </w:r>
      <w:r>
        <w:t xml:space="preserve">rogram is for residential customers to become comfortable with the idea of shopping for electricity. </w:t>
      </w:r>
      <w:r w:rsidR="005F67A4">
        <w:t xml:space="preserve"> </w:t>
      </w:r>
      <w:r>
        <w:t xml:space="preserve">An </w:t>
      </w:r>
      <w:r w:rsidR="0037301E">
        <w:t>O</w:t>
      </w:r>
      <w:r>
        <w:t>pt-</w:t>
      </w:r>
      <w:r w:rsidR="0037301E">
        <w:t>I</w:t>
      </w:r>
      <w:r>
        <w:t xml:space="preserve">n </w:t>
      </w:r>
      <w:r w:rsidR="0037301E">
        <w:t>P</w:t>
      </w:r>
      <w:r>
        <w:t xml:space="preserve">rogram that potentially results in customers paying more than the PTC could result in customers becoming less comfortable with electric choice. </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vii</w:t>
      </w:r>
      <w:r w:rsidR="006D4D99">
        <w:rPr>
          <w:b/>
          <w:szCs w:val="24"/>
        </w:rPr>
        <w:t>.</w:t>
      </w:r>
      <w:r w:rsidR="006D4D99">
        <w:rPr>
          <w:b/>
          <w:szCs w:val="24"/>
        </w:rPr>
        <w:tab/>
        <w:t>Duquesne Industrial Intervenors’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pPr>
      <w:r>
        <w:rPr>
          <w:lang w:val="en-US"/>
        </w:rPr>
        <w:tab/>
      </w:r>
      <w:r w:rsidR="00AD3299">
        <w:rPr>
          <w:lang w:val="en-US"/>
        </w:rPr>
        <w:tab/>
      </w:r>
      <w:r>
        <w:rPr>
          <w:lang w:val="en-US"/>
        </w:rPr>
        <w:t>DII</w:t>
      </w:r>
      <w:r>
        <w:t xml:space="preserve"> takes no position on this issue.</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viii</w:t>
      </w:r>
      <w:r w:rsidR="006D4D99">
        <w:rPr>
          <w:b/>
          <w:szCs w:val="24"/>
        </w:rPr>
        <w:t>.</w:t>
      </w:r>
      <w:r w:rsidR="006D4D99">
        <w:rPr>
          <w:b/>
          <w:szCs w:val="24"/>
        </w:rPr>
        <w:tab/>
        <w:t>EGS Parties’ Position</w:t>
      </w:r>
    </w:p>
    <w:p w:rsidR="00F24E01" w:rsidRDefault="00F24E01" w:rsidP="004F65FA">
      <w:pPr>
        <w:pStyle w:val="BriefL3"/>
        <w:numPr>
          <w:ilvl w:val="0"/>
          <w:numId w:val="0"/>
        </w:numPr>
        <w:spacing w:after="0" w:line="360" w:lineRule="auto"/>
        <w:ind w:firstLine="720"/>
        <w:rPr>
          <w:b/>
          <w:szCs w:val="24"/>
        </w:rPr>
      </w:pPr>
    </w:p>
    <w:p w:rsidR="00666103" w:rsidRDefault="00AD3299" w:rsidP="004F65FA">
      <w:pPr>
        <w:spacing w:line="360" w:lineRule="auto"/>
        <w:ind w:firstLine="720"/>
      </w:pPr>
      <w:r>
        <w:tab/>
        <w:t xml:space="preserve">The EGS Parties support an offer that provides a fixed price for the duration of the product, not an offer with a variable price that would otherwise expose suppliers to significant risk.  (TJB St. No. 1-R, p.8).  The recommendation </w:t>
      </w:r>
      <w:r w:rsidR="00FF16F0">
        <w:t>–</w:t>
      </w:r>
      <w:r>
        <w:t xml:space="preserve"> for a guaranteed savings </w:t>
      </w:r>
    </w:p>
    <w:p w:rsidR="00AD3299" w:rsidRDefault="00AD3299" w:rsidP="004F65FA">
      <w:pPr>
        <w:spacing w:line="360" w:lineRule="auto"/>
      </w:pPr>
      <w:r>
        <w:t xml:space="preserve">offer </w:t>
      </w:r>
      <w:r w:rsidR="00666103">
        <w:t>–</w:t>
      </w:r>
      <w:r>
        <w:t xml:space="preserve"> makes little sense.  Duquesne proposed </w:t>
      </w:r>
      <w:r w:rsidR="00DD4EB6">
        <w:t>1</w:t>
      </w:r>
      <w:r>
        <w:t xml:space="preserve">-year procurements as the basis of its default service, and based upon the timing and the overlap of the ROA with full requirements contracts, the price may change one time, for the last month of the program.  To add the additional risk and notice requirements for a single month, when the price would otherwise be fixed and with no restrictions on shopping, makes no sense and the notion of a guaranteed savings product should be disregarded. </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ix</w:t>
      </w:r>
      <w:r w:rsidR="006D4D99">
        <w:rPr>
          <w:b/>
          <w:szCs w:val="24"/>
        </w:rPr>
        <w:t>.</w:t>
      </w:r>
      <w:r w:rsidR="006D4D99">
        <w:rPr>
          <w:b/>
          <w:szCs w:val="24"/>
        </w:rPr>
        <w:tab/>
        <w:t>FirstEnergy Solutions’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pPr>
      <w:r>
        <w:rPr>
          <w:lang w:val="en-US"/>
        </w:rPr>
        <w:tab/>
      </w:r>
      <w:r w:rsidR="00AD3299">
        <w:rPr>
          <w:lang w:val="en-US"/>
        </w:rPr>
        <w:tab/>
      </w:r>
      <w:r>
        <w:rPr>
          <w:lang w:val="en-US"/>
        </w:rPr>
        <w:t>FES</w:t>
      </w:r>
      <w:r>
        <w:t xml:space="preserve"> takes no position on this issue.</w:t>
      </w:r>
    </w:p>
    <w:p w:rsidR="006D4D99" w:rsidRDefault="006D4D99" w:rsidP="004F65FA">
      <w:pPr>
        <w:pStyle w:val="BodyText"/>
        <w:spacing w:after="0" w:line="360" w:lineRule="auto"/>
        <w:ind w:left="0" w:firstLine="0"/>
        <w:rPr>
          <w:szCs w:val="24"/>
          <w:lang w:val="en-US"/>
        </w:rPr>
      </w:pPr>
    </w:p>
    <w:p w:rsidR="006D4D99" w:rsidRDefault="004F65FA" w:rsidP="004F65FA">
      <w:pPr>
        <w:pStyle w:val="BriefL3"/>
        <w:numPr>
          <w:ilvl w:val="0"/>
          <w:numId w:val="0"/>
        </w:numPr>
        <w:spacing w:after="0" w:line="360" w:lineRule="auto"/>
        <w:ind w:left="1440" w:firstLine="720"/>
        <w:rPr>
          <w:b/>
          <w:szCs w:val="24"/>
        </w:rPr>
      </w:pPr>
      <w:r>
        <w:rPr>
          <w:b/>
          <w:szCs w:val="24"/>
        </w:rPr>
        <w:t>x</w:t>
      </w:r>
      <w:r w:rsidR="006D4D99">
        <w:rPr>
          <w:b/>
          <w:szCs w:val="24"/>
        </w:rPr>
        <w:t>.</w:t>
      </w:r>
      <w:r w:rsidR="006D4D99">
        <w:rPr>
          <w:b/>
          <w:szCs w:val="24"/>
        </w:rPr>
        <w:tab/>
        <w:t>Joint Suppliers’ Position</w:t>
      </w:r>
    </w:p>
    <w:p w:rsidR="006D4D99" w:rsidRDefault="006D4D99" w:rsidP="004F65FA">
      <w:pPr>
        <w:pStyle w:val="BodyText"/>
        <w:spacing w:after="0" w:line="360" w:lineRule="auto"/>
        <w:ind w:left="0" w:firstLine="0"/>
        <w:rPr>
          <w:szCs w:val="24"/>
          <w:lang w:val="en-US"/>
        </w:rPr>
      </w:pPr>
    </w:p>
    <w:p w:rsidR="006D4D99" w:rsidRDefault="006D4D99" w:rsidP="004F65FA">
      <w:pPr>
        <w:pStyle w:val="BodyText2"/>
        <w:spacing w:after="0" w:line="360" w:lineRule="auto"/>
      </w:pPr>
      <w:r>
        <w:rPr>
          <w:lang w:val="en-US"/>
        </w:rPr>
        <w:tab/>
      </w:r>
      <w:r w:rsidR="00AD3299">
        <w:rPr>
          <w:lang w:val="en-US"/>
        </w:rPr>
        <w:tab/>
      </w:r>
      <w:r>
        <w:rPr>
          <w:lang w:val="en-US"/>
        </w:rPr>
        <w:t>Joint Suppliers take</w:t>
      </w:r>
      <w:r>
        <w:t xml:space="preserve"> no position on this issue.</w:t>
      </w:r>
    </w:p>
    <w:p w:rsidR="00F47991" w:rsidRPr="00A36735" w:rsidRDefault="00F47991" w:rsidP="00F47991">
      <w:pPr>
        <w:pStyle w:val="ListParagraph"/>
        <w:autoSpaceDE/>
        <w:autoSpaceDN/>
        <w:ind w:left="1440" w:hanging="1440"/>
        <w:rPr>
          <w:b/>
        </w:rPr>
      </w:pPr>
      <w:r w:rsidRPr="00A36735">
        <w:rPr>
          <w:b/>
        </w:rPr>
        <w:lastRenderedPageBreak/>
        <w:t>Disposition</w:t>
      </w:r>
      <w:r>
        <w:rPr>
          <w:b/>
        </w:rPr>
        <w:t xml:space="preserve"> – Market Enhancement Programs – Retail Opt-In Program – Guaranteed  Savings</w:t>
      </w:r>
    </w:p>
    <w:p w:rsidR="00DD6125" w:rsidRDefault="00DD6125" w:rsidP="004F65FA">
      <w:pPr>
        <w:pStyle w:val="BodyText"/>
        <w:spacing w:after="0" w:line="360" w:lineRule="auto"/>
        <w:ind w:left="0" w:firstLine="0"/>
        <w:rPr>
          <w:szCs w:val="24"/>
          <w:lang w:val="en-US"/>
        </w:rPr>
      </w:pPr>
    </w:p>
    <w:p w:rsidR="00C86C9D" w:rsidRPr="004368E2" w:rsidRDefault="00C86C9D" w:rsidP="00C86C9D">
      <w:pPr>
        <w:spacing w:line="360" w:lineRule="auto"/>
        <w:rPr>
          <w:color w:val="000000" w:themeColor="text1"/>
        </w:rPr>
      </w:pPr>
      <w:r w:rsidRPr="004E7112">
        <w:rPr>
          <w:color w:val="000000" w:themeColor="text1"/>
        </w:rPr>
        <w:tab/>
      </w:r>
      <w:r w:rsidRPr="004E7112">
        <w:rPr>
          <w:color w:val="000000" w:themeColor="text1"/>
        </w:rPr>
        <w:tab/>
      </w:r>
      <w:r w:rsidRPr="004368E2">
        <w:rPr>
          <w:color w:val="000000" w:themeColor="text1"/>
        </w:rPr>
        <w:t>Guaranteed savings are important to customers and necessary to create confidence in competitive markets.  By combining the 12-month term of ROI service with 12-month procurements terms and 12-month price changes, the Company’s proposal will provide residential customers with the longest guaranteed savings.  Duquesne Light’s current default service customers have become accustomed to fixed rates for 29 months.  These customers are less likely to shop if they are only guaranteed saving</w:t>
      </w:r>
      <w:r>
        <w:rPr>
          <w:color w:val="000000" w:themeColor="text1"/>
        </w:rPr>
        <w:t>s</w:t>
      </w:r>
      <w:r w:rsidRPr="004368E2">
        <w:rPr>
          <w:color w:val="000000" w:themeColor="text1"/>
        </w:rPr>
        <w:t xml:space="preserve"> for </w:t>
      </w:r>
      <w:r>
        <w:rPr>
          <w:color w:val="000000" w:themeColor="text1"/>
        </w:rPr>
        <w:t>four</w:t>
      </w:r>
      <w:r w:rsidRPr="004368E2">
        <w:rPr>
          <w:color w:val="000000" w:themeColor="text1"/>
        </w:rPr>
        <w:t xml:space="preserve"> months.  A key objective of the ROI Program is to promote customer participation and to create confidence in the retail competitive market for the end users.  The Company’s proposal is more likely to encourage customer participation and result in customer satisfaction with competitive markets.</w:t>
      </w:r>
    </w:p>
    <w:p w:rsidR="00D872C4" w:rsidRDefault="00D872C4" w:rsidP="004F65FA">
      <w:pPr>
        <w:pStyle w:val="BodyText"/>
        <w:spacing w:after="0" w:line="360" w:lineRule="auto"/>
        <w:ind w:left="0" w:firstLine="0"/>
        <w:rPr>
          <w:szCs w:val="24"/>
          <w:lang w:val="en-US"/>
        </w:rPr>
      </w:pPr>
    </w:p>
    <w:p w:rsidR="000B0DA3" w:rsidRDefault="000B0DA3" w:rsidP="004F65FA">
      <w:pPr>
        <w:pStyle w:val="BriefL3"/>
        <w:numPr>
          <w:ilvl w:val="0"/>
          <w:numId w:val="0"/>
        </w:numPr>
        <w:spacing w:after="0" w:line="360" w:lineRule="auto"/>
        <w:ind w:left="720" w:firstLine="720"/>
        <w:rPr>
          <w:b/>
          <w:szCs w:val="24"/>
        </w:rPr>
      </w:pPr>
      <w:r>
        <w:rPr>
          <w:b/>
          <w:szCs w:val="24"/>
        </w:rPr>
        <w:t>f.</w:t>
      </w:r>
      <w:r>
        <w:rPr>
          <w:b/>
          <w:szCs w:val="24"/>
        </w:rPr>
        <w:tab/>
        <w:t>Customer Participation Cap</w:t>
      </w:r>
    </w:p>
    <w:p w:rsidR="00FE2447" w:rsidRDefault="00FE2447" w:rsidP="004F65FA">
      <w:pPr>
        <w:pStyle w:val="BriefL3"/>
        <w:numPr>
          <w:ilvl w:val="0"/>
          <w:numId w:val="0"/>
        </w:numPr>
        <w:spacing w:after="0" w:line="360" w:lineRule="auto"/>
        <w:ind w:left="2160"/>
        <w:rPr>
          <w:b/>
          <w:szCs w:val="24"/>
        </w:rPr>
      </w:pPr>
    </w:p>
    <w:p w:rsidR="000B0DA3" w:rsidRDefault="004F65FA" w:rsidP="004F65FA">
      <w:pPr>
        <w:pStyle w:val="BriefL3"/>
        <w:numPr>
          <w:ilvl w:val="0"/>
          <w:numId w:val="0"/>
        </w:numPr>
        <w:spacing w:after="0" w:line="360" w:lineRule="auto"/>
        <w:ind w:left="1440" w:firstLine="720"/>
        <w:rPr>
          <w:b/>
          <w:szCs w:val="24"/>
        </w:rPr>
      </w:pPr>
      <w:r>
        <w:rPr>
          <w:b/>
          <w:szCs w:val="24"/>
        </w:rPr>
        <w:t>i</w:t>
      </w:r>
      <w:r w:rsidR="00FE2447">
        <w:rPr>
          <w:b/>
          <w:szCs w:val="24"/>
        </w:rPr>
        <w:t>.</w:t>
      </w:r>
      <w:r w:rsidR="00FE2447">
        <w:rPr>
          <w:b/>
          <w:szCs w:val="24"/>
        </w:rPr>
        <w:tab/>
        <w:t>DLC’s Proposal</w:t>
      </w:r>
    </w:p>
    <w:p w:rsidR="000B0DA3" w:rsidRDefault="000B0DA3" w:rsidP="004F65FA">
      <w:pPr>
        <w:pStyle w:val="BodyText"/>
        <w:spacing w:after="0" w:line="360" w:lineRule="auto"/>
        <w:ind w:left="0" w:firstLine="0"/>
        <w:rPr>
          <w:szCs w:val="24"/>
          <w:lang w:val="en-US"/>
        </w:rPr>
      </w:pPr>
    </w:p>
    <w:p w:rsidR="00442F0C" w:rsidRDefault="00AA4AF1" w:rsidP="004F65FA">
      <w:pPr>
        <w:pStyle w:val="BodyText2"/>
        <w:spacing w:after="0" w:line="360" w:lineRule="auto"/>
        <w:rPr>
          <w:lang w:val="en-US"/>
        </w:rPr>
      </w:pPr>
      <w:r>
        <w:rPr>
          <w:lang w:val="en-US"/>
        </w:rPr>
        <w:tab/>
      </w:r>
      <w:r>
        <w:rPr>
          <w:lang w:val="en-US"/>
        </w:rPr>
        <w:tab/>
      </w:r>
      <w:r w:rsidR="00442F0C">
        <w:t xml:space="preserve">Duquesne Light </w:t>
      </w:r>
      <w:r w:rsidR="00874CB6">
        <w:rPr>
          <w:lang w:val="en-US"/>
        </w:rPr>
        <w:t>notes it</w:t>
      </w:r>
      <w:r w:rsidR="00442F0C">
        <w:t xml:space="preserve"> followed Commission guidance </w:t>
      </w:r>
      <w:r w:rsidR="00874CB6">
        <w:rPr>
          <w:lang w:val="en-US"/>
        </w:rPr>
        <w:t>when it proposed</w:t>
      </w:r>
      <w:r w:rsidR="00442F0C">
        <w:t xml:space="preserve"> that all remaining default service customers, other than customers who have elected not to release customer information and CAP customers, should receive notice of the offer under the ROI Program.  Duquesne Light St. No. 3, pp. 25-26.</w:t>
      </w:r>
      <w:r w:rsidR="00442F0C">
        <w:rPr>
          <w:rStyle w:val="FootnoteReference"/>
        </w:rPr>
        <w:footnoteReference w:id="87"/>
      </w:r>
      <w:r w:rsidR="00442F0C">
        <w:t xml:space="preserve">  Duquesne Light proposed a maximum number of customers that could elect ROI Service would be 50% of the customers receiving the offer.</w:t>
      </w:r>
      <w:r w:rsidR="00442F0C">
        <w:rPr>
          <w:rStyle w:val="FootnoteReference"/>
        </w:rPr>
        <w:footnoteReference w:id="88"/>
      </w:r>
      <w:r w:rsidR="00442F0C">
        <w:t xml:space="preserve">  Duquesne Light St. No. 3, p. 25.  The</w:t>
      </w:r>
      <w:r w:rsidR="00874CB6">
        <w:rPr>
          <w:lang w:val="en-US"/>
        </w:rPr>
        <w:t>se</w:t>
      </w:r>
      <w:r w:rsidR="00442F0C">
        <w:t xml:space="preserve"> provisions are in accord with Commission guidance.  </w:t>
      </w:r>
      <w:r w:rsidR="00442F0C">
        <w:rPr>
          <w:i/>
        </w:rPr>
        <w:t>Intermediate Work Plan Order</w:t>
      </w:r>
      <w:r w:rsidR="00442F0C">
        <w:t>, p. 60.</w:t>
      </w:r>
    </w:p>
    <w:p w:rsidR="00874CB6" w:rsidRPr="00874CB6" w:rsidRDefault="00874CB6" w:rsidP="00CA3537">
      <w:pPr>
        <w:pStyle w:val="BodyText2"/>
        <w:spacing w:after="0" w:line="360" w:lineRule="auto"/>
        <w:rPr>
          <w:lang w:val="en-US"/>
        </w:rPr>
      </w:pPr>
    </w:p>
    <w:p w:rsidR="00442F0C" w:rsidRDefault="00874CB6" w:rsidP="004F65FA">
      <w:pPr>
        <w:pStyle w:val="BodyText2"/>
        <w:spacing w:after="0" w:line="360" w:lineRule="auto"/>
      </w:pPr>
      <w:r>
        <w:rPr>
          <w:lang w:val="en-US"/>
        </w:rPr>
        <w:tab/>
      </w:r>
      <w:r>
        <w:rPr>
          <w:lang w:val="en-US"/>
        </w:rPr>
        <w:tab/>
        <w:t>The</w:t>
      </w:r>
      <w:r w:rsidR="00442F0C">
        <w:t xml:space="preserve"> Commission recommended a 50% customer participation cap, because this </w:t>
      </w:r>
      <w:r>
        <w:rPr>
          <w:lang w:val="en-US"/>
        </w:rPr>
        <w:t xml:space="preserve">cap </w:t>
      </w:r>
      <w:r w:rsidR="00442F0C">
        <w:t xml:space="preserve">provides for a large customer participation pool, while providing transparency to wholesale </w:t>
      </w:r>
      <w:r w:rsidR="00442F0C">
        <w:lastRenderedPageBreak/>
        <w:t xml:space="preserve">default service suppliers as they prepare bids, and while providing some level of certainty to those EGSs opting to participate in the Opt-In EGS Service RFP.  </w:t>
      </w:r>
      <w:r w:rsidR="00442F0C">
        <w:rPr>
          <w:i/>
        </w:rPr>
        <w:t>Intermediate Work Plan Order</w:t>
      </w:r>
      <w:r w:rsidR="00442F0C">
        <w:t xml:space="preserve">, p. 60.  Duquesne Light St. No. 3-R, pp. 19-20.  The Company followed the guidance provided in the </w:t>
      </w:r>
      <w:r w:rsidR="00442F0C">
        <w:rPr>
          <w:i/>
        </w:rPr>
        <w:t>Intermediate Work Plan Order</w:t>
      </w:r>
      <w:r w:rsidR="00442F0C">
        <w:t xml:space="preserve"> and the proposed cap is consistent with the Commission’s position in the </w:t>
      </w:r>
      <w:r w:rsidR="00442F0C">
        <w:rPr>
          <w:i/>
        </w:rPr>
        <w:t>FE Order</w:t>
      </w:r>
      <w:r w:rsidR="00442F0C">
        <w:t xml:space="preserve"> and </w:t>
      </w:r>
      <w:r w:rsidR="00442F0C">
        <w:rPr>
          <w:i/>
        </w:rPr>
        <w:t>PECO Binding Poll, Issue 15</w:t>
      </w:r>
      <w:r w:rsidR="00442F0C">
        <w:t xml:space="preserve">.  Therefore, the 50% customer participation cap should be approved.  </w:t>
      </w:r>
    </w:p>
    <w:p w:rsidR="00AA4AF1" w:rsidRDefault="00AA4AF1" w:rsidP="004F65FA">
      <w:pPr>
        <w:pStyle w:val="BodyText"/>
        <w:spacing w:after="0" w:line="360" w:lineRule="auto"/>
        <w:ind w:left="0" w:firstLine="0"/>
        <w:rPr>
          <w:szCs w:val="24"/>
          <w:lang w:val="en-US"/>
        </w:rPr>
      </w:pPr>
    </w:p>
    <w:p w:rsidR="00847E37" w:rsidRDefault="004F65FA" w:rsidP="004F65FA">
      <w:pPr>
        <w:pStyle w:val="BriefL3"/>
        <w:numPr>
          <w:ilvl w:val="0"/>
          <w:numId w:val="0"/>
        </w:numPr>
        <w:spacing w:after="0" w:line="360" w:lineRule="auto"/>
        <w:ind w:left="1440" w:firstLine="720"/>
        <w:rPr>
          <w:b/>
          <w:szCs w:val="24"/>
        </w:rPr>
      </w:pPr>
      <w:r>
        <w:rPr>
          <w:b/>
          <w:szCs w:val="24"/>
        </w:rPr>
        <w:t>ii</w:t>
      </w:r>
      <w:r w:rsidR="00847E37">
        <w:rPr>
          <w:b/>
          <w:szCs w:val="24"/>
        </w:rPr>
        <w:t>.</w:t>
      </w:r>
      <w:r w:rsidR="00847E37">
        <w:rPr>
          <w:b/>
          <w:szCs w:val="24"/>
        </w:rPr>
        <w:tab/>
        <w:t>OCA’s Position</w:t>
      </w:r>
    </w:p>
    <w:p w:rsidR="00AA4AF1" w:rsidRDefault="00AA4AF1" w:rsidP="004F65FA">
      <w:pPr>
        <w:pStyle w:val="BodyText"/>
        <w:spacing w:after="0" w:line="360" w:lineRule="auto"/>
        <w:ind w:left="0" w:firstLine="0"/>
        <w:rPr>
          <w:szCs w:val="24"/>
          <w:lang w:val="en-US"/>
        </w:rPr>
      </w:pPr>
    </w:p>
    <w:p w:rsidR="005B5909" w:rsidRDefault="005B5909" w:rsidP="005B5909">
      <w:pPr>
        <w:spacing w:line="360" w:lineRule="auto"/>
        <w:ind w:firstLine="1440"/>
      </w:pPr>
      <w:r>
        <w:t>OCA expressed concern about the Company’s method of assigning enrolling customers to participating EGSs</w:t>
      </w:r>
      <w:r w:rsidR="00D872C4">
        <w:t xml:space="preserve"> and </w:t>
      </w:r>
      <w:r>
        <w:t>recommended an alternativ</w:t>
      </w:r>
      <w:r w:rsidR="00D872C4">
        <w:t>e method of assigning customers</w:t>
      </w:r>
      <w:r w:rsidR="004F65FA">
        <w:t>.</w:t>
      </w:r>
    </w:p>
    <w:p w:rsidR="003B1C93" w:rsidRDefault="003B1C93" w:rsidP="005B5909">
      <w:pPr>
        <w:ind w:left="1440" w:right="720"/>
        <w:jc w:val="both"/>
      </w:pPr>
    </w:p>
    <w:p w:rsidR="005B5909" w:rsidRDefault="00D872C4" w:rsidP="004F65FA">
      <w:pPr>
        <w:spacing w:line="360" w:lineRule="auto"/>
        <w:ind w:firstLine="1440"/>
      </w:pPr>
      <w:r>
        <w:t>OCA avers its</w:t>
      </w:r>
      <w:r w:rsidR="005B5909">
        <w:t xml:space="preserve"> </w:t>
      </w:r>
      <w:r w:rsidR="004F65FA">
        <w:t xml:space="preserve">proposed </w:t>
      </w:r>
      <w:r w:rsidR="005B5909">
        <w:t xml:space="preserve">method </w:t>
      </w:r>
      <w:r>
        <w:t>should</w:t>
      </w:r>
      <w:r w:rsidR="005B5909">
        <w:t xml:space="preserve"> avoid the complications and additional customer interactions that Duquesne proposes when one EGS reaches its customer participation cap and others are not yet fully subscribed.  </w:t>
      </w:r>
      <w:r w:rsidR="005B5909">
        <w:rPr>
          <w:u w:val="single"/>
        </w:rPr>
        <w:t>Id</w:t>
      </w:r>
      <w:r w:rsidR="005B5909" w:rsidRPr="00D635C3">
        <w:t>.</w:t>
      </w:r>
      <w:r w:rsidR="005B5909">
        <w:t xml:space="preserve">  </w:t>
      </w:r>
      <w:r>
        <w:t>OCA notes</w:t>
      </w:r>
      <w:r w:rsidR="005B5909">
        <w:t xml:space="preserve"> the Company adopted </w:t>
      </w:r>
      <w:r>
        <w:t>this</w:t>
      </w:r>
      <w:r w:rsidR="005B5909">
        <w:t xml:space="preserve"> proposed method </w:t>
      </w:r>
      <w:r w:rsidR="00493B9D">
        <w:t>–</w:t>
      </w:r>
      <w:r>
        <w:t xml:space="preserve"> </w:t>
      </w:r>
      <w:r w:rsidR="005B5909">
        <w:t>of allocating enrolled customers among the participating suppliers</w:t>
      </w:r>
      <w:r>
        <w:t xml:space="preserve"> – in its Rebuttal testimony</w:t>
      </w:r>
      <w:r w:rsidR="005B5909">
        <w:t>.  Duquesne St. 3-R at 21, 84-85.</w:t>
      </w:r>
    </w:p>
    <w:p w:rsidR="005B5909" w:rsidRDefault="005B5909" w:rsidP="005B5909">
      <w:pPr>
        <w:spacing w:line="360" w:lineRule="auto"/>
      </w:pPr>
      <w:r>
        <w:t xml:space="preserve">                          </w:t>
      </w:r>
    </w:p>
    <w:p w:rsidR="005B5909" w:rsidRDefault="005B5909" w:rsidP="003A41A8">
      <w:pPr>
        <w:spacing w:line="360" w:lineRule="auto"/>
        <w:ind w:firstLine="1440"/>
      </w:pPr>
      <w:r>
        <w:t xml:space="preserve">According to the </w:t>
      </w:r>
      <w:r w:rsidRPr="00BB3E39">
        <w:rPr>
          <w:i/>
        </w:rPr>
        <w:t>IWP Order</w:t>
      </w:r>
      <w:r>
        <w:rPr>
          <w:u w:val="single"/>
        </w:rPr>
        <w:fldChar w:fldCharType="begin"/>
      </w:r>
      <w:r>
        <w:instrText xml:space="preserve"> TA \s "IWP Order" </w:instrText>
      </w:r>
      <w:r>
        <w:rPr>
          <w:u w:val="single"/>
        </w:rPr>
        <w:fldChar w:fldCharType="end"/>
      </w:r>
      <w:r>
        <w:t xml:space="preserve">, the cap on enrollment for the Opt-In Auction Program is recommended to be 50% of an EDC’s default service customer base (non-shopping customers), but there should be no limit on the number of customers an EDC solicits for the Program.  </w:t>
      </w:r>
      <w:r w:rsidRPr="008A56BF">
        <w:rPr>
          <w:i/>
        </w:rPr>
        <w:t>IWP Order</w:t>
      </w:r>
      <w:r>
        <w:rPr>
          <w:u w:val="single"/>
        </w:rPr>
        <w:fldChar w:fldCharType="begin"/>
      </w:r>
      <w:r>
        <w:instrText xml:space="preserve"> TA \s "IWP Order" </w:instrText>
      </w:r>
      <w:r>
        <w:rPr>
          <w:u w:val="single"/>
        </w:rPr>
        <w:fldChar w:fldCharType="end"/>
      </w:r>
      <w:r>
        <w:t xml:space="preserve"> at 59-60.  </w:t>
      </w:r>
    </w:p>
    <w:p w:rsidR="00B43798" w:rsidRDefault="00B43798" w:rsidP="003A41A8">
      <w:pPr>
        <w:spacing w:line="360" w:lineRule="auto"/>
        <w:ind w:left="1440" w:right="720"/>
        <w:jc w:val="both"/>
      </w:pPr>
    </w:p>
    <w:p w:rsidR="005B5909" w:rsidRDefault="005B5909" w:rsidP="003A41A8">
      <w:pPr>
        <w:spacing w:line="360" w:lineRule="auto"/>
      </w:pPr>
      <w:r>
        <w:tab/>
      </w:r>
      <w:r>
        <w:tab/>
        <w:t xml:space="preserve">Duquesne’s Opt-In Program proposal includes a 50% customer participation cap.  </w:t>
      </w:r>
      <w:r>
        <w:rPr>
          <w:u w:val="single"/>
        </w:rPr>
        <w:t>See</w:t>
      </w:r>
      <w:r>
        <w:t xml:space="preserve"> Duquesne St. 3 at 27-28.  To be clear, OCA agrees with the Commission’s concerns that the lack of any cap would result in an unreasonable level of uncertainty for wholesale suppliers.  OCA also agrees with the proposed method of determining the number of residential customers who can actually enroll in the program.  OCA submits, however, that a 20% cap on participation will provide the best opportunity for a successful program, while at the same time properly mitigating potential harm to default service customers. </w:t>
      </w:r>
      <w:r>
        <w:tab/>
      </w:r>
    </w:p>
    <w:p w:rsidR="005E053D" w:rsidRDefault="005E053D" w:rsidP="005B5909">
      <w:pPr>
        <w:spacing w:line="360" w:lineRule="auto"/>
      </w:pPr>
      <w:r>
        <w:lastRenderedPageBreak/>
        <w:tab/>
      </w:r>
      <w:r>
        <w:tab/>
      </w:r>
      <w:r w:rsidR="00D872C4">
        <w:t>OCA</w:t>
      </w:r>
      <w:r w:rsidR="005B5909">
        <w:t xml:space="preserve"> concluded a 20% customer participation cap is essential to reducing the volumetric risk that the Opt-In Program poses to default service suppliers.  </w:t>
      </w:r>
      <w:r w:rsidR="00D872C4">
        <w:t>OCA</w:t>
      </w:r>
      <w:r w:rsidR="005B5909">
        <w:t xml:space="preserve"> points out that Duquesne already has a robust level of retail migration at this time and to implement a Retail Auction that would capture 50% of the remaining default service customers is not necessary to “jump start” this market.  </w:t>
      </w:r>
      <w:r w:rsidR="005B5909">
        <w:rPr>
          <w:u w:val="single"/>
        </w:rPr>
        <w:t>Id.</w:t>
      </w:r>
      <w:r w:rsidR="005B5909">
        <w:t xml:space="preserve"> at 11.  OCA proposed a 20% cap in order to provide a reasonable platform for success of the </w:t>
      </w:r>
      <w:r w:rsidR="0037301E">
        <w:t>O</w:t>
      </w:r>
      <w:r w:rsidR="005B5909">
        <w:t>pt-</w:t>
      </w:r>
      <w:r w:rsidR="0037301E">
        <w:t>I</w:t>
      </w:r>
      <w:r w:rsidR="005B5909">
        <w:t xml:space="preserve">n </w:t>
      </w:r>
      <w:r w:rsidR="0037301E">
        <w:t>P</w:t>
      </w:r>
      <w:r w:rsidR="005B5909">
        <w:t xml:space="preserve">rogram, while at the same time ensuring that default service customers are not harmed.  OCA </w:t>
      </w:r>
      <w:r w:rsidR="00D872C4">
        <w:t xml:space="preserve">avers its proposal to </w:t>
      </w:r>
      <w:r w:rsidR="005B5909">
        <w:t xml:space="preserve">“hold back” </w:t>
      </w:r>
      <w:r w:rsidR="00D872C4">
        <w:t xml:space="preserve">20% </w:t>
      </w:r>
      <w:r w:rsidR="005B5909">
        <w:t xml:space="preserve">from the general default service procurements </w:t>
      </w:r>
      <w:r w:rsidR="00D872C4">
        <w:t>will</w:t>
      </w:r>
      <w:r w:rsidR="005B5909">
        <w:t xml:space="preserve"> mitigate any risk to the wholesale default service suppliers.  OCA recognizes the Commission did not adopt this recommendation in the </w:t>
      </w:r>
      <w:r w:rsidR="005B5909">
        <w:rPr>
          <w:u w:val="single"/>
        </w:rPr>
        <w:t>FirstEnergy DSP Order</w:t>
      </w:r>
      <w:r w:rsidR="005B5909">
        <w:rPr>
          <w:u w:val="single"/>
        </w:rPr>
        <w:fldChar w:fldCharType="begin"/>
      </w:r>
      <w:r w:rsidR="005B5909">
        <w:instrText xml:space="preserve"> TA \s "FirstEnergy DSP Order" </w:instrText>
      </w:r>
      <w:r w:rsidR="005B5909">
        <w:rPr>
          <w:u w:val="single"/>
        </w:rPr>
        <w:fldChar w:fldCharType="end"/>
      </w:r>
      <w:r w:rsidR="005B5909">
        <w:t xml:space="preserve">.  </w:t>
      </w:r>
    </w:p>
    <w:p w:rsidR="00E6531B" w:rsidRDefault="00E6531B" w:rsidP="005B5909">
      <w:pPr>
        <w:spacing w:line="360" w:lineRule="auto"/>
      </w:pPr>
    </w:p>
    <w:p w:rsidR="003A41A8" w:rsidRDefault="005E053D" w:rsidP="005B5909">
      <w:pPr>
        <w:spacing w:line="360" w:lineRule="auto"/>
      </w:pPr>
      <w:r>
        <w:tab/>
      </w:r>
      <w:r>
        <w:tab/>
      </w:r>
      <w:r w:rsidR="00D872C4">
        <w:t>OCA points out</w:t>
      </w:r>
      <w:r w:rsidR="005B5909">
        <w:t xml:space="preserve">, however, this </w:t>
      </w:r>
      <w:r>
        <w:t xml:space="preserve">plan </w:t>
      </w:r>
      <w:r w:rsidR="005B5909">
        <w:t xml:space="preserve">will be Duquesne’s </w:t>
      </w:r>
      <w:r w:rsidR="005B5909" w:rsidRPr="00D872C4">
        <w:rPr>
          <w:u w:val="single"/>
        </w:rPr>
        <w:t>sixth</w:t>
      </w:r>
      <w:r w:rsidR="005B5909">
        <w:t xml:space="preserve"> DSP plan and Duquesne has had, for many years, the highest levels of shopping in the Commonwealth.  Therefore, this program should not be viewed as a means to “jumpstart” the Company’s already robust retail market.  In OCA’s view, adoption of OCA’s hold back proposal would, given these unique circumstances, provide a level of certainty for EGSs and wholesale suppliers alike.  </w:t>
      </w:r>
      <w:r w:rsidR="00D872C4">
        <w:t>The p</w:t>
      </w:r>
      <w:r w:rsidR="005B5909">
        <w:t xml:space="preserve">roposed OCA 20% cap would allow EGSs to make offers to customers directly, based on the level of interest generated by the Opt-In Program.  Similarly, OCA respectfully requests the Commission implement its method of assigning enrolling customers to participating EGSs that was adopted by Duquesne in the Company’s Rebuttal testimony to better and more fairly manage the participation cap. </w:t>
      </w:r>
    </w:p>
    <w:p w:rsidR="005B5909" w:rsidRDefault="005B5909" w:rsidP="005B5909">
      <w:pPr>
        <w:spacing w:line="360" w:lineRule="auto"/>
      </w:pPr>
      <w:r>
        <w:t xml:space="preserve"> </w:t>
      </w:r>
    </w:p>
    <w:p w:rsidR="00884AFB" w:rsidRDefault="003A41A8" w:rsidP="003A41A8">
      <w:pPr>
        <w:pStyle w:val="BriefL3"/>
        <w:numPr>
          <w:ilvl w:val="0"/>
          <w:numId w:val="0"/>
        </w:numPr>
        <w:spacing w:after="0" w:line="360" w:lineRule="auto"/>
        <w:ind w:left="1440" w:firstLine="720"/>
        <w:rPr>
          <w:b/>
          <w:szCs w:val="24"/>
        </w:rPr>
      </w:pPr>
      <w:r>
        <w:rPr>
          <w:b/>
          <w:szCs w:val="24"/>
        </w:rPr>
        <w:t>iii</w:t>
      </w:r>
      <w:r w:rsidR="00884AFB">
        <w:rPr>
          <w:b/>
          <w:szCs w:val="24"/>
        </w:rPr>
        <w:t>.</w:t>
      </w:r>
      <w:r w:rsidR="00884AFB">
        <w:rPr>
          <w:b/>
          <w:szCs w:val="24"/>
        </w:rPr>
        <w:tab/>
        <w:t>RESA’s Position</w:t>
      </w:r>
    </w:p>
    <w:p w:rsidR="00884AFB" w:rsidRDefault="00884AFB" w:rsidP="00C359E9">
      <w:pPr>
        <w:pStyle w:val="BodyText"/>
        <w:spacing w:after="0" w:line="360" w:lineRule="auto"/>
        <w:ind w:left="0" w:firstLine="0"/>
        <w:rPr>
          <w:szCs w:val="24"/>
          <w:lang w:val="en-US"/>
        </w:rPr>
      </w:pPr>
    </w:p>
    <w:p w:rsidR="00C359E9" w:rsidRDefault="00C359E9" w:rsidP="00C359E9">
      <w:pPr>
        <w:pStyle w:val="BodyText2"/>
        <w:spacing w:after="0" w:line="360" w:lineRule="auto"/>
        <w:rPr>
          <w:lang w:val="en-US"/>
        </w:rPr>
      </w:pPr>
      <w:r>
        <w:rPr>
          <w:lang w:val="en-US"/>
        </w:rPr>
        <w:tab/>
      </w:r>
      <w:r>
        <w:rPr>
          <w:lang w:val="en-US"/>
        </w:rPr>
        <w:tab/>
        <w:t>RESA contends the</w:t>
      </w:r>
      <w:r w:rsidR="00085C3A">
        <w:t xml:space="preserve"> record in this case </w:t>
      </w:r>
      <w:r>
        <w:rPr>
          <w:lang w:val="en-US"/>
        </w:rPr>
        <w:t>does not show any</w:t>
      </w:r>
      <w:r w:rsidR="00085C3A">
        <w:t xml:space="preserve"> reason to lower the customer participation cap as OCA has requested.  OCA submitted no evidence that an opt-in auction open to just half the default service load would result in wholesale suppliers including a risk premium in their wholesale bids beyond that which they already include.</w:t>
      </w:r>
      <w:r w:rsidR="00085C3A">
        <w:rPr>
          <w:rStyle w:val="FootnoteReference"/>
        </w:rPr>
        <w:footnoteReference w:id="89"/>
      </w:r>
      <w:r w:rsidR="00085C3A">
        <w:t xml:space="preserve">  Moreover, the law does not mandate that the Commission take steps to keep default rates as low as possible</w:t>
      </w:r>
      <w:r w:rsidR="00D872C4">
        <w:rPr>
          <w:lang w:val="en-US"/>
        </w:rPr>
        <w:t>.  RESA contends</w:t>
      </w:r>
      <w:r w:rsidR="00085C3A">
        <w:t xml:space="preserve"> the law mandates a process by which default supply is procured such that the result is electricity prices that are the least cost to customers over time.  </w:t>
      </w:r>
    </w:p>
    <w:p w:rsidR="00C359E9" w:rsidRDefault="00C359E9" w:rsidP="00C359E9">
      <w:pPr>
        <w:pStyle w:val="BodyText2"/>
        <w:spacing w:after="0" w:line="360" w:lineRule="auto"/>
        <w:rPr>
          <w:lang w:val="en-US"/>
        </w:rPr>
      </w:pPr>
      <w:r>
        <w:rPr>
          <w:lang w:val="en-US"/>
        </w:rPr>
        <w:lastRenderedPageBreak/>
        <w:tab/>
      </w:r>
      <w:r>
        <w:rPr>
          <w:lang w:val="en-US"/>
        </w:rPr>
        <w:tab/>
      </w:r>
      <w:r w:rsidR="00D872C4">
        <w:t xml:space="preserve">So long as the Commission </w:t>
      </w:r>
      <w:r w:rsidR="00085C3A">
        <w:t>structur</w:t>
      </w:r>
      <w:r w:rsidR="00D872C4">
        <w:rPr>
          <w:lang w:val="en-US"/>
        </w:rPr>
        <w:t>es</w:t>
      </w:r>
      <w:r w:rsidR="00085C3A">
        <w:t xml:space="preserve"> the procurement process </w:t>
      </w:r>
      <w:r w:rsidR="00D872C4">
        <w:rPr>
          <w:lang w:val="en-US"/>
        </w:rPr>
        <w:t xml:space="preserve">so </w:t>
      </w:r>
      <w:r w:rsidR="00085C3A">
        <w:t>the process is likely to produce the least cost electricity prices over time, then its statutory mandate is fulfilled.</w:t>
      </w:r>
      <w:r w:rsidR="00085C3A">
        <w:rPr>
          <w:vertAlign w:val="superscript"/>
        </w:rPr>
        <w:footnoteReference w:id="90"/>
      </w:r>
      <w:r w:rsidR="00085C3A">
        <w:t xml:space="preserve">  Over time, consumers will benefit far more from the development of fully competitive markets than from any short-term impact that might be achieved by suppressing customer migration away from default service.  </w:t>
      </w:r>
    </w:p>
    <w:p w:rsidR="00C359E9" w:rsidRDefault="00C359E9" w:rsidP="00C359E9">
      <w:pPr>
        <w:pStyle w:val="BodyText2"/>
        <w:spacing w:after="0" w:line="360" w:lineRule="auto"/>
        <w:rPr>
          <w:lang w:val="en-US"/>
        </w:rPr>
      </w:pPr>
    </w:p>
    <w:p w:rsidR="00085C3A" w:rsidRDefault="00C359E9" w:rsidP="00C359E9">
      <w:pPr>
        <w:pStyle w:val="BodyText2"/>
        <w:spacing w:after="0" w:line="360" w:lineRule="auto"/>
        <w:rPr>
          <w:lang w:val="en-US"/>
        </w:rPr>
      </w:pPr>
      <w:r>
        <w:rPr>
          <w:lang w:val="en-US"/>
        </w:rPr>
        <w:tab/>
      </w:r>
      <w:r>
        <w:rPr>
          <w:lang w:val="en-US"/>
        </w:rPr>
        <w:tab/>
      </w:r>
      <w:r w:rsidR="00085C3A">
        <w:t xml:space="preserve">To achieve fully competitive markets it is necessary to take steps to try to encourage those remaining non-shopping customers to utilize the competitive market.  It would be antithetical to the Commission’s goal of developing a robustly competitive retail market, as well as its mandate to structure default service in a way that produces the lowest price electricity rates over time, to impose excessive limitations on the number of customers who can participate in the very programs intended to promote migration away from default service. </w:t>
      </w:r>
    </w:p>
    <w:p w:rsidR="00C359E9" w:rsidRPr="00C359E9" w:rsidRDefault="00C359E9" w:rsidP="00C359E9">
      <w:pPr>
        <w:pStyle w:val="BodyText2"/>
        <w:spacing w:after="0" w:line="360" w:lineRule="auto"/>
        <w:rPr>
          <w:lang w:val="en-US"/>
        </w:rPr>
      </w:pPr>
    </w:p>
    <w:p w:rsidR="00085C3A" w:rsidRDefault="00C359E9" w:rsidP="00C359E9">
      <w:pPr>
        <w:pStyle w:val="BodyText2"/>
        <w:spacing w:after="0" w:line="360" w:lineRule="auto"/>
      </w:pPr>
      <w:r>
        <w:rPr>
          <w:lang w:val="en-US"/>
        </w:rPr>
        <w:tab/>
      </w:r>
      <w:r>
        <w:rPr>
          <w:lang w:val="en-US"/>
        </w:rPr>
        <w:tab/>
      </w:r>
      <w:r w:rsidR="00085C3A">
        <w:t>Finally, OCA’s argument that enrollment numbers below the 50% cap would be viewed as a public failure, and that the remedy for such a risk is to reduce the cap by 60 percent, is speculative and wholly unpersuasive.</w:t>
      </w:r>
      <w:r w:rsidR="00085C3A">
        <w:rPr>
          <w:rStyle w:val="FootnoteReference"/>
        </w:rPr>
        <w:footnoteReference w:id="91"/>
      </w:r>
      <w:r w:rsidR="00085C3A">
        <w:t xml:space="preserve">  It is not clear who OCA believes would have these negative perceptions of the program in the event the participation cap is not reached, as customers who participate are likely to be satisfied because they will save money, and they, as well as non-participants, will benefit from the competitive market.</w:t>
      </w:r>
      <w:r w:rsidR="00085C3A">
        <w:rPr>
          <w:rStyle w:val="FootnoteReference"/>
        </w:rPr>
        <w:footnoteReference w:id="92"/>
      </w:r>
      <w:r w:rsidR="00085C3A">
        <w:t xml:space="preserve">  </w:t>
      </w:r>
    </w:p>
    <w:p w:rsidR="005E3F58" w:rsidRDefault="005E3F58" w:rsidP="005E3F58">
      <w:pPr>
        <w:pStyle w:val="BodyText"/>
        <w:spacing w:after="0" w:line="360" w:lineRule="auto"/>
        <w:ind w:left="0" w:firstLine="0"/>
        <w:rPr>
          <w:szCs w:val="24"/>
          <w:lang w:val="en-US"/>
        </w:rPr>
      </w:pPr>
    </w:p>
    <w:p w:rsidR="005E3F58" w:rsidRDefault="003A41A8" w:rsidP="003A41A8">
      <w:pPr>
        <w:pStyle w:val="BriefL3"/>
        <w:numPr>
          <w:ilvl w:val="0"/>
          <w:numId w:val="0"/>
        </w:numPr>
        <w:spacing w:after="0" w:line="360" w:lineRule="auto"/>
        <w:ind w:left="1440" w:firstLine="720"/>
        <w:rPr>
          <w:b/>
          <w:szCs w:val="24"/>
        </w:rPr>
      </w:pPr>
      <w:r>
        <w:rPr>
          <w:b/>
          <w:szCs w:val="24"/>
        </w:rPr>
        <w:t>iv</w:t>
      </w:r>
      <w:r w:rsidR="005E3F58">
        <w:rPr>
          <w:b/>
          <w:szCs w:val="24"/>
        </w:rPr>
        <w:t>.</w:t>
      </w:r>
      <w:r w:rsidR="005E3F58">
        <w:rPr>
          <w:b/>
          <w:szCs w:val="24"/>
        </w:rPr>
        <w:tab/>
        <w:t>OSBA’s Position</w:t>
      </w:r>
    </w:p>
    <w:p w:rsidR="00833501" w:rsidRDefault="00833501" w:rsidP="00833501">
      <w:pPr>
        <w:pStyle w:val="BodyText"/>
        <w:spacing w:after="0" w:line="360" w:lineRule="auto"/>
        <w:ind w:left="0" w:firstLine="0"/>
        <w:rPr>
          <w:szCs w:val="24"/>
          <w:lang w:val="en-US"/>
        </w:rPr>
      </w:pPr>
    </w:p>
    <w:p w:rsidR="00833501" w:rsidRPr="00833501" w:rsidRDefault="00833501" w:rsidP="00833501">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Program that only applies to residential customers.</w:t>
      </w:r>
    </w:p>
    <w:p w:rsidR="00833501" w:rsidRDefault="00833501" w:rsidP="00833501">
      <w:pPr>
        <w:pStyle w:val="BodyText"/>
        <w:spacing w:after="0" w:line="360" w:lineRule="auto"/>
        <w:ind w:left="0" w:firstLine="0"/>
        <w:rPr>
          <w:szCs w:val="24"/>
          <w:lang w:val="en-US"/>
        </w:rPr>
      </w:pPr>
    </w:p>
    <w:p w:rsidR="005E3F58" w:rsidRDefault="003A41A8" w:rsidP="003A41A8">
      <w:pPr>
        <w:pStyle w:val="BriefL3"/>
        <w:numPr>
          <w:ilvl w:val="0"/>
          <w:numId w:val="0"/>
        </w:numPr>
        <w:spacing w:after="0" w:line="360" w:lineRule="auto"/>
        <w:ind w:left="1440" w:firstLine="720"/>
        <w:rPr>
          <w:b/>
          <w:szCs w:val="24"/>
        </w:rPr>
      </w:pPr>
      <w:r>
        <w:rPr>
          <w:b/>
          <w:szCs w:val="24"/>
        </w:rPr>
        <w:t>v</w:t>
      </w:r>
      <w:r w:rsidR="005E3F58">
        <w:rPr>
          <w:b/>
          <w:szCs w:val="24"/>
        </w:rPr>
        <w:t>.</w:t>
      </w:r>
      <w:r w:rsidR="005E3F58">
        <w:rPr>
          <w:b/>
          <w:szCs w:val="24"/>
        </w:rPr>
        <w:tab/>
        <w:t>CAUSE’s Position</w:t>
      </w:r>
    </w:p>
    <w:p w:rsidR="005E3F58" w:rsidRDefault="005E3F58" w:rsidP="003A41A8">
      <w:pPr>
        <w:pStyle w:val="BodyText"/>
        <w:spacing w:after="0" w:line="360" w:lineRule="auto"/>
        <w:ind w:left="0" w:firstLine="0"/>
        <w:rPr>
          <w:szCs w:val="24"/>
          <w:lang w:val="en-US"/>
        </w:rPr>
      </w:pPr>
    </w:p>
    <w:p w:rsidR="005E3F58" w:rsidRDefault="005E3F58" w:rsidP="003A41A8">
      <w:pPr>
        <w:pStyle w:val="BodyText2"/>
        <w:spacing w:after="0" w:line="360" w:lineRule="auto"/>
      </w:pPr>
      <w:r>
        <w:rPr>
          <w:lang w:val="en-US"/>
        </w:rPr>
        <w:tab/>
      </w:r>
      <w:r w:rsidR="00433E69">
        <w:rPr>
          <w:lang w:val="en-US"/>
        </w:rPr>
        <w:tab/>
      </w:r>
      <w:r>
        <w:rPr>
          <w:lang w:val="en-US"/>
        </w:rPr>
        <w:t>CAUSE</w:t>
      </w:r>
      <w:r>
        <w:t xml:space="preserve"> takes no position on this issue.</w:t>
      </w:r>
    </w:p>
    <w:p w:rsidR="005E3F58" w:rsidRDefault="003A41A8" w:rsidP="003A41A8">
      <w:pPr>
        <w:pStyle w:val="BriefL3"/>
        <w:numPr>
          <w:ilvl w:val="0"/>
          <w:numId w:val="0"/>
        </w:numPr>
        <w:spacing w:after="0" w:line="360" w:lineRule="auto"/>
        <w:ind w:left="1440" w:firstLine="720"/>
        <w:rPr>
          <w:b/>
          <w:szCs w:val="24"/>
        </w:rPr>
      </w:pPr>
      <w:r>
        <w:rPr>
          <w:b/>
          <w:szCs w:val="24"/>
        </w:rPr>
        <w:lastRenderedPageBreak/>
        <w:t>vi</w:t>
      </w:r>
      <w:r w:rsidR="005E3F58">
        <w:rPr>
          <w:b/>
          <w:szCs w:val="24"/>
        </w:rPr>
        <w:t>.</w:t>
      </w:r>
      <w:r w:rsidR="005E3F58">
        <w:rPr>
          <w:b/>
          <w:szCs w:val="24"/>
        </w:rPr>
        <w:tab/>
        <w:t>Citizen Power’s Position</w:t>
      </w:r>
    </w:p>
    <w:p w:rsidR="005E3F58" w:rsidRDefault="005E3F58" w:rsidP="003A41A8">
      <w:pPr>
        <w:pStyle w:val="BodyText"/>
        <w:spacing w:after="0" w:line="360" w:lineRule="auto"/>
        <w:ind w:left="0" w:firstLine="0"/>
        <w:rPr>
          <w:szCs w:val="24"/>
          <w:lang w:val="en-US"/>
        </w:rPr>
      </w:pPr>
    </w:p>
    <w:p w:rsidR="00AD3299" w:rsidRDefault="00AD3299" w:rsidP="003A41A8">
      <w:pPr>
        <w:spacing w:line="360" w:lineRule="auto"/>
        <w:ind w:firstLine="720"/>
      </w:pPr>
      <w:r>
        <w:tab/>
        <w:t xml:space="preserve">Citizen Power agrees with OCA that the customer participation cap should be lower than 50%. </w:t>
      </w:r>
      <w:r w:rsidR="006A46F6">
        <w:t xml:space="preserve"> </w:t>
      </w:r>
      <w:r>
        <w:t xml:space="preserve">Specifically, Citizen Power believes the unknowable participation numbers combined with a high cap can create substantial risk for potential default service supply bidders, and this risk will be reflected in the submitted bids. </w:t>
      </w:r>
      <w:r w:rsidR="006A46F6">
        <w:t xml:space="preserve"> </w:t>
      </w:r>
      <w:r>
        <w:t xml:space="preserve">While it is true that significant numbers of customers have already left default service, the difference is that the </w:t>
      </w:r>
      <w:r w:rsidR="005677D7">
        <w:t>O</w:t>
      </w:r>
      <w:r>
        <w:t>pt-</w:t>
      </w:r>
      <w:r w:rsidR="005677D7">
        <w:t>I</w:t>
      </w:r>
      <w:r>
        <w:t xml:space="preserve">n </w:t>
      </w:r>
      <w:r w:rsidR="005677D7">
        <w:t>P</w:t>
      </w:r>
      <w:r>
        <w:t xml:space="preserve">rogram may (or may not) result in large numbers of customers leaving default service at the same time. </w:t>
      </w:r>
      <w:r w:rsidR="006A46F6">
        <w:t xml:space="preserve"> </w:t>
      </w:r>
      <w:r>
        <w:t xml:space="preserve">The unpredictability of the program is what separates it from the known migration history and that is what creates the potential for increased default service risk premiums being incorporated into bids to a degree to endanger the ability of Duquesne to provide default service which is least cost over time. </w:t>
      </w:r>
      <w:r w:rsidR="006A46F6">
        <w:t xml:space="preserve"> </w:t>
      </w:r>
      <w:r>
        <w:t xml:space="preserve">Additionally, if the PTC is higher than it would be because of the risk premiums, the consumer savings resulting from participating in the </w:t>
      </w:r>
      <w:r w:rsidR="005677D7">
        <w:t>O</w:t>
      </w:r>
      <w:r>
        <w:t>pt-</w:t>
      </w:r>
      <w:r w:rsidR="005677D7">
        <w:t>I</w:t>
      </w:r>
      <w:r>
        <w:t xml:space="preserve">n </w:t>
      </w:r>
      <w:r w:rsidR="005677D7">
        <w:t>P</w:t>
      </w:r>
      <w:r>
        <w:t>rogram may be illusory.</w:t>
      </w:r>
    </w:p>
    <w:p w:rsidR="005E3F58" w:rsidRDefault="005E3F58" w:rsidP="003A41A8">
      <w:pPr>
        <w:pStyle w:val="BodyText"/>
        <w:spacing w:after="0" w:line="360" w:lineRule="auto"/>
        <w:ind w:left="0" w:firstLine="0"/>
        <w:rPr>
          <w:szCs w:val="24"/>
          <w:lang w:val="en-US"/>
        </w:rPr>
      </w:pPr>
    </w:p>
    <w:p w:rsidR="005E3F58" w:rsidRDefault="003A41A8" w:rsidP="003A41A8">
      <w:pPr>
        <w:pStyle w:val="BriefL3"/>
        <w:numPr>
          <w:ilvl w:val="0"/>
          <w:numId w:val="0"/>
        </w:numPr>
        <w:spacing w:after="0" w:line="360" w:lineRule="auto"/>
        <w:ind w:left="1440" w:firstLine="720"/>
        <w:rPr>
          <w:b/>
          <w:szCs w:val="24"/>
        </w:rPr>
      </w:pPr>
      <w:r>
        <w:rPr>
          <w:b/>
          <w:szCs w:val="24"/>
        </w:rPr>
        <w:t>vii</w:t>
      </w:r>
      <w:r w:rsidR="005E3F58">
        <w:rPr>
          <w:b/>
          <w:szCs w:val="24"/>
        </w:rPr>
        <w:t>.</w:t>
      </w:r>
      <w:r w:rsidR="005E3F58">
        <w:rPr>
          <w:b/>
          <w:szCs w:val="24"/>
        </w:rPr>
        <w:tab/>
        <w:t>Duquesne Industrial Intervenors’ Position</w:t>
      </w:r>
    </w:p>
    <w:p w:rsidR="005E3F58" w:rsidRDefault="005E3F58" w:rsidP="003A41A8">
      <w:pPr>
        <w:pStyle w:val="BodyText"/>
        <w:spacing w:after="0" w:line="360" w:lineRule="auto"/>
        <w:ind w:left="0" w:firstLine="0"/>
        <w:rPr>
          <w:szCs w:val="24"/>
          <w:lang w:val="en-US"/>
        </w:rPr>
      </w:pPr>
    </w:p>
    <w:p w:rsidR="005E3F58" w:rsidRDefault="005E3F58" w:rsidP="003A41A8">
      <w:pPr>
        <w:pStyle w:val="BodyText2"/>
        <w:spacing w:after="0" w:line="360" w:lineRule="auto"/>
      </w:pPr>
      <w:r>
        <w:rPr>
          <w:lang w:val="en-US"/>
        </w:rPr>
        <w:tab/>
      </w:r>
      <w:r w:rsidR="00AD3299">
        <w:rPr>
          <w:lang w:val="en-US"/>
        </w:rPr>
        <w:tab/>
      </w:r>
      <w:r>
        <w:rPr>
          <w:lang w:val="en-US"/>
        </w:rPr>
        <w:t>DII</w:t>
      </w:r>
      <w:r>
        <w:t xml:space="preserve"> takes no position on this issue.</w:t>
      </w:r>
    </w:p>
    <w:p w:rsidR="005E3F58" w:rsidRDefault="005E3F58" w:rsidP="003A41A8">
      <w:pPr>
        <w:pStyle w:val="BodyText"/>
        <w:spacing w:after="0" w:line="360" w:lineRule="auto"/>
        <w:ind w:left="0" w:firstLine="0"/>
        <w:rPr>
          <w:szCs w:val="24"/>
          <w:lang w:val="en-US"/>
        </w:rPr>
      </w:pPr>
    </w:p>
    <w:p w:rsidR="005E3F58" w:rsidRDefault="003A41A8" w:rsidP="003A41A8">
      <w:pPr>
        <w:pStyle w:val="BriefL3"/>
        <w:numPr>
          <w:ilvl w:val="0"/>
          <w:numId w:val="0"/>
        </w:numPr>
        <w:spacing w:after="0" w:line="360" w:lineRule="auto"/>
        <w:ind w:left="1440" w:firstLine="720"/>
        <w:rPr>
          <w:b/>
          <w:szCs w:val="24"/>
        </w:rPr>
      </w:pPr>
      <w:r>
        <w:rPr>
          <w:b/>
          <w:szCs w:val="24"/>
        </w:rPr>
        <w:t>viii</w:t>
      </w:r>
      <w:r w:rsidR="005E3F58">
        <w:rPr>
          <w:b/>
          <w:szCs w:val="24"/>
        </w:rPr>
        <w:t>.</w:t>
      </w:r>
      <w:r w:rsidR="005E3F58">
        <w:rPr>
          <w:b/>
          <w:szCs w:val="24"/>
        </w:rPr>
        <w:tab/>
        <w:t>EGS Parties’ Position</w:t>
      </w:r>
    </w:p>
    <w:p w:rsidR="005E3F58" w:rsidRDefault="005E3F58" w:rsidP="003A41A8">
      <w:pPr>
        <w:pStyle w:val="BodyText"/>
        <w:spacing w:after="0" w:line="360" w:lineRule="auto"/>
        <w:ind w:left="0" w:firstLine="0"/>
        <w:rPr>
          <w:szCs w:val="24"/>
          <w:lang w:val="en-US"/>
        </w:rPr>
      </w:pPr>
    </w:p>
    <w:p w:rsidR="005E3F58" w:rsidRDefault="005E3F58" w:rsidP="003A41A8">
      <w:pPr>
        <w:pStyle w:val="BodyText2"/>
        <w:spacing w:after="0" w:line="360" w:lineRule="auto"/>
        <w:rPr>
          <w:lang w:val="en-US"/>
        </w:rPr>
      </w:pPr>
      <w:r>
        <w:rPr>
          <w:lang w:val="en-US"/>
        </w:rPr>
        <w:tab/>
      </w:r>
      <w:r w:rsidR="00AD3299">
        <w:rPr>
          <w:lang w:val="en-US"/>
        </w:rPr>
        <w:tab/>
        <w:t xml:space="preserve">The </w:t>
      </w:r>
      <w:r>
        <w:rPr>
          <w:lang w:val="en-US"/>
        </w:rPr>
        <w:t xml:space="preserve">EGS Parties </w:t>
      </w:r>
      <w:r w:rsidR="00AD3299">
        <w:rPr>
          <w:lang w:val="en-US"/>
        </w:rPr>
        <w:t>support the 50% customer participation cap proposed by DLC</w:t>
      </w:r>
      <w:r>
        <w:t>.</w:t>
      </w:r>
    </w:p>
    <w:p w:rsidR="003A41A8" w:rsidRPr="003A41A8" w:rsidRDefault="003A41A8" w:rsidP="003A41A8">
      <w:pPr>
        <w:pStyle w:val="BodyText2"/>
        <w:spacing w:after="0" w:line="360" w:lineRule="auto"/>
        <w:rPr>
          <w:lang w:val="en-US"/>
        </w:rPr>
      </w:pPr>
    </w:p>
    <w:p w:rsidR="005E3F58" w:rsidRDefault="003A41A8" w:rsidP="003A41A8">
      <w:pPr>
        <w:pStyle w:val="BriefL3"/>
        <w:numPr>
          <w:ilvl w:val="0"/>
          <w:numId w:val="0"/>
        </w:numPr>
        <w:spacing w:after="0" w:line="360" w:lineRule="auto"/>
        <w:ind w:left="1440" w:firstLine="720"/>
        <w:rPr>
          <w:b/>
          <w:szCs w:val="24"/>
        </w:rPr>
      </w:pPr>
      <w:r>
        <w:rPr>
          <w:b/>
          <w:szCs w:val="24"/>
        </w:rPr>
        <w:t>ix</w:t>
      </w:r>
      <w:r w:rsidR="005E3F58">
        <w:rPr>
          <w:b/>
          <w:szCs w:val="24"/>
        </w:rPr>
        <w:t>.</w:t>
      </w:r>
      <w:r w:rsidR="005E3F58">
        <w:rPr>
          <w:b/>
          <w:szCs w:val="24"/>
        </w:rPr>
        <w:tab/>
        <w:t>FirstEnergy Solutions’ Position</w:t>
      </w:r>
    </w:p>
    <w:p w:rsidR="005E3F58" w:rsidRDefault="005E3F58" w:rsidP="003A41A8">
      <w:pPr>
        <w:pStyle w:val="BodyText"/>
        <w:spacing w:after="0" w:line="360" w:lineRule="auto"/>
        <w:ind w:left="0" w:firstLine="0"/>
        <w:rPr>
          <w:szCs w:val="24"/>
          <w:lang w:val="en-US"/>
        </w:rPr>
      </w:pPr>
    </w:p>
    <w:p w:rsidR="00AD3299" w:rsidRDefault="00AD3299" w:rsidP="003A41A8">
      <w:pPr>
        <w:pStyle w:val="BodyTextFirstLine5DS"/>
        <w:spacing w:line="360" w:lineRule="auto"/>
        <w:jc w:val="left"/>
      </w:pPr>
      <w:r>
        <w:tab/>
        <w:t>Duquesne Light asserted that FES opposed the customer participation cap, however, this statement is based upon an error that FES corrected through Errata and a corrected page 14 to its Direct Testimony.  While there had been a heading on the original page 14 relating to customer participation caps, there was no discussion of customer participation caps, and the Errata deleted the incorrect heading.  FES submitted no testimony on this component of Duquesne Light</w:t>
      </w:r>
      <w:r w:rsidR="00550D82">
        <w:t>’</w:t>
      </w:r>
      <w:r>
        <w:t>s proposed Opt-In Program and takes no position on the issue in this Main Brief.  However, FES reserves the right to reply to other parties</w:t>
      </w:r>
      <w:r w:rsidR="00550D82">
        <w:t>’</w:t>
      </w:r>
      <w:r>
        <w:t xml:space="preserve"> arguments on this issue.</w:t>
      </w:r>
    </w:p>
    <w:p w:rsidR="005E3F58" w:rsidRDefault="003A41A8" w:rsidP="003A41A8">
      <w:pPr>
        <w:pStyle w:val="BriefL3"/>
        <w:numPr>
          <w:ilvl w:val="0"/>
          <w:numId w:val="0"/>
        </w:numPr>
        <w:spacing w:after="0" w:line="360" w:lineRule="auto"/>
        <w:ind w:left="1440" w:firstLine="720"/>
        <w:rPr>
          <w:b/>
          <w:szCs w:val="24"/>
        </w:rPr>
      </w:pPr>
      <w:r>
        <w:rPr>
          <w:b/>
          <w:szCs w:val="24"/>
        </w:rPr>
        <w:lastRenderedPageBreak/>
        <w:t>x</w:t>
      </w:r>
      <w:r w:rsidR="005E3F58">
        <w:rPr>
          <w:b/>
          <w:szCs w:val="24"/>
        </w:rPr>
        <w:t>.</w:t>
      </w:r>
      <w:r w:rsidR="005E3F58">
        <w:rPr>
          <w:b/>
          <w:szCs w:val="24"/>
        </w:rPr>
        <w:tab/>
        <w:t>Joint Suppliers’ Position</w:t>
      </w:r>
    </w:p>
    <w:p w:rsidR="005E3F58" w:rsidRDefault="005E3F58" w:rsidP="003A41A8">
      <w:pPr>
        <w:pStyle w:val="BodyText"/>
        <w:spacing w:after="0" w:line="360" w:lineRule="auto"/>
        <w:ind w:left="0" w:firstLine="0"/>
        <w:rPr>
          <w:szCs w:val="24"/>
          <w:lang w:val="en-US"/>
        </w:rPr>
      </w:pPr>
    </w:p>
    <w:p w:rsidR="005E3F58" w:rsidRDefault="005E3F58" w:rsidP="003A41A8">
      <w:pPr>
        <w:pStyle w:val="BodyText2"/>
        <w:spacing w:after="0" w:line="360" w:lineRule="auto"/>
        <w:rPr>
          <w:lang w:val="en-US"/>
        </w:rPr>
      </w:pPr>
      <w:r>
        <w:rPr>
          <w:lang w:val="en-US"/>
        </w:rPr>
        <w:tab/>
      </w:r>
      <w:r w:rsidR="00AD3299">
        <w:rPr>
          <w:lang w:val="en-US"/>
        </w:rPr>
        <w:tab/>
      </w:r>
      <w:r>
        <w:rPr>
          <w:lang w:val="en-US"/>
        </w:rPr>
        <w:t>Joint Suppliers take</w:t>
      </w:r>
      <w:r>
        <w:t xml:space="preserve"> no position on this issue.</w:t>
      </w:r>
    </w:p>
    <w:p w:rsidR="003A41A8" w:rsidRPr="003A41A8" w:rsidRDefault="003A41A8" w:rsidP="003A41A8">
      <w:pPr>
        <w:pStyle w:val="BodyText2"/>
        <w:spacing w:after="0" w:line="360" w:lineRule="auto"/>
        <w:rPr>
          <w:lang w:val="en-US"/>
        </w:rPr>
      </w:pPr>
    </w:p>
    <w:p w:rsidR="00DF55F8" w:rsidRPr="00A36735" w:rsidRDefault="00DF55F8" w:rsidP="00DF55F8">
      <w:pPr>
        <w:pStyle w:val="ListParagraph"/>
        <w:autoSpaceDE/>
        <w:autoSpaceDN/>
        <w:ind w:left="1440" w:hanging="1440"/>
        <w:rPr>
          <w:b/>
        </w:rPr>
      </w:pPr>
      <w:r w:rsidRPr="00A36735">
        <w:rPr>
          <w:b/>
        </w:rPr>
        <w:t>Disposition</w:t>
      </w:r>
      <w:r>
        <w:rPr>
          <w:b/>
        </w:rPr>
        <w:t xml:space="preserve"> – Market Enhancement Programs – Retail Opt-In Program – Customer Participation Cap</w:t>
      </w:r>
    </w:p>
    <w:p w:rsidR="00DD6125" w:rsidRDefault="00DD6125" w:rsidP="003A41A8">
      <w:pPr>
        <w:pStyle w:val="BodyText"/>
        <w:spacing w:after="0" w:line="360" w:lineRule="auto"/>
        <w:ind w:left="0" w:firstLine="0"/>
        <w:rPr>
          <w:szCs w:val="24"/>
          <w:lang w:val="en-US"/>
        </w:rPr>
      </w:pPr>
    </w:p>
    <w:p w:rsidR="00DF55F8" w:rsidRPr="004E7112" w:rsidRDefault="00DF55F8" w:rsidP="00DF55F8">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 recommend approving Duquesne Light’s proposal to cap customer participation off at 50%, once </w:t>
      </w:r>
      <w:r w:rsidRPr="004E7112">
        <w:rPr>
          <w:color w:val="000000" w:themeColor="text1"/>
        </w:rPr>
        <w:t>all remaining default service customers</w:t>
      </w:r>
      <w:r w:rsidRPr="004E7112">
        <w:rPr>
          <w:color w:val="000000" w:themeColor="text1"/>
          <w:lang w:val="en-US"/>
        </w:rPr>
        <w:t xml:space="preserve"> (</w:t>
      </w:r>
      <w:r w:rsidRPr="004E7112">
        <w:rPr>
          <w:color w:val="000000" w:themeColor="text1"/>
        </w:rPr>
        <w:t>other than customers who elected not to release customer information and</w:t>
      </w:r>
      <w:r w:rsidRPr="004E7112">
        <w:rPr>
          <w:color w:val="000000" w:themeColor="text1"/>
          <w:lang w:val="en-US"/>
        </w:rPr>
        <w:t xml:space="preserve"> other than</w:t>
      </w:r>
      <w:r w:rsidRPr="004E7112">
        <w:rPr>
          <w:color w:val="000000" w:themeColor="text1"/>
        </w:rPr>
        <w:t xml:space="preserve"> CAP customers</w:t>
      </w:r>
      <w:r w:rsidRPr="004E7112">
        <w:rPr>
          <w:color w:val="000000" w:themeColor="text1"/>
          <w:lang w:val="en-US"/>
        </w:rPr>
        <w:t xml:space="preserve">) </w:t>
      </w:r>
      <w:r w:rsidRPr="004E7112">
        <w:rPr>
          <w:color w:val="000000" w:themeColor="text1"/>
        </w:rPr>
        <w:t xml:space="preserve">receive notice of the offer under the ROI Program. </w:t>
      </w:r>
      <w:r w:rsidRPr="004E7112">
        <w:rPr>
          <w:color w:val="000000" w:themeColor="text1"/>
          <w:lang w:val="en-US"/>
        </w:rPr>
        <w:t xml:space="preserve"> </w:t>
      </w:r>
      <w:r w:rsidRPr="004E7112">
        <w:rPr>
          <w:color w:val="000000" w:themeColor="text1"/>
          <w:szCs w:val="24"/>
          <w:lang w:val="en-US"/>
        </w:rPr>
        <w:t xml:space="preserve">OCA proposed a 20% cap to limit additional shopping but that cap limit will not provide for a sufficiently </w:t>
      </w:r>
      <w:r w:rsidRPr="004E7112">
        <w:rPr>
          <w:color w:val="000000" w:themeColor="text1"/>
        </w:rPr>
        <w:t>large customer participation pool</w:t>
      </w:r>
      <w:r w:rsidRPr="004E7112">
        <w:rPr>
          <w:color w:val="000000" w:themeColor="text1"/>
          <w:lang w:val="en-US"/>
        </w:rPr>
        <w:t xml:space="preserve">.  For this DSP to work, there must be </w:t>
      </w:r>
      <w:r w:rsidRPr="004E7112">
        <w:rPr>
          <w:color w:val="000000" w:themeColor="text1"/>
        </w:rPr>
        <w:t xml:space="preserve">transparency </w:t>
      </w:r>
      <w:r w:rsidRPr="004E7112">
        <w:rPr>
          <w:color w:val="000000" w:themeColor="text1"/>
          <w:lang w:val="en-US"/>
        </w:rPr>
        <w:t>for</w:t>
      </w:r>
      <w:r w:rsidRPr="004E7112">
        <w:rPr>
          <w:color w:val="000000" w:themeColor="text1"/>
        </w:rPr>
        <w:t xml:space="preserve"> wholesale default service suppliers as they prepare bids</w:t>
      </w:r>
      <w:r w:rsidRPr="004E7112">
        <w:rPr>
          <w:color w:val="000000" w:themeColor="text1"/>
          <w:lang w:val="en-US"/>
        </w:rPr>
        <w:t xml:space="preserve"> plus </w:t>
      </w:r>
      <w:r w:rsidRPr="004E7112">
        <w:rPr>
          <w:color w:val="000000" w:themeColor="text1"/>
        </w:rPr>
        <w:t xml:space="preserve">some level of certainty to those EGSs opting to participate in the Opt-In EGS Service RFP.  </w:t>
      </w:r>
      <w:r w:rsidRPr="004E7112">
        <w:rPr>
          <w:color w:val="000000" w:themeColor="text1"/>
          <w:lang w:val="en-US"/>
        </w:rPr>
        <w:t xml:space="preserve">This cap will work towards meeting those goals.  In addition, </w:t>
      </w:r>
      <w:r w:rsidRPr="004E7112">
        <w:rPr>
          <w:color w:val="000000" w:themeColor="text1"/>
        </w:rPr>
        <w:t>the proposed cap is consistent with the Commission’s position in the</w:t>
      </w:r>
      <w:r w:rsidRPr="004E7112">
        <w:rPr>
          <w:color w:val="000000" w:themeColor="text1"/>
          <w:lang w:val="en-US"/>
        </w:rPr>
        <w:t xml:space="preserve"> FirstEnergy and PECO proceedings</w:t>
      </w:r>
      <w:r w:rsidRPr="004E7112">
        <w:rPr>
          <w:color w:val="000000" w:themeColor="text1"/>
        </w:rPr>
        <w:t>.  Therefore, the 50% customer participation cap should be approved.</w:t>
      </w:r>
    </w:p>
    <w:p w:rsidR="00D872C4" w:rsidRDefault="00D872C4" w:rsidP="003A41A8">
      <w:pPr>
        <w:pStyle w:val="BodyText"/>
        <w:spacing w:after="0" w:line="360" w:lineRule="auto"/>
        <w:ind w:left="0" w:firstLine="0"/>
        <w:rPr>
          <w:szCs w:val="24"/>
          <w:lang w:val="en-US"/>
        </w:rPr>
      </w:pPr>
    </w:p>
    <w:p w:rsidR="00E71C1C" w:rsidRPr="009D1F55" w:rsidRDefault="00E71C1C" w:rsidP="00E71C1C">
      <w:pPr>
        <w:pStyle w:val="BriefL3"/>
        <w:numPr>
          <w:ilvl w:val="0"/>
          <w:numId w:val="0"/>
        </w:numPr>
        <w:spacing w:after="0" w:line="360" w:lineRule="auto"/>
        <w:ind w:firstLine="1440"/>
        <w:rPr>
          <w:b/>
          <w:szCs w:val="24"/>
        </w:rPr>
      </w:pPr>
      <w:r w:rsidRPr="009D1F55">
        <w:rPr>
          <w:b/>
          <w:szCs w:val="24"/>
        </w:rPr>
        <w:t>g.</w:t>
      </w:r>
      <w:r w:rsidRPr="009D1F55">
        <w:rPr>
          <w:b/>
          <w:szCs w:val="24"/>
        </w:rPr>
        <w:tab/>
        <w:t>Supplier Load Cap</w:t>
      </w:r>
    </w:p>
    <w:p w:rsidR="00E71C1C" w:rsidRPr="009D1F55" w:rsidRDefault="00E71C1C" w:rsidP="00E71C1C">
      <w:pPr>
        <w:pStyle w:val="BriefL3"/>
        <w:numPr>
          <w:ilvl w:val="0"/>
          <w:numId w:val="0"/>
        </w:numPr>
        <w:spacing w:after="0" w:line="360" w:lineRule="auto"/>
        <w:ind w:left="2160"/>
        <w:rPr>
          <w:b/>
          <w:szCs w:val="24"/>
        </w:rPr>
      </w:pPr>
    </w:p>
    <w:p w:rsidR="00E71C1C" w:rsidRDefault="00E71C1C" w:rsidP="004407F6">
      <w:pPr>
        <w:pStyle w:val="BriefL3"/>
        <w:numPr>
          <w:ilvl w:val="0"/>
          <w:numId w:val="48"/>
        </w:numPr>
        <w:spacing w:after="0" w:line="360" w:lineRule="auto"/>
        <w:rPr>
          <w:b/>
          <w:szCs w:val="24"/>
        </w:rPr>
      </w:pPr>
      <w:r w:rsidRPr="009D1F55">
        <w:rPr>
          <w:b/>
          <w:szCs w:val="24"/>
        </w:rPr>
        <w:t>DLC’s Proposal</w:t>
      </w:r>
    </w:p>
    <w:p w:rsidR="004407F6" w:rsidRPr="009D1F55" w:rsidRDefault="004407F6" w:rsidP="004407F6">
      <w:pPr>
        <w:pStyle w:val="BriefL3"/>
        <w:numPr>
          <w:ilvl w:val="0"/>
          <w:numId w:val="0"/>
        </w:numPr>
        <w:spacing w:after="0" w:line="360" w:lineRule="auto"/>
        <w:ind w:left="2880"/>
        <w:rPr>
          <w:b/>
          <w:szCs w:val="24"/>
        </w:rPr>
      </w:pPr>
    </w:p>
    <w:p w:rsidR="00E71C1C" w:rsidRPr="009D1F55" w:rsidRDefault="00E71C1C" w:rsidP="00E71C1C">
      <w:pPr>
        <w:pStyle w:val="BodyText2"/>
        <w:spacing w:after="0" w:line="360" w:lineRule="auto"/>
      </w:pPr>
      <w:r w:rsidRPr="009D1F55">
        <w:rPr>
          <w:lang w:val="en-US"/>
        </w:rPr>
        <w:tab/>
      </w:r>
      <w:r w:rsidRPr="009D1F55">
        <w:rPr>
          <w:lang w:val="en-US"/>
        </w:rPr>
        <w:tab/>
      </w:r>
      <w:r w:rsidRPr="009D1F55">
        <w:t xml:space="preserve">Duquesne Light proposed that no EGS be permitted to obtain more than 50% of the customers electing to participate in the ROI Program.  Duquesne Light St. No. 3, p. 21.  </w:t>
      </w:r>
      <w:r w:rsidRPr="009D1F55">
        <w:rPr>
          <w:lang w:val="en-US"/>
        </w:rPr>
        <w:t>Q</w:t>
      </w:r>
      <w:r w:rsidRPr="009D1F55">
        <w:t xml:space="preserve">ualified EGSs would be permitted to serve from one to five of the ten tranches of service under the program, thereby limiting any one supplier to half of the electing customers.  Duquesne Light St. No. 3, p. 21.  </w:t>
      </w:r>
      <w:r w:rsidRPr="009D1F55">
        <w:rPr>
          <w:lang w:val="en-US"/>
        </w:rPr>
        <w:t>The Company avers it</w:t>
      </w:r>
      <w:r w:rsidRPr="009D1F55">
        <w:t xml:space="preserve"> demonstrated how the bids would be awarded to multiple bidders and </w:t>
      </w:r>
      <w:r w:rsidRPr="009D1F55">
        <w:rPr>
          <w:lang w:val="en-US"/>
        </w:rPr>
        <w:t>showed</w:t>
      </w:r>
      <w:r w:rsidRPr="009D1F55">
        <w:t xml:space="preserve"> that the price for service to all customers would be the lowest price that covered all 10 tranches of service (the “clearing price”)</w:t>
      </w:r>
      <w:r w:rsidRPr="009D1F55">
        <w:rPr>
          <w:lang w:val="en-US"/>
        </w:rPr>
        <w:t>,</w:t>
      </w:r>
      <w:r w:rsidRPr="009D1F55">
        <w:t xml:space="preserve"> which must be equal to or in excess of 5% lower than the current PTC.  Duquesne Light St. No. 3, pp. 21-25.</w:t>
      </w:r>
    </w:p>
    <w:p w:rsidR="00E71C1C" w:rsidRPr="009D1F55" w:rsidRDefault="00E71C1C" w:rsidP="00E71C1C">
      <w:pPr>
        <w:pStyle w:val="BodyText2"/>
        <w:spacing w:after="0" w:line="360" w:lineRule="auto"/>
        <w:rPr>
          <w:lang w:val="en-US"/>
        </w:rPr>
      </w:pPr>
    </w:p>
    <w:p w:rsidR="00E71C1C" w:rsidRPr="009D1F55" w:rsidRDefault="00E71C1C" w:rsidP="00E71C1C">
      <w:pPr>
        <w:pStyle w:val="BodyText2"/>
        <w:spacing w:after="0" w:line="360" w:lineRule="auto"/>
      </w:pPr>
      <w:r w:rsidRPr="009D1F55">
        <w:rPr>
          <w:lang w:val="en-US"/>
        </w:rPr>
        <w:lastRenderedPageBreak/>
        <w:tab/>
      </w:r>
      <w:r w:rsidRPr="009D1F55">
        <w:rPr>
          <w:lang w:val="en-US"/>
        </w:rPr>
        <w:tab/>
        <w:t xml:space="preserve">The Company notes </w:t>
      </w:r>
      <w:r w:rsidRPr="009D1F55">
        <w:t>FES recommend</w:t>
      </w:r>
      <w:r w:rsidRPr="009D1F55">
        <w:rPr>
          <w:lang w:val="en-US"/>
        </w:rPr>
        <w:t xml:space="preserve">ed against the </w:t>
      </w:r>
      <w:r w:rsidRPr="009D1F55">
        <w:t>supplier participation cap and</w:t>
      </w:r>
      <w:r w:rsidRPr="009D1F55">
        <w:rPr>
          <w:lang w:val="en-US"/>
        </w:rPr>
        <w:t xml:space="preserve"> contended that</w:t>
      </w:r>
      <w:r w:rsidRPr="009D1F55">
        <w:t xml:space="preserve"> applying a participation cap could increase the clearing price.  FES St. 1, p. 14.  </w:t>
      </w:r>
      <w:r w:rsidRPr="009D1F55">
        <w:rPr>
          <w:lang w:val="en-US"/>
        </w:rPr>
        <w:t>However, Duquesne Light avers it proved</w:t>
      </w:r>
      <w:r w:rsidRPr="009D1F55">
        <w:t xml:space="preserve"> that a supplier load cap provides for diversity of EGS participation </w:t>
      </w:r>
      <w:r w:rsidRPr="009D1F55">
        <w:rPr>
          <w:u w:val="single"/>
        </w:rPr>
        <w:t>and</w:t>
      </w:r>
      <w:r w:rsidRPr="009D1F55">
        <w:t xml:space="preserve"> limits risk of a supplier default.  Duquesne Light St. No. 3-R, pp. 27-30.  </w:t>
      </w:r>
    </w:p>
    <w:p w:rsidR="00E71C1C" w:rsidRPr="009D1F55" w:rsidRDefault="00E71C1C" w:rsidP="00E71C1C">
      <w:pPr>
        <w:pStyle w:val="BodyText"/>
        <w:spacing w:line="360" w:lineRule="auto"/>
        <w:rPr>
          <w:szCs w:val="24"/>
        </w:rPr>
      </w:pPr>
    </w:p>
    <w:p w:rsidR="00E71C1C" w:rsidRPr="009D1F55" w:rsidRDefault="00E71C1C" w:rsidP="00E71C1C">
      <w:pPr>
        <w:pStyle w:val="BriefL3"/>
        <w:numPr>
          <w:ilvl w:val="0"/>
          <w:numId w:val="0"/>
        </w:numPr>
        <w:spacing w:after="0" w:line="360" w:lineRule="auto"/>
        <w:ind w:left="2160"/>
        <w:rPr>
          <w:b/>
          <w:szCs w:val="24"/>
        </w:rPr>
      </w:pPr>
      <w:r>
        <w:rPr>
          <w:b/>
          <w:szCs w:val="24"/>
        </w:rPr>
        <w:t>ii</w:t>
      </w:r>
      <w:r w:rsidRPr="009D1F55">
        <w:rPr>
          <w:b/>
          <w:szCs w:val="24"/>
        </w:rPr>
        <w:t>.</w:t>
      </w:r>
      <w:r w:rsidRPr="009D1F55">
        <w:rPr>
          <w:b/>
          <w:szCs w:val="24"/>
        </w:rPr>
        <w:tab/>
        <w:t>OCA’s Position</w:t>
      </w:r>
    </w:p>
    <w:p w:rsidR="00E71C1C" w:rsidRPr="009D1F55" w:rsidRDefault="00E71C1C" w:rsidP="00E71C1C">
      <w:pPr>
        <w:pStyle w:val="BodyText"/>
        <w:spacing w:line="360" w:lineRule="auto"/>
        <w:rPr>
          <w:szCs w:val="24"/>
        </w:rPr>
      </w:pPr>
    </w:p>
    <w:p w:rsidR="00E71C1C" w:rsidRPr="009D1F55" w:rsidRDefault="00E71C1C" w:rsidP="00E71C1C">
      <w:pPr>
        <w:spacing w:line="360" w:lineRule="auto"/>
        <w:ind w:firstLine="1440"/>
      </w:pPr>
      <w:r w:rsidRPr="009D1F55">
        <w:t xml:space="preserve">OCA notes the </w:t>
      </w:r>
      <w:r w:rsidRPr="00BB3E39">
        <w:rPr>
          <w:i/>
        </w:rPr>
        <w:t>IWP Order</w:t>
      </w:r>
      <w:r w:rsidRPr="009D1F55">
        <w:rPr>
          <w:u w:val="single"/>
        </w:rPr>
        <w:fldChar w:fldCharType="begin"/>
      </w:r>
      <w:r w:rsidRPr="009D1F55">
        <w:instrText xml:space="preserve"> TA \s "IWP Order" </w:instrText>
      </w:r>
      <w:r w:rsidRPr="009D1F55">
        <w:rPr>
          <w:u w:val="single"/>
        </w:rPr>
        <w:fldChar w:fldCharType="end"/>
      </w:r>
      <w:r w:rsidRPr="009D1F55">
        <w:t xml:space="preserve"> provided that EGSs participating in the Opt-In Auction Program may not serve more than 50% of the customer class default service accounts for each EDC territory in order to protect the diversity of the market and with an eye on obtaining a reasonable retail auction price,.  </w:t>
      </w:r>
      <w:r w:rsidRPr="00BB3E39">
        <w:rPr>
          <w:i/>
        </w:rPr>
        <w:t>IWP Order</w:t>
      </w:r>
      <w:r w:rsidRPr="009D1F55">
        <w:t xml:space="preserve"> at 63.  Duquesne’s proposed Opt-In Auction Program implements a 50% EGS participation cap in accordance with the </w:t>
      </w:r>
      <w:r w:rsidRPr="00BB3E39">
        <w:rPr>
          <w:i/>
        </w:rPr>
        <w:t>IWP Order</w:t>
      </w:r>
      <w:r w:rsidRPr="009D1F55">
        <w:t xml:space="preserve">.  </w:t>
      </w:r>
      <w:r w:rsidRPr="009D1F55">
        <w:rPr>
          <w:u w:val="single"/>
        </w:rPr>
        <w:t>See</w:t>
      </w:r>
      <w:r w:rsidRPr="009D1F55">
        <w:t xml:space="preserve"> Duquesne St. 2-R at 27-30.  OCA supports Duquesne’s proposal.  OCA submits the Company’s proposal to impose a 50% EGS participation cap in its Opt-In Auction Program is reasonable and in accordance with the </w:t>
      </w:r>
      <w:r w:rsidRPr="00DF7EE1">
        <w:rPr>
          <w:i/>
        </w:rPr>
        <w:t>IWP Order</w:t>
      </w:r>
      <w:r w:rsidRPr="009D1F55">
        <w:t xml:space="preserve"> and should be adopted.</w:t>
      </w:r>
    </w:p>
    <w:p w:rsidR="00E71C1C" w:rsidRDefault="00E71C1C" w:rsidP="00E71C1C">
      <w:pPr>
        <w:pStyle w:val="BriefL3"/>
        <w:numPr>
          <w:ilvl w:val="0"/>
          <w:numId w:val="0"/>
        </w:numPr>
        <w:spacing w:after="0" w:line="360" w:lineRule="auto"/>
        <w:ind w:firstLine="2160"/>
        <w:rPr>
          <w:b/>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iii</w:t>
      </w:r>
      <w:r w:rsidRPr="009D1F55">
        <w:rPr>
          <w:b/>
          <w:szCs w:val="24"/>
        </w:rPr>
        <w:t>.</w:t>
      </w:r>
      <w:r w:rsidRPr="009D1F55">
        <w:rPr>
          <w:b/>
          <w:szCs w:val="24"/>
        </w:rPr>
        <w:tab/>
        <w:t>RESA’s Position</w:t>
      </w:r>
    </w:p>
    <w:p w:rsidR="00E71C1C" w:rsidRPr="009D1F55" w:rsidRDefault="00E71C1C" w:rsidP="00E71C1C">
      <w:pPr>
        <w:pStyle w:val="BodyText"/>
        <w:spacing w:line="360" w:lineRule="auto"/>
        <w:rPr>
          <w:szCs w:val="24"/>
        </w:rPr>
      </w:pPr>
    </w:p>
    <w:p w:rsidR="00B373B1" w:rsidRDefault="00E71C1C" w:rsidP="00E71C1C">
      <w:pPr>
        <w:pStyle w:val="BodyText2"/>
        <w:spacing w:after="0" w:line="360" w:lineRule="auto"/>
        <w:rPr>
          <w:lang w:val="en-US"/>
        </w:rPr>
      </w:pPr>
      <w:r w:rsidRPr="009D1F55">
        <w:rPr>
          <w:lang w:val="en-US"/>
        </w:rPr>
        <w:tab/>
      </w:r>
      <w:r w:rsidRPr="009D1F55">
        <w:rPr>
          <w:lang w:val="en-US"/>
        </w:rPr>
        <w:tab/>
      </w:r>
      <w:r w:rsidRPr="009D1F55">
        <w:t>Duquesne proposes a 50% supplier load cap for the ROI program,</w:t>
      </w:r>
      <w:r w:rsidRPr="009D1F55">
        <w:rPr>
          <w:rStyle w:val="FootnoteReference"/>
        </w:rPr>
        <w:footnoteReference w:id="93"/>
      </w:r>
      <w:r w:rsidRPr="009D1F55">
        <w:t xml:space="preserve"> and RESA agrees with this cap.  That said, the supplier load cap issue is mooted were the Commission to adopt the ROI aggregation approach and assign customers to participating EGSs in the manner recommended by RESA (customers would be assigned equally to participating EGSs).  In any event, in the </w:t>
      </w:r>
      <w:r w:rsidRPr="009D1F55">
        <w:rPr>
          <w:i/>
        </w:rPr>
        <w:t>FirstEnergy Default Service Order</w:t>
      </w:r>
      <w:r w:rsidRPr="009D1F55">
        <w:t xml:space="preserve">, the Commission ruled that a 50% supplier load cap “strikes the appropriate balance between diversity of EGS participation and competitive </w:t>
      </w:r>
    </w:p>
    <w:p w:rsidR="00B373B1" w:rsidRDefault="00B373B1" w:rsidP="00E71C1C">
      <w:pPr>
        <w:pStyle w:val="BodyText2"/>
        <w:spacing w:after="0" w:line="360" w:lineRule="auto"/>
        <w:rPr>
          <w:lang w:val="en-US"/>
        </w:rPr>
      </w:pPr>
    </w:p>
    <w:p w:rsidR="00B373B1" w:rsidRDefault="00B373B1" w:rsidP="00E71C1C">
      <w:pPr>
        <w:pStyle w:val="BodyText2"/>
        <w:spacing w:after="0" w:line="360" w:lineRule="auto"/>
        <w:rPr>
          <w:lang w:val="en-US"/>
        </w:rPr>
      </w:pPr>
    </w:p>
    <w:p w:rsidR="00E71C1C" w:rsidRDefault="00E71C1C" w:rsidP="00E71C1C">
      <w:pPr>
        <w:pStyle w:val="BodyText2"/>
        <w:spacing w:after="0" w:line="360" w:lineRule="auto"/>
        <w:rPr>
          <w:lang w:val="en-US"/>
        </w:rPr>
      </w:pPr>
      <w:r w:rsidRPr="009D1F55">
        <w:lastRenderedPageBreak/>
        <w:t>supply pricing.”</w:t>
      </w:r>
      <w:r w:rsidRPr="009D1F55">
        <w:rPr>
          <w:rStyle w:val="FootnoteReference"/>
        </w:rPr>
        <w:footnoteReference w:id="94"/>
      </w:r>
      <w:r w:rsidRPr="009D1F55">
        <w:t xml:space="preserve">  In the </w:t>
      </w:r>
      <w:r w:rsidRPr="009D1F55">
        <w:rPr>
          <w:i/>
        </w:rPr>
        <w:t>PECO Binding Poll</w:t>
      </w:r>
      <w:r w:rsidRPr="009D1F55">
        <w:t>, the Commission also adopted a 50% supplier load cap.</w:t>
      </w:r>
      <w:r w:rsidRPr="009D1F55">
        <w:rPr>
          <w:rStyle w:val="FootnoteReference"/>
        </w:rPr>
        <w:footnoteReference w:id="95"/>
      </w:r>
    </w:p>
    <w:p w:rsidR="00BA2331" w:rsidRPr="00BA2331" w:rsidRDefault="00BA2331" w:rsidP="00E71C1C">
      <w:pPr>
        <w:pStyle w:val="BodyText2"/>
        <w:spacing w:after="0" w:line="360" w:lineRule="auto"/>
        <w:rPr>
          <w:lang w:val="en-US"/>
        </w:rPr>
      </w:pPr>
    </w:p>
    <w:p w:rsidR="00E71C1C" w:rsidRPr="009D1F55" w:rsidRDefault="00E71C1C" w:rsidP="00E71C1C">
      <w:pPr>
        <w:pStyle w:val="BodyText2"/>
        <w:spacing w:after="0" w:line="360" w:lineRule="auto"/>
      </w:pPr>
      <w:r w:rsidRPr="009D1F55">
        <w:rPr>
          <w:lang w:val="en-US"/>
        </w:rPr>
        <w:tab/>
      </w:r>
      <w:r w:rsidRPr="009D1F55">
        <w:rPr>
          <w:lang w:val="en-US"/>
        </w:rPr>
        <w:tab/>
        <w:t>RESA argues t</w:t>
      </w:r>
      <w:r w:rsidRPr="009D1F55">
        <w:t xml:space="preserve">he record reflects the supplier load cap is important to ensure the Commission’s competitive enhancements do not result in merely transferring customers from an entity with the majority of market share (the EDC in its role as default provider) to a new marketer with dominant market share.  </w:t>
      </w:r>
      <w:r w:rsidRPr="009D1F55">
        <w:rPr>
          <w:lang w:val="en-US"/>
        </w:rPr>
        <w:t xml:space="preserve">RESA contends </w:t>
      </w:r>
      <w:r w:rsidRPr="009D1F55">
        <w:t xml:space="preserve">FES </w:t>
      </w:r>
      <w:r w:rsidRPr="009D1F55">
        <w:rPr>
          <w:lang w:val="en-US"/>
        </w:rPr>
        <w:t>did</w:t>
      </w:r>
      <w:r w:rsidRPr="009D1F55">
        <w:t xml:space="preserve"> not provide any justification or good cause shown for its proposed deviation from the Commission’s decisions on this issue.  FES has not shown any operational constraints and has not supported its position with substantial evidence.</w:t>
      </w:r>
      <w:r w:rsidRPr="009D1F55">
        <w:rPr>
          <w:rStyle w:val="FootnoteReference"/>
        </w:rPr>
        <w:footnoteReference w:id="96"/>
      </w:r>
    </w:p>
    <w:p w:rsidR="001313D5" w:rsidRDefault="001313D5" w:rsidP="00E71C1C">
      <w:pPr>
        <w:pStyle w:val="BriefL3"/>
        <w:numPr>
          <w:ilvl w:val="0"/>
          <w:numId w:val="0"/>
        </w:numPr>
        <w:spacing w:after="0" w:line="360" w:lineRule="auto"/>
        <w:ind w:firstLine="2160"/>
        <w:rPr>
          <w:b/>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iv</w:t>
      </w:r>
      <w:r w:rsidRPr="009D1F55">
        <w:rPr>
          <w:b/>
          <w:szCs w:val="24"/>
        </w:rPr>
        <w:t>.</w:t>
      </w:r>
      <w:r w:rsidRPr="009D1F55">
        <w:rPr>
          <w:b/>
          <w:szCs w:val="24"/>
        </w:rPr>
        <w:tab/>
        <w:t>OSBA’s Position</w:t>
      </w:r>
    </w:p>
    <w:p w:rsidR="00E71C1C" w:rsidRPr="009D1F55" w:rsidRDefault="00E71C1C" w:rsidP="00E71C1C">
      <w:pPr>
        <w:pStyle w:val="BodyText"/>
        <w:spacing w:line="360" w:lineRule="auto"/>
        <w:rPr>
          <w:szCs w:val="24"/>
        </w:rPr>
      </w:pPr>
    </w:p>
    <w:p w:rsidR="00E71C1C" w:rsidRPr="009D1F55" w:rsidRDefault="00E71C1C" w:rsidP="00E71C1C">
      <w:pPr>
        <w:pStyle w:val="BodyText2"/>
        <w:spacing w:after="0" w:line="360" w:lineRule="auto"/>
        <w:rPr>
          <w:lang w:val="en-US"/>
        </w:rPr>
      </w:pPr>
      <w:r w:rsidRPr="009D1F55">
        <w:rPr>
          <w:lang w:val="en-US"/>
        </w:rPr>
        <w:tab/>
      </w:r>
      <w:r w:rsidRPr="009D1F55">
        <w:rPr>
          <w:lang w:val="en-US"/>
        </w:rPr>
        <w:tab/>
      </w:r>
      <w:r w:rsidRPr="009D1F55">
        <w:t>O</w:t>
      </w:r>
      <w:r w:rsidRPr="009D1F55">
        <w:rPr>
          <w:lang w:val="en-US"/>
        </w:rPr>
        <w:t>SB</w:t>
      </w:r>
      <w:r w:rsidRPr="009D1F55">
        <w:t>A takes no position on this issue</w:t>
      </w:r>
      <w:r w:rsidRPr="009D1F55">
        <w:rPr>
          <w:lang w:val="en-US"/>
        </w:rPr>
        <w:t xml:space="preserve"> because the Company proposed an Opt-In Program that only applies to residential customers.</w:t>
      </w:r>
    </w:p>
    <w:p w:rsidR="00E71C1C" w:rsidRPr="009D1F55" w:rsidRDefault="00E71C1C" w:rsidP="00E71C1C">
      <w:pPr>
        <w:pStyle w:val="BodyText"/>
        <w:spacing w:line="360" w:lineRule="auto"/>
        <w:rPr>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v</w:t>
      </w:r>
      <w:r w:rsidRPr="009D1F55">
        <w:rPr>
          <w:b/>
          <w:szCs w:val="24"/>
        </w:rPr>
        <w:t>.</w:t>
      </w:r>
      <w:r w:rsidRPr="009D1F55">
        <w:rPr>
          <w:b/>
          <w:szCs w:val="24"/>
        </w:rPr>
        <w:tab/>
        <w:t>CAUSE’s Position</w:t>
      </w:r>
    </w:p>
    <w:p w:rsidR="00E71C1C" w:rsidRPr="009D1F55" w:rsidRDefault="00E71C1C" w:rsidP="00E71C1C">
      <w:pPr>
        <w:pStyle w:val="BodyText"/>
        <w:spacing w:line="360" w:lineRule="auto"/>
        <w:rPr>
          <w:szCs w:val="24"/>
        </w:rPr>
      </w:pPr>
    </w:p>
    <w:p w:rsidR="00E71C1C" w:rsidRPr="009D1F55" w:rsidRDefault="00E71C1C" w:rsidP="00E71C1C">
      <w:pPr>
        <w:pStyle w:val="BodyText2"/>
        <w:spacing w:after="0" w:line="360" w:lineRule="auto"/>
      </w:pPr>
      <w:r w:rsidRPr="009D1F55">
        <w:rPr>
          <w:lang w:val="en-US"/>
        </w:rPr>
        <w:tab/>
      </w:r>
      <w:r w:rsidRPr="009D1F55">
        <w:rPr>
          <w:lang w:val="en-US"/>
        </w:rPr>
        <w:tab/>
        <w:t>CAUSE</w:t>
      </w:r>
      <w:r w:rsidRPr="009D1F55">
        <w:t xml:space="preserve"> takes no position on this issue.</w:t>
      </w:r>
    </w:p>
    <w:p w:rsidR="00E71C1C" w:rsidRPr="009D1F55" w:rsidRDefault="00E71C1C" w:rsidP="00E71C1C">
      <w:pPr>
        <w:pStyle w:val="BriefL3"/>
        <w:numPr>
          <w:ilvl w:val="0"/>
          <w:numId w:val="0"/>
        </w:numPr>
        <w:spacing w:after="0" w:line="360" w:lineRule="auto"/>
        <w:rPr>
          <w:b/>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vi</w:t>
      </w:r>
      <w:r w:rsidRPr="009D1F55">
        <w:rPr>
          <w:b/>
          <w:szCs w:val="24"/>
        </w:rPr>
        <w:t>.</w:t>
      </w:r>
      <w:r w:rsidRPr="009D1F55">
        <w:rPr>
          <w:b/>
          <w:szCs w:val="24"/>
        </w:rPr>
        <w:tab/>
        <w:t>Citizen Power’s Position</w:t>
      </w:r>
    </w:p>
    <w:p w:rsidR="00E71C1C" w:rsidRPr="009D1F55" w:rsidRDefault="00E71C1C" w:rsidP="00E71C1C">
      <w:pPr>
        <w:pStyle w:val="BodyText"/>
        <w:spacing w:line="360" w:lineRule="auto"/>
        <w:rPr>
          <w:szCs w:val="24"/>
        </w:rPr>
      </w:pPr>
    </w:p>
    <w:p w:rsidR="00E71C1C" w:rsidRPr="009D1F55" w:rsidRDefault="00E71C1C" w:rsidP="00E71C1C">
      <w:pPr>
        <w:spacing w:line="360" w:lineRule="auto"/>
        <w:ind w:firstLine="720"/>
      </w:pPr>
      <w:r w:rsidRPr="009D1F55">
        <w:tab/>
        <w:t xml:space="preserve">Citizen’s Power supports DLC’s approach – that no bidder would be permitted to win more than 5 tranches, which equates to 50% of the eligible default service customers - because an additional benefit to the </w:t>
      </w:r>
      <w:r w:rsidR="0055455B">
        <w:t>O</w:t>
      </w:r>
      <w:r w:rsidRPr="009D1F55">
        <w:t>pt-</w:t>
      </w:r>
      <w:r w:rsidR="0055455B">
        <w:t>I</w:t>
      </w:r>
      <w:r w:rsidRPr="009D1F55">
        <w:t xml:space="preserve">n </w:t>
      </w:r>
      <w:r w:rsidR="0055455B">
        <w:t>P</w:t>
      </w:r>
      <w:r w:rsidRPr="009D1F55">
        <w:t xml:space="preserve">rogram, beyond increasing shopping levels, is an </w:t>
      </w:r>
      <w:r w:rsidRPr="009D1F55">
        <w:lastRenderedPageBreak/>
        <w:t xml:space="preserve">increase in EGS participation in the retail residential markets. </w:t>
      </w:r>
      <w:r>
        <w:t xml:space="preserve"> </w:t>
      </w:r>
      <w:r w:rsidRPr="009D1F55">
        <w:t xml:space="preserve">From a retail market perspective, the benefit of having one supplier win all of the tranches is less than multiple suppliers participating. </w:t>
      </w:r>
    </w:p>
    <w:p w:rsidR="00E71C1C" w:rsidRPr="009D1F55" w:rsidRDefault="00E71C1C" w:rsidP="00E71C1C">
      <w:pPr>
        <w:pStyle w:val="BodyText"/>
        <w:spacing w:line="360" w:lineRule="auto"/>
        <w:rPr>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vii</w:t>
      </w:r>
      <w:r w:rsidRPr="009D1F55">
        <w:rPr>
          <w:b/>
          <w:szCs w:val="24"/>
        </w:rPr>
        <w:t>.</w:t>
      </w:r>
      <w:r w:rsidRPr="009D1F55">
        <w:rPr>
          <w:b/>
          <w:szCs w:val="24"/>
        </w:rPr>
        <w:tab/>
        <w:t>Duquesne Industrial Intervenors’ Position</w:t>
      </w:r>
    </w:p>
    <w:p w:rsidR="00E71C1C" w:rsidRPr="009D1F55" w:rsidRDefault="00E71C1C" w:rsidP="00E71C1C">
      <w:pPr>
        <w:pStyle w:val="BodyText"/>
        <w:spacing w:line="360" w:lineRule="auto"/>
        <w:rPr>
          <w:szCs w:val="24"/>
        </w:rPr>
      </w:pPr>
    </w:p>
    <w:p w:rsidR="00E71C1C" w:rsidRPr="009D1F55" w:rsidRDefault="00E71C1C" w:rsidP="00E71C1C">
      <w:pPr>
        <w:pStyle w:val="BodyText2"/>
        <w:spacing w:after="0" w:line="360" w:lineRule="auto"/>
      </w:pPr>
      <w:r w:rsidRPr="009D1F55">
        <w:rPr>
          <w:lang w:val="en-US"/>
        </w:rPr>
        <w:tab/>
      </w:r>
      <w:r w:rsidRPr="009D1F55">
        <w:rPr>
          <w:lang w:val="en-US"/>
        </w:rPr>
        <w:tab/>
        <w:t>DII</w:t>
      </w:r>
      <w:r w:rsidRPr="009D1F55">
        <w:t xml:space="preserve"> takes no position on this issue.</w:t>
      </w:r>
    </w:p>
    <w:p w:rsidR="00E71C1C" w:rsidRPr="009D1F55" w:rsidRDefault="00E71C1C" w:rsidP="00E71C1C">
      <w:pPr>
        <w:pStyle w:val="BodyText"/>
        <w:spacing w:line="360" w:lineRule="auto"/>
        <w:rPr>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viii</w:t>
      </w:r>
      <w:r w:rsidRPr="009D1F55">
        <w:rPr>
          <w:b/>
          <w:szCs w:val="24"/>
        </w:rPr>
        <w:t>.</w:t>
      </w:r>
      <w:r w:rsidRPr="009D1F55">
        <w:rPr>
          <w:b/>
          <w:szCs w:val="24"/>
        </w:rPr>
        <w:tab/>
        <w:t>EGS Parties’ Position</w:t>
      </w:r>
    </w:p>
    <w:p w:rsidR="00E71C1C" w:rsidRPr="009D1F55" w:rsidRDefault="00E71C1C" w:rsidP="00E71C1C">
      <w:pPr>
        <w:pStyle w:val="BodyText"/>
        <w:spacing w:line="360" w:lineRule="auto"/>
        <w:rPr>
          <w:szCs w:val="24"/>
        </w:rPr>
      </w:pPr>
    </w:p>
    <w:p w:rsidR="00E71C1C" w:rsidRPr="009D1F55" w:rsidRDefault="00E71C1C" w:rsidP="00E71C1C">
      <w:pPr>
        <w:spacing w:line="360" w:lineRule="auto"/>
        <w:ind w:firstLine="720"/>
      </w:pPr>
      <w:r w:rsidRPr="009D1F55">
        <w:tab/>
        <w:t>The EGS Parties support the fifty percent (50%) customer participation cap proposed by Duquesne.</w:t>
      </w:r>
    </w:p>
    <w:p w:rsidR="00E71C1C" w:rsidRPr="009D1F55" w:rsidRDefault="00E71C1C" w:rsidP="00E71C1C">
      <w:pPr>
        <w:pStyle w:val="BodyText"/>
        <w:spacing w:line="360" w:lineRule="auto"/>
        <w:rPr>
          <w:szCs w:val="24"/>
        </w:rPr>
      </w:pPr>
    </w:p>
    <w:p w:rsidR="00E71C1C" w:rsidRPr="009D1F55" w:rsidRDefault="00E71C1C" w:rsidP="00E71C1C">
      <w:pPr>
        <w:pStyle w:val="BriefL3"/>
        <w:numPr>
          <w:ilvl w:val="0"/>
          <w:numId w:val="0"/>
        </w:numPr>
        <w:spacing w:after="0" w:line="360" w:lineRule="auto"/>
        <w:ind w:firstLine="2160"/>
        <w:rPr>
          <w:b/>
          <w:szCs w:val="24"/>
        </w:rPr>
      </w:pPr>
      <w:r>
        <w:rPr>
          <w:b/>
          <w:szCs w:val="24"/>
        </w:rPr>
        <w:t>ix</w:t>
      </w:r>
      <w:r w:rsidRPr="009D1F55">
        <w:rPr>
          <w:b/>
          <w:szCs w:val="24"/>
        </w:rPr>
        <w:t>.</w:t>
      </w:r>
      <w:r w:rsidRPr="009D1F55">
        <w:rPr>
          <w:b/>
          <w:szCs w:val="24"/>
        </w:rPr>
        <w:tab/>
        <w:t>FirstEnergy Solutions’ Position</w:t>
      </w:r>
    </w:p>
    <w:p w:rsidR="00E71C1C" w:rsidRPr="009D1F55" w:rsidRDefault="00E71C1C" w:rsidP="00E71C1C">
      <w:pPr>
        <w:pStyle w:val="BodyText"/>
        <w:spacing w:line="360" w:lineRule="auto"/>
        <w:rPr>
          <w:szCs w:val="24"/>
        </w:rPr>
      </w:pPr>
    </w:p>
    <w:p w:rsidR="00E71C1C" w:rsidRPr="009D1F55" w:rsidRDefault="00E71C1C" w:rsidP="00E71C1C">
      <w:pPr>
        <w:pStyle w:val="BodyTextFirstLine5DS"/>
        <w:spacing w:line="360" w:lineRule="auto"/>
        <w:jc w:val="left"/>
      </w:pPr>
      <w:r w:rsidRPr="009D1F55">
        <w:tab/>
        <w:t xml:space="preserve">FES is strongly opposed to any supplier caps.  FES opposes any artificial limits on supplier participation in </w:t>
      </w:r>
      <w:r w:rsidR="00FA4ED1">
        <w:t>R</w:t>
      </w:r>
      <w:r w:rsidRPr="009D1F55">
        <w:t xml:space="preserve">etail </w:t>
      </w:r>
      <w:r w:rsidR="00FA4ED1">
        <w:t>M</w:t>
      </w:r>
      <w:r w:rsidRPr="009D1F55">
        <w:t xml:space="preserve">arket </w:t>
      </w:r>
      <w:r w:rsidR="00FA4ED1">
        <w:t>E</w:t>
      </w:r>
      <w:r w:rsidRPr="009D1F55">
        <w:t xml:space="preserve">nhancement </w:t>
      </w:r>
      <w:r w:rsidR="00FA4ED1">
        <w:t>P</w:t>
      </w:r>
      <w:r w:rsidRPr="009D1F55">
        <w:t>rograms.  FES St. No. 1 at 5-6, 14-15; FES St. No. 1-SR at 9-10.</w:t>
      </w:r>
    </w:p>
    <w:p w:rsidR="00E71C1C" w:rsidRPr="009D1F55" w:rsidRDefault="00E71C1C" w:rsidP="00E71C1C">
      <w:pPr>
        <w:pStyle w:val="BodyTextFirstLine5DS"/>
        <w:spacing w:line="360" w:lineRule="auto"/>
        <w:jc w:val="left"/>
      </w:pPr>
    </w:p>
    <w:p w:rsidR="00E71C1C" w:rsidRPr="009D1F55" w:rsidRDefault="00E71C1C" w:rsidP="00E71C1C">
      <w:pPr>
        <w:pStyle w:val="BodyTextFirstLine5DS"/>
        <w:spacing w:line="360" w:lineRule="auto"/>
        <w:jc w:val="left"/>
      </w:pPr>
      <w:r w:rsidRPr="009D1F55">
        <w:tab/>
        <w:t xml:space="preserve">FES argues there is no clear methodology for allocating customers among participating suppliers, if the </w:t>
      </w:r>
      <w:r w:rsidRPr="00FA4ED1">
        <w:rPr>
          <w:i/>
        </w:rPr>
        <w:t>ME/PN/PP/WP Order</w:t>
      </w:r>
      <w:r w:rsidRPr="009D1F55">
        <w:t xml:space="preserve"> and the </w:t>
      </w:r>
      <w:r w:rsidRPr="00FA4ED1">
        <w:rPr>
          <w:i/>
        </w:rPr>
        <w:t>PECO Binding Poll</w:t>
      </w:r>
      <w:r w:rsidRPr="009D1F55">
        <w:t xml:space="preserve"> apply to this proceeding</w:t>
      </w:r>
      <w:r w:rsidRPr="00AA0A87">
        <w:t xml:space="preserve">.  This issue may be moot as the Commission has directed in those proceedings that it be addressed in the subsequent collaboratives among the EDCs and interested parties.  If the bidding competition is retained, the Commission expressed its belief in the </w:t>
      </w:r>
      <w:r w:rsidRPr="00FA4ED1">
        <w:rPr>
          <w:i/>
        </w:rPr>
        <w:t>IWP Order</w:t>
      </w:r>
      <w:r w:rsidRPr="00AA0A87">
        <w:t xml:space="preserve"> that a 50% cap is the appropriate level to strike a balance between ensuring a diverse array of EGSs are able to participate and enjoy the potential benefits of retail opt-in auctions and providing the lowest possible pricing to consumers.  </w:t>
      </w:r>
      <w:r w:rsidRPr="0046678A">
        <w:rPr>
          <w:i/>
        </w:rPr>
        <w:t>IWP Order</w:t>
      </w:r>
      <w:r w:rsidRPr="00AA0A87">
        <w:t xml:space="preserve"> at 63.</w:t>
      </w:r>
      <w:r w:rsidRPr="009D1F55">
        <w:t xml:space="preserve">  </w:t>
      </w:r>
    </w:p>
    <w:p w:rsidR="00E71C1C" w:rsidRPr="009D1F55" w:rsidRDefault="00E71C1C" w:rsidP="00E71C1C">
      <w:pPr>
        <w:pStyle w:val="BodyTextFirstLine5DS"/>
        <w:spacing w:line="360" w:lineRule="auto"/>
        <w:jc w:val="left"/>
      </w:pPr>
    </w:p>
    <w:p w:rsidR="00E71C1C" w:rsidRPr="009D1F55" w:rsidRDefault="00E71C1C" w:rsidP="00E71C1C">
      <w:pPr>
        <w:pStyle w:val="BodyTextFirstLine5DS"/>
        <w:spacing w:line="360" w:lineRule="auto"/>
        <w:jc w:val="left"/>
      </w:pPr>
      <w:r w:rsidRPr="009D1F55">
        <w:lastRenderedPageBreak/>
        <w:tab/>
        <w:t xml:space="preserve">FES contends, however, there are numerous offers currently available to Residential customers in Duquesne Light's service territory.  As of June 2012, there were 9 EGSs making fixed-price offers of 12 months or longer and at least 5% below the PTC in Duquesne Light's service territory, according to PAPowerSwitch.  </w:t>
      </w:r>
      <w:r w:rsidRPr="009D1F55">
        <w:rPr>
          <w:i/>
        </w:rPr>
        <w:t xml:space="preserve">See </w:t>
      </w:r>
      <w:r w:rsidRPr="009D1F55">
        <w:t>FES Ex. TCB-2.  The fact that many suppliers already compete in Duquesne Light indicates that the Opt-In EGS Service Program will attract vigorous EGS competition without the need to impose any supplier load caps.</w:t>
      </w:r>
    </w:p>
    <w:p w:rsidR="00E71C1C" w:rsidRPr="009D1F55" w:rsidRDefault="00E71C1C" w:rsidP="00E71C1C">
      <w:pPr>
        <w:pStyle w:val="BodyTextFirstLine5DS"/>
        <w:spacing w:line="360" w:lineRule="auto"/>
        <w:jc w:val="left"/>
      </w:pPr>
    </w:p>
    <w:p w:rsidR="00E71C1C" w:rsidRPr="009D1F55" w:rsidRDefault="00E71C1C" w:rsidP="00E71C1C">
      <w:pPr>
        <w:pStyle w:val="BodyTextFirstLine5DS"/>
        <w:spacing w:line="360" w:lineRule="auto"/>
        <w:jc w:val="left"/>
      </w:pPr>
      <w:r w:rsidRPr="009D1F55">
        <w:tab/>
        <w:t>FES argues supplier diversity is certainly an important factor in building a competitive retail market, but contends load caps are not the best way to achieve the balance the Commission seeks.  An important factor in building a robust retail market is getting customers the best pricing available in the marketplace, and best pricing is accomplished by allowing the markets to work without artificially limiting competition among participants.  Artificial supplier load caps interfere with the natural operation of competitive market forces, which Pennsylvania, through the Competition Act, has recognized to be more effective than regulation in controlling the cost of electric generation service.  FES St. No. 1 at 15.</w:t>
      </w:r>
    </w:p>
    <w:p w:rsidR="00E71C1C" w:rsidRPr="009D1F55" w:rsidRDefault="00E71C1C" w:rsidP="00E71C1C">
      <w:pPr>
        <w:pStyle w:val="BodyTextFirstLine5DS"/>
        <w:spacing w:line="360" w:lineRule="auto"/>
        <w:jc w:val="left"/>
      </w:pPr>
    </w:p>
    <w:p w:rsidR="00E71C1C" w:rsidRPr="00CC411F" w:rsidRDefault="00E71C1C" w:rsidP="00E71C1C">
      <w:pPr>
        <w:pStyle w:val="BodyTextFirstLine5DS"/>
        <w:spacing w:line="360" w:lineRule="auto"/>
        <w:jc w:val="left"/>
      </w:pPr>
      <w:r w:rsidRPr="00CC411F">
        <w:tab/>
        <w:t>First, it is extremely unlikely that one supplier can dominate the Duquesne Light retail market, including the Opt-In Program. Duquesne Light as the default service provider currently has the majority of Residential market share, at 61%.  Furthermore, according to Duquesne Light, there are over 20 EGSs in the Duquesne Light service territory serving the remaining 39% of Residential customers that have chosen an alternative supplier.  Duquesne Light St. No. 1 at 16; Duquesne Light St. No. 2 at 5.  The proposed customer participation cap limits the entire Opt-In Program to one-half of the customers on default service, or roughly 30% of Duquesne Light's Residential customers.  As a result, even if one supplier were to win all Residential customers participating in the Duquesne Light Opt-In Program, at maximum customer participation levels, they would enroll at most only 30% of Duquesne Light's Residential customers.  It is highly unlikely that one supplier would win all Residential customers participating in the Opt-In Program, since there are 23 EGSs making offers to Residential customers on PaPowerSwitch and at least 9 EGSs offering a product similar to that proposed in the Opt-In Program.  FES St. No. 1 at 15; FES Ex. TCB-2.</w:t>
      </w:r>
    </w:p>
    <w:p w:rsidR="00E71C1C" w:rsidRPr="009D1F55" w:rsidRDefault="00E71C1C" w:rsidP="00E71C1C">
      <w:pPr>
        <w:pStyle w:val="BodyText"/>
        <w:spacing w:line="360" w:lineRule="auto"/>
        <w:rPr>
          <w:szCs w:val="24"/>
        </w:rPr>
      </w:pPr>
    </w:p>
    <w:p w:rsidR="00E71C1C" w:rsidRPr="009D1F55" w:rsidRDefault="00E71C1C" w:rsidP="00DF0FEF">
      <w:pPr>
        <w:pStyle w:val="BriefL3"/>
        <w:numPr>
          <w:ilvl w:val="0"/>
          <w:numId w:val="0"/>
        </w:numPr>
        <w:spacing w:before="240" w:after="0"/>
        <w:ind w:firstLine="2160"/>
        <w:rPr>
          <w:b/>
          <w:szCs w:val="24"/>
        </w:rPr>
      </w:pPr>
      <w:r>
        <w:rPr>
          <w:b/>
          <w:szCs w:val="24"/>
        </w:rPr>
        <w:lastRenderedPageBreak/>
        <w:t>x</w:t>
      </w:r>
      <w:r w:rsidRPr="009D1F55">
        <w:rPr>
          <w:b/>
          <w:szCs w:val="24"/>
        </w:rPr>
        <w:t>.</w:t>
      </w:r>
      <w:r w:rsidRPr="009D1F55">
        <w:rPr>
          <w:b/>
          <w:szCs w:val="24"/>
        </w:rPr>
        <w:tab/>
        <w:t>Joint Suppliers’ Position</w:t>
      </w:r>
    </w:p>
    <w:p w:rsidR="00E71C1C" w:rsidRPr="009D1F55" w:rsidRDefault="00E71C1C" w:rsidP="00E71C1C">
      <w:pPr>
        <w:pStyle w:val="BodyText"/>
        <w:spacing w:line="360" w:lineRule="auto"/>
        <w:rPr>
          <w:szCs w:val="24"/>
        </w:rPr>
      </w:pPr>
    </w:p>
    <w:p w:rsidR="00E71C1C" w:rsidRPr="009D1F55" w:rsidRDefault="00E71C1C" w:rsidP="00E71C1C">
      <w:pPr>
        <w:pStyle w:val="BodyText2"/>
        <w:spacing w:after="0" w:line="360" w:lineRule="auto"/>
      </w:pPr>
      <w:r w:rsidRPr="009D1F55">
        <w:rPr>
          <w:lang w:val="en-US"/>
        </w:rPr>
        <w:tab/>
      </w:r>
      <w:r>
        <w:rPr>
          <w:lang w:val="en-US"/>
        </w:rPr>
        <w:tab/>
      </w:r>
      <w:r w:rsidRPr="009D1F55">
        <w:rPr>
          <w:lang w:val="en-US"/>
        </w:rPr>
        <w:t>Joint Suppliers take</w:t>
      </w:r>
      <w:r w:rsidRPr="009D1F55">
        <w:t xml:space="preserve"> no position on this issue.</w:t>
      </w:r>
    </w:p>
    <w:p w:rsidR="00E71C1C" w:rsidRDefault="00E71C1C" w:rsidP="003A41A8">
      <w:pPr>
        <w:pStyle w:val="BodyText"/>
        <w:spacing w:after="0" w:line="360" w:lineRule="auto"/>
        <w:ind w:left="0" w:firstLine="0"/>
        <w:rPr>
          <w:szCs w:val="24"/>
          <w:lang w:val="en-US"/>
        </w:rPr>
      </w:pPr>
    </w:p>
    <w:p w:rsidR="006D47C0" w:rsidRDefault="006D47C0" w:rsidP="006D47C0">
      <w:pPr>
        <w:rPr>
          <w:b/>
          <w:color w:val="000000" w:themeColor="text1"/>
        </w:rPr>
      </w:pPr>
      <w:r w:rsidRPr="000842FD">
        <w:rPr>
          <w:b/>
        </w:rPr>
        <w:t>Disposition</w:t>
      </w:r>
      <w:r w:rsidRPr="00B31678">
        <w:rPr>
          <w:b/>
        </w:rPr>
        <w:t xml:space="preserve"> </w:t>
      </w:r>
      <w:r w:rsidRPr="00B31678">
        <w:t>-</w:t>
      </w:r>
      <w:r>
        <w:rPr>
          <w:b/>
        </w:rPr>
        <w:t xml:space="preserve">  </w:t>
      </w:r>
      <w:r w:rsidRPr="004E7112">
        <w:rPr>
          <w:b/>
          <w:color w:val="000000" w:themeColor="text1"/>
        </w:rPr>
        <w:t>Market Enhancement Programs</w:t>
      </w:r>
      <w:r>
        <w:rPr>
          <w:b/>
          <w:color w:val="000000" w:themeColor="text1"/>
        </w:rPr>
        <w:t xml:space="preserve"> </w:t>
      </w:r>
      <w:r w:rsidRPr="004E7112">
        <w:rPr>
          <w:b/>
          <w:color w:val="000000" w:themeColor="text1"/>
        </w:rPr>
        <w:t xml:space="preserve">– Retail Opt-In Program – Supplier Load </w:t>
      </w:r>
      <w:r>
        <w:rPr>
          <w:b/>
          <w:color w:val="000000" w:themeColor="text1"/>
        </w:rPr>
        <w:tab/>
      </w:r>
      <w:r>
        <w:rPr>
          <w:b/>
          <w:color w:val="000000" w:themeColor="text1"/>
        </w:rPr>
        <w:tab/>
        <w:t xml:space="preserve">           </w:t>
      </w:r>
      <w:r w:rsidRPr="004E7112">
        <w:rPr>
          <w:b/>
          <w:color w:val="000000" w:themeColor="text1"/>
        </w:rPr>
        <w:t>Cap</w:t>
      </w:r>
    </w:p>
    <w:p w:rsidR="006D47C0" w:rsidRPr="004E7112" w:rsidRDefault="006D47C0" w:rsidP="006D47C0">
      <w:pPr>
        <w:rPr>
          <w:b/>
          <w:color w:val="000000" w:themeColor="text1"/>
        </w:rPr>
      </w:pPr>
    </w:p>
    <w:p w:rsidR="006D47C0" w:rsidRPr="004E7112" w:rsidRDefault="006D47C0" w:rsidP="006D47C0">
      <w:pPr>
        <w:spacing w:line="360" w:lineRule="auto"/>
        <w:rPr>
          <w:color w:val="000000" w:themeColor="text1"/>
        </w:rPr>
      </w:pPr>
      <w:r w:rsidRPr="004E7112">
        <w:rPr>
          <w:color w:val="000000" w:themeColor="text1"/>
        </w:rPr>
        <w:tab/>
      </w:r>
      <w:r w:rsidRPr="004E7112">
        <w:rPr>
          <w:color w:val="000000" w:themeColor="text1"/>
        </w:rPr>
        <w:tab/>
        <w:t>I recommend approving Duquesne Light’s proposal to cap-off the supplier load to 50%, as this proposal is consistent with prior Commission action in the FirstEnergy proceeding.  No one EGS should be permitted to grab a larger market share than 50% of the load in this program, the cap will allow for a greater diversity of participating EGS</w:t>
      </w:r>
      <w:r w:rsidR="0027716B">
        <w:rPr>
          <w:color w:val="000000" w:themeColor="text1"/>
        </w:rPr>
        <w:t>s</w:t>
      </w:r>
      <w:r w:rsidRPr="004E7112">
        <w:rPr>
          <w:color w:val="000000" w:themeColor="text1"/>
        </w:rPr>
        <w:t xml:space="preserve"> and also limit the risk of supplier default.  In addition, this proposal should make it more likely the default service customers who participate in the program will obtain a more reasonable retail price.  </w:t>
      </w:r>
    </w:p>
    <w:p w:rsidR="006D47C0" w:rsidRPr="00585EA4" w:rsidRDefault="006D47C0" w:rsidP="006D47C0">
      <w:pPr>
        <w:pStyle w:val="ListParagraph"/>
        <w:autoSpaceDE/>
        <w:autoSpaceDN/>
        <w:spacing w:line="360" w:lineRule="auto"/>
        <w:ind w:left="0"/>
        <w:rPr>
          <w:b/>
          <w:u w:val="single"/>
        </w:rPr>
      </w:pPr>
    </w:p>
    <w:p w:rsidR="006D47C0" w:rsidRDefault="006D47C0" w:rsidP="009B5D6B">
      <w:pPr>
        <w:pStyle w:val="BodyText2"/>
        <w:spacing w:after="0" w:line="360" w:lineRule="auto"/>
        <w:rPr>
          <w:b/>
        </w:rPr>
      </w:pPr>
      <w:r>
        <w:rPr>
          <w:lang w:val="en-US"/>
        </w:rPr>
        <w:tab/>
      </w:r>
      <w:r>
        <w:rPr>
          <w:lang w:val="en-US"/>
        </w:rPr>
        <w:tab/>
      </w:r>
      <w:r>
        <w:rPr>
          <w:b/>
        </w:rPr>
        <w:t>h.</w:t>
      </w:r>
      <w:r>
        <w:rPr>
          <w:b/>
        </w:rPr>
        <w:tab/>
        <w:t>Enrollment Process</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Duquesne Light proposed that each customer receiving the Opt</w:t>
      </w:r>
      <w:r>
        <w:rPr>
          <w:lang w:val="en-US"/>
        </w:rPr>
        <w:t>-</w:t>
      </w:r>
      <w:r>
        <w:t xml:space="preserve">In Service Program offer letter </w:t>
      </w:r>
      <w:r>
        <w:rPr>
          <w:lang w:val="en-US"/>
        </w:rPr>
        <w:t xml:space="preserve">initially </w:t>
      </w:r>
      <w:r>
        <w:t>be assigned one of the winning EGS bidders in proportion to the bids being awarded and that the offer letter identify the assigned EGS.  Duquesne Light St. No.</w:t>
      </w:r>
      <w:r>
        <w:rPr>
          <w:lang w:val="en-US"/>
        </w:rPr>
        <w:t> </w:t>
      </w:r>
      <w:r>
        <w:t xml:space="preserve">6, pp. 3-4. </w:t>
      </w:r>
      <w:r>
        <w:rPr>
          <w:lang w:val="en-US"/>
        </w:rPr>
        <w:t xml:space="preserve"> The Company pointed out that </w:t>
      </w:r>
      <w:r>
        <w:t xml:space="preserve">OCA proposed the Company identify all winning bidders in the offer letter and advise customers they would randomly be assigned one of the winning EGSs.  OCA St. No. 2, p. 11.  The Company </w:t>
      </w:r>
      <w:r>
        <w:rPr>
          <w:lang w:val="en-US"/>
        </w:rPr>
        <w:t xml:space="preserve">notes it </w:t>
      </w:r>
      <w:r>
        <w:t xml:space="preserve">agreed to OCA’s proposal in its rebuttal because </w:t>
      </w:r>
      <w:r>
        <w:rPr>
          <w:lang w:val="en-US"/>
        </w:rPr>
        <w:t>the proposal</w:t>
      </w:r>
      <w:r>
        <w:t xml:space="preserve"> simplif</w:t>
      </w:r>
      <w:r>
        <w:rPr>
          <w:lang w:val="en-US"/>
        </w:rPr>
        <w:t>ies</w:t>
      </w:r>
      <w:r>
        <w:t xml:space="preserve"> procedures and </w:t>
      </w:r>
      <w:r>
        <w:rPr>
          <w:lang w:val="en-US"/>
        </w:rPr>
        <w:t xml:space="preserve">provides </w:t>
      </w:r>
      <w:r>
        <w:t xml:space="preserve">customers </w:t>
      </w:r>
      <w:r>
        <w:rPr>
          <w:lang w:val="en-US"/>
        </w:rPr>
        <w:t>with the</w:t>
      </w:r>
      <w:r>
        <w:t xml:space="preserve"> same price for 12 months.  Duquesne Light St. No. 6-R, p. 3.  No party objected to this change.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1440"/>
      </w:pPr>
      <w:r>
        <w:t xml:space="preserve">OCA recommends that key terms and conditions, including price, be disclosed to the customer prior to enrollment in the program.  OCA points out the </w:t>
      </w:r>
      <w:r w:rsidRPr="00F353CA">
        <w:rPr>
          <w:i/>
        </w:rPr>
        <w:t>IWP Order</w:t>
      </w:r>
      <w:r>
        <w:rPr>
          <w:u w:val="single"/>
        </w:rPr>
        <w:fldChar w:fldCharType="begin"/>
      </w:r>
      <w:r>
        <w:instrText xml:space="preserve"> TA \s "IWP Order" </w:instrText>
      </w:r>
      <w:r>
        <w:rPr>
          <w:u w:val="single"/>
        </w:rPr>
        <w:fldChar w:fldCharType="end"/>
      </w:r>
      <w:r>
        <w:t xml:space="preserve"> similarly stated </w:t>
      </w:r>
      <w:r>
        <w:lastRenderedPageBreak/>
        <w:t xml:space="preserve">that “it is important that the Commission identify the key elements of the product to be offered to customers.”  </w:t>
      </w:r>
      <w:r w:rsidRPr="00D54545">
        <w:rPr>
          <w:i/>
        </w:rPr>
        <w:t>IWP Order</w:t>
      </w:r>
      <w:r>
        <w:t xml:space="preserve"> at 69.</w:t>
      </w:r>
    </w:p>
    <w:p w:rsidR="006D47C0" w:rsidRDefault="006D47C0" w:rsidP="006D47C0">
      <w:pPr>
        <w:spacing w:line="360" w:lineRule="auto"/>
        <w:ind w:firstLine="1440"/>
      </w:pPr>
    </w:p>
    <w:p w:rsidR="006D47C0" w:rsidRDefault="006D47C0" w:rsidP="006D47C0">
      <w:pPr>
        <w:spacing w:line="360" w:lineRule="auto"/>
      </w:pPr>
      <w:r>
        <w:tab/>
      </w:r>
      <w:r>
        <w:tab/>
        <w:t xml:space="preserve">OCA submits RESA’s recommendation is unreasonable and should not be adopted because it is </w:t>
      </w:r>
      <w:r w:rsidRPr="005E053D">
        <w:rPr>
          <w:u w:val="single"/>
        </w:rPr>
        <w:t>imperative</w:t>
      </w:r>
      <w:r>
        <w:t xml:space="preserve"> that consumers know the key terms and conditions, </w:t>
      </w:r>
      <w:r w:rsidRPr="005E053D">
        <w:rPr>
          <w:b/>
        </w:rPr>
        <w:t>including the price</w:t>
      </w:r>
      <w:r>
        <w:t>, prior to opting into the auction.  OCA notes RESA’s proposal “would transform the Opt-In Auction into an Opt-Out Auction by requiring customers to take affirmative action to de</w:t>
      </w:r>
      <w:r>
        <w:noBreakHyphen/>
        <w:t xml:space="preserve">enroll after receiving the actual price and terms should they not agree with the results of the auction or for any other reason.”  In addition, OCA opines RESA’s proposal is not even “remotely similar to actual practices in the retail competitive market where customers agree to accept a specific EGS offer based on knowledge of the price and other terms of service.”  OCA St. No. 2-R at 9-10 (footnote omitted).  </w:t>
      </w:r>
    </w:p>
    <w:p w:rsidR="006D47C0" w:rsidRDefault="006D47C0" w:rsidP="006D47C0">
      <w:pPr>
        <w:spacing w:line="360" w:lineRule="auto"/>
      </w:pPr>
    </w:p>
    <w:p w:rsidR="006D47C0" w:rsidRDefault="006D47C0" w:rsidP="006D47C0">
      <w:pPr>
        <w:spacing w:line="360" w:lineRule="auto"/>
      </w:pPr>
      <w:r>
        <w:tab/>
      </w:r>
      <w:r>
        <w:tab/>
        <w:t xml:space="preserve">OCA points out that – when residential consumers interested in participating in this program are presented with a price that does indeed reflect a savings compared to the PTC during the term of the contract – a robust level of customer enrollment will result.  Indeed, the provision of key terms and conditions to customers before they enroll was supported by FES when its witness said:   </w:t>
      </w:r>
    </w:p>
    <w:p w:rsidR="006D47C0" w:rsidRDefault="006D47C0" w:rsidP="006D47C0">
      <w:pPr>
        <w:ind w:left="1440" w:right="720"/>
        <w:jc w:val="both"/>
      </w:pPr>
    </w:p>
    <w:p w:rsidR="006D47C0" w:rsidRDefault="006D47C0" w:rsidP="006D47C0">
      <w:pPr>
        <w:ind w:left="1440" w:right="720"/>
      </w:pPr>
      <w:r>
        <w:t xml:space="preserve">A customer must know the price of the product they are asked to purchase…If either party should be expected to proceed with less than perfect information, it is the EGS, not the residential customer.  In the sequence recommended by the Commission and proposed by Duquesne Light, a customer will know the term, price and supplier - all information the customer would know if making a traditional choice among supplier offers, but with the advantage that the customer will not have to compare offers to determine which one is best.  </w:t>
      </w:r>
    </w:p>
    <w:p w:rsidR="006D47C0" w:rsidRDefault="006D47C0" w:rsidP="006D47C0">
      <w:pPr>
        <w:spacing w:line="360" w:lineRule="auto"/>
      </w:pPr>
    </w:p>
    <w:p w:rsidR="006D47C0" w:rsidRDefault="006D47C0" w:rsidP="006D47C0">
      <w:pPr>
        <w:spacing w:line="360" w:lineRule="auto"/>
      </w:pPr>
      <w:r>
        <w:t xml:space="preserve">FES St. 1-R at 13-15.  </w:t>
      </w:r>
    </w:p>
    <w:p w:rsidR="006D47C0" w:rsidRDefault="006D47C0" w:rsidP="006D47C0">
      <w:pPr>
        <w:spacing w:line="360" w:lineRule="auto"/>
      </w:pPr>
    </w:p>
    <w:p w:rsidR="006D47C0" w:rsidRDefault="006D47C0" w:rsidP="006D47C0">
      <w:pPr>
        <w:spacing w:line="360" w:lineRule="auto"/>
      </w:pPr>
      <w:r>
        <w:tab/>
      </w:r>
      <w:r>
        <w:tab/>
        <w:t xml:space="preserve">Accordingly, OCA submits Duquesne should provide to the customer in advance of enrollment all key terms and conditions, including price and any potential changes to the price being offered.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lastRenderedPageBreak/>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RESA proposes to enroll customers into the program before the auction is conducted,</w:t>
      </w:r>
      <w:r>
        <w:rPr>
          <w:rStyle w:val="FootnoteReference"/>
        </w:rPr>
        <w:footnoteReference w:id="97"/>
      </w:r>
      <w:r>
        <w:t xml:space="preserve"> which deviate</w:t>
      </w:r>
      <w:r>
        <w:rPr>
          <w:lang w:val="en-US"/>
        </w:rPr>
        <w:t>s</w:t>
      </w:r>
      <w:r>
        <w:t xml:space="preserve"> from the </w:t>
      </w:r>
      <w:r>
        <w:rPr>
          <w:i/>
        </w:rPr>
        <w:t>Intermediate Work Plan Final Order</w:t>
      </w:r>
      <w:r>
        <w:rPr>
          <w:i/>
          <w:lang w:val="en-US"/>
        </w:rPr>
        <w:t>.</w:t>
      </w:r>
      <w:r>
        <w:t xml:space="preserve">  </w:t>
      </w:r>
      <w:r>
        <w:rPr>
          <w:lang w:val="en-US"/>
        </w:rPr>
        <w:t xml:space="preserve">RESA contends </w:t>
      </w:r>
      <w:r>
        <w:t>Duquesne’s proposal to place the price-setting auction before customer enrollment would force EGSs to consider whether they are willing to incur material transaction costs and commit to actual pricing in the auction without having any idea how many customers are even available for acquisition through the auction.</w:t>
      </w:r>
      <w:r>
        <w:rPr>
          <w:rStyle w:val="FootnoteReference"/>
        </w:rPr>
        <w:footnoteReference w:id="98"/>
      </w:r>
      <w:r>
        <w:t xml:space="preserve">  Leaving the key variable in that calculation – the number of customers available for acquisition – unknown until after both the price has been set and EGSs have incurred costs to participate in the auction will have a negative impact on those EGS perceptions.</w:t>
      </w:r>
      <w:r>
        <w:rPr>
          <w:rStyle w:val="FootnoteReference"/>
        </w:rPr>
        <w:footnoteReference w:id="99"/>
      </w:r>
    </w:p>
    <w:p w:rsidR="006D47C0" w:rsidRPr="00C359E9"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In ordering that enrollment occur after the auction in the </w:t>
      </w:r>
      <w:r>
        <w:rPr>
          <w:i/>
        </w:rPr>
        <w:t>Intermediate Work Plan Final Order</w:t>
      </w:r>
      <w:r>
        <w:t>, it appears that the Commission was concerned that customers would not have sufficient information about the product that they will receive if they opted in.  Respectfully, RESA does not share that concern.</w:t>
      </w:r>
      <w:r>
        <w:rPr>
          <w:rStyle w:val="FootnoteReference"/>
        </w:rPr>
        <w:footnoteReference w:id="100"/>
      </w:r>
      <w:r>
        <w:t xml:space="preserve">  Customers would know that, if they opted in, they would get a product that:  1) was at least 5% less than the then-current default service price; 2) included a $50 bonus after the initial four months; and 3) could be canceled at any time without penalty.</w:t>
      </w:r>
      <w:r>
        <w:rPr>
          <w:rStyle w:val="FootnoteReference"/>
        </w:rPr>
        <w:footnoteReference w:id="101"/>
      </w:r>
      <w:r>
        <w:t xml:space="preserve">  With that knowledge and perhaps the disclosure of more terms relating to the product as the Commission may dictate, customers would be able to make a judgment about their interest in the program.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RESA maintains that the positive features of the program that RESA is proposing – namely aggressive promotion of this program as a true aggregation effort by the Commission and the EDC rather than as a co-branded marketing effort by the EGSs and the EDC – would </w:t>
      </w:r>
      <w:r>
        <w:lastRenderedPageBreak/>
        <w:t>attract a material number of customers based on the bonus and minimum price reduction, even if the final price is not known.</w:t>
      </w:r>
      <w:r>
        <w:rPr>
          <w:rStyle w:val="FootnoteReference"/>
        </w:rPr>
        <w:footnoteReference w:id="102"/>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w:t>
      </w:r>
      <w:r w:rsidR="00D108FD">
        <w:rPr>
          <w:lang w:val="en-US"/>
        </w:rPr>
        <w:t>P</w:t>
      </w:r>
      <w:r>
        <w:rPr>
          <w:lang w:val="en-US"/>
        </w:rPr>
        <w:t>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Citizen Power recommends the Opt-In </w:t>
      </w:r>
      <w:r w:rsidR="00D40A9A">
        <w:t>P</w:t>
      </w:r>
      <w:r>
        <w:t>rogram use OCA’s proposed method of enrolling customers.  In this approach, the communication soliciting enrollment would not specifically identify the customer’s EGS if they choose to enroll.  Instead, customers would be informed that they would be randomly assigned to one of the EGSs listed in the communication in a first-come, first-served manner.  Citizen Power contends this proposal has the advantage that none of the participating EGS</w:t>
      </w:r>
      <w:r w:rsidR="00D40A9A">
        <w:t>’</w:t>
      </w:r>
      <w:r>
        <w:t>s cap will be reached before another participating EGSs cap which obviates the need to reassign a customer to another EGS.  OCA St. 2 at 11.  Duquesne’s witness Mr. Fisher, in his Rebuttal Testimony on page 21, also agrees with this change in methodology.</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3A7AF3" w:rsidRDefault="006D47C0" w:rsidP="006D47C0">
      <w:pPr>
        <w:pStyle w:val="BriefL3"/>
        <w:numPr>
          <w:ilvl w:val="0"/>
          <w:numId w:val="0"/>
        </w:numPr>
        <w:spacing w:after="0" w:line="360" w:lineRule="auto"/>
        <w:ind w:firstLine="720"/>
        <w:rPr>
          <w:b/>
          <w:szCs w:val="24"/>
        </w:rPr>
      </w:pPr>
      <w:r>
        <w:rPr>
          <w:b/>
          <w:szCs w:val="24"/>
        </w:rPr>
        <w:tab/>
      </w:r>
      <w:r>
        <w:rPr>
          <w:b/>
          <w:szCs w:val="24"/>
        </w:rPr>
        <w:tab/>
      </w:r>
    </w:p>
    <w:p w:rsidR="003A7AF3" w:rsidRDefault="003A7AF3" w:rsidP="006D47C0">
      <w:pPr>
        <w:pStyle w:val="BriefL3"/>
        <w:numPr>
          <w:ilvl w:val="0"/>
          <w:numId w:val="0"/>
        </w:numPr>
        <w:spacing w:after="0" w:line="360" w:lineRule="auto"/>
        <w:ind w:firstLine="720"/>
        <w:rPr>
          <w:b/>
          <w:szCs w:val="24"/>
        </w:rPr>
      </w:pPr>
    </w:p>
    <w:p w:rsidR="003A7AF3" w:rsidRDefault="003A7AF3" w:rsidP="006D47C0">
      <w:pPr>
        <w:pStyle w:val="BriefL3"/>
        <w:numPr>
          <w:ilvl w:val="0"/>
          <w:numId w:val="0"/>
        </w:numPr>
        <w:spacing w:after="0" w:line="360" w:lineRule="auto"/>
        <w:ind w:firstLine="720"/>
        <w:rPr>
          <w:b/>
          <w:szCs w:val="24"/>
        </w:rPr>
      </w:pPr>
    </w:p>
    <w:p w:rsidR="006D47C0" w:rsidRDefault="003A7AF3" w:rsidP="006D47C0">
      <w:pPr>
        <w:pStyle w:val="BriefL3"/>
        <w:numPr>
          <w:ilvl w:val="0"/>
          <w:numId w:val="0"/>
        </w:numPr>
        <w:spacing w:after="0" w:line="360" w:lineRule="auto"/>
        <w:ind w:firstLine="720"/>
        <w:rPr>
          <w:b/>
          <w:szCs w:val="24"/>
        </w:rPr>
      </w:pPr>
      <w:r>
        <w:rPr>
          <w:b/>
          <w:szCs w:val="24"/>
        </w:rPr>
        <w:lastRenderedPageBreak/>
        <w:tab/>
      </w:r>
      <w:r>
        <w:rPr>
          <w:b/>
          <w:szCs w:val="24"/>
        </w:rPr>
        <w:tab/>
      </w:r>
      <w:r w:rsidR="006D47C0">
        <w:rPr>
          <w:b/>
          <w:szCs w:val="24"/>
        </w:rPr>
        <w:t>viii.</w:t>
      </w:r>
      <w:r w:rsidR="006D47C0">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The EGS Parties support the enrollment process approved by the Commission in the </w:t>
      </w:r>
      <w:r>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namely, that customers be solicited prior to either assignment to suppliers, or the conduct of an auction.  (TJB St. No. 1-SR, p. 3:4-20).  The Commission recognizes there will be substantial benefits to customers, in the form of lower prices, if EGSs know how many customers will be in each tranche.</w:t>
      </w:r>
      <w:r>
        <w:rPr>
          <w:rStyle w:val="FootnoteReference"/>
        </w:rPr>
        <w:footnoteReference w:id="103"/>
      </w:r>
    </w:p>
    <w:p w:rsidR="006D47C0" w:rsidRDefault="006D47C0"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480" w:lineRule="auto"/>
        <w:ind w:left="0" w:firstLine="0"/>
        <w:rPr>
          <w:szCs w:val="24"/>
          <w:lang w:val="en-US"/>
        </w:rPr>
      </w:pPr>
    </w:p>
    <w:p w:rsidR="006D47C0" w:rsidRDefault="006D47C0" w:rsidP="006D47C0">
      <w:pPr>
        <w:pStyle w:val="BodyTextFirstLine5DS"/>
        <w:spacing w:line="360" w:lineRule="auto"/>
        <w:jc w:val="left"/>
      </w:pPr>
      <w:r>
        <w:tab/>
        <w:t xml:space="preserve">FES notes that, if the </w:t>
      </w:r>
      <w:r w:rsidRPr="00037FA0">
        <w:rPr>
          <w:i/>
        </w:rPr>
        <w:t>ME/PN/PP/WP</w:t>
      </w:r>
      <w:r>
        <w:t xml:space="preserve"> Order and the </w:t>
      </w:r>
      <w:r w:rsidRPr="00037FA0">
        <w:rPr>
          <w:i/>
        </w:rPr>
        <w:t>PECO Binding Poll</w:t>
      </w:r>
      <w:r>
        <w:t xml:space="preserve"> apply to this proceeding, this question may be moot because the </w:t>
      </w:r>
      <w:r w:rsidRPr="00037FA0">
        <w:rPr>
          <w:i/>
        </w:rPr>
        <w:t>ME/PN/PP/WP</w:t>
      </w:r>
      <w:r>
        <w:t xml:space="preserve"> Order and the </w:t>
      </w:r>
      <w:r w:rsidRPr="00037FA0">
        <w:rPr>
          <w:i/>
        </w:rPr>
        <w:t>PECO Binding Poll</w:t>
      </w:r>
      <w:r>
        <w:t xml:space="preserve"> eliminated the Opt-In </w:t>
      </w:r>
      <w:r w:rsidR="005D087B">
        <w:t>P</w:t>
      </w:r>
      <w:r>
        <w:t xml:space="preserve">rogram bidding competition.  If the </w:t>
      </w:r>
      <w:r w:rsidRPr="00037FA0">
        <w:rPr>
          <w:i/>
        </w:rPr>
        <w:t>ME/PN/PP/WP</w:t>
      </w:r>
      <w:r>
        <w:t xml:space="preserve"> Order and the </w:t>
      </w:r>
      <w:r w:rsidRPr="00037FA0">
        <w:rPr>
          <w:i/>
        </w:rPr>
        <w:t>PECO Binding Poll</w:t>
      </w:r>
      <w:r>
        <w:t xml:space="preserve"> do not apply to this proceeding, the Commission</w:t>
      </w:r>
      <w:r w:rsidR="00037FA0">
        <w:t>’</w:t>
      </w:r>
      <w:r>
        <w:t xml:space="preserve">s </w:t>
      </w:r>
      <w:r w:rsidRPr="00037FA0">
        <w:rPr>
          <w:i/>
        </w:rPr>
        <w:t>IWP Order</w:t>
      </w:r>
      <w:r>
        <w:t xml:space="preserve"> guidelines advise that EGS bidding precede enrollment and RESA has not presented good cause to deviate from that approach.  RESA did not consult, review or prepare any studies or analyses to determine what it calls “the negative effect” the Commission’s preferred sequence of bidding and enrollment will have on the ultimate value that is brought to customers through the Opt-In </w:t>
      </w:r>
      <w:r w:rsidR="00203A9C">
        <w:t>P</w:t>
      </w:r>
      <w:r>
        <w:t>rogram, or that putting the price-setting auction before the customer enrollment period will tend to decrease the number of EGSs that will participate in the auction.</w:t>
      </w:r>
      <w:r>
        <w:rPr>
          <w:vertAlign w:val="superscript"/>
        </w:rPr>
        <w:footnoteReference w:id="104"/>
      </w:r>
      <w:r>
        <w:t xml:space="preserve">  FES Ex. TCB-8 (RESA Response to FES-I-8(a), (b)).</w:t>
      </w:r>
    </w:p>
    <w:p w:rsidR="006D47C0" w:rsidRDefault="006D47C0" w:rsidP="006D47C0">
      <w:pPr>
        <w:pStyle w:val="BodyTextFirstLine5DS"/>
        <w:jc w:val="left"/>
      </w:pPr>
    </w:p>
    <w:p w:rsidR="006D47C0" w:rsidRDefault="006D47C0" w:rsidP="006D47C0">
      <w:pPr>
        <w:pStyle w:val="BodyTextFirstLine5DS"/>
        <w:spacing w:line="360" w:lineRule="auto"/>
        <w:jc w:val="left"/>
      </w:pPr>
      <w:r>
        <w:tab/>
        <w:t xml:space="preserve">FES points out that Duquesne Light’s shopping levels are among the highest in the Commonwealth, and the Commission was aware of shopping levels when it adopted the </w:t>
      </w:r>
      <w:r w:rsidRPr="00A8030C">
        <w:rPr>
          <w:i/>
        </w:rPr>
        <w:t>IWP Order</w:t>
      </w:r>
      <w:r>
        <w:t xml:space="preserve">.  In the </w:t>
      </w:r>
      <w:r w:rsidRPr="00BB16B1">
        <w:rPr>
          <w:i/>
        </w:rPr>
        <w:t>IWP Order</w:t>
      </w:r>
      <w:r>
        <w:t>, the Commission acknowledged that parties differed in their proposals as to the timing of the EGS auction relative to customer enrollment.  However, the Commission emphasized the importance of avoiding a negative perception of competitive retail markets:</w:t>
      </w:r>
    </w:p>
    <w:p w:rsidR="006D47C0" w:rsidRDefault="006D47C0" w:rsidP="006D47C0">
      <w:pPr>
        <w:pStyle w:val="BodyText2"/>
        <w:spacing w:after="240" w:line="240" w:lineRule="auto"/>
        <w:ind w:left="1440" w:right="1440"/>
      </w:pPr>
      <w:r>
        <w:lastRenderedPageBreak/>
        <w:t>One of the underlying goals of the Retail Opt-In programs is to assist uncertain customers in their shopping endeavors.  As such, mitigating customer confusion is important to the Commission.  The Commission is also concerned about a worst-case scenario in which the EGS auction does not fully subscribe all available tranches.  Such a scenario could foster a negative perception toward the competitive retail markets if customers who expected auction service were not able to receive service or had to receive a different price and/or product.</w:t>
      </w:r>
    </w:p>
    <w:p w:rsidR="006D47C0" w:rsidRDefault="006D47C0" w:rsidP="006D47C0">
      <w:pPr>
        <w:pStyle w:val="BodyTextFirstLine5DS"/>
        <w:spacing w:line="360" w:lineRule="auto"/>
        <w:ind w:firstLine="0"/>
        <w:jc w:val="left"/>
        <w:rPr>
          <w:i/>
        </w:rPr>
      </w:pPr>
      <w:r w:rsidRPr="009557FB">
        <w:rPr>
          <w:i/>
        </w:rPr>
        <w:t>IWP Order</w:t>
      </w:r>
      <w:r>
        <w:t xml:space="preserve"> at 55.  The Commission determined that holding the EGS auction before customer enrollment is the appropriate way to address these concerns.  </w:t>
      </w:r>
      <w:r>
        <w:rPr>
          <w:i/>
        </w:rPr>
        <w:t>Id.</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ind w:firstLine="0"/>
        <w:jc w:val="left"/>
      </w:pPr>
      <w:r>
        <w:tab/>
      </w:r>
      <w:r>
        <w:tab/>
        <w:t>In the sequence recommended by the Commission and proposed by Duquesne Light, a customer will know the term, price and supplier – all information the customer would know if making a traditional choice among supplier offers, but with the advantage that the customer will not have to compare offers to determine which one is best.</w:t>
      </w:r>
    </w:p>
    <w:p w:rsidR="006D47C0" w:rsidRDefault="006D47C0" w:rsidP="006D47C0">
      <w:pPr>
        <w:pStyle w:val="BodyTextFirstLine5DS"/>
        <w:spacing w:line="360" w:lineRule="auto"/>
        <w:jc w:val="left"/>
      </w:pPr>
      <w:r>
        <w:tab/>
      </w:r>
    </w:p>
    <w:p w:rsidR="006D47C0" w:rsidRDefault="006D47C0" w:rsidP="006D47C0">
      <w:pPr>
        <w:pStyle w:val="BodyTextFirstLine5DS"/>
        <w:spacing w:line="360" w:lineRule="auto"/>
        <w:jc w:val="left"/>
        <w:rPr>
          <w:b/>
        </w:rPr>
      </w:pPr>
      <w:r>
        <w:rPr>
          <w:b/>
        </w:rPr>
        <w:tab/>
      </w:r>
      <w:r>
        <w:rPr>
          <w:b/>
        </w:rPr>
        <w:tab/>
        <w:t>x.</w:t>
      </w:r>
      <w:r>
        <w:rPr>
          <w:b/>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pStyle w:val="ListParagraph"/>
        <w:autoSpaceDE/>
        <w:autoSpaceDN/>
        <w:ind w:left="1440" w:hanging="1440"/>
        <w:rPr>
          <w:b/>
          <w:color w:val="000000" w:themeColor="text1"/>
        </w:rPr>
      </w:pPr>
      <w:r w:rsidRPr="0063127A">
        <w:rPr>
          <w:b/>
        </w:rPr>
        <w:t>Disposition</w:t>
      </w:r>
      <w:r>
        <w:rPr>
          <w:b/>
        </w:rPr>
        <w:t xml:space="preserve"> </w:t>
      </w:r>
      <w:r w:rsidRPr="00866A0C">
        <w:t>-</w:t>
      </w:r>
      <w:r>
        <w:t xml:space="preserve">  </w:t>
      </w:r>
      <w:r w:rsidRPr="004E7112">
        <w:rPr>
          <w:b/>
          <w:color w:val="000000" w:themeColor="text1"/>
        </w:rPr>
        <w:t>Market Enhancement Programs – Retail Opt-In Program – Enrollment Process</w:t>
      </w:r>
    </w:p>
    <w:p w:rsidR="006D47C0" w:rsidRPr="004E7112" w:rsidRDefault="006D47C0" w:rsidP="006D47C0">
      <w:pPr>
        <w:spacing w:line="360" w:lineRule="auto"/>
        <w:rPr>
          <w:color w:val="000000" w:themeColor="text1"/>
        </w:rPr>
      </w:pPr>
    </w:p>
    <w:p w:rsidR="006D47C0" w:rsidRDefault="006D47C0" w:rsidP="006D47C0">
      <w:pPr>
        <w:pStyle w:val="BodyText"/>
        <w:spacing w:after="0" w:line="360" w:lineRule="auto"/>
        <w:ind w:left="0" w:firstLine="0"/>
        <w:rPr>
          <w:szCs w:val="24"/>
          <w:lang w:val="en-US"/>
        </w:rPr>
      </w:pPr>
      <w:r w:rsidRPr="004E7112">
        <w:rPr>
          <w:color w:val="000000" w:themeColor="text1"/>
          <w:szCs w:val="24"/>
        </w:rPr>
        <w:tab/>
      </w:r>
      <w:r w:rsidRPr="004E7112">
        <w:rPr>
          <w:color w:val="000000" w:themeColor="text1"/>
          <w:szCs w:val="24"/>
        </w:rPr>
        <w:tab/>
        <w:t xml:space="preserve">I recommend approving Duquesne Light’s proposal to identify all winning bidders in the Opt-In Service </w:t>
      </w:r>
      <w:r w:rsidR="00E92DE9">
        <w:rPr>
          <w:color w:val="000000" w:themeColor="text1"/>
          <w:szCs w:val="24"/>
          <w:lang w:val="en-US"/>
        </w:rPr>
        <w:t>P</w:t>
      </w:r>
      <w:r w:rsidRPr="004E7112">
        <w:rPr>
          <w:color w:val="000000" w:themeColor="text1"/>
          <w:szCs w:val="24"/>
        </w:rPr>
        <w:t>rogram letter mailed to default service customers and to inform customers that each customer w</w:t>
      </w:r>
      <w:r w:rsidR="002125BC">
        <w:rPr>
          <w:color w:val="000000" w:themeColor="text1"/>
          <w:szCs w:val="24"/>
          <w:lang w:val="en-US"/>
        </w:rPr>
        <w:t>ill</w:t>
      </w:r>
      <w:r w:rsidRPr="004E7112">
        <w:rPr>
          <w:color w:val="000000" w:themeColor="text1"/>
          <w:szCs w:val="24"/>
        </w:rPr>
        <w:t xml:space="preserve"> be randomly assigned to one of the winning EGSs.  This proposal is simple, provides the key terms and conditions prior to enrollment, and provides the customers with the same price for a 12</w:t>
      </w:r>
      <w:r>
        <w:rPr>
          <w:color w:val="000000" w:themeColor="text1"/>
          <w:szCs w:val="24"/>
        </w:rPr>
        <w:t>-</w:t>
      </w:r>
      <w:r w:rsidRPr="004E7112">
        <w:rPr>
          <w:color w:val="000000" w:themeColor="text1"/>
          <w:szCs w:val="24"/>
        </w:rPr>
        <w:t xml:space="preserve">month period.  By presenting interested residential customers with a price that reflects an actual savings compared to the PTC and which covers the entire term of the contract, the Company should realize a robust level of customer enrollment.  </w:t>
      </w:r>
    </w:p>
    <w:p w:rsidR="006D47C0" w:rsidRDefault="006D47C0" w:rsidP="006D47C0">
      <w:pPr>
        <w:pStyle w:val="BodyText"/>
        <w:spacing w:after="0" w:line="360" w:lineRule="auto"/>
        <w:ind w:left="0" w:firstLine="0"/>
        <w:rPr>
          <w:szCs w:val="24"/>
          <w:lang w:val="en-US"/>
        </w:rPr>
      </w:pPr>
    </w:p>
    <w:p w:rsidR="00130D33" w:rsidRDefault="00130D33" w:rsidP="006D47C0">
      <w:pPr>
        <w:pStyle w:val="BriefL3"/>
        <w:numPr>
          <w:ilvl w:val="0"/>
          <w:numId w:val="0"/>
        </w:numPr>
        <w:spacing w:after="0" w:line="360" w:lineRule="auto"/>
        <w:ind w:left="720" w:firstLine="720"/>
        <w:rPr>
          <w:b/>
          <w:szCs w:val="24"/>
        </w:rPr>
      </w:pPr>
    </w:p>
    <w:p w:rsidR="00130D33" w:rsidRDefault="00130D33" w:rsidP="006D47C0">
      <w:pPr>
        <w:pStyle w:val="BriefL3"/>
        <w:numPr>
          <w:ilvl w:val="0"/>
          <w:numId w:val="0"/>
        </w:numPr>
        <w:spacing w:after="0" w:line="360" w:lineRule="auto"/>
        <w:ind w:left="720" w:firstLine="720"/>
        <w:rPr>
          <w:b/>
          <w:szCs w:val="24"/>
        </w:rPr>
      </w:pPr>
    </w:p>
    <w:p w:rsidR="00130D33" w:rsidRDefault="00130D33"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firstLine="720"/>
        <w:rPr>
          <w:b/>
          <w:szCs w:val="24"/>
        </w:rPr>
      </w:pPr>
      <w:r>
        <w:rPr>
          <w:b/>
          <w:szCs w:val="24"/>
        </w:rPr>
        <w:lastRenderedPageBreak/>
        <w:t>i.</w:t>
      </w:r>
      <w:r>
        <w:rPr>
          <w:b/>
          <w:szCs w:val="24"/>
        </w:rPr>
        <w:tab/>
        <w:t>Mailings and Communications</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Duquesne Light proposes to send one offer letter to customers following </w:t>
      </w:r>
      <w:r>
        <w:rPr>
          <w:lang w:val="en-US"/>
        </w:rPr>
        <w:t xml:space="preserve">the </w:t>
      </w:r>
      <w:r>
        <w:t xml:space="preserve">selection of winning EGSs and </w:t>
      </w:r>
      <w:r>
        <w:rPr>
          <w:lang w:val="en-US"/>
        </w:rPr>
        <w:t xml:space="preserve">the </w:t>
      </w:r>
      <w:r>
        <w:t xml:space="preserve">establishment of price in the RFP.  Duquesne Light St. No. 3, p. 27.  The </w:t>
      </w:r>
      <w:r>
        <w:rPr>
          <w:lang w:val="en-US"/>
        </w:rPr>
        <w:t xml:space="preserve">Company notes that, in fact, the </w:t>
      </w:r>
      <w:r>
        <w:t>offer letter is the vast majority of the expense for the program.  Duquesne Light St. No. 4-R, p. 15.</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 xml:space="preserve">Duquesne Light points out that </w:t>
      </w:r>
      <w:r>
        <w:t>RESA proposes another letter from the Commission prior to the RFP</w:t>
      </w:r>
      <w:r>
        <w:rPr>
          <w:lang w:val="en-US"/>
        </w:rPr>
        <w:t xml:space="preserve"> to which Duquesne Light has several specified concerns</w:t>
      </w:r>
      <w:r>
        <w:t>.  RESA St. No. 2, p. 9.  First, if the RFP fails, or no suppliers participate even if no RFP is required, customers will be disappointed and frustrated.  Second, a second letter effectively doubles the cost of a program</w:t>
      </w:r>
      <w:r>
        <w:rPr>
          <w:lang w:val="en-US"/>
        </w:rPr>
        <w:t>, for</w:t>
      </w:r>
      <w:r>
        <w:t xml:space="preserve"> which EGSs do not want to pay at any level.</w:t>
      </w:r>
    </w:p>
    <w:p w:rsidR="006D47C0" w:rsidRPr="00B236E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There is no demonstrated need or benefit from multiple communications to customers.  In </w:t>
      </w:r>
      <w:r>
        <w:rPr>
          <w:lang w:val="en-US"/>
        </w:rPr>
        <w:t>the</w:t>
      </w:r>
      <w:r>
        <w:t xml:space="preserve"> event the Commission </w:t>
      </w:r>
      <w:r>
        <w:rPr>
          <w:lang w:val="en-US"/>
        </w:rPr>
        <w:t>decides</w:t>
      </w:r>
      <w:r>
        <w:t xml:space="preserve"> to send another letter to customers, Duquesne Light recommends </w:t>
      </w:r>
      <w:r>
        <w:rPr>
          <w:lang w:val="en-US"/>
        </w:rPr>
        <w:t>the Commission</w:t>
      </w:r>
      <w:r>
        <w:t xml:space="preserve"> do so only after </w:t>
      </w:r>
      <w:r>
        <w:rPr>
          <w:lang w:val="en-US"/>
        </w:rPr>
        <w:t xml:space="preserve">the EGSs participating in the program is known and those EGSs </w:t>
      </w:r>
      <w:r>
        <w:t>agree to pay for the additional marketing costs.</w:t>
      </w:r>
    </w:p>
    <w:p w:rsidR="006D47C0" w:rsidRPr="00F61E57" w:rsidRDefault="006D47C0" w:rsidP="006D47C0">
      <w:pPr>
        <w:pStyle w:val="BodyText2"/>
        <w:spacing w:after="0" w:line="360" w:lineRule="auto"/>
        <w:rPr>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1440"/>
      </w:pPr>
      <w:r>
        <w:t xml:space="preserve">OCA contends that Duquesne’s proposed notice provisions – that would occur at the end of the EGS Opt-In </w:t>
      </w:r>
      <w:r w:rsidR="00D028CD">
        <w:t>P</w:t>
      </w:r>
      <w:r>
        <w:t xml:space="preserve">rogram – are insufficient given the type of program proposed.  Under the Company’s proposal, customers would receive only two notices from the EGS.  Duquesne St. 3-R at 33-35.  OCA recommends that </w:t>
      </w:r>
      <w:r w:rsidRPr="005E053D">
        <w:rPr>
          <w:u w:val="single"/>
        </w:rPr>
        <w:t>three</w:t>
      </w:r>
      <w:r>
        <w:t xml:space="preserve"> notices should be provided to customers prior to the end of the program – one from the EDC stating that the program is coming to an end and two from the EGSs as required by the Commission’s regulations.  OCA specified those three notices in its Direct testimony:</w:t>
      </w:r>
    </w:p>
    <w:p w:rsidR="006D47C0" w:rsidRDefault="006D47C0" w:rsidP="006D47C0">
      <w:pPr>
        <w:ind w:left="1440" w:right="720"/>
        <w:jc w:val="both"/>
      </w:pPr>
    </w:p>
    <w:p w:rsidR="006D47C0" w:rsidRDefault="006D47C0" w:rsidP="006D47C0">
      <w:pPr>
        <w:ind w:left="1440" w:right="720"/>
      </w:pPr>
      <w:r>
        <w:t xml:space="preserve">Participating customers must receive three notices: (1) a 90-day notice from the EDC that will alert the customer to the end of the contract term </w:t>
      </w:r>
      <w:r>
        <w:lastRenderedPageBreak/>
        <w:t>and their options (select another EGS, select an offer from the serving EGS, return to Default Service), and explaining that they will hear directly from their EGS about rate options in the coming months; (2) a notice from the EGS 90 days prior to end of the contract about the customers’ options that shall disclose the EGS offers to the customers, the option to return to Default Service, and a disclosure of what will occur if the customer does nothing; (3) a similar notice from the EGS 52-60 days prior to the end of the contract.</w:t>
      </w:r>
    </w:p>
    <w:p w:rsidR="006D47C0" w:rsidRDefault="006D47C0" w:rsidP="006D47C0">
      <w:pPr>
        <w:spacing w:line="360" w:lineRule="auto"/>
      </w:pPr>
    </w:p>
    <w:p w:rsidR="006D47C0" w:rsidRDefault="006D47C0" w:rsidP="006D47C0">
      <w:pPr>
        <w:spacing w:line="360" w:lineRule="auto"/>
      </w:pPr>
      <w:r>
        <w:t xml:space="preserve">OCA St. 2 at 12.  </w:t>
      </w:r>
    </w:p>
    <w:p w:rsidR="006D47C0" w:rsidRDefault="006D47C0" w:rsidP="006D47C0">
      <w:pPr>
        <w:spacing w:line="360" w:lineRule="auto"/>
      </w:pPr>
    </w:p>
    <w:p w:rsidR="006D47C0" w:rsidRDefault="006D47C0" w:rsidP="006D47C0">
      <w:pPr>
        <w:spacing w:line="360" w:lineRule="auto"/>
      </w:pPr>
      <w:r>
        <w:tab/>
      </w:r>
      <w:r>
        <w:tab/>
        <w:t xml:space="preserve">OCA argues Duquesne, as the sponsor of this program, should be required to advise customers that the program is coming to an end.  OCA submits that two notices from the EGS are not sufficient because such notices are not specifically directed to the end of this special program and do not come from the sponsor of the program.  OCA submits that this notice from Duquesne is an important additional step to educate customers.  OCA avers the notice from the EDC is necessary so enrolled customers understand the options.  </w:t>
      </w:r>
    </w:p>
    <w:p w:rsidR="006D47C0" w:rsidRDefault="006D47C0" w:rsidP="006D47C0">
      <w:pPr>
        <w:spacing w:line="360" w:lineRule="auto"/>
      </w:pPr>
      <w:r>
        <w:t xml:space="preserve"> </w:t>
      </w:r>
      <w:r>
        <w:tab/>
      </w:r>
      <w:r>
        <w:tab/>
      </w:r>
    </w:p>
    <w:p w:rsidR="006D47C0" w:rsidRDefault="006D47C0" w:rsidP="006D47C0">
      <w:pPr>
        <w:spacing w:line="360" w:lineRule="auto"/>
      </w:pPr>
      <w:r>
        <w:tab/>
      </w:r>
      <w:r>
        <w:tab/>
        <w:t>OCA continues to recommend an additional notice from Duquesne because it is an important aspect of consumer education.  Many of the consumers who will participate in the program will not have previously participated in the retail markets, and the notice will ensure that these consumers are fully informed of their options.  For the reasons discussed above, OCA submits that three notices should be provided to customers prior to the end of the program, one from the EDC and two from the EGS.  OCA has submitted substantial evidence on this issue and provided good cause as to why OCA’s recommendation should be adopted.</w:t>
      </w:r>
    </w:p>
    <w:p w:rsidR="006D47C0" w:rsidRDefault="006D47C0" w:rsidP="006D47C0">
      <w:pPr>
        <w:pStyle w:val="BriefL3"/>
        <w:numPr>
          <w:ilvl w:val="0"/>
          <w:numId w:val="0"/>
        </w:numPr>
        <w:spacing w:after="0" w:line="360" w:lineRule="auto"/>
        <w:ind w:left="1440" w:hanging="72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rPr>
          <w:lang w:val="en-US"/>
        </w:rPr>
      </w:pPr>
      <w:r>
        <w:t xml:space="preserve">In the </w:t>
      </w:r>
      <w:r>
        <w:rPr>
          <w:i/>
        </w:rPr>
        <w:t>FirstEnergy Default Service Order</w:t>
      </w:r>
      <w:r>
        <w:t>, the Commission directed the Companies and EGSs to update their proposals for customer notification, opt-in enrollment and customer assignment to coordinate with the revised ROI aggregation program.</w:t>
      </w:r>
      <w:r>
        <w:rPr>
          <w:rStyle w:val="FootnoteReference"/>
        </w:rPr>
        <w:footnoteReference w:id="105"/>
      </w:r>
      <w:r>
        <w:t xml:space="preserve"> </w:t>
      </w:r>
      <w:r>
        <w:rPr>
          <w:lang w:val="en-US"/>
        </w:rPr>
        <w:t xml:space="preserve"> </w:t>
      </w:r>
      <w:r>
        <w:t>RESA would support a similar result in this case.</w:t>
      </w:r>
    </w:p>
    <w:p w:rsidR="006D47C0" w:rsidRDefault="006D47C0" w:rsidP="006D47C0">
      <w:pPr>
        <w:pStyle w:val="BodyText"/>
        <w:spacing w:after="0" w:line="360" w:lineRule="auto"/>
        <w:ind w:left="0"/>
      </w:pPr>
      <w:r>
        <w:rPr>
          <w:lang w:val="en-US"/>
        </w:rPr>
        <w:lastRenderedPageBreak/>
        <w:t>RESA recommends</w:t>
      </w:r>
      <w:r>
        <w:t xml:space="preserve"> there should be additional mailings and other communications, along with enhanced means of enrollment, to ensure maximum customer awareness and enrollment.  </w:t>
      </w:r>
      <w:r>
        <w:rPr>
          <w:lang w:val="en-US"/>
        </w:rPr>
        <w:t xml:space="preserve">RESA points out that </w:t>
      </w:r>
      <w:r>
        <w:t xml:space="preserve">Duquesne proposes to send a single mailing about the ROI program </w:t>
      </w:r>
      <w:r>
        <w:rPr>
          <w:i/>
        </w:rPr>
        <w:t>after</w:t>
      </w:r>
      <w:r>
        <w:t xml:space="preserve"> the price has been established.  If the order proposed by Duquesne is maintained and the auction occurs before customer enrollment, then RESA proposes that at least one mailing to eligible customers be sent in advance of the RFP</w:t>
      </w:r>
      <w:r>
        <w:rPr>
          <w:lang w:val="en-US"/>
        </w:rPr>
        <w:t>, that the</w:t>
      </w:r>
      <w:r>
        <w:t xml:space="preserve"> mailing come from the Commission</w:t>
      </w:r>
      <w:r>
        <w:rPr>
          <w:lang w:val="en-US"/>
        </w:rPr>
        <w:t>, and that it</w:t>
      </w:r>
      <w:r>
        <w:t xml:space="preserve"> describe the program and alert eligible customers to the co-branded mailing they would be receiving shortly that will be the actual opportunity to enroll.</w:t>
      </w:r>
      <w:r>
        <w:rPr>
          <w:rStyle w:val="FootnoteReference"/>
        </w:rPr>
        <w:footnoteReference w:id="106"/>
      </w:r>
      <w:r>
        <w:t xml:space="preserve">  Duquesne should also be required to utilize other means to promote the program aggressively.</w:t>
      </w:r>
      <w:r>
        <w:rPr>
          <w:rStyle w:val="FootnoteReference"/>
        </w:rPr>
        <w:footnoteReference w:id="107"/>
      </w:r>
      <w:r>
        <w:t xml:space="preserve">  RESA is concerned about the impact that conducting the auction before enrollment will have on the success of the program and therefore favors enrollment before the auction is conducted.    </w:t>
      </w:r>
    </w:p>
    <w:p w:rsidR="006D47C0" w:rsidRDefault="006D47C0"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w:t>
      </w:r>
      <w:r w:rsidR="006843B8">
        <w:rPr>
          <w:lang w:val="en-US"/>
        </w:rPr>
        <w:t>P</w:t>
      </w:r>
      <w:r>
        <w:rPr>
          <w:lang w:val="en-US"/>
        </w:rPr>
        <w:t>rogram that only applies to residential customers.</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spacing w:line="360" w:lineRule="auto"/>
        <w:ind w:firstLine="720"/>
      </w:pPr>
      <w:r>
        <w:tab/>
        <w:t>CAUSE-PA fully supports the recommendations made by OCA that there be three (3) notices prior to the expiration of the program, and that the first notice – a 90-day</w:t>
      </w:r>
    </w:p>
    <w:p w:rsidR="006D47C0" w:rsidRDefault="006D47C0" w:rsidP="006D47C0">
      <w:pPr>
        <w:spacing w:line="360" w:lineRule="auto"/>
      </w:pPr>
      <w:r>
        <w:t>notice – come from the EDC rather than the EGS serving the customer.</w:t>
      </w:r>
      <w:r>
        <w:rPr>
          <w:rStyle w:val="FootnoteReference"/>
        </w:rPr>
        <w:footnoteReference w:id="108"/>
      </w:r>
      <w:r>
        <w:t xml:space="preserve">  It is important that this first notice regarding the expiration of the program come directly from Duquesne because the customer entered the program as a result of a mailing and/or other communications from Duquesne.  Customers participating in the auction chose to enter the retail market as a result of a “push” from Duquesne and the Commission.  They should be given clear notice from the EDC with whom that they are used to dealing, and from whom this “push” emanated, that this special program is coming to an end.  Thus, consistent with the recommendations made by OCA, </w:t>
      </w:r>
      <w:r>
        <w:lastRenderedPageBreak/>
        <w:t>CAUSE-PA believes that it is essential that participating customers receive the three notices.</w:t>
      </w:r>
      <w:r>
        <w:rPr>
          <w:rStyle w:val="FootnoteReference"/>
        </w:rPr>
        <w:footnoteReference w:id="109"/>
      </w:r>
      <w:r>
        <w:t xml:space="preserve">  Furthermore, CAUSE-PA fully supports the position taken by OCA that those customers who do </w:t>
      </w:r>
    </w:p>
    <w:p w:rsidR="006D47C0" w:rsidRDefault="006D47C0" w:rsidP="006D47C0">
      <w:pPr>
        <w:spacing w:line="360" w:lineRule="auto"/>
      </w:pPr>
      <w:r>
        <w:t xml:space="preserve">not make an affirmative choice to return to default service or who have not chosen another EGS </w:t>
      </w:r>
    </w:p>
    <w:p w:rsidR="006D47C0" w:rsidRDefault="006D47C0" w:rsidP="006D47C0">
      <w:pPr>
        <w:spacing w:line="360" w:lineRule="auto"/>
      </w:pPr>
      <w:r>
        <w:t>offering must be placed on a fixed price contract that is cancellable without a cancellation fee.</w:t>
      </w:r>
      <w:r>
        <w:rPr>
          <w:rStyle w:val="FootnoteReference"/>
        </w:rPr>
        <w:footnoteReference w:id="110"/>
      </w:r>
      <w:r>
        <w:t xml:space="preserve">  </w:t>
      </w:r>
    </w:p>
    <w:p w:rsidR="006D47C0" w:rsidRDefault="006D47C0" w:rsidP="006D47C0">
      <w:pPr>
        <w:spacing w:line="360" w:lineRule="auto"/>
      </w:pPr>
      <w:r>
        <w:t xml:space="preserve"> </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8B787D">
      <w:pPr>
        <w:pStyle w:val="BodyText2"/>
        <w:spacing w:line="360" w:lineRule="auto"/>
      </w:pPr>
      <w:r>
        <w:rPr>
          <w:lang w:val="en-US"/>
        </w:rPr>
        <w:tab/>
      </w:r>
      <w:r>
        <w:rPr>
          <w:lang w:val="en-US"/>
        </w:rPr>
        <w:tab/>
        <w:t>Citizen Power</w:t>
      </w:r>
      <w:r>
        <w:t xml:space="preserve"> takes no position on this issue.</w:t>
      </w:r>
    </w:p>
    <w:p w:rsidR="006D47C0" w:rsidRDefault="006D47C0" w:rsidP="006D47C0">
      <w:pPr>
        <w:pStyle w:val="BriefL3"/>
        <w:numPr>
          <w:ilvl w:val="0"/>
          <w:numId w:val="0"/>
        </w:numPr>
        <w:spacing w:after="0"/>
        <w:ind w:firstLine="720"/>
        <w:rPr>
          <w:b/>
          <w:szCs w:val="24"/>
        </w:rPr>
      </w:pPr>
    </w:p>
    <w:p w:rsidR="00E402CE" w:rsidRDefault="00E402CE" w:rsidP="006D47C0">
      <w:pPr>
        <w:pStyle w:val="BriefL3"/>
        <w:numPr>
          <w:ilvl w:val="0"/>
          <w:numId w:val="0"/>
        </w:numPr>
        <w:spacing w:after="0"/>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EGS Parties take</w:t>
      </w:r>
      <w:r>
        <w:t xml:space="preserve"> no position on this issue.</w:t>
      </w:r>
    </w:p>
    <w:p w:rsidR="006D47C0" w:rsidRPr="0021415B" w:rsidRDefault="006D47C0" w:rsidP="006D47C0">
      <w:pPr>
        <w:pStyle w:val="BodyText2"/>
        <w:spacing w:line="360" w:lineRule="auto"/>
        <w:rPr>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Joint Suppliers take</w:t>
      </w:r>
      <w:r>
        <w:t xml:space="preserve"> no position on this issue.</w:t>
      </w:r>
    </w:p>
    <w:p w:rsidR="006D47C0" w:rsidRDefault="006D47C0" w:rsidP="006D47C0">
      <w:pPr>
        <w:ind w:left="1350" w:hanging="1350"/>
        <w:rPr>
          <w:b/>
        </w:rPr>
      </w:pPr>
    </w:p>
    <w:p w:rsidR="006D47C0" w:rsidRPr="00496724" w:rsidRDefault="006D47C0" w:rsidP="006D47C0">
      <w:pPr>
        <w:ind w:left="1350" w:hanging="1350"/>
        <w:rPr>
          <w:b/>
          <w:color w:val="000000" w:themeColor="text1"/>
        </w:rPr>
      </w:pPr>
      <w:r w:rsidRPr="00496724">
        <w:rPr>
          <w:b/>
        </w:rPr>
        <w:lastRenderedPageBreak/>
        <w:t xml:space="preserve">Disposition </w:t>
      </w:r>
      <w:r w:rsidRPr="00496724">
        <w:t xml:space="preserve">- </w:t>
      </w:r>
      <w:r w:rsidRPr="00496724">
        <w:rPr>
          <w:b/>
          <w:color w:val="000000" w:themeColor="text1"/>
        </w:rPr>
        <w:t>Market Enhancement Programs – Retail Opt-In Program – Mailings and Communications</w:t>
      </w:r>
    </w:p>
    <w:p w:rsidR="006D47C0" w:rsidRPr="004E7112" w:rsidRDefault="006D47C0" w:rsidP="006D47C0">
      <w:pPr>
        <w:spacing w:line="360" w:lineRule="auto"/>
        <w:rPr>
          <w:color w:val="000000" w:themeColor="text1"/>
        </w:rPr>
      </w:pPr>
    </w:p>
    <w:p w:rsidR="006D47C0" w:rsidRDefault="006D47C0" w:rsidP="006D47C0">
      <w:pPr>
        <w:spacing w:line="360" w:lineRule="auto"/>
        <w:rPr>
          <w:color w:val="000000" w:themeColor="text1"/>
        </w:rPr>
      </w:pPr>
      <w:r w:rsidRPr="004E7112">
        <w:rPr>
          <w:color w:val="000000" w:themeColor="text1"/>
        </w:rPr>
        <w:tab/>
      </w:r>
      <w:r w:rsidRPr="004E7112">
        <w:rPr>
          <w:color w:val="000000" w:themeColor="text1"/>
        </w:rPr>
        <w:tab/>
        <w:t xml:space="preserve">I recommend approving OCA’s proposal that Duquesne Light mail an additional notice.  There needs to be three mailings or letters provided to customers prior to the end of the program – one should come from Duquesne Light and two should come from the EGS.  I agree with Duquesne Light’s suggestion that this third mailing should occur after the list of EGSs participating is known and only if the EGSs are required to pay for the cost of the additional mailing.  I agree with CAUSE-PA that the first notice – a 90-day notice – should come from Duquesne Light.  This first notice would concern the expiration of the program and should come from the entity (Duquesne Light, herein) through which the customer entered into the program initially.  Mailings are an important aspect of consumer education, especially if, as hoped, many participating consumers will not have participated previously in the retail markets.  This third notice will ensure these consumers are fully informed about the available options.  </w:t>
      </w:r>
    </w:p>
    <w:p w:rsidR="00934A25" w:rsidRPr="004E7112" w:rsidRDefault="00934A25" w:rsidP="006D47C0">
      <w:pPr>
        <w:spacing w:line="360" w:lineRule="auto"/>
        <w:rPr>
          <w:color w:val="000000" w:themeColor="text1"/>
        </w:rPr>
      </w:pPr>
    </w:p>
    <w:p w:rsidR="006D47C0" w:rsidRPr="004E7112" w:rsidRDefault="006D47C0" w:rsidP="006D47C0">
      <w:pPr>
        <w:spacing w:line="360" w:lineRule="auto"/>
        <w:rPr>
          <w:color w:val="000000" w:themeColor="text1"/>
        </w:rPr>
      </w:pPr>
      <w:r w:rsidRPr="004E7112">
        <w:rPr>
          <w:color w:val="000000" w:themeColor="text1"/>
        </w:rPr>
        <w:tab/>
      </w:r>
      <w:r w:rsidRPr="004E7112">
        <w:rPr>
          <w:color w:val="000000" w:themeColor="text1"/>
        </w:rPr>
        <w:tab/>
        <w:t xml:space="preserve">In addition, I agree with Duquesne Light’s proposal and against RESA’s proposal concerning sending an additional letter prior to the RFP.  I disagree with RESA that another letter or communication needs to be sent to potential Opt-In participants, unless the EGSs are ordered to pay for the cost of that mailing.  In either case, there is no need to send another mailing </w:t>
      </w:r>
      <w:r w:rsidRPr="004E7112">
        <w:rPr>
          <w:color w:val="000000" w:themeColor="text1"/>
          <w:u w:val="single"/>
        </w:rPr>
        <w:t>prior to</w:t>
      </w:r>
      <w:r w:rsidRPr="004E7112">
        <w:rPr>
          <w:color w:val="000000" w:themeColor="text1"/>
        </w:rPr>
        <w:t xml:space="preserve"> the RFP.</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ind w:left="0" w:firstLine="0"/>
        <w:rPr>
          <w:b/>
          <w:szCs w:val="24"/>
        </w:rPr>
      </w:pPr>
      <w:r>
        <w:rPr>
          <w:szCs w:val="24"/>
          <w:lang w:val="en-US"/>
        </w:rPr>
        <w:tab/>
      </w:r>
      <w:r>
        <w:rPr>
          <w:szCs w:val="24"/>
          <w:lang w:val="en-US"/>
        </w:rPr>
        <w:tab/>
      </w:r>
      <w:r>
        <w:rPr>
          <w:b/>
          <w:szCs w:val="24"/>
        </w:rPr>
        <w:t>j.</w:t>
      </w:r>
      <w:r>
        <w:rPr>
          <w:b/>
          <w:szCs w:val="24"/>
        </w:rPr>
        <w:tab/>
        <w:t xml:space="preserve">Opt-In Electric Generation Supplier Service Program Request for </w:t>
      </w:r>
      <w:r>
        <w:rPr>
          <w:b/>
          <w:szCs w:val="24"/>
          <w:lang w:val="en-US"/>
        </w:rPr>
        <w:tab/>
      </w:r>
      <w:r>
        <w:rPr>
          <w:b/>
          <w:szCs w:val="24"/>
          <w:lang w:val="en-US"/>
        </w:rPr>
        <w:tab/>
      </w:r>
      <w:r>
        <w:rPr>
          <w:b/>
          <w:szCs w:val="24"/>
          <w:lang w:val="en-US"/>
        </w:rPr>
        <w:tab/>
      </w:r>
      <w:r>
        <w:rPr>
          <w:b/>
          <w:szCs w:val="24"/>
          <w:lang w:val="en-US"/>
        </w:rPr>
        <w:tab/>
      </w:r>
      <w:r>
        <w:rPr>
          <w:b/>
          <w:szCs w:val="24"/>
        </w:rPr>
        <w:t xml:space="preserve">Proposals and Agreement Between Duquesne Light and Electric </w:t>
      </w:r>
      <w:r>
        <w:rPr>
          <w:b/>
          <w:szCs w:val="24"/>
          <w:lang w:val="en-US"/>
        </w:rPr>
        <w:tab/>
      </w:r>
      <w:r>
        <w:rPr>
          <w:b/>
          <w:szCs w:val="24"/>
          <w:lang w:val="en-US"/>
        </w:rPr>
        <w:tab/>
      </w:r>
      <w:r>
        <w:rPr>
          <w:b/>
          <w:szCs w:val="24"/>
          <w:lang w:val="en-US"/>
        </w:rPr>
        <w:tab/>
      </w:r>
      <w:r>
        <w:rPr>
          <w:b/>
          <w:szCs w:val="24"/>
          <w:lang w:val="en-US"/>
        </w:rPr>
        <w:tab/>
      </w:r>
      <w:r>
        <w:rPr>
          <w:b/>
          <w:szCs w:val="24"/>
        </w:rPr>
        <w:t>Generation Suppliers</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tabs>
          <w:tab w:val="left" w:pos="720"/>
        </w:tabs>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Duquesne Light proposed participating EGSs be required to enter into an agreement with the Company to participate in the ROI Program and also proposed RFP procedures</w:t>
      </w:r>
      <w:r>
        <w:rPr>
          <w:lang w:val="en-US"/>
        </w:rPr>
        <w:t xml:space="preserve">, including providing </w:t>
      </w:r>
      <w:r>
        <w:t>a proposed agreement and RFP rules and procedures.  Duquesne Light St. No. 3, p. 20</w:t>
      </w:r>
      <w:r>
        <w:rPr>
          <w:lang w:val="en-US"/>
        </w:rPr>
        <w:t xml:space="preserve"> and </w:t>
      </w:r>
      <w:r>
        <w:t>Duquesne Light Ex. NSF-2.</w:t>
      </w:r>
      <w:r>
        <w:rPr>
          <w:lang w:val="en-US"/>
        </w:rPr>
        <w:t xml:space="preserve">  Duquesne Light</w:t>
      </w:r>
      <w:r>
        <w:t xml:space="preserve"> noted the Commission typically reviews and approves agreements between wholesale default suppliers and EDCs</w:t>
      </w:r>
      <w:r>
        <w:rPr>
          <w:lang w:val="en-US"/>
        </w:rPr>
        <w:t>,</w:t>
      </w:r>
      <w:r>
        <w:t xml:space="preserve"> and </w:t>
      </w:r>
      <w:r>
        <w:lastRenderedPageBreak/>
        <w:t xml:space="preserve">these documents were reviewed and commented on by wholesale suppliers in this proceeding.  See e.g., Constellation St. No. 1, Attachment 1.  </w:t>
      </w:r>
    </w:p>
    <w:p w:rsidR="00BD775B" w:rsidRPr="00BD775B" w:rsidRDefault="00BD775B"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Duquesne Light points out </w:t>
      </w:r>
      <w:r>
        <w:t xml:space="preserve">ROI EGS suppliers </w:t>
      </w:r>
      <w:r>
        <w:rPr>
          <w:lang w:val="en-US"/>
        </w:rPr>
        <w:t>are obligated</w:t>
      </w:r>
      <w:r>
        <w:t xml:space="preserve"> to take customers </w:t>
      </w:r>
      <w:r>
        <w:rPr>
          <w:lang w:val="en-US"/>
        </w:rPr>
        <w:t>who</w:t>
      </w:r>
      <w:r>
        <w:t xml:space="preserve"> elect to participate at the stated or bid price and </w:t>
      </w:r>
      <w:r>
        <w:rPr>
          <w:lang w:val="en-US"/>
        </w:rPr>
        <w:t xml:space="preserve">the Company contends EGS suppliers </w:t>
      </w:r>
      <w:r>
        <w:t xml:space="preserve">should be contractually obligated to live up to such obligations including the obligations to pay the $50 bonus payment to customers.  Although the Commission declined </w:t>
      </w:r>
      <w:r>
        <w:rPr>
          <w:lang w:val="en-US"/>
        </w:rPr>
        <w:t>to adjudicate</w:t>
      </w:r>
      <w:r>
        <w:t xml:space="preserve"> these agreements in DSP proceedings, some system must be designed to enforce the obligations of EGSs under these programs.  Therefore the EGSs’ contentions that agreements are not necessary should be rejected.  </w:t>
      </w:r>
      <w:r>
        <w:rPr>
          <w:lang w:val="en-US"/>
        </w:rPr>
        <w:t>Since n</w:t>
      </w:r>
      <w:r>
        <w:t>either the Company’s Supplier Tariff nor the Company’s Retail Tariff address EGS obligations under this new ROI Program</w:t>
      </w:r>
      <w:r>
        <w:rPr>
          <w:lang w:val="en-US"/>
        </w:rPr>
        <w:t>, s</w:t>
      </w:r>
      <w:r>
        <w:t>tandardized rules and procedures are necessary.</w:t>
      </w:r>
      <w:r>
        <w:rPr>
          <w:rStyle w:val="FootnoteReference"/>
        </w:rPr>
        <w:footnoteReference w:id="111"/>
      </w:r>
      <w:r>
        <w:t xml:space="preserve">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riefL3"/>
        <w:numPr>
          <w:ilvl w:val="0"/>
          <w:numId w:val="0"/>
        </w:numPr>
        <w:spacing w:after="0" w:line="360" w:lineRule="auto"/>
        <w:ind w:left="1440" w:hanging="72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RESA does not support requiring EGS bidders to execute Duquesne’s proposed Opt-In Service Program Agreement.</w:t>
      </w:r>
      <w:r>
        <w:rPr>
          <w:rStyle w:val="FootnoteReference"/>
        </w:rPr>
        <w:footnoteReference w:id="112"/>
      </w:r>
      <w:r>
        <w:t xml:space="preserve">  </w:t>
      </w:r>
      <w:r>
        <w:rPr>
          <w:lang w:val="en-US"/>
        </w:rPr>
        <w:t>RESA argues t</w:t>
      </w:r>
      <w:r>
        <w:t>he proposed Agreement is unnecessary and unreasonable because the relationship between an EDC and an EGS is already governed by existing agreements</w:t>
      </w:r>
      <w:r>
        <w:rPr>
          <w:lang w:val="en-US"/>
        </w:rPr>
        <w:t xml:space="preserve">, and </w:t>
      </w:r>
      <w:r>
        <w:t>because it is one-sided.</w:t>
      </w:r>
      <w:r>
        <w:rPr>
          <w:rStyle w:val="FootnoteReference"/>
        </w:rPr>
        <w:footnoteReference w:id="113"/>
      </w:r>
      <w:r>
        <w:t xml:space="preserve">  The proposed Agreement contains no obligations on the part of Duquesne while </w:t>
      </w:r>
      <w:r>
        <w:rPr>
          <w:lang w:val="en-US"/>
        </w:rPr>
        <w:t xml:space="preserve">it </w:t>
      </w:r>
      <w:r>
        <w:t>requir</w:t>
      </w:r>
      <w:r>
        <w:rPr>
          <w:lang w:val="en-US"/>
        </w:rPr>
        <w:t>es</w:t>
      </w:r>
      <w:r>
        <w:t xml:space="preserve"> broad indemnifications and warranties on the part of EGSs.</w:t>
      </w:r>
      <w:r>
        <w:rPr>
          <w:rStyle w:val="FootnoteReference"/>
        </w:rPr>
        <w:footnoteReference w:id="114"/>
      </w:r>
      <w:r>
        <w:t xml:space="preserve">  The RFP appears to describe certain obligations on the part of Duquesne, </w:t>
      </w:r>
      <w:r>
        <w:lastRenderedPageBreak/>
        <w:t>and the RFP is incorporated by reference in the Agreement (Agreement at Section 16), but closer examination of the RFP shows that Duquesne may not consider anything described in the RFP as enforceable against it by an EGS bidder (winning or otherwise), as the RFP is described quite clearly as “not an offer” (RFP at Section 7.11).  If the RFP is not an offer, its status upon incorporation into the Agreement is ambiguous at best, and of no effect at worst.</w:t>
      </w:r>
      <w:r>
        <w:rPr>
          <w:rStyle w:val="FootnoteReference"/>
        </w:rPr>
        <w:footnoteReference w:id="115"/>
      </w:r>
      <w:r>
        <w:t xml:space="preserve">  </w:t>
      </w:r>
    </w:p>
    <w:p w:rsidR="006D47C0" w:rsidRPr="00BF3F31"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RESA recommends the Commission rule on the parameters that will apply to the program</w:t>
      </w:r>
      <w:r>
        <w:rPr>
          <w:lang w:val="en-US"/>
        </w:rPr>
        <w:t xml:space="preserve"> and then</w:t>
      </w:r>
      <w:r>
        <w:t xml:space="preserve"> Commission Staff should facilitate a collaborative process for determining what legal requirements, if any, are necessary to implement the program and what form those requirements should take.</w:t>
      </w:r>
      <w:r>
        <w:rPr>
          <w:rStyle w:val="FootnoteReference"/>
        </w:rPr>
        <w:footnoteReference w:id="116"/>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an Opt-In </w:t>
      </w:r>
      <w:r w:rsidR="00D8383A">
        <w:rPr>
          <w:lang w:val="en-US"/>
        </w:rPr>
        <w:t>P</w:t>
      </w:r>
      <w:r>
        <w:rPr>
          <w:lang w:val="en-US"/>
        </w:rPr>
        <w:t>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tabs>
          <w:tab w:val="left" w:pos="810"/>
        </w:tabs>
        <w:spacing w:after="0" w:line="360" w:lineRule="auto"/>
        <w:ind w:firstLine="720"/>
        <w:rPr>
          <w:b/>
          <w:szCs w:val="24"/>
        </w:rPr>
      </w:pPr>
      <w:r>
        <w:rPr>
          <w:b/>
          <w:szCs w:val="24"/>
        </w:rPr>
        <w:tab/>
      </w: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Joint Suppliers take</w:t>
      </w:r>
      <w:r>
        <w:t xml:space="preserve"> no position on this issue.</w:t>
      </w:r>
    </w:p>
    <w:p w:rsidR="006D47C0" w:rsidRPr="004E7112" w:rsidRDefault="006D47C0" w:rsidP="006D47C0">
      <w:pPr>
        <w:ind w:left="1440" w:hanging="1440"/>
        <w:rPr>
          <w:b/>
          <w:color w:val="000000" w:themeColor="text1"/>
        </w:rPr>
      </w:pPr>
      <w:r w:rsidRPr="005353F4">
        <w:rPr>
          <w:b/>
        </w:rPr>
        <w:t xml:space="preserve">Disposition </w:t>
      </w:r>
      <w:r w:rsidRPr="00815FB2">
        <w:t>-</w:t>
      </w:r>
      <w:r>
        <w:rPr>
          <w:b/>
        </w:rPr>
        <w:t xml:space="preserve">  </w:t>
      </w:r>
      <w:r w:rsidRPr="004E7112">
        <w:rPr>
          <w:b/>
          <w:color w:val="000000" w:themeColor="text1"/>
        </w:rPr>
        <w:t xml:space="preserve">Opt-In Electric Generation Supplier Service Program RFP &amp; Agreement </w:t>
      </w:r>
      <w:r>
        <w:rPr>
          <w:b/>
          <w:color w:val="000000" w:themeColor="text1"/>
        </w:rPr>
        <w:t>B</w:t>
      </w:r>
      <w:r w:rsidRPr="004E7112">
        <w:rPr>
          <w:b/>
          <w:color w:val="000000" w:themeColor="text1"/>
        </w:rPr>
        <w:t>etween DLC &amp; EGS</w:t>
      </w:r>
    </w:p>
    <w:p w:rsidR="006D47C0" w:rsidRPr="004E7112" w:rsidRDefault="006D47C0" w:rsidP="006D47C0">
      <w:pPr>
        <w:spacing w:line="360" w:lineRule="auto"/>
        <w:rPr>
          <w:color w:val="000000" w:themeColor="text1"/>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 recommend approving Duquesne Light’s proposal that the EGSs should be required to sign an agreement – a copy of which is attached to the Company’s Statement No. 3 as Exhibit NSF-2 </w:t>
      </w:r>
      <w:r>
        <w:rPr>
          <w:color w:val="000000" w:themeColor="text1"/>
          <w:szCs w:val="24"/>
          <w:lang w:val="en-US"/>
        </w:rPr>
        <w:t>–</w:t>
      </w:r>
      <w:r w:rsidRPr="004E7112">
        <w:rPr>
          <w:color w:val="000000" w:themeColor="text1"/>
          <w:szCs w:val="24"/>
          <w:lang w:val="en-US"/>
        </w:rPr>
        <w:t xml:space="preserve"> with the Company before participating in the ROI Program and the RFP procedures.  The reason for why this proposal is needed now will very likely not remain an issue for long because, as the default service program develops across all EDCs, the Commission may institute an Investigation which would clarify the various duties and responsibilities between EDCs and EGSs.  There is a lot at stake in these programs and EGSs should be required to indicate in writing the knowledge of their obligation to take customers who elect to participate.  EGSs should be obligated by contract to live up to their assertions, including the obligation to pay the $50 bonus payment to participating customers.  To do otherwise would put Duquesne Light and its default service customers in an unfair and untenable position.  </w:t>
      </w:r>
    </w:p>
    <w:p w:rsidR="006D47C0" w:rsidRPr="00DF0C27" w:rsidRDefault="006D47C0" w:rsidP="006D47C0">
      <w:pPr>
        <w:pStyle w:val="ListParagraph"/>
        <w:autoSpaceDE/>
        <w:autoSpaceDN/>
        <w:spacing w:line="360" w:lineRule="auto"/>
        <w:ind w:left="0"/>
        <w:rPr>
          <w:b/>
          <w:u w:val="single"/>
        </w:rPr>
      </w:pPr>
    </w:p>
    <w:p w:rsidR="00927004" w:rsidRDefault="00927004" w:rsidP="0007005B">
      <w:pPr>
        <w:pStyle w:val="BodyText"/>
        <w:spacing w:after="0" w:line="360" w:lineRule="auto"/>
        <w:ind w:left="0" w:firstLine="0"/>
        <w:rPr>
          <w:szCs w:val="24"/>
          <w:lang w:val="en-US"/>
        </w:rPr>
      </w:pPr>
    </w:p>
    <w:p w:rsidR="00927004" w:rsidRDefault="00927004" w:rsidP="0007005B">
      <w:pPr>
        <w:pStyle w:val="BodyText"/>
        <w:spacing w:after="0" w:line="360" w:lineRule="auto"/>
        <w:ind w:left="0" w:firstLine="0"/>
        <w:rPr>
          <w:szCs w:val="24"/>
          <w:lang w:val="en-US"/>
        </w:rPr>
      </w:pPr>
    </w:p>
    <w:p w:rsidR="00927004" w:rsidRDefault="00927004" w:rsidP="0007005B">
      <w:pPr>
        <w:pStyle w:val="BodyText"/>
        <w:spacing w:after="0" w:line="360" w:lineRule="auto"/>
        <w:ind w:left="0" w:firstLine="0"/>
        <w:rPr>
          <w:szCs w:val="24"/>
          <w:lang w:val="en-US"/>
        </w:rPr>
      </w:pPr>
    </w:p>
    <w:p w:rsidR="00927004" w:rsidRDefault="00927004" w:rsidP="0007005B">
      <w:pPr>
        <w:pStyle w:val="BodyText"/>
        <w:spacing w:after="0" w:line="360" w:lineRule="auto"/>
        <w:ind w:left="0" w:firstLine="0"/>
        <w:rPr>
          <w:szCs w:val="24"/>
          <w:lang w:val="en-US"/>
        </w:rPr>
      </w:pPr>
    </w:p>
    <w:p w:rsidR="006D47C0" w:rsidRDefault="0007005B" w:rsidP="0007005B">
      <w:pPr>
        <w:pStyle w:val="BodyText"/>
        <w:spacing w:after="0" w:line="360" w:lineRule="auto"/>
        <w:ind w:left="0" w:firstLine="0"/>
        <w:rPr>
          <w:b/>
          <w:szCs w:val="24"/>
          <w:lang w:val="en-US"/>
        </w:rPr>
      </w:pPr>
      <w:r>
        <w:rPr>
          <w:szCs w:val="24"/>
          <w:lang w:val="en-US"/>
        </w:rPr>
        <w:lastRenderedPageBreak/>
        <w:tab/>
      </w:r>
      <w:r w:rsidR="006D47C0">
        <w:rPr>
          <w:b/>
          <w:szCs w:val="24"/>
        </w:rPr>
        <w:t>2.</w:t>
      </w:r>
      <w:r w:rsidR="006D47C0">
        <w:rPr>
          <w:b/>
          <w:szCs w:val="24"/>
        </w:rPr>
        <w:tab/>
        <w:t xml:space="preserve">Standard Offer Program </w:t>
      </w:r>
    </w:p>
    <w:p w:rsidR="005243A1" w:rsidRPr="005243A1" w:rsidRDefault="005243A1" w:rsidP="0007005B">
      <w:pPr>
        <w:pStyle w:val="BodyText"/>
        <w:spacing w:after="0" w:line="360" w:lineRule="auto"/>
        <w:ind w:left="0" w:firstLine="0"/>
        <w:rPr>
          <w:b/>
          <w:szCs w:val="24"/>
          <w:lang w:val="en-US"/>
        </w:rPr>
      </w:pPr>
    </w:p>
    <w:p w:rsidR="006D47C0" w:rsidRDefault="006D47C0" w:rsidP="006D47C0">
      <w:pPr>
        <w:pStyle w:val="BriefL3"/>
        <w:numPr>
          <w:ilvl w:val="0"/>
          <w:numId w:val="0"/>
        </w:numPr>
        <w:spacing w:after="0" w:line="360" w:lineRule="auto"/>
        <w:ind w:left="720" w:firstLine="720"/>
        <w:rPr>
          <w:b/>
          <w:szCs w:val="24"/>
        </w:rPr>
      </w:pPr>
      <w:r>
        <w:rPr>
          <w:b/>
          <w:szCs w:val="24"/>
        </w:rPr>
        <w:t>a.</w:t>
      </w:r>
      <w:r>
        <w:rPr>
          <w:b/>
          <w:szCs w:val="24"/>
        </w:rPr>
        <w:tab/>
        <w:t>Term of Offer</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t>T</w:t>
      </w:r>
      <w:r>
        <w:t>he Company proposed a SO Program</w:t>
      </w:r>
      <w:r>
        <w:rPr>
          <w:lang w:val="en-US"/>
        </w:rPr>
        <w:t>,</w:t>
      </w:r>
      <w:r>
        <w:t xml:space="preserve"> </w:t>
      </w:r>
      <w:r>
        <w:rPr>
          <w:lang w:val="en-US"/>
        </w:rPr>
        <w:t xml:space="preserve">consistent with the Commission’s directives in the Retail Market Investigation, </w:t>
      </w:r>
      <w:r>
        <w:t xml:space="preserve">for customers </w:t>
      </w:r>
      <w:r>
        <w:rPr>
          <w:lang w:val="en-US"/>
        </w:rPr>
        <w:t>who</w:t>
      </w:r>
      <w:r>
        <w:t xml:space="preserve"> call the Company for certain types of transactions.  </w:t>
      </w:r>
      <w:r>
        <w:rPr>
          <w:lang w:val="en-US"/>
        </w:rPr>
        <w:t>T</w:t>
      </w:r>
      <w:r>
        <w:t>he Company designed the SO Program to balance customer interests and to enhance competition in the Company’s service territory.</w:t>
      </w:r>
      <w:r>
        <w:rPr>
          <w:lang w:val="en-US"/>
        </w:rPr>
        <w:t xml:space="preserve">  </w:t>
      </w:r>
      <w:r>
        <w:t xml:space="preserve">Duquesne Light </w:t>
      </w:r>
      <w:r>
        <w:rPr>
          <w:lang w:val="en-US"/>
        </w:rPr>
        <w:t>proposes to</w:t>
      </w:r>
      <w:r>
        <w:t xml:space="preserve"> offer the SO program to non-shopping customers </w:t>
      </w:r>
      <w:r>
        <w:rPr>
          <w:lang w:val="en-US"/>
        </w:rPr>
        <w:t>who</w:t>
      </w:r>
      <w:r>
        <w:t xml:space="preserve"> call the company about:  (1) initiating or moving service; (2) choice questions; (3) high bill complaints; or (4) the SO Program.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The </w:t>
      </w:r>
      <w:r>
        <w:rPr>
          <w:lang w:val="en-US"/>
        </w:rPr>
        <w:t xml:space="preserve">Company avers the </w:t>
      </w:r>
      <w:r>
        <w:t xml:space="preserve">SO product </w:t>
      </w:r>
      <w:r>
        <w:rPr>
          <w:lang w:val="en-US"/>
        </w:rPr>
        <w:t>should</w:t>
      </w:r>
      <w:r>
        <w:t xml:space="preserve"> be a 7% reduction off of the PTC at the time of the offer and be a fixed price for a 12-month period.  </w:t>
      </w:r>
      <w:r>
        <w:rPr>
          <w:lang w:val="en-US"/>
        </w:rPr>
        <w:t xml:space="preserve">Also, </w:t>
      </w:r>
      <w:r>
        <w:t>Duquesne Light proposes to create a “choice referral team” to handle SO program calls after the initial customer inquiry has been processed</w:t>
      </w:r>
      <w:r>
        <w:rPr>
          <w:lang w:val="en-US"/>
        </w:rPr>
        <w:t xml:space="preserve"> and to implement the SO Program on June 1, 2014</w:t>
      </w:r>
      <w:r>
        <w:t>.  Duquesne Light St. No.</w:t>
      </w:r>
      <w:r>
        <w:rPr>
          <w:lang w:val="en-US"/>
        </w:rPr>
        <w:t> </w:t>
      </w:r>
      <w:r>
        <w:t xml:space="preserve">5, p. 10.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Duquesne Light proposes the SO product be a 12-month fixed price product</w:t>
      </w:r>
      <w:r>
        <w:rPr>
          <w:lang w:val="en-US"/>
        </w:rPr>
        <w:t xml:space="preserve">, as this provision would be </w:t>
      </w:r>
      <w:r>
        <w:t xml:space="preserve">consistent with the Commission’s </w:t>
      </w:r>
      <w:r>
        <w:rPr>
          <w:i/>
        </w:rPr>
        <w:t>Intermediate Work Plan Order</w:t>
      </w:r>
      <w:r>
        <w:t xml:space="preserve"> which provided for a Standard Offer period of </w:t>
      </w:r>
      <w:r>
        <w:rPr>
          <w:lang w:val="en-US"/>
        </w:rPr>
        <w:t>four</w:t>
      </w:r>
      <w:r>
        <w:t xml:space="preserve"> to 12 months.  Duquesne Light St. No. 3, p. 34</w:t>
      </w:r>
      <w:r>
        <w:rPr>
          <w:lang w:val="en-US"/>
        </w:rPr>
        <w:t xml:space="preserve"> and </w:t>
      </w:r>
      <w:r>
        <w:rPr>
          <w:i/>
        </w:rPr>
        <w:t>Intermediate Work Plan Order</w:t>
      </w:r>
      <w:r>
        <w:t xml:space="preserve"> at 31.  In addition, a 12-month period </w:t>
      </w:r>
      <w:r>
        <w:rPr>
          <w:lang w:val="en-US"/>
        </w:rPr>
        <w:t>would be</w:t>
      </w:r>
      <w:r>
        <w:t xml:space="preserve"> consistent with the Commission’s Order in the FE Companies’ default service proceeding</w:t>
      </w:r>
      <w:r>
        <w:rPr>
          <w:lang w:val="en-US"/>
        </w:rPr>
        <w:t xml:space="preserve"> (</w:t>
      </w:r>
      <w:r>
        <w:rPr>
          <w:i/>
        </w:rPr>
        <w:t>FE Order</w:t>
      </w:r>
      <w:r>
        <w:t xml:space="preserve"> at 146.</w:t>
      </w:r>
      <w:r>
        <w:rPr>
          <w:lang w:val="en-US"/>
        </w:rPr>
        <w:t>) and w</w:t>
      </w:r>
      <w:r>
        <w:t xml:space="preserve">ith the Commission’s Binding Poll in the PECO default service proceeding.  </w:t>
      </w:r>
      <w:r>
        <w:rPr>
          <w:i/>
        </w:rPr>
        <w:t>PECO Binding Poll</w:t>
      </w:r>
      <w:r>
        <w:t xml:space="preserve">, Issue </w:t>
      </w:r>
      <w:r>
        <w:rPr>
          <w:lang w:val="en-US"/>
        </w:rPr>
        <w:t xml:space="preserve">No. </w:t>
      </w:r>
      <w:r>
        <w:t>18.</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The</w:t>
      </w:r>
      <w:r>
        <w:rPr>
          <w:lang w:val="en-US"/>
        </w:rPr>
        <w:t xml:space="preserve"> Company argues the</w:t>
      </w:r>
      <w:r>
        <w:t xml:space="preserve"> OCA and RESA proposals</w:t>
      </w:r>
      <w:r>
        <w:rPr>
          <w:lang w:val="en-US"/>
        </w:rPr>
        <w:t xml:space="preserve"> –</w:t>
      </w:r>
      <w:r>
        <w:t xml:space="preserve"> to shorten the SO product to a 4-month term –</w:t>
      </w:r>
      <w:r>
        <w:rPr>
          <w:lang w:val="en-US"/>
        </w:rPr>
        <w:t xml:space="preserve"> </w:t>
      </w:r>
      <w:r>
        <w:t>should be denied</w:t>
      </w:r>
      <w:r>
        <w:rPr>
          <w:lang w:val="en-US"/>
        </w:rPr>
        <w:t xml:space="preserve"> as </w:t>
      </w:r>
      <w:r>
        <w:t>inconsistent with the Commission’s approval of a 12</w:t>
      </w:r>
      <w:r>
        <w:rPr>
          <w:lang w:val="en-US"/>
        </w:rPr>
        <w:noBreakHyphen/>
      </w:r>
      <w:r>
        <w:t xml:space="preserve">month offer in the </w:t>
      </w:r>
      <w:r>
        <w:rPr>
          <w:i/>
        </w:rPr>
        <w:t>FE Order</w:t>
      </w:r>
      <w:r>
        <w:t xml:space="preserve"> and </w:t>
      </w:r>
      <w:r>
        <w:rPr>
          <w:i/>
        </w:rPr>
        <w:t>PECO Binding Poll</w:t>
      </w:r>
      <w:r>
        <w:t xml:space="preserve">.  Moreover, </w:t>
      </w:r>
      <w:r>
        <w:rPr>
          <w:lang w:val="en-US"/>
        </w:rPr>
        <w:t>Duquesne Light contends</w:t>
      </w:r>
      <w:r>
        <w:t xml:space="preserve"> a </w:t>
      </w:r>
      <w:r>
        <w:lastRenderedPageBreak/>
        <w:t>12</w:t>
      </w:r>
      <w:r>
        <w:rPr>
          <w:lang w:val="en-US"/>
        </w:rPr>
        <w:noBreakHyphen/>
      </w:r>
      <w:r>
        <w:t xml:space="preserve">month term is better for customers and more likely to encourage customer participation than a short-term, 4-month program.  Duquesne Light St. No. 3-R, pp. 41-42.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The Company avers a</w:t>
      </w:r>
      <w:r>
        <w:t xml:space="preserve"> 12-month term will alleviate customer concerns about a “bait and switch” offer </w:t>
      </w:r>
      <w:r>
        <w:rPr>
          <w:lang w:val="en-US"/>
        </w:rPr>
        <w:t xml:space="preserve">– </w:t>
      </w:r>
      <w:r>
        <w:t>whereby a customer is offered a short-term low rate followed by a rate that is above the PTC and/or market prices.  In addition, the 12-month SO term is consistent with the 12-month PTC that Duquesne Light propos</w:t>
      </w:r>
      <w:r>
        <w:rPr>
          <w:lang w:val="en-US"/>
        </w:rPr>
        <w:t>es</w:t>
      </w:r>
      <w:r>
        <w:t xml:space="preserve"> to provide residential customers under the Company’s procurement plan.  For these reasons, </w:t>
      </w:r>
      <w:r>
        <w:rPr>
          <w:lang w:val="en-US"/>
        </w:rPr>
        <w:t xml:space="preserve">Duquesne Light avers </w:t>
      </w:r>
      <w:r>
        <w:t>the Commission should deny OCA and RESA’s attempts to shorten the SO term to</w:t>
      </w:r>
      <w:r>
        <w:rPr>
          <w:lang w:val="en-US"/>
        </w:rPr>
        <w:t xml:space="preserve"> four</w:t>
      </w:r>
      <w:r>
        <w:t xml:space="preserve"> months.</w:t>
      </w:r>
    </w:p>
    <w:p w:rsidR="006D47C0" w:rsidRDefault="006D47C0" w:rsidP="006D47C0">
      <w:pPr>
        <w:pStyle w:val="BriefL3"/>
        <w:numPr>
          <w:ilvl w:val="0"/>
          <w:numId w:val="0"/>
        </w:numPr>
        <w:spacing w:after="0" w:line="360" w:lineRule="auto"/>
        <w:ind w:left="1440" w:hanging="72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widowControl w:val="0"/>
        <w:adjustRightInd w:val="0"/>
        <w:spacing w:line="360" w:lineRule="auto"/>
        <w:ind w:firstLine="1440"/>
      </w:pPr>
    </w:p>
    <w:p w:rsidR="006D47C0" w:rsidRDefault="006D47C0" w:rsidP="006D47C0">
      <w:pPr>
        <w:spacing w:line="360" w:lineRule="auto"/>
        <w:ind w:firstLine="1440"/>
      </w:pPr>
      <w:r>
        <w:t>In response to the Company’s proposed referral program, OCA proposed modifications to Duquesne’s plan in order to best serve the Commission’s goal of increasing customer interest in the retail market for generation supply while ensuring that customers benefit as a result of the adoption of these retail market enhancements.  OCA notes that under the Company’s proposal, the offered price term could result in the potential for customers to pay a higher price than Duquesne Light’s default service price during the program, even though the Company proposes annual reconciliation of the PTC.  OCA St. 2 at 16.  Indeed, as designed by the Company, the 7% discount could be in effect for as short a period as one day if the customer enrolled in the program on the day before the annual price change.</w:t>
      </w:r>
    </w:p>
    <w:p w:rsidR="006D47C0" w:rsidRDefault="006D47C0" w:rsidP="006D47C0">
      <w:pPr>
        <w:spacing w:line="360" w:lineRule="auto"/>
        <w:ind w:firstLine="1440"/>
      </w:pPr>
    </w:p>
    <w:p w:rsidR="006D47C0" w:rsidRDefault="006D47C0" w:rsidP="006D47C0">
      <w:pPr>
        <w:spacing w:line="360" w:lineRule="auto"/>
      </w:pPr>
      <w:r>
        <w:tab/>
      </w:r>
      <w:r>
        <w:tab/>
        <w:t>OCA submits that Duquesne’s proposal for a 12-month contract term and a 7% discount off the PTC only at the time of enrollment should not be adopted.  While OCA recommended the Referral Program be structured as an introductory offer, for a minimum of four months, it stressed the need for guaranteed savings, saying:</w:t>
      </w:r>
    </w:p>
    <w:p w:rsidR="006D47C0" w:rsidRDefault="006D47C0" w:rsidP="006D47C0">
      <w:pPr>
        <w:ind w:left="1440" w:right="720"/>
        <w:jc w:val="both"/>
      </w:pPr>
    </w:p>
    <w:p w:rsidR="006D47C0" w:rsidRDefault="006D47C0" w:rsidP="006D47C0">
      <w:pPr>
        <w:ind w:left="1440" w:right="720"/>
      </w:pPr>
      <w:r>
        <w:t xml:space="preserve">Whatever the contract length, the program should guarantee the discount off the PTC during the entire term.  Under DLC’s proposal, customers can participate in the Referral Program at any time during the 12-month PTC cycle.  As a result, a customer could enroll the latter part of the annual PTC term and pay a higher price for the Referral program contract if the PTC is lowered in the following June, thus eliminating all or some of the </w:t>
      </w:r>
      <w:r>
        <w:lastRenderedPageBreak/>
        <w:t>7% discount for the remaining term.   The EGSs participating in the Referral Program should be required to agree to ensure that the customer’s contract will provide a 7% discount off the PTC during the entire term of the Referral contract.</w:t>
      </w:r>
    </w:p>
    <w:p w:rsidR="006D47C0" w:rsidRDefault="006D47C0" w:rsidP="006D47C0">
      <w:pPr>
        <w:spacing w:line="360" w:lineRule="auto"/>
      </w:pPr>
    </w:p>
    <w:p w:rsidR="006D47C0" w:rsidRDefault="006D47C0" w:rsidP="006D47C0">
      <w:pPr>
        <w:spacing w:line="360" w:lineRule="auto"/>
      </w:pPr>
      <w:r>
        <w:t xml:space="preserve">OCA St. 2 at 16.    </w:t>
      </w:r>
    </w:p>
    <w:p w:rsidR="006D47C0" w:rsidRDefault="006D47C0" w:rsidP="006D47C0">
      <w:pPr>
        <w:spacing w:line="360" w:lineRule="auto"/>
      </w:pPr>
    </w:p>
    <w:p w:rsidR="006D47C0" w:rsidRDefault="006D47C0" w:rsidP="006D47C0">
      <w:pPr>
        <w:spacing w:line="360" w:lineRule="auto"/>
      </w:pPr>
      <w:r>
        <w:tab/>
      </w:r>
      <w:r>
        <w:tab/>
        <w:t>OCA submits the guaranteed 7% guaranteed discount off the PTC should be applied during the entire time of the referral contract in order to provide savings to customers and allow customers – who otherwise are reluctant to shop – with a risk-free opportunity to do so.</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WBBodyText1"/>
        <w:spacing w:line="360" w:lineRule="auto"/>
      </w:pPr>
      <w:r>
        <w:tab/>
        <w:t xml:space="preserve">RESA generally supports Duquesne’s proposed Standard Offer Referral </w:t>
      </w:r>
      <w:r w:rsidR="00F763DE">
        <w:t>P</w:t>
      </w:r>
      <w:r>
        <w:t xml:space="preserve">rogram with a few modifications.  RESA recommends:  (a) requiring Duquesne to implement the </w:t>
      </w:r>
      <w:r w:rsidR="00F763DE">
        <w:t>S</w:t>
      </w:r>
      <w:r>
        <w:t xml:space="preserve">tandard </w:t>
      </w:r>
      <w:r w:rsidR="00F763DE">
        <w:t>O</w:t>
      </w:r>
      <w:r>
        <w:t xml:space="preserve">ffer </w:t>
      </w:r>
      <w:r w:rsidR="00F763DE">
        <w:t>P</w:t>
      </w:r>
      <w:r>
        <w:t>rogram sooner than it proposes; (b) requiring a different method of cost recovery; (c) modifying the eligibility of the program to include all non-shopping residential and small business default service customers, and CAP customers; and (d) requiring the length of the discount to be for four billing cycles, not 12 as proposed by Duquesne.  Additionally, RESA submits that once the program details for the standard offer program are decided, the parties should be directed to work together to develop a set of fair and balanced binding terms that will govern their relationship consistent with the finally-determined elements.</w:t>
      </w:r>
      <w:r>
        <w:rPr>
          <w:rStyle w:val="FootnoteReference"/>
        </w:rPr>
        <w:footnoteReference w:id="117"/>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pPr>
      <w:r>
        <w:t xml:space="preserve">Additionally, </w:t>
      </w:r>
      <w:r>
        <w:rPr>
          <w:lang w:val="en-US"/>
        </w:rPr>
        <w:t xml:space="preserve">RESA contends </w:t>
      </w:r>
      <w:r>
        <w:t xml:space="preserve">the Commission should recognize the need to coordinate the offer to be made via an ROI aggregation program </w:t>
      </w:r>
      <w:r>
        <w:rPr>
          <w:lang w:val="en-US"/>
        </w:rPr>
        <w:t>with</w:t>
      </w:r>
      <w:r>
        <w:t xml:space="preserve"> the offer to be extended as part of the standard offer program.  RESA believes that the two offers should be as consistent as possible.</w:t>
      </w:r>
      <w:r>
        <w:rPr>
          <w:rStyle w:val="FootnoteReference"/>
        </w:rPr>
        <w:footnoteReference w:id="118"/>
      </w:r>
      <w:r>
        <w:t xml:space="preserve">  Specifically, if the ROI aggregation offer is to be a 5% discount from the then-current PTC with a $50 bonus after four months, then the Commission should consider making the standard offer program a 5% discount for four months (but without a bonus).     </w:t>
      </w: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t xml:space="preserve">OSBA agrees with the Company’s proposal to restrict the Standard Offer Customer Referral Program to residential customers.  In all other regards, </w:t>
      </w:r>
      <w:r>
        <w:t>O</w:t>
      </w:r>
      <w:r>
        <w:rPr>
          <w:lang w:val="en-US"/>
        </w:rPr>
        <w:t>SB</w:t>
      </w:r>
      <w:r>
        <w:t>A takes no position on this issue</w:t>
      </w:r>
      <w:r>
        <w:rPr>
          <w:lang w:val="en-US"/>
        </w:rPr>
        <w:t xml:space="preserve"> because the Company proposed an Opt-In </w:t>
      </w:r>
      <w:r w:rsidR="0096643A">
        <w:rPr>
          <w:lang w:val="en-US"/>
        </w:rPr>
        <w:t>P</w:t>
      </w:r>
      <w:r>
        <w:rPr>
          <w:lang w:val="en-US"/>
        </w:rPr>
        <w:t>rogram that only applies to residential customers.</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CAUSE-PA supports Duquesne’s selection of a 12-month term for this product because, consistent with its 12-month term for the </w:t>
      </w:r>
      <w:r>
        <w:rPr>
          <w:lang w:val="en-US"/>
        </w:rPr>
        <w:t>O</w:t>
      </w:r>
      <w:r>
        <w:t>pt-</w:t>
      </w:r>
      <w:r>
        <w:rPr>
          <w:lang w:val="en-US"/>
        </w:rPr>
        <w:t>I</w:t>
      </w:r>
      <w:r>
        <w:t>n auction/aggregation program, a fixed rate for a year will provide much more significant stability to participating customers.</w:t>
      </w:r>
    </w:p>
    <w:p w:rsidR="006D47C0" w:rsidRDefault="006D47C0" w:rsidP="006D47C0">
      <w:pPr>
        <w:pStyle w:val="BriefL3"/>
        <w:numPr>
          <w:ilvl w:val="0"/>
          <w:numId w:val="0"/>
        </w:numPr>
        <w:spacing w:after="0" w:line="360" w:lineRule="auto"/>
        <w:rPr>
          <w:b/>
          <w:szCs w:val="24"/>
        </w:rPr>
      </w:pPr>
    </w:p>
    <w:p w:rsidR="000603EA" w:rsidRDefault="000603EA"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odyText2"/>
        <w:rPr>
          <w:lang w:val="en-US"/>
        </w:rPr>
      </w:pPr>
      <w:r>
        <w:rPr>
          <w:lang w:val="en-US"/>
        </w:rPr>
        <w:tab/>
      </w:r>
      <w:r>
        <w:rPr>
          <w:lang w:val="en-US"/>
        </w:rPr>
        <w:tab/>
        <w:t>Citizen Power</w:t>
      </w:r>
      <w:r>
        <w:t xml:space="preserve"> </w:t>
      </w:r>
      <w:r>
        <w:rPr>
          <w:lang w:val="en-US"/>
        </w:rPr>
        <w:t>consolidated its pos</w:t>
      </w:r>
      <w:r>
        <w:t>ition on this issue</w:t>
      </w:r>
      <w:r>
        <w:rPr>
          <w:lang w:val="en-US"/>
        </w:rPr>
        <w:t xml:space="preserve"> into its discussion of Guaranteed Savings, listed below</w:t>
      </w:r>
      <w:r>
        <w:t>.</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The EGS Parties note that, according to Duquesne’s proposal, the standard offer program would be offered at a fixed price expressed in cents per kilowatt hour for twelve (12) billing cycles, again with no early termination fees or restrictions on customer switching.  The EGS Parties support the 1-year referral product proposed by DLC.  (TJB St. No. 1, </w:t>
      </w:r>
    </w:p>
    <w:p w:rsidR="006D47C0" w:rsidRDefault="006D47C0" w:rsidP="006D47C0">
      <w:pPr>
        <w:spacing w:line="360" w:lineRule="auto"/>
      </w:pPr>
      <w:r>
        <w:t>p. 7:6-12).</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FES disagrees with OCA’s recommended shortened contract term.  FES believes a 12-month Referral Program contract will offer customers the discounted program price with stability and certainty for a longer period of time.  FES contends the objective should be to create a positive experience with shopping as an incentive for customers to stay with an EGS, not to return to default service.  FES does not believe the combination of these two proposals – a shortened contract term and returning to default service – is designed to allow sufficient time for the customer to gain confidence in their supplier and the retail market.  Further, FES argues OCA’s suggestion – that a 12-month contract would make the program a means of moving customers into a long-term arrangement with an EGS without an affirmative choice – ignores the design of the Referral Program.  Customers will have made a voluntary choice to participate in the Referral Program and should be treated no differently than any other shopping customer.  FES St. No. 1-R at 17-18.</w:t>
      </w:r>
    </w:p>
    <w:p w:rsidR="00E06F3D" w:rsidRDefault="00E06F3D" w:rsidP="006D47C0">
      <w:pPr>
        <w:pStyle w:val="BodyTextFirstLine5DS"/>
        <w:spacing w:line="360" w:lineRule="auto"/>
        <w:jc w:val="left"/>
      </w:pPr>
    </w:p>
    <w:p w:rsidR="006D47C0" w:rsidRDefault="006D47C0" w:rsidP="006D47C0">
      <w:pPr>
        <w:pStyle w:val="BodyTextFirstLine5DS"/>
        <w:spacing w:line="360" w:lineRule="auto"/>
        <w:jc w:val="left"/>
      </w:pPr>
      <w:r>
        <w:tab/>
        <w:t>FES is concerned that RESA’s proposed Standard Offer would combine two different products – a 4-month percent-off product and an 8- or 12-month fixed-price</w:t>
      </w:r>
    </w:p>
    <w:p w:rsidR="006D47C0" w:rsidRDefault="006D47C0" w:rsidP="006D47C0">
      <w:pPr>
        <w:pStyle w:val="BodyTextFirstLine5DS"/>
        <w:spacing w:line="360" w:lineRule="auto"/>
        <w:ind w:firstLine="0"/>
        <w:jc w:val="left"/>
      </w:pPr>
      <w:r>
        <w:t>product – in a single contract term.  RESA confirmed through discovery that each EGS would offer a different fixed-price product under its proposal.  FES Ex. TCB-9 (RESA response to FES-I-10(c)).  This combination of percent-off and fixed-price products is a complicated product for customers who likely have no experience with competitive retail electric offers.  To prevent customer confusion and dissatisfaction, FES could support RESA’s longer-term proposal only if (1) the fixed price over the remaining eight or 12 months is uniform among all participating EGSs, and remains uniform among EGSs if and whenever it is re-set, and (2) participating customers know the fixed price they will be paying over the remaining eight or 12 months at the time of enrollment.  FES St. No. 1-R at 19-21.</w:t>
      </w:r>
    </w:p>
    <w:p w:rsidR="006D47C0" w:rsidRDefault="006D47C0" w:rsidP="006D47C0">
      <w:pPr>
        <w:pStyle w:val="BodyTextSS"/>
        <w:spacing w:after="0" w:line="360" w:lineRule="auto"/>
        <w:jc w:val="left"/>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F814F0" w:rsidRDefault="00F814F0"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5849D5">
        <w:rPr>
          <w:b/>
        </w:rPr>
        <w:lastRenderedPageBreak/>
        <w:t xml:space="preserve">Disposition </w:t>
      </w:r>
      <w:r w:rsidRPr="00BF5D1A">
        <w:rPr>
          <w:lang w:val="en-US"/>
        </w:rPr>
        <w:t>-</w:t>
      </w:r>
      <w:r>
        <w:rPr>
          <w:b/>
          <w:lang w:val="en-US"/>
        </w:rPr>
        <w:t xml:space="preserve"> </w:t>
      </w:r>
      <w:r w:rsidRPr="004E7112">
        <w:rPr>
          <w:b/>
          <w:color w:val="000000" w:themeColor="text1"/>
          <w:szCs w:val="24"/>
          <w:lang w:val="en-US"/>
        </w:rPr>
        <w:t>Standard Offer Program – Term of Offer</w:t>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p>
    <w:p w:rsidR="006D47C0" w:rsidRPr="004E7112" w:rsidRDefault="006D47C0" w:rsidP="006D47C0">
      <w:pPr>
        <w:pStyle w:val="BodyText"/>
        <w:spacing w:after="0" w:line="360" w:lineRule="auto"/>
        <w:ind w:left="0" w:firstLine="0"/>
        <w:rPr>
          <w:color w:val="000000" w:themeColor="text1"/>
          <w:szCs w:val="24"/>
        </w:rPr>
      </w:pPr>
      <w:r w:rsidRPr="004E7112">
        <w:rPr>
          <w:color w:val="000000" w:themeColor="text1"/>
          <w:szCs w:val="24"/>
          <w:lang w:val="en-US"/>
        </w:rPr>
        <w:tab/>
      </w:r>
      <w:r w:rsidRPr="004E7112">
        <w:rPr>
          <w:color w:val="000000" w:themeColor="text1"/>
          <w:szCs w:val="24"/>
          <w:lang w:val="en-US"/>
        </w:rPr>
        <w:tab/>
        <w:t xml:space="preserve">I recommend approving Duquesne Light’s Standard Offer </w:t>
      </w:r>
      <w:r w:rsidR="00E06F3D">
        <w:rPr>
          <w:color w:val="000000" w:themeColor="text1"/>
          <w:szCs w:val="24"/>
          <w:lang w:val="en-US"/>
        </w:rPr>
        <w:t>P</w:t>
      </w:r>
      <w:r w:rsidRPr="004E7112">
        <w:rPr>
          <w:color w:val="000000" w:themeColor="text1"/>
          <w:szCs w:val="24"/>
          <w:lang w:val="en-US"/>
        </w:rPr>
        <w:t>rogram proposal which would offer the program to non-shopping customers who call the company in four enumerated situations.  This offer would include a 7% reduction off the PTC at the time of the offer and remain a fixed price for a 12-month period.  This proposal is consistent with prior Commission action and the 12-month time period is consistent with other time provisions in the Company’s DSP.  I agree with the Company that the 12-month term is more likely to encourage customer participation than a 4-month program but Duquesne Light should be required to advise the non-shopping customer that the 7% reduction is off of a PTC that could change during the term of the year.  In other words, the non-shopping customer should be advised initially that he/she might not enjoy a 7% discount if the PTC drops during the 12</w:t>
      </w:r>
      <w:r>
        <w:rPr>
          <w:color w:val="000000" w:themeColor="text1"/>
          <w:szCs w:val="24"/>
          <w:lang w:val="en-US"/>
        </w:rPr>
        <w:t xml:space="preserve"> </w:t>
      </w:r>
      <w:r w:rsidRPr="004E7112">
        <w:rPr>
          <w:color w:val="000000" w:themeColor="text1"/>
          <w:szCs w:val="24"/>
          <w:lang w:val="en-US"/>
        </w:rPr>
        <w:t xml:space="preserve">months of the offer.  </w:t>
      </w:r>
    </w:p>
    <w:p w:rsidR="006D47C0" w:rsidRPr="00442D5D" w:rsidRDefault="006D47C0" w:rsidP="006D47C0">
      <w:pPr>
        <w:pStyle w:val="ListParagraph"/>
        <w:autoSpaceDE/>
        <w:autoSpaceDN/>
        <w:spacing w:line="360" w:lineRule="auto"/>
        <w:ind w:left="0"/>
        <w:rPr>
          <w:b/>
          <w:u w:val="single"/>
        </w:rPr>
      </w:pPr>
    </w:p>
    <w:p w:rsidR="006D47C0" w:rsidRDefault="006D47C0" w:rsidP="006D47C0">
      <w:pPr>
        <w:pStyle w:val="BodyText2"/>
      </w:pPr>
      <w:r>
        <w:rPr>
          <w:lang w:val="en-US"/>
        </w:rPr>
        <w:tab/>
      </w:r>
      <w:r>
        <w:rPr>
          <w:lang w:val="en-US"/>
        </w:rPr>
        <w:tab/>
      </w:r>
      <w:r>
        <w:t>The Commission provided guidelines to EDCs for adopting SO Programs, including but not limited to the following:</w:t>
      </w:r>
    </w:p>
    <w:p w:rsidR="006D47C0" w:rsidRDefault="006D47C0" w:rsidP="006D47C0">
      <w:pPr>
        <w:pStyle w:val="ListBullet"/>
        <w:numPr>
          <w:ilvl w:val="0"/>
          <w:numId w:val="7"/>
        </w:numPr>
        <w:ind w:left="1080"/>
        <w:jc w:val="left"/>
      </w:pPr>
      <w:r>
        <w:t xml:space="preserve">The standard offer will target residential default service customers.  However, residential shopping customers will not be excluded if they request to participate.  </w:t>
      </w:r>
      <w:r>
        <w:rPr>
          <w:i/>
        </w:rPr>
        <w:t>Intermediate Work Plan Order</w:t>
      </w:r>
      <w:r>
        <w:t xml:space="preserve"> at 31.</w:t>
      </w:r>
    </w:p>
    <w:p w:rsidR="006D47C0" w:rsidRDefault="006D47C0" w:rsidP="006D47C0">
      <w:pPr>
        <w:pStyle w:val="ListBullet"/>
        <w:numPr>
          <w:ilvl w:val="0"/>
          <w:numId w:val="7"/>
        </w:numPr>
        <w:ind w:left="1080"/>
        <w:jc w:val="left"/>
      </w:pPr>
      <w:r>
        <w:t xml:space="preserve">CAP customers should be excluded from the SO Program at this time.  </w:t>
      </w:r>
      <w:r>
        <w:rPr>
          <w:i/>
        </w:rPr>
        <w:t>Id</w:t>
      </w:r>
      <w:r>
        <w:t>.</w:t>
      </w:r>
    </w:p>
    <w:p w:rsidR="006D47C0" w:rsidRDefault="006D47C0" w:rsidP="006D47C0">
      <w:pPr>
        <w:pStyle w:val="ListBullet"/>
        <w:numPr>
          <w:ilvl w:val="0"/>
          <w:numId w:val="7"/>
        </w:numPr>
        <w:ind w:left="1080"/>
        <w:jc w:val="left"/>
      </w:pPr>
      <w:r>
        <w:t xml:space="preserve">The standard offer should be comprised of a 7% reduction from the EDC’s PTC.  </w:t>
      </w:r>
      <w:r>
        <w:rPr>
          <w:i/>
        </w:rPr>
        <w:t>Id</w:t>
      </w:r>
      <w:r>
        <w:t>.</w:t>
      </w:r>
    </w:p>
    <w:p w:rsidR="006D47C0" w:rsidRDefault="006D47C0" w:rsidP="006D47C0">
      <w:pPr>
        <w:pStyle w:val="ListBullet"/>
        <w:numPr>
          <w:ilvl w:val="0"/>
          <w:numId w:val="7"/>
        </w:numPr>
        <w:ind w:left="1080"/>
        <w:jc w:val="left"/>
      </w:pPr>
      <w:r>
        <w:t xml:space="preserve">The standard offer should be provided for a minimum of four months, but should not exceed one year.  </w:t>
      </w:r>
      <w:r>
        <w:rPr>
          <w:i/>
        </w:rPr>
        <w:t>Id</w:t>
      </w:r>
      <w:r>
        <w:t>.</w:t>
      </w:r>
    </w:p>
    <w:p w:rsidR="006D47C0" w:rsidRDefault="006D47C0" w:rsidP="006D47C0">
      <w:pPr>
        <w:pStyle w:val="ListBullet"/>
        <w:numPr>
          <w:ilvl w:val="0"/>
          <w:numId w:val="7"/>
        </w:numPr>
        <w:ind w:left="1080"/>
        <w:jc w:val="left"/>
      </w:pPr>
      <w:r>
        <w:t xml:space="preserve">Customers may choose to be assigned to an EGS of their choice or may choose a random assignment.  </w:t>
      </w:r>
      <w:r>
        <w:rPr>
          <w:i/>
        </w:rPr>
        <w:t>Id</w:t>
      </w:r>
      <w:r>
        <w:t xml:space="preserve">. </w:t>
      </w:r>
    </w:p>
    <w:p w:rsidR="006D47C0" w:rsidRDefault="006D47C0" w:rsidP="006D47C0">
      <w:pPr>
        <w:pStyle w:val="ListBullet"/>
        <w:numPr>
          <w:ilvl w:val="0"/>
          <w:numId w:val="7"/>
        </w:numPr>
        <w:ind w:left="1080"/>
        <w:jc w:val="left"/>
      </w:pPr>
      <w:r>
        <w:t xml:space="preserve">The SO Program should be presented during customer contacts to EDC call centers, other than calls for emergencies, terminations and the like.  EDCs may present the SO Program to high bill callers after the customer’s concerns are satisfied.  </w:t>
      </w:r>
      <w:r>
        <w:rPr>
          <w:i/>
        </w:rPr>
        <w:t>Id.</w:t>
      </w:r>
      <w:r>
        <w:t xml:space="preserve"> at 32.</w:t>
      </w:r>
    </w:p>
    <w:p w:rsidR="006D47C0" w:rsidRDefault="006D47C0" w:rsidP="006D47C0">
      <w:pPr>
        <w:pStyle w:val="ListBullet"/>
        <w:numPr>
          <w:ilvl w:val="0"/>
          <w:numId w:val="7"/>
        </w:numPr>
        <w:ind w:left="1080"/>
        <w:jc w:val="left"/>
      </w:pPr>
      <w:r>
        <w:t xml:space="preserve">At the conclusion of the SO Program, the customer will remain with the EGS absent an affirmative choice to the contrary.  </w:t>
      </w:r>
      <w:r>
        <w:rPr>
          <w:i/>
        </w:rPr>
        <w:t>Id</w:t>
      </w:r>
      <w:r>
        <w:t>.</w:t>
      </w:r>
    </w:p>
    <w:p w:rsidR="006D47C0" w:rsidRDefault="006D47C0" w:rsidP="006D47C0">
      <w:pPr>
        <w:pStyle w:val="ListBullet"/>
        <w:numPr>
          <w:ilvl w:val="0"/>
          <w:numId w:val="7"/>
        </w:numPr>
        <w:ind w:left="1080"/>
        <w:jc w:val="left"/>
      </w:pPr>
      <w:r>
        <w:lastRenderedPageBreak/>
        <w:t xml:space="preserve">The bulk of the SO Program costs should be the responsibility of the participating EGSs.  In addition it is acceptable to recover SO Program costs through the POR discount.  </w:t>
      </w:r>
      <w:r>
        <w:rPr>
          <w:i/>
        </w:rPr>
        <w:t>Id</w:t>
      </w:r>
      <w:r>
        <w:t>.</w:t>
      </w:r>
    </w:p>
    <w:p w:rsidR="006D47C0" w:rsidRDefault="006D47C0" w:rsidP="006D47C0">
      <w:pPr>
        <w:pStyle w:val="BodyText"/>
        <w:spacing w:after="0" w:line="360" w:lineRule="auto"/>
        <w:ind w:left="0" w:firstLine="0"/>
        <w:rPr>
          <w:szCs w:val="24"/>
          <w:lang w:val="en-US"/>
        </w:rPr>
      </w:pPr>
      <w:r>
        <w:rPr>
          <w:szCs w:val="24"/>
          <w:lang w:val="en-US"/>
        </w:rPr>
        <w:tab/>
      </w:r>
      <w:r>
        <w:rPr>
          <w:szCs w:val="24"/>
          <w:lang w:val="en-US"/>
        </w:rPr>
        <w:tab/>
      </w:r>
    </w:p>
    <w:p w:rsidR="006D47C0" w:rsidRDefault="006D47C0" w:rsidP="006D47C0">
      <w:pPr>
        <w:pStyle w:val="BodyText"/>
        <w:spacing w:after="0" w:line="360" w:lineRule="auto"/>
        <w:ind w:left="0" w:firstLine="0"/>
        <w:rPr>
          <w:b/>
          <w:szCs w:val="24"/>
        </w:rPr>
      </w:pPr>
      <w:r>
        <w:rPr>
          <w:szCs w:val="24"/>
          <w:lang w:val="en-US"/>
        </w:rPr>
        <w:tab/>
      </w:r>
      <w:r>
        <w:rPr>
          <w:szCs w:val="24"/>
          <w:lang w:val="en-US"/>
        </w:rPr>
        <w:tab/>
      </w:r>
      <w:r>
        <w:rPr>
          <w:b/>
          <w:szCs w:val="24"/>
        </w:rPr>
        <w:t>b.</w:t>
      </w:r>
      <w:r>
        <w:rPr>
          <w:b/>
          <w:szCs w:val="24"/>
        </w:rPr>
        <w:tab/>
        <w:t>Discount Percentage</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Duquesne Light propos</w:t>
      </w:r>
      <w:r>
        <w:rPr>
          <w:lang w:val="en-US"/>
        </w:rPr>
        <w:t>es</w:t>
      </w:r>
      <w:r>
        <w:t xml:space="preserve"> to set the SO discount percentage at 7% off of the PTC at the time the offer is made for the 12-month term.  </w:t>
      </w:r>
      <w:r>
        <w:rPr>
          <w:lang w:val="en-US"/>
        </w:rPr>
        <w:t>In contravention to DLC’s proposal, D</w:t>
      </w:r>
      <w:r>
        <w:t xml:space="preserve">ominion/IGS suggests the Standard Offer discount be revised to 5%.  Dominion/IGS St. No. 1, p. 7.  Dominion believes that the discount should be reduced due to low current market prices for electricity.  Dominion/IGS St. No. 1, p. 7.  </w:t>
      </w:r>
      <w:r>
        <w:rPr>
          <w:lang w:val="en-US"/>
        </w:rPr>
        <w:t>The Company notes</w:t>
      </w:r>
      <w:r>
        <w:t xml:space="preserve"> a percentage discount automatically adjusts for changes in prices</w:t>
      </w:r>
      <w:r>
        <w:rPr>
          <w:lang w:val="en-US"/>
        </w:rPr>
        <w:t xml:space="preserve"> and t</w:t>
      </w:r>
      <w:r>
        <w:t xml:space="preserve">he Dominion/IGS proposal should not be accepted because it is inconsistent with Commission guidance in the </w:t>
      </w:r>
      <w:r>
        <w:rPr>
          <w:i/>
        </w:rPr>
        <w:t>Retail Markets Investigation</w:t>
      </w:r>
      <w:r>
        <w:t xml:space="preserve">, </w:t>
      </w:r>
      <w:r>
        <w:rPr>
          <w:i/>
        </w:rPr>
        <w:t>FE Order</w:t>
      </w:r>
      <w:r>
        <w:t xml:space="preserve"> and </w:t>
      </w:r>
      <w:r>
        <w:rPr>
          <w:i/>
        </w:rPr>
        <w:t>PECO Binding Poll</w:t>
      </w:r>
      <w:r>
        <w:t xml:space="preserve">.  </w:t>
      </w:r>
      <w:r>
        <w:rPr>
          <w:lang w:val="en-US"/>
        </w:rPr>
        <w:t>Lastly, the Company argues</w:t>
      </w:r>
      <w:r>
        <w:t xml:space="preserve"> a 7% discount should encourage greater customer participation than a 5% </w:t>
      </w:r>
      <w:r>
        <w:rPr>
          <w:lang w:val="en-US"/>
        </w:rPr>
        <w:t> d</w:t>
      </w:r>
      <w:r>
        <w:t>iscount.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rPr>
          <w:lang w:val="en-US"/>
        </w:rPr>
      </w:pPr>
      <w:r>
        <w:rPr>
          <w:lang w:val="en-US"/>
        </w:rPr>
        <w:t>U</w:t>
      </w:r>
      <w:r>
        <w:t>nder the Company’s program, a customer who enrolls in the referral program will be given, for a period of time, a 7% discount off of the PTC.  Dominion suggest</w:t>
      </w:r>
      <w:r>
        <w:rPr>
          <w:lang w:val="en-US"/>
        </w:rPr>
        <w:t>ed</w:t>
      </w:r>
      <w:r>
        <w:t xml:space="preserve"> the Company, and the Commission, adjust the level of the discount from 7% to 5% off of the PTC</w:t>
      </w:r>
      <w:r>
        <w:rPr>
          <w:lang w:val="en-US"/>
        </w:rPr>
        <w:t xml:space="preserve"> </w:t>
      </w:r>
      <w:r>
        <w:t xml:space="preserve">because market prices for electricity have dropped.  Dominion St. 1 at 7.  OCA does not support </w:t>
      </w:r>
      <w:r>
        <w:rPr>
          <w:lang w:val="en-US"/>
        </w:rPr>
        <w:t>Dominion’s</w:t>
      </w:r>
      <w:r>
        <w:t xml:space="preserve"> proposal</w:t>
      </w:r>
      <w:r>
        <w:rPr>
          <w:lang w:val="en-US"/>
        </w:rPr>
        <w:t>,</w:t>
      </w:r>
      <w:r>
        <w:t xml:space="preserve"> does not recommend that such a dramatic change in the price for this </w:t>
      </w:r>
    </w:p>
    <w:p w:rsidR="006D47C0" w:rsidRDefault="006D47C0" w:rsidP="006D47C0">
      <w:pPr>
        <w:pStyle w:val="BodyText2"/>
        <w:spacing w:after="0" w:line="360" w:lineRule="auto"/>
      </w:pPr>
      <w:r>
        <w:t>contract be implemented as propose</w:t>
      </w:r>
      <w:r>
        <w:rPr>
          <w:lang w:val="en-US"/>
        </w:rPr>
        <w:t xml:space="preserve">d and recommends the </w:t>
      </w:r>
      <w:r>
        <w:t>proposed reduction in the discount for the referral program be rejected.  OCA St. 1-R at 13-14; OCA St. 2-R at 6.</w:t>
      </w:r>
      <w:r>
        <w:rPr>
          <w:lang w:val="en-US"/>
        </w:rPr>
        <w:t xml:space="preserve">  </w:t>
      </w:r>
    </w:p>
    <w:p w:rsidR="006D47C0" w:rsidRDefault="006D47C0" w:rsidP="006D47C0">
      <w:pPr>
        <w:pStyle w:val="BodyText"/>
        <w:spacing w:after="0" w:line="360" w:lineRule="auto"/>
        <w:ind w:left="0" w:firstLine="0"/>
        <w:rPr>
          <w:szCs w:val="24"/>
          <w:lang w:val="en-US"/>
        </w:rPr>
      </w:pPr>
    </w:p>
    <w:p w:rsidR="00A91123" w:rsidRDefault="00A91123" w:rsidP="006D47C0">
      <w:pPr>
        <w:pStyle w:val="BodyText"/>
        <w:spacing w:after="0" w:line="360" w:lineRule="auto"/>
        <w:ind w:left="0" w:firstLine="0"/>
        <w:rPr>
          <w:szCs w:val="24"/>
          <w:lang w:val="en-US"/>
        </w:rPr>
      </w:pPr>
    </w:p>
    <w:p w:rsidR="00A91123" w:rsidRDefault="00A91123" w:rsidP="006D47C0">
      <w:pPr>
        <w:pStyle w:val="BodyText"/>
        <w:spacing w:after="0" w:line="360" w:lineRule="auto"/>
        <w:ind w:left="0" w:firstLine="0"/>
        <w:rPr>
          <w:szCs w:val="24"/>
          <w:lang w:val="en-US"/>
        </w:rPr>
      </w:pPr>
    </w:p>
    <w:p w:rsidR="00A91123" w:rsidRDefault="00A91123" w:rsidP="006D47C0">
      <w:pPr>
        <w:pStyle w:val="BodyText"/>
        <w:spacing w:after="0" w:line="360" w:lineRule="auto"/>
        <w:ind w:left="0" w:firstLine="0"/>
        <w:rPr>
          <w:szCs w:val="24"/>
          <w:lang w:val="en-US"/>
        </w:rPr>
      </w:pPr>
    </w:p>
    <w:p w:rsidR="00A91123" w:rsidRDefault="00A91123"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lastRenderedPageBreak/>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Under RESA’s proposal, the ROI aggregation program and the Standard Offer Referral program should each have the same discount percentage.</w:t>
      </w:r>
      <w:r>
        <w:rPr>
          <w:rStyle w:val="FootnoteReference"/>
        </w:rPr>
        <w:footnoteReference w:id="119"/>
      </w:r>
      <w:r>
        <w:t xml:space="preserve">  As stated above, the important point is to keep the discount and the term the same for both programs, and to establish a discount percentage that will balance the need to introduce customers to the competitive market at a discounted price offering and which will entice the greatest number of EGSs to participate.</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RESA opposes Duquesne’s proposed 12-month referral product for </w:t>
      </w:r>
      <w:r>
        <w:rPr>
          <w:lang w:val="en-US"/>
        </w:rPr>
        <w:t>7%</w:t>
      </w:r>
      <w:r>
        <w:t xml:space="preserve"> off the PTC because the PTC will change at times and impact the “guaranteed savings.”   </w:t>
      </w:r>
      <w:r>
        <w:rPr>
          <w:lang w:val="en-US"/>
        </w:rPr>
        <w:t>T</w:t>
      </w:r>
      <w:r>
        <w:t>he “guaranteed savings” from its proposed 12-month proposal may not materialize if the term extends beyond the next change to the PTC.</w:t>
      </w:r>
      <w:r>
        <w:rPr>
          <w:rStyle w:val="FootnoteReference"/>
        </w:rPr>
        <w:footnoteReference w:id="120"/>
      </w:r>
      <w:r>
        <w:t xml:space="preserve">  RESA’s proposed 4-month product with a 7%</w:t>
      </w:r>
      <w:r>
        <w:rPr>
          <w:lang w:val="en-US"/>
        </w:rPr>
        <w:t> </w:t>
      </w:r>
      <w:r>
        <w:t xml:space="preserve">discount would offer true guaranteed savings because the EGS would be required to </w:t>
      </w:r>
    </w:p>
    <w:p w:rsidR="006D47C0" w:rsidRDefault="006D47C0" w:rsidP="006D47C0">
      <w:pPr>
        <w:pStyle w:val="BodyText2"/>
        <w:spacing w:after="0" w:line="360" w:lineRule="auto"/>
      </w:pPr>
      <w:r>
        <w:t>guarantee that the price of the referral product would be 7% less than the PTC during all four months, even if the PTC changes before the end of the four months.</w:t>
      </w:r>
      <w:r>
        <w:rPr>
          <w:rStyle w:val="FootnoteReference"/>
        </w:rPr>
        <w:footnoteReference w:id="121"/>
      </w:r>
      <w:r>
        <w:t xml:space="preserve">  </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b/>
        </w:rPr>
      </w:pPr>
      <w:r>
        <w:rPr>
          <w:lang w:val="en-US"/>
        </w:rPr>
        <w:tab/>
      </w:r>
      <w:r>
        <w:rPr>
          <w:lang w:val="en-US"/>
        </w:rPr>
        <w:tab/>
        <w:t>CAUSE</w:t>
      </w:r>
      <w:r>
        <w:t xml:space="preserve"> </w:t>
      </w:r>
      <w:r>
        <w:rPr>
          <w:lang w:val="en-US"/>
        </w:rPr>
        <w:t xml:space="preserve">supports a 7% discount off of the known PTC at the time the offer is made.  </w:t>
      </w:r>
    </w:p>
    <w:p w:rsidR="006D47C0" w:rsidRDefault="006D47C0" w:rsidP="006D47C0">
      <w:pPr>
        <w:pStyle w:val="BriefL3"/>
        <w:numPr>
          <w:ilvl w:val="0"/>
          <w:numId w:val="0"/>
        </w:numPr>
        <w:spacing w:after="0" w:line="360" w:lineRule="auto"/>
        <w:ind w:firstLine="720"/>
        <w:rPr>
          <w:b/>
          <w:szCs w:val="24"/>
        </w:rPr>
      </w:pPr>
    </w:p>
    <w:p w:rsidR="001957B2" w:rsidRDefault="001957B2"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DII</w:t>
      </w:r>
      <w:r>
        <w:t xml:space="preserve"> takes no position on this issue.</w:t>
      </w:r>
    </w:p>
    <w:p w:rsidR="00326C6F" w:rsidRPr="00326C6F" w:rsidRDefault="00326C6F" w:rsidP="00326C6F">
      <w:pPr>
        <w:pStyle w:val="BodyText2"/>
        <w:spacing w:line="360" w:lineRule="auto"/>
        <w:rPr>
          <w:lang w:val="en-US"/>
        </w:rPr>
      </w:pPr>
    </w:p>
    <w:p w:rsidR="006D47C0" w:rsidRDefault="006D47C0" w:rsidP="006D47C0">
      <w:pPr>
        <w:pStyle w:val="BriefL3"/>
        <w:numPr>
          <w:ilvl w:val="0"/>
          <w:numId w:val="0"/>
        </w:numPr>
        <w:spacing w:after="0" w:line="360" w:lineRule="auto"/>
        <w:ind w:firstLine="81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The EGS Parties suggest the discount percentage be lowered to five percent (5%) out of concern the level of the proposed discount is too large.  While the Commission has recommended a seven percent (7%) discount for referral programs, the EGS Parties note that market prices have been steadily declining, even since the RMI Order was issued.  Therefore, for the same reasons listed by Witness Butler when discussing the discount level for the Opt-In </w:t>
      </w:r>
      <w:r w:rsidR="00DF7450">
        <w:t>P</w:t>
      </w:r>
      <w:r>
        <w:t>rogram – low current market prices – the EGS Parties suggest a reduction of the discount for the referral program to five percent (5%).  (TJB St. No. 1, p. 7:6-12).</w:t>
      </w:r>
    </w:p>
    <w:p w:rsidR="00D159C2" w:rsidRDefault="00D159C2"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Default="006D47C0" w:rsidP="006D47C0">
      <w:pPr>
        <w:pStyle w:val="ListParagraph"/>
        <w:autoSpaceDE/>
        <w:autoSpaceDN/>
        <w:spacing w:line="360" w:lineRule="auto"/>
        <w:ind w:left="0"/>
        <w:rPr>
          <w:b/>
          <w:u w:val="single"/>
        </w:rPr>
      </w:pPr>
    </w:p>
    <w:p w:rsidR="00082B14" w:rsidRDefault="00082B14" w:rsidP="006D47C0">
      <w:pPr>
        <w:pStyle w:val="BodyText"/>
        <w:spacing w:after="0" w:line="360" w:lineRule="auto"/>
        <w:ind w:left="0" w:firstLine="0"/>
        <w:rPr>
          <w:b/>
          <w:lang w:val="en-US"/>
        </w:rPr>
      </w:pPr>
    </w:p>
    <w:p w:rsidR="00082B14" w:rsidRDefault="00082B14"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7C5A27">
        <w:rPr>
          <w:b/>
        </w:rPr>
        <w:lastRenderedPageBreak/>
        <w:t>Disposition</w:t>
      </w:r>
      <w:r w:rsidRPr="004476A6">
        <w:rPr>
          <w:lang w:val="en-US"/>
        </w:rPr>
        <w:t xml:space="preserve"> -</w:t>
      </w:r>
      <w:r w:rsidRPr="004476A6">
        <w:t xml:space="preserve"> </w:t>
      </w:r>
      <w:r w:rsidRPr="004E7112">
        <w:rPr>
          <w:b/>
          <w:color w:val="000000" w:themeColor="text1"/>
          <w:szCs w:val="24"/>
          <w:lang w:val="en-US"/>
        </w:rPr>
        <w:t>Standard Offer Program – Discount Percentage</w:t>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I recommend approving Duquesne Light’s proposal to set the discount percentage at 7% off the PTC at the time the offer is made.  I disagree with the suggestion that the discount percentage should be lowered to only 5% off the PTC because electricity is currently being priced low on the market.  The level of discount offered must be sufficient in size to entice default service customers to enter the competitive retail market arena.  The lower percentage will not aid in reaching the primary goal of any DSP, which is to increase shopping among the default service customer base.  The 7% discount level should be sufficient in size to encourage customers to try the retail market while still encouraging EGSs to participate.  If in the future, Duquesne Light’s residential class moves into the competitive retail market in greater numbers, at that point in time it might be necessary to review these provisions in order to encourage even greater numbers of EGSs to participate, however, this proceeding is not the appropriate time in which to start that discussion.</w:t>
      </w:r>
    </w:p>
    <w:p w:rsidR="006D47C0" w:rsidRPr="007C3678" w:rsidRDefault="006D47C0" w:rsidP="006D47C0">
      <w:pPr>
        <w:pStyle w:val="ListParagraph"/>
        <w:autoSpaceDE/>
        <w:autoSpaceDN/>
        <w:spacing w:line="360" w:lineRule="auto"/>
        <w:ind w:left="0"/>
        <w:rPr>
          <w:b/>
          <w:u w:val="single"/>
        </w:rPr>
      </w:pPr>
    </w:p>
    <w:p w:rsidR="006D47C0" w:rsidRDefault="006D47C0" w:rsidP="006D47C0">
      <w:pPr>
        <w:pStyle w:val="BodyText"/>
        <w:spacing w:after="0" w:line="360" w:lineRule="auto"/>
        <w:ind w:left="0" w:firstLine="0"/>
        <w:rPr>
          <w:b/>
          <w:szCs w:val="24"/>
        </w:rPr>
      </w:pPr>
      <w:r>
        <w:rPr>
          <w:szCs w:val="24"/>
          <w:lang w:val="en-US"/>
        </w:rPr>
        <w:tab/>
      </w:r>
      <w:r>
        <w:rPr>
          <w:szCs w:val="24"/>
          <w:lang w:val="en-US"/>
        </w:rPr>
        <w:tab/>
      </w:r>
      <w:r>
        <w:rPr>
          <w:b/>
          <w:szCs w:val="24"/>
        </w:rPr>
        <w:t>c.</w:t>
      </w:r>
      <w:r>
        <w:rPr>
          <w:b/>
          <w:szCs w:val="24"/>
        </w:rPr>
        <w:tab/>
        <w:t>Guaranteed Savings</w:t>
      </w:r>
    </w:p>
    <w:p w:rsidR="006D47C0" w:rsidRDefault="006D47C0" w:rsidP="006D47C0">
      <w:pPr>
        <w:pStyle w:val="BriefL3"/>
        <w:numPr>
          <w:ilvl w:val="0"/>
          <w:numId w:val="0"/>
        </w:numPr>
        <w:spacing w:after="0" w:line="360" w:lineRule="auto"/>
        <w:ind w:left="216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Duquesne Light propose</w:t>
      </w:r>
      <w:r>
        <w:rPr>
          <w:lang w:val="en-US"/>
        </w:rPr>
        <w:t xml:space="preserve">s </w:t>
      </w:r>
      <w:r>
        <w:t>the 7% discount be based off of the PTC at the time the offer is made and be fixed for the 12-month term of the Standard Offer.  Duquesne Light St. No.</w:t>
      </w:r>
      <w:r>
        <w:rPr>
          <w:lang w:val="en-US"/>
        </w:rPr>
        <w:t> </w:t>
      </w:r>
      <w:r>
        <w:t xml:space="preserve">3, pp. 38-39.  Under this proposal, if the PTC changes during the 12-month term, a customer is not guaranteed any level of savings once the PTC changes.  Duquesne Light’s proposed methodology is consistent with the </w:t>
      </w:r>
      <w:r>
        <w:rPr>
          <w:i/>
        </w:rPr>
        <w:t>Intermediate Work Plan Order</w:t>
      </w:r>
      <w:r>
        <w:t xml:space="preserve">, the </w:t>
      </w:r>
      <w:r w:rsidRPr="00080D01">
        <w:rPr>
          <w:i/>
        </w:rPr>
        <w:t>FE Order</w:t>
      </w:r>
      <w:r>
        <w:t xml:space="preserve"> and the </w:t>
      </w:r>
      <w:r w:rsidRPr="00080D01">
        <w:rPr>
          <w:i/>
        </w:rPr>
        <w:t>PECO Binding Poll</w:t>
      </w:r>
      <w:r>
        <w:t xml:space="preserve">.  </w:t>
      </w:r>
      <w:r>
        <w:rPr>
          <w:i/>
        </w:rPr>
        <w:t>Intermediate Work Plan Order</w:t>
      </w:r>
      <w:r>
        <w:t xml:space="preserve"> at 31; </w:t>
      </w:r>
      <w:r>
        <w:rPr>
          <w:i/>
        </w:rPr>
        <w:t xml:space="preserve">FE Order </w:t>
      </w:r>
      <w:r>
        <w:t xml:space="preserve">at 146; </w:t>
      </w:r>
      <w:r>
        <w:rPr>
          <w:i/>
        </w:rPr>
        <w:t>PECO Binding Poll</w:t>
      </w:r>
      <w:r>
        <w:t>, Issue</w:t>
      </w:r>
      <w:r>
        <w:rPr>
          <w:lang w:val="en-US"/>
        </w:rPr>
        <w:t xml:space="preserve"> No. </w:t>
      </w:r>
      <w:r>
        <w:t xml:space="preserve">18.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The Company argues those</w:t>
      </w:r>
      <w:r>
        <w:t xml:space="preserve"> proposals </w:t>
      </w:r>
      <w:r>
        <w:rPr>
          <w:lang w:val="en-US"/>
        </w:rPr>
        <w:t xml:space="preserve">from OCA and RESA </w:t>
      </w:r>
      <w:r>
        <w:t xml:space="preserve">are inconsistent with the </w:t>
      </w:r>
      <w:r>
        <w:rPr>
          <w:i/>
        </w:rPr>
        <w:t>Intermediate Work Plan Order</w:t>
      </w:r>
      <w:r>
        <w:t xml:space="preserve"> and </w:t>
      </w:r>
      <w:r>
        <w:rPr>
          <w:lang w:val="en-US"/>
        </w:rPr>
        <w:t>were</w:t>
      </w:r>
      <w:r>
        <w:t xml:space="preserve"> rejected by the Commission in the FE Companies’ and PECO’s default service proceedings.  </w:t>
      </w:r>
      <w:r>
        <w:rPr>
          <w:i/>
        </w:rPr>
        <w:t>Intermediate Work Plan Order</w:t>
      </w:r>
      <w:r>
        <w:t xml:space="preserve"> at 31; </w:t>
      </w:r>
      <w:r>
        <w:rPr>
          <w:i/>
        </w:rPr>
        <w:t xml:space="preserve">FE Order </w:t>
      </w:r>
      <w:r>
        <w:t xml:space="preserve">at 146; </w:t>
      </w:r>
      <w:r>
        <w:rPr>
          <w:i/>
        </w:rPr>
        <w:lastRenderedPageBreak/>
        <w:t>PECO Binding Poll</w:t>
      </w:r>
      <w:r>
        <w:t xml:space="preserve">, Issue </w:t>
      </w:r>
      <w:r>
        <w:rPr>
          <w:lang w:val="en-US"/>
        </w:rPr>
        <w:t xml:space="preserve">No. </w:t>
      </w:r>
      <w:r>
        <w:t xml:space="preserve">18.  Therefore, </w:t>
      </w:r>
      <w:r>
        <w:rPr>
          <w:lang w:val="en-US"/>
        </w:rPr>
        <w:t>these proposals</w:t>
      </w:r>
      <w:r>
        <w:t xml:space="preserve"> should not be adopted in this proceeding as well.</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 xml:space="preserve">Duquesne Light contends its </w:t>
      </w:r>
      <w:r>
        <w:t xml:space="preserve">Standard Offer product is a combination of a “guaranteed savings” product and a “fixed rate” product, where the guaranteed savings term and the fixed rate term vary depending on when a customer enrolls, but in all cases the term equals 12 months.  </w:t>
      </w:r>
      <w:r>
        <w:rPr>
          <w:lang w:val="en-US"/>
        </w:rPr>
        <w:t>Customers</w:t>
      </w:r>
      <w:r>
        <w:t xml:space="preserve"> are guaranteed savings through </w:t>
      </w:r>
      <w:r>
        <w:rPr>
          <w:lang w:val="en-US"/>
        </w:rPr>
        <w:t>May 31, 2015</w:t>
      </w:r>
      <w:r>
        <w:t xml:space="preserve"> (ranging from 12 months to one month), followed by a fixed rate (ranging from zero months to </w:t>
      </w:r>
      <w:r>
        <w:rPr>
          <w:lang w:val="en-US"/>
        </w:rPr>
        <w:t>11</w:t>
      </w:r>
      <w:r>
        <w:t xml:space="preserve"> months) depending on when the customer enrolls in the program.  Importantly, customers will be able to know the </w:t>
      </w:r>
    </w:p>
    <w:p w:rsidR="006D47C0" w:rsidRDefault="006D47C0" w:rsidP="006D47C0">
      <w:pPr>
        <w:pStyle w:val="BodyText2"/>
        <w:spacing w:after="0" w:line="360" w:lineRule="auto"/>
        <w:rPr>
          <w:lang w:val="en-US"/>
        </w:rPr>
      </w:pPr>
      <w:r>
        <w:t xml:space="preserve">term of the 7% guaranteed savings period and the term and the </w:t>
      </w:r>
      <w:r>
        <w:rPr>
          <w:lang w:val="en-US"/>
        </w:rPr>
        <w:t xml:space="preserve">cents per </w:t>
      </w:r>
      <w:r>
        <w:t xml:space="preserve">kWh level of the fixed rate at the time when customers affirmatively enroll in the Standard Offer product.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The Company points out that the SO product has the following features:</w:t>
      </w:r>
    </w:p>
    <w:p w:rsidR="006D47C0" w:rsidRPr="003743AB" w:rsidRDefault="006D47C0" w:rsidP="006D47C0">
      <w:pPr>
        <w:pStyle w:val="BodyText2"/>
        <w:spacing w:after="0" w:line="240" w:lineRule="auto"/>
        <w:rPr>
          <w:lang w:val="en-US"/>
        </w:rPr>
      </w:pPr>
    </w:p>
    <w:p w:rsidR="006D47C0" w:rsidRDefault="006D47C0" w:rsidP="006D47C0">
      <w:pPr>
        <w:pStyle w:val="BlockText"/>
        <w:ind w:left="2160" w:hanging="720"/>
        <w:jc w:val="left"/>
      </w:pPr>
      <w:r>
        <w:t>•</w:t>
      </w:r>
      <w:r>
        <w:tab/>
        <w:t>A single constant fixed ¢ per kWh rate for a 12-month period that is a 7% reduction from the EDC’s effective default service PTC on the date the SO is made (consistent with the Commission’s guidelines),</w:t>
      </w:r>
    </w:p>
    <w:p w:rsidR="006D47C0" w:rsidRDefault="006D47C0" w:rsidP="006D47C0">
      <w:pPr>
        <w:pStyle w:val="BlockText"/>
        <w:ind w:left="2160" w:hanging="720"/>
        <w:jc w:val="left"/>
      </w:pPr>
      <w:r>
        <w:t>•</w:t>
      </w:r>
      <w:r>
        <w:tab/>
        <w:t>A uniform product within Duquesne Light’s service area (consistent with the Commission’s guidelines),</w:t>
      </w:r>
    </w:p>
    <w:p w:rsidR="006D47C0" w:rsidRDefault="006D47C0" w:rsidP="006D47C0">
      <w:pPr>
        <w:pStyle w:val="BlockText"/>
        <w:ind w:left="2160" w:hanging="720"/>
        <w:jc w:val="left"/>
      </w:pPr>
      <w:r>
        <w:t>•</w:t>
      </w:r>
      <w:r>
        <w:tab/>
        <w:t>A customer remains with its EGS at the end of the 12</w:t>
      </w:r>
      <w:r>
        <w:noBreakHyphen/>
        <w:t>month term (consistent with the Commission’s guidelines), and</w:t>
      </w:r>
    </w:p>
    <w:p w:rsidR="006D47C0" w:rsidRDefault="006D47C0" w:rsidP="006D47C0">
      <w:pPr>
        <w:pStyle w:val="BlockText"/>
        <w:ind w:left="2160" w:hanging="720"/>
        <w:jc w:val="left"/>
      </w:pPr>
      <w:r>
        <w:t>•</w:t>
      </w:r>
      <w:r>
        <w:tab/>
        <w:t>A customer can switch at any time during the 12-month term and after the 12-month term without penalty unless a customer affirmatively elects other EGS terms and conditions (consistent with the Commission’s guidelines).</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Due to its </w:t>
      </w:r>
      <w:r>
        <w:t>proposal to offer residential customers a fixed PTC for 12-month periods</w:t>
      </w:r>
      <w:r>
        <w:rPr>
          <w:lang w:val="en-US"/>
        </w:rPr>
        <w:t xml:space="preserve">, </w:t>
      </w:r>
      <w:r>
        <w:t xml:space="preserve">Duquesne Light </w:t>
      </w:r>
      <w:r>
        <w:rPr>
          <w:lang w:val="en-US"/>
        </w:rPr>
        <w:t xml:space="preserve">avers it </w:t>
      </w:r>
      <w:r>
        <w:t>is able to provide SO customers this rate certainty</w:t>
      </w:r>
      <w:r>
        <w:rPr>
          <w:lang w:val="en-US"/>
        </w:rPr>
        <w:t>, but i</w:t>
      </w:r>
      <w:r>
        <w:t>f the residential procurement plan is modified, the “guaranteed savings” benefits described above will not be achieved.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lastRenderedPageBreak/>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pPr>
      <w:r>
        <w:t xml:space="preserve">Consistent with its position in the Opt-In </w:t>
      </w:r>
      <w:r w:rsidR="007A77A3">
        <w:rPr>
          <w:lang w:val="en-US"/>
        </w:rPr>
        <w:t>P</w:t>
      </w:r>
      <w:r>
        <w:t>rogram, OCA supports guaranteed customer savings during the product term of the referral program</w:t>
      </w:r>
      <w:r>
        <w:rPr>
          <w:lang w:val="en-US"/>
        </w:rPr>
        <w:t xml:space="preserve">. </w:t>
      </w:r>
      <w:r>
        <w:t xml:space="preserve"> </w:t>
      </w:r>
      <w:r>
        <w:rPr>
          <w:lang w:val="en-US"/>
        </w:rPr>
        <w:t xml:space="preserve">OCA argues </w:t>
      </w:r>
      <w:r>
        <w:t xml:space="preserve">encouraging customers to participate in this optional program as a means of “jump starting” the retail competitive market and then creating the potential for customers to pay a higher price for generation supply as a result of their enrollment is not a reasonable path to securing customer interest in or satisfaction with the competitive market.  </w:t>
      </w:r>
    </w:p>
    <w:p w:rsidR="006D47C0" w:rsidRDefault="006D47C0" w:rsidP="006D47C0">
      <w:pPr>
        <w:pStyle w:val="BodyText2"/>
        <w:spacing w:after="0" w:line="360" w:lineRule="auto"/>
      </w:pPr>
    </w:p>
    <w:p w:rsidR="006D47C0" w:rsidRDefault="006D47C0" w:rsidP="006D47C0">
      <w:pPr>
        <w:pStyle w:val="BodyText2"/>
        <w:spacing w:after="0" w:line="360" w:lineRule="auto"/>
      </w:pPr>
      <w:r>
        <w:tab/>
      </w:r>
      <w:r>
        <w:tab/>
      </w:r>
      <w:r>
        <w:rPr>
          <w:lang w:val="en-US"/>
        </w:rPr>
        <w:t>OCA contends</w:t>
      </w:r>
      <w:r>
        <w:t xml:space="preserve"> the referral program could work </w:t>
      </w:r>
      <w:r w:rsidRPr="00257DB1">
        <w:rPr>
          <w:u w:val="single"/>
        </w:rPr>
        <w:t>contrary</w:t>
      </w:r>
      <w:r>
        <w:t xml:space="preserve"> to its intent and cause participants to become dissatisfied with their shopping experience</w:t>
      </w:r>
      <w:r>
        <w:rPr>
          <w:lang w:val="en-US"/>
        </w:rPr>
        <w:t xml:space="preserve"> w</w:t>
      </w:r>
      <w:r>
        <w:t>ithout the guarantee of savings.  OCA respectfully requests the Commission adopt its recommendations as to the product offer and term for the Referral Program.</w:t>
      </w:r>
    </w:p>
    <w:p w:rsidR="00A14673" w:rsidRDefault="006D47C0" w:rsidP="006D47C0">
      <w:pPr>
        <w:pStyle w:val="BriefL3"/>
        <w:numPr>
          <w:ilvl w:val="0"/>
          <w:numId w:val="0"/>
        </w:numPr>
        <w:spacing w:after="0" w:line="360" w:lineRule="auto"/>
        <w:ind w:left="1440" w:hanging="720"/>
        <w:rPr>
          <w:b/>
          <w:szCs w:val="24"/>
        </w:rPr>
      </w:pPr>
      <w:r>
        <w:rPr>
          <w:b/>
          <w:szCs w:val="24"/>
        </w:rPr>
        <w:tab/>
      </w:r>
      <w:r>
        <w:rPr>
          <w:b/>
          <w:szCs w:val="24"/>
        </w:rPr>
        <w:tab/>
      </w:r>
    </w:p>
    <w:p w:rsidR="006D47C0" w:rsidRDefault="00A14673" w:rsidP="006D47C0">
      <w:pPr>
        <w:pStyle w:val="BriefL3"/>
        <w:numPr>
          <w:ilvl w:val="0"/>
          <w:numId w:val="0"/>
        </w:numPr>
        <w:spacing w:after="0" w:line="360" w:lineRule="auto"/>
        <w:ind w:left="1440" w:hanging="720"/>
        <w:rPr>
          <w:b/>
          <w:szCs w:val="24"/>
        </w:rPr>
      </w:pPr>
      <w:r>
        <w:rPr>
          <w:b/>
          <w:szCs w:val="24"/>
        </w:rPr>
        <w:tab/>
      </w:r>
      <w:r>
        <w:rPr>
          <w:b/>
          <w:szCs w:val="24"/>
        </w:rPr>
        <w:tab/>
      </w:r>
      <w:r w:rsidR="006D47C0">
        <w:rPr>
          <w:b/>
          <w:szCs w:val="24"/>
        </w:rPr>
        <w:t>iii.</w:t>
      </w:r>
      <w:r w:rsidR="006D47C0">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RESA recommends guaranteed savings for four months in a percentage consistent with the discount offered for the ROI program</w:t>
      </w:r>
      <w:r>
        <w:rPr>
          <w:lang w:val="en-US"/>
        </w:rPr>
        <w:t xml:space="preserve">, as </w:t>
      </w:r>
      <w:r>
        <w:t xml:space="preserve">explained </w:t>
      </w:r>
      <w:r>
        <w:rPr>
          <w:lang w:val="en-US"/>
        </w:rPr>
        <w:t>previously</w:t>
      </w:r>
      <w:r>
        <w:t>.</w:t>
      </w:r>
    </w:p>
    <w:p w:rsidR="006D47C0" w:rsidRDefault="006D47C0"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A14673" w:rsidRPr="00833501" w:rsidRDefault="00A14673" w:rsidP="006D47C0">
      <w:pPr>
        <w:pStyle w:val="BodyText2"/>
        <w:spacing w:after="0" w:line="360" w:lineRule="auto"/>
        <w:rPr>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rPr>
          <w:b/>
        </w:rPr>
        <w:tab/>
      </w:r>
      <w:r>
        <w:t xml:space="preserve">CAUSE-PA would prefer to have a customer referral program designed to offer customers a guaranteed 7% off of the PTC throughout the entire term of the contract; however, it accepts the arguments made by Duquesne that such a proposal would be more administratively cumbersome.  Furthermore, in CAUSE-PA’s view, a fixed rate for 12 months at 7% less than the price offered by Duquesne Light at the time the offer is made is superior to a shorter time frame </w:t>
      </w:r>
      <w:r>
        <w:lastRenderedPageBreak/>
        <w:t>with guaranteed savings.  Given that Duquesne cannot start this program until June 2014, most of the customers will receive guaranteed savings for a significant period of time.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Citizen Power contends DLC’s Standard Offer Program is unlike its opt-in auction proposal in that the Standard Offer Program does not guarantee savings. The fixed rate is 7% less than the PTC known at the time of the offer.  However, the suggested 12-month term will necessarily run past June 1, 2015 and Citizen Power points out the PTC is unknown after that point.  Duquesne St. 3 at 39-40.  OCA proposed that the risk of the standard offer exceeding the PTC be minimized by reducing the term of the offer.  OCA St. 2-R at 14.  Citizen Power agrees with OCA that guaranteed savings is preferable from a consumer perspective and supports their recommendation. </w:t>
      </w:r>
    </w:p>
    <w:p w:rsidR="006D47C0" w:rsidRDefault="006D47C0" w:rsidP="006D47C0">
      <w:pPr>
        <w:spacing w:line="360" w:lineRule="auto"/>
        <w:ind w:firstLine="720"/>
      </w:pPr>
    </w:p>
    <w:p w:rsidR="006D47C0" w:rsidRDefault="006D47C0" w:rsidP="006D47C0">
      <w:pPr>
        <w:spacing w:line="360" w:lineRule="auto"/>
        <w:ind w:firstLine="720"/>
      </w:pPr>
      <w:r>
        <w:tab/>
        <w:t xml:space="preserve">However, Citizen Power notes OCA also asserts that, at the end of the standard offer, the customer should be returned to default service unless the customer makes an affirmative declaration to opt-in to another offer.  Although Citizen Power agrees with this position, it contends it would support Duquesne’s proposed term of 12 months despite the lack of guaranteed savings for two reasons </w:t>
      </w:r>
      <w:r w:rsidRPr="005D2A31">
        <w:rPr>
          <w:u w:val="single"/>
        </w:rPr>
        <w:t>if</w:t>
      </w:r>
      <w:r>
        <w:t xml:space="preserve"> the Commission determines that consumers must opt-out after the end of the standard offer.  First, as pointed out by Mr. Fisher in his Rebuttal Testimony, the known PJM capacity price increases from 2014/2015 to 2015/2016 mitigating some concern that the PTC will go down on June 1, 2015.  Secondly, Citizen Power believes the potential harm resulting from a shorter term that allows the rates to increase without customer action outweighs concerns regarding the potential for the PTC to drop by enough post POLR VI to fall below the standard offer rate.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p>
    <w:p w:rsidR="00593F0C" w:rsidRDefault="00593F0C"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rPr>
          <w:b/>
        </w:rPr>
      </w:pPr>
      <w:r>
        <w:tab/>
        <w:t xml:space="preserve">The EGS Parties reject OCA’s proposed guaranteed savings product and instead support the concept of a fixed price for the entire period of the SOR program.  The Commission has endorsed this concept as well in both the </w:t>
      </w:r>
      <w:r>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xml:space="preserve"> and in the </w:t>
      </w:r>
      <w:r>
        <w:rPr>
          <w:i/>
        </w:rPr>
        <w:t>PECO</w:t>
      </w:r>
      <w:r>
        <w:rPr>
          <w:i/>
        </w:rPr>
        <w:fldChar w:fldCharType="begin"/>
      </w:r>
      <w:r>
        <w:instrText xml:space="preserve"> TA \s "Petition of PECO Energy Company for Approval of Its Default Service Program II, Docket No. P-2012-2283641 (Binding Poll Conducted September 27, 2012)" </w:instrText>
      </w:r>
      <w:r>
        <w:rPr>
          <w:i/>
        </w:rPr>
        <w:fldChar w:fldCharType="end"/>
      </w:r>
      <w:r>
        <w:rPr>
          <w:i/>
        </w:rPr>
        <w:t xml:space="preserve"> </w:t>
      </w:r>
      <w:r w:rsidR="00A14673">
        <w:rPr>
          <w:i/>
        </w:rPr>
        <w:t xml:space="preserve">Binding Poll </w:t>
      </w:r>
      <w:r>
        <w:t>case.  (TJB St. No. 1-R, p. 8).</w:t>
      </w:r>
      <w:r>
        <w:rPr>
          <w:b/>
        </w:rPr>
        <w:t xml:space="preserve"> </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 xml:space="preserve">While FES supports guaranteed savings, FES contends these savings are not necessary for the success of the Referral Program nor do the savings justify the harms to the Referral Program that OCA’s proposed shortened contract would cause to the program. </w:t>
      </w:r>
      <w:r>
        <w:rPr>
          <w:i/>
        </w:rPr>
        <w:t xml:space="preserve">See </w:t>
      </w:r>
      <w:r>
        <w:t>Section III.B.2.a., above.  A price that is at least a 7% discount off Duquesne Light’s PTC at the time of enrollment will be a good price for participating customers.  Although the PTC may change during the 12-month Referral Program, a 12-month contract term does not preclude participating customers from enjoying savings.  Customers will receive guaranteed savings at the outset of the Referral Program contract term.  When the PTC is reset for another 12 months, any of three things may happen.  If the PTC increases, participating customers will enjoy even greater savings.  If the PTC decreases but stays above the level of the Referral Program product, participating customers will still enjoy savings, although at a level lower than the original 7%.  If the PTC decreases below the level of the Referral Program product, participating customers will no longer enjoy continued savings as compared to the PTC.  However, in this third scenario, not only might customers still see savings over the term of the contract, but the customer may switch to another EGS offer or return to default service without penalty.  FES St. No. 1-R at 19.</w:t>
      </w:r>
    </w:p>
    <w:p w:rsidR="00B3736B" w:rsidRDefault="00B3736B" w:rsidP="006D47C0">
      <w:pPr>
        <w:pStyle w:val="BodyTextFirstLine5DS"/>
        <w:spacing w:line="360" w:lineRule="auto"/>
        <w:jc w:val="left"/>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Joint Suppliers take</w:t>
      </w:r>
      <w:r>
        <w:t xml:space="preserve"> no position on this issue.</w:t>
      </w:r>
    </w:p>
    <w:p w:rsidR="006D47C0" w:rsidRPr="001C0F64" w:rsidRDefault="006D47C0" w:rsidP="006D47C0">
      <w:pPr>
        <w:pStyle w:val="BodyText2"/>
        <w:spacing w:line="360" w:lineRule="auto"/>
        <w:rPr>
          <w:lang w:val="en-US"/>
        </w:rPr>
      </w:pPr>
    </w:p>
    <w:p w:rsidR="00E72FA3" w:rsidRDefault="00E72FA3" w:rsidP="006D47C0">
      <w:pPr>
        <w:pStyle w:val="BodyText"/>
        <w:spacing w:after="0" w:line="360" w:lineRule="auto"/>
        <w:ind w:left="0" w:firstLine="0"/>
        <w:rPr>
          <w:b/>
          <w:lang w:val="en-US"/>
        </w:rPr>
      </w:pPr>
    </w:p>
    <w:p w:rsidR="00E72FA3" w:rsidRDefault="00E72FA3"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1C0F64">
        <w:rPr>
          <w:b/>
        </w:rPr>
        <w:lastRenderedPageBreak/>
        <w:t>Disposition</w:t>
      </w:r>
      <w:r w:rsidRPr="00EB6BEB">
        <w:rPr>
          <w:b/>
          <w:lang w:val="en-US"/>
        </w:rPr>
        <w:t xml:space="preserve"> </w:t>
      </w:r>
      <w:r w:rsidRPr="00EB6BEB">
        <w:rPr>
          <w:lang w:val="en-US"/>
        </w:rPr>
        <w:t>-</w:t>
      </w:r>
      <w:r w:rsidRPr="00EB6BEB">
        <w:rPr>
          <w:b/>
        </w:rPr>
        <w:t xml:space="preserve"> </w:t>
      </w:r>
      <w:r w:rsidRPr="004E7112">
        <w:rPr>
          <w:b/>
          <w:color w:val="000000" w:themeColor="text1"/>
          <w:szCs w:val="24"/>
          <w:lang w:val="en-US"/>
        </w:rPr>
        <w:t>Standard Offer Program – Guaranteed Savings</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I recommend approving Duquesne Light’s proposal to guarantee the savings based on the PTC at the time the offer is made, instead of the competing suggestion to guarantee the savings off the PTC during the entire term of the product.  This SO Program balances the value of attracting a customer with an attractive guaranteed savings product with the value a customer gains from a fixed rate product.  The Company acknowledges that a customer might start in the program with a 7% savings but, if the PTC drops during the remainder of the one-year term, that 7% savings might completely disappear.  The struggle herein is the dynamic between giving customers a “bargain” versus having a rate that is “set in stone”.  I agree with the Company that, in this current environment and with a fairly knowledgeable customer base, there is a great need to entice customers into the retail market.  Once there, the customers will likely grow in sophistication and learn how to monitor their savings in such a way that most benefits the consumer.</w:t>
      </w:r>
    </w:p>
    <w:p w:rsidR="00FE7348" w:rsidRPr="008A1C3D" w:rsidRDefault="00FE7348" w:rsidP="006D47C0">
      <w:pPr>
        <w:pStyle w:val="ListParagraph"/>
        <w:autoSpaceDE/>
        <w:autoSpaceDN/>
        <w:spacing w:line="360" w:lineRule="auto"/>
        <w:ind w:left="0"/>
        <w:rPr>
          <w:b/>
          <w:u w:val="single"/>
        </w:rPr>
      </w:pPr>
    </w:p>
    <w:p w:rsidR="006D47C0" w:rsidRDefault="006D47C0" w:rsidP="006D47C0">
      <w:pPr>
        <w:pStyle w:val="BriefL3"/>
        <w:numPr>
          <w:ilvl w:val="0"/>
          <w:numId w:val="0"/>
        </w:numPr>
        <w:spacing w:after="0" w:line="360" w:lineRule="auto"/>
        <w:ind w:left="720" w:firstLine="720"/>
        <w:rPr>
          <w:b/>
          <w:szCs w:val="24"/>
        </w:rPr>
      </w:pPr>
      <w:r>
        <w:rPr>
          <w:b/>
          <w:szCs w:val="24"/>
        </w:rPr>
        <w:t>d.</w:t>
      </w:r>
      <w:r>
        <w:rPr>
          <w:b/>
          <w:szCs w:val="24"/>
        </w:rPr>
        <w:tab/>
        <w:t>Program Start Date</w:t>
      </w:r>
    </w:p>
    <w:p w:rsidR="006D47C0" w:rsidRDefault="006D47C0" w:rsidP="006D47C0">
      <w:pPr>
        <w:pStyle w:val="BriefL3"/>
        <w:numPr>
          <w:ilvl w:val="0"/>
          <w:numId w:val="0"/>
        </w:numPr>
        <w:spacing w:after="0" w:line="360" w:lineRule="auto"/>
        <w:ind w:left="1440" w:hanging="72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 xml:space="preserve">Duquesne Light proposes to implement the SO Program on June 1, 2014.  </w:t>
      </w:r>
      <w:r>
        <w:rPr>
          <w:lang w:val="en-US"/>
        </w:rPr>
        <w:t>(</w:t>
      </w:r>
      <w:r>
        <w:t>Duquesne Light St. No. 3, p. 35</w:t>
      </w:r>
      <w:r>
        <w:rPr>
          <w:lang w:val="en-US"/>
        </w:rPr>
        <w:t xml:space="preserve">), instead of June of 2013, as argued by some EGS parties.  </w:t>
      </w:r>
      <w:r>
        <w:t xml:space="preserve">RESA St. No. 2, p. 5; FES St. No. 1, p. 16.  Duquesne Light </w:t>
      </w:r>
      <w:r>
        <w:rPr>
          <w:lang w:val="en-US"/>
        </w:rPr>
        <w:t>notes</w:t>
      </w:r>
      <w:r>
        <w:t xml:space="preserve"> the Commission directed the FE Companies to implement the SO Program in June 2013 and PECO to implement its SO Program one month after the ROI Program enrollment is complete.  </w:t>
      </w:r>
      <w:r>
        <w:rPr>
          <w:i/>
        </w:rPr>
        <w:t>FE Order</w:t>
      </w:r>
      <w:r>
        <w:t xml:space="preserve"> at 150; </w:t>
      </w:r>
      <w:r>
        <w:rPr>
          <w:i/>
        </w:rPr>
        <w:t>PECO Binding Poll</w:t>
      </w:r>
      <w:r>
        <w:t xml:space="preserve">, Issue </w:t>
      </w:r>
      <w:r>
        <w:rPr>
          <w:lang w:val="en-US"/>
        </w:rPr>
        <w:t xml:space="preserve">No. </w:t>
      </w:r>
      <w:r>
        <w:t xml:space="preserve">20.  However, Duquesne Light </w:t>
      </w:r>
      <w:r>
        <w:rPr>
          <w:lang w:val="en-US"/>
        </w:rPr>
        <w:t>averred the facts in this proceeding are</w:t>
      </w:r>
      <w:r>
        <w:t xml:space="preserve"> distinguishable from </w:t>
      </w:r>
      <w:r>
        <w:rPr>
          <w:lang w:val="en-US"/>
        </w:rPr>
        <w:t xml:space="preserve">the facts in the proceedings involving </w:t>
      </w:r>
      <w:r>
        <w:t>the FE Companies and PECO</w:t>
      </w:r>
      <w:r>
        <w:rPr>
          <w:lang w:val="en-US"/>
        </w:rPr>
        <w:t xml:space="preserve"> and contends it</w:t>
      </w:r>
      <w:r>
        <w:t xml:space="preserve"> should be permitted to implement a later start date for the SO Program.</w:t>
      </w:r>
    </w:p>
    <w:p w:rsidR="00684F6C" w:rsidRPr="00684F6C" w:rsidRDefault="00684F6C"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Duquesne Light </w:t>
      </w:r>
      <w:r>
        <w:rPr>
          <w:lang w:val="en-US"/>
        </w:rPr>
        <w:t xml:space="preserve">avers it </w:t>
      </w:r>
      <w:r>
        <w:t>cannot feasibly implement the SO Program on June 1, 2013 due to significant IT constraints</w:t>
      </w:r>
      <w:r>
        <w:rPr>
          <w:lang w:val="en-US"/>
        </w:rPr>
        <w:t>, specifically because it</w:t>
      </w:r>
      <w:r>
        <w:t xml:space="preserve"> is implementing a new Customer Information System (“CIS”) </w:t>
      </w:r>
      <w:r>
        <w:rPr>
          <w:lang w:val="en-US"/>
        </w:rPr>
        <w:t>which</w:t>
      </w:r>
      <w:r>
        <w:t xml:space="preserve"> project will not be completed until the second quarter of </w:t>
      </w:r>
      <w:r>
        <w:lastRenderedPageBreak/>
        <w:t>2013.  Duquesne Light St. No. 6-R, p. 6.  The Company</w:t>
      </w:r>
      <w:r>
        <w:rPr>
          <w:lang w:val="en-US"/>
        </w:rPr>
        <w:t xml:space="preserve"> contends </w:t>
      </w:r>
      <w:r>
        <w:t xml:space="preserve">that the scope of work already planned for replacing the </w:t>
      </w:r>
      <w:r>
        <w:rPr>
          <w:lang w:val="en-US"/>
        </w:rPr>
        <w:t xml:space="preserve">old </w:t>
      </w:r>
      <w:r>
        <w:t xml:space="preserve">CIS system does not include the IT development and activities </w:t>
      </w:r>
      <w:r>
        <w:rPr>
          <w:lang w:val="en-US"/>
        </w:rPr>
        <w:t>needed</w:t>
      </w:r>
      <w:r>
        <w:t xml:space="preserve"> to implement the SO Program</w:t>
      </w:r>
      <w:r>
        <w:rPr>
          <w:lang w:val="en-US"/>
        </w:rPr>
        <w:t xml:space="preserve">, which </w:t>
      </w:r>
      <w:r>
        <w:t xml:space="preserve">will take an additional 9-12 months </w:t>
      </w:r>
      <w:r>
        <w:rPr>
          <w:lang w:val="en-US"/>
        </w:rPr>
        <w:t>(</w:t>
      </w:r>
      <w:r>
        <w:t>from completion of the CIS system in the second quarter of 2013</w:t>
      </w:r>
      <w:r>
        <w:rPr>
          <w:lang w:val="en-US"/>
        </w:rPr>
        <w:t>)</w:t>
      </w:r>
      <w:r>
        <w:t xml:space="preserve"> t</w:t>
      </w:r>
      <w:r>
        <w:rPr>
          <w:lang w:val="en-US"/>
        </w:rPr>
        <w:t>o</w:t>
      </w:r>
      <w:r>
        <w:t xml:space="preserve"> complete the IT development and testing necessary to implement the SO Program, including accelerated switching enhancements.  Therefore, the IT development and testing necessary for the SO Program cannot begin prior to the third quarter of 2013, and will take approximately 9-12 months</w:t>
      </w:r>
      <w:r>
        <w:rPr>
          <w:lang w:val="en-US"/>
        </w:rPr>
        <w:t>, or to mid-</w:t>
      </w:r>
      <w:r>
        <w:t>2014</w:t>
      </w:r>
      <w:r>
        <w:rPr>
          <w:lang w:val="en-US"/>
        </w:rPr>
        <w:t>,</w:t>
      </w:r>
      <w:r>
        <w:t xml:space="preserve"> to complete.  Duquesne Light St. No. 6-RJ, p. 2.</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 xml:space="preserve">Furthermore, </w:t>
      </w:r>
      <w:r>
        <w:t xml:space="preserve">if the Company did not include the accelerated switching functionality in the scope of the SO Program IT changes, the Company could implement the SO Program at the end of the first quarter of 2014.  However, it would then subsequently take an additional </w:t>
      </w:r>
      <w:r>
        <w:rPr>
          <w:lang w:val="en-US"/>
        </w:rPr>
        <w:t>six</w:t>
      </w:r>
      <w:r>
        <w:t xml:space="preserve"> months to implement accelerated switching primarily due to the redundant work and testing that have to be performed.  Implementing the minimum SO Program functionalities and the accelerated switching functionalities on a separate basis increase overall IT development and testing costs.  Duquesne Light St. No. 6-RJ, p. 2.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In the alternative, Duquesne Light opines it will be a better “roll out” </w:t>
      </w:r>
      <w:r>
        <w:t xml:space="preserve">and less costly to implement the SO Program and accelerated switching </w:t>
      </w:r>
      <w:r w:rsidRPr="00C24CAE">
        <w:rPr>
          <w:u w:val="single"/>
        </w:rPr>
        <w:t>together</w:t>
      </w:r>
      <w:r>
        <w:t xml:space="preserve"> on June 1</w:t>
      </w:r>
      <w:r>
        <w:rPr>
          <w:lang w:val="en-US"/>
        </w:rPr>
        <w:t>,</w:t>
      </w:r>
      <w:r>
        <w:t xml:space="preserve"> 2014, </w:t>
      </w:r>
      <w:r>
        <w:rPr>
          <w:lang w:val="en-US"/>
        </w:rPr>
        <w:t xml:space="preserve">rather </w:t>
      </w:r>
      <w:r>
        <w:t xml:space="preserve">than to implement SO earlier and </w:t>
      </w:r>
      <w:r>
        <w:rPr>
          <w:lang w:val="en-US"/>
        </w:rPr>
        <w:t xml:space="preserve">implement </w:t>
      </w:r>
      <w:r>
        <w:t>accelerated switching later.</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Duquesne Light further notes OCMO is directed to provide the Commission with a recommendation to move forward with a plan that permits customers to switch to EGSs between meter reads by October 1, 2013.  End State Proposal No. 7, Docket No. I-2011-2237952.  Complying with this guideline requires accelerated switching capability.  </w:t>
      </w:r>
      <w:r>
        <w:rPr>
          <w:lang w:val="en-US"/>
        </w:rPr>
        <w:t xml:space="preserve">Because </w:t>
      </w:r>
      <w:r>
        <w:t>accelerated switching is a very important functionality for EGSs, the Company does not want to delay this functionality.</w:t>
      </w:r>
    </w:p>
    <w:p w:rsidR="006D47C0" w:rsidRDefault="006D47C0" w:rsidP="006D47C0">
      <w:pPr>
        <w:pStyle w:val="BodyText2"/>
        <w:spacing w:after="0" w:line="360" w:lineRule="auto"/>
        <w:rPr>
          <w:lang w:val="en-US"/>
        </w:rPr>
      </w:pPr>
    </w:p>
    <w:p w:rsidR="00462C56" w:rsidRDefault="006D47C0" w:rsidP="006D47C0">
      <w:pPr>
        <w:pStyle w:val="BodyText2"/>
        <w:spacing w:after="0" w:line="360" w:lineRule="auto"/>
        <w:rPr>
          <w:lang w:val="en-US"/>
        </w:rPr>
      </w:pPr>
      <w:r>
        <w:rPr>
          <w:lang w:val="en-US"/>
        </w:rPr>
        <w:tab/>
      </w:r>
      <w:r>
        <w:rPr>
          <w:lang w:val="en-US"/>
        </w:rPr>
        <w:tab/>
      </w:r>
    </w:p>
    <w:p w:rsidR="00462C56" w:rsidRDefault="00462C56" w:rsidP="006D47C0">
      <w:pPr>
        <w:pStyle w:val="BodyText2"/>
        <w:spacing w:after="0" w:line="360" w:lineRule="auto"/>
        <w:rPr>
          <w:lang w:val="en-US"/>
        </w:rPr>
      </w:pPr>
    </w:p>
    <w:p w:rsidR="006D47C0" w:rsidRDefault="00462C56" w:rsidP="006D47C0">
      <w:pPr>
        <w:pStyle w:val="BodyText2"/>
        <w:spacing w:after="0" w:line="360" w:lineRule="auto"/>
      </w:pPr>
      <w:r>
        <w:rPr>
          <w:lang w:val="en-US"/>
        </w:rPr>
        <w:lastRenderedPageBreak/>
        <w:tab/>
      </w:r>
      <w:r>
        <w:rPr>
          <w:lang w:val="en-US"/>
        </w:rPr>
        <w:tab/>
      </w:r>
      <w:r w:rsidR="006D47C0">
        <w:rPr>
          <w:lang w:val="en-US"/>
        </w:rPr>
        <w:t>T</w:t>
      </w:r>
      <w:r w:rsidR="006D47C0">
        <w:t>he Company provided a specific list of IT revisions necessary to implement the SO Program.  This list included:</w:t>
      </w:r>
    </w:p>
    <w:p w:rsidR="0011485C" w:rsidRDefault="0011485C" w:rsidP="0011485C">
      <w:pPr>
        <w:pStyle w:val="BlockText"/>
        <w:spacing w:after="0"/>
        <w:ind w:left="2160" w:hanging="720"/>
        <w:jc w:val="left"/>
      </w:pPr>
    </w:p>
    <w:p w:rsidR="006D47C0" w:rsidRDefault="006D47C0" w:rsidP="006D47C0">
      <w:pPr>
        <w:pStyle w:val="BlockText"/>
        <w:ind w:left="2160" w:hanging="720"/>
        <w:jc w:val="left"/>
      </w:pPr>
      <w:r>
        <w:t>•</w:t>
      </w:r>
      <w:r>
        <w:tab/>
        <w:t>Enabling Customer Service Representatives in primary call center to systematically transfer calls to choice referral team and pre-populate a new Customer Care &amp; Billing (“CC&amp;B”) Standard Offer Program enrollment screen with appropriate customer information.</w:t>
      </w:r>
    </w:p>
    <w:p w:rsidR="006D47C0" w:rsidRDefault="006D47C0" w:rsidP="006D47C0">
      <w:pPr>
        <w:pStyle w:val="BlockText"/>
        <w:ind w:left="2160" w:hanging="720"/>
        <w:jc w:val="left"/>
      </w:pPr>
      <w:r>
        <w:t>•</w:t>
      </w:r>
      <w:r>
        <w:tab/>
        <w:t>Enabling the choice referral team to update CC&amp;B system to indicate customer’s interest in participating in Standard Offer Program.</w:t>
      </w:r>
    </w:p>
    <w:p w:rsidR="006D47C0" w:rsidRDefault="006D47C0" w:rsidP="006D47C0">
      <w:pPr>
        <w:pStyle w:val="BlockText"/>
        <w:ind w:left="2160" w:hanging="720"/>
        <w:jc w:val="left"/>
      </w:pPr>
      <w:r>
        <w:t>•</w:t>
      </w:r>
      <w:r>
        <w:tab/>
        <w:t>Enabling the choice referral team to update CC&amp;B system with selected EGS if specified by the customer.</w:t>
      </w:r>
    </w:p>
    <w:p w:rsidR="006D47C0" w:rsidRDefault="006D47C0" w:rsidP="006D47C0">
      <w:pPr>
        <w:pStyle w:val="BlockText"/>
        <w:ind w:left="2160" w:hanging="720"/>
        <w:jc w:val="left"/>
      </w:pPr>
      <w:r>
        <w:t>•</w:t>
      </w:r>
      <w:r>
        <w:tab/>
        <w:t>Enabling the sequential, systematic assignment of a customer to an EGS participating in the program.</w:t>
      </w:r>
    </w:p>
    <w:p w:rsidR="006D47C0" w:rsidRDefault="006D47C0" w:rsidP="006D47C0">
      <w:pPr>
        <w:pStyle w:val="BlockText"/>
        <w:ind w:left="2160" w:hanging="720"/>
        <w:jc w:val="left"/>
      </w:pPr>
      <w:r>
        <w:t>•</w:t>
      </w:r>
      <w:r>
        <w:tab/>
        <w:t>Enabling the daily emails to each EGS of the customers that were assigned to them the preceding day.</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The Company also described the functionalities necessary to implement accelerated metering, as follows:</w:t>
      </w:r>
    </w:p>
    <w:p w:rsidR="000E20D9" w:rsidRDefault="000E20D9" w:rsidP="000E20D9">
      <w:pPr>
        <w:pStyle w:val="BlockText"/>
        <w:spacing w:after="0"/>
        <w:ind w:left="2160" w:hanging="720"/>
        <w:jc w:val="left"/>
      </w:pPr>
    </w:p>
    <w:p w:rsidR="006D47C0" w:rsidRDefault="006D47C0" w:rsidP="006D47C0">
      <w:pPr>
        <w:pStyle w:val="BlockText"/>
        <w:ind w:left="2160" w:hanging="720"/>
        <w:jc w:val="left"/>
      </w:pPr>
      <w:r>
        <w:t>•</w:t>
      </w:r>
      <w:r>
        <w:tab/>
        <w:t>Enabling “seamless move” functionality to provide the capability for an existing customer to retain their current alternate supplier rather than dropping back to default service when they move from one premise to another within the same EDC territory.</w:t>
      </w:r>
    </w:p>
    <w:p w:rsidR="006D47C0" w:rsidRDefault="006D47C0" w:rsidP="006D47C0">
      <w:pPr>
        <w:pStyle w:val="BlockText"/>
        <w:ind w:left="2160" w:hanging="720"/>
        <w:jc w:val="left"/>
      </w:pPr>
      <w:r>
        <w:t>•</w:t>
      </w:r>
      <w:r>
        <w:tab/>
        <w:t>Enabling “switch on connect” functionality, the EDC provides the capability for a new customer to select a supplier immediately upon moving into the EDC territory rather than being enrolled in default service for their first cycle bill.</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Duquesne Light contends there</w:t>
      </w:r>
      <w:r>
        <w:t xml:space="preserve"> </w:t>
      </w:r>
      <w:r>
        <w:rPr>
          <w:lang w:val="en-US"/>
        </w:rPr>
        <w:t xml:space="preserve">exist </w:t>
      </w:r>
      <w:r>
        <w:t xml:space="preserve">other policy and economic reasons for implementing the SO Program on June 1, 2014.  First, implementing the Standard Offer Program at the same time as the ROI Program has the potential to increase the risk premiums included in the wholesale RFP bids.  Duquesne Light St. No. 3-R, p. 51.  Duquesne Light already has </w:t>
      </w:r>
      <w:r>
        <w:rPr>
          <w:lang w:val="en-US"/>
        </w:rPr>
        <w:t>one</w:t>
      </w:r>
      <w:r>
        <w:t xml:space="preserve"> of </w:t>
      </w:r>
      <w:r>
        <w:lastRenderedPageBreak/>
        <w:t xml:space="preserve">the highest shopping levels in the Commonwealth.  </w:t>
      </w:r>
      <w:r>
        <w:rPr>
          <w:lang w:val="en-US"/>
        </w:rPr>
        <w:t>If the Commission requires the Company to i</w:t>
      </w:r>
      <w:r>
        <w:t xml:space="preserve">mplement both the ROI Program and SO Program in the same delivery period covered by default service bids </w:t>
      </w:r>
      <w:r>
        <w:rPr>
          <w:lang w:val="en-US"/>
        </w:rPr>
        <w:t xml:space="preserve">would </w:t>
      </w:r>
      <w:r>
        <w:t xml:space="preserve">compound the risk to wholesale suppliers that the default customer base will significantly decrease during the delivery period and </w:t>
      </w:r>
      <w:r>
        <w:rPr>
          <w:lang w:val="en-US"/>
        </w:rPr>
        <w:t xml:space="preserve">would </w:t>
      </w:r>
      <w:r>
        <w:t xml:space="preserve">create the possibility of increased risk premiums.  </w:t>
      </w:r>
      <w:r>
        <w:rPr>
          <w:lang w:val="en-US"/>
        </w:rPr>
        <w:t>The</w:t>
      </w:r>
      <w:r>
        <w:t xml:space="preserve"> combination of a fixed-price full requirements solicitation process followed shortly thereafter by an RFP for the ROI Program and then a SO Program is unprecedented in electric markets in the United States.  Duquesne Light St. 3-RJ, p. 20.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In addition to customers taking advantage of the two competing RME Programs, </w:t>
      </w:r>
      <w:r>
        <w:rPr>
          <w:lang w:val="en-US"/>
        </w:rPr>
        <w:t xml:space="preserve">the Company avers </w:t>
      </w:r>
      <w:r>
        <w:t>other customers may be confused and question why Duquesne Light is promoting a 5% discount program followed shortly by a 7% discount program.</w:t>
      </w:r>
      <w:r>
        <w:rPr>
          <w:lang w:val="en-US"/>
        </w:rPr>
        <w:t xml:space="preserve">  </w:t>
      </w:r>
      <w:r>
        <w:t xml:space="preserve">For the reasons explained above, Duquesne Light </w:t>
      </w:r>
      <w:r>
        <w:rPr>
          <w:lang w:val="en-US"/>
        </w:rPr>
        <w:t xml:space="preserve">argues it should </w:t>
      </w:r>
      <w:r>
        <w:t xml:space="preserve">be permitted to implement the Standard Offer Program on June 1, 2014.  </w:t>
      </w:r>
    </w:p>
    <w:p w:rsidR="00684F6C" w:rsidRPr="003D1573" w:rsidRDefault="00684F6C" w:rsidP="006D47C0">
      <w:pPr>
        <w:pStyle w:val="BodyText2"/>
        <w:spacing w:after="0" w:line="360" w:lineRule="auto"/>
        <w:rPr>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rPr>
          <w:lang w:val="en-US"/>
        </w:rPr>
      </w:pPr>
      <w:r>
        <w:rPr>
          <w:lang w:val="en-US"/>
        </w:rPr>
        <w:t>The proposed</w:t>
      </w:r>
      <w:r>
        <w:t xml:space="preserve"> start-up date is a reflection of the Company’s implementation of a new Customer Information System and new functionalities that will be available at that time.</w:t>
      </w:r>
      <w:r>
        <w:rPr>
          <w:rStyle w:val="FootnoteReference"/>
        </w:rPr>
        <w:footnoteReference w:id="122"/>
      </w:r>
      <w:r>
        <w:t xml:space="preserve">  </w:t>
      </w:r>
    </w:p>
    <w:p w:rsidR="006D47C0" w:rsidRPr="00B47CE2" w:rsidRDefault="006D47C0" w:rsidP="006D47C0">
      <w:pPr>
        <w:pStyle w:val="BodyText2"/>
        <w:spacing w:after="0" w:line="360" w:lineRule="auto"/>
        <w:ind w:firstLine="1440"/>
        <w:rPr>
          <w:lang w:val="en-US"/>
        </w:rPr>
      </w:pPr>
    </w:p>
    <w:p w:rsidR="006D47C0" w:rsidRDefault="006D47C0" w:rsidP="006D47C0">
      <w:pPr>
        <w:pStyle w:val="BodyText2"/>
        <w:spacing w:after="0" w:line="360" w:lineRule="auto"/>
        <w:ind w:firstLine="1440"/>
      </w:pPr>
      <w:r>
        <w:t xml:space="preserve">OCA supports the Company’s proposed start dates for a number of reasons.  First, the upgrades that the Company is making to its customer information system are prerequisites to the practical implementation of the referral program and will not be ready at the start of the next default service period.  Duquesne St. 3-R at 50.  Second, OCA is concerned about the impact of the near-simultaneous implementation of both market enhancement programs.  </w:t>
      </w:r>
    </w:p>
    <w:p w:rsidR="006D47C0" w:rsidRDefault="006D47C0" w:rsidP="006D47C0">
      <w:pPr>
        <w:spacing w:line="360" w:lineRule="auto"/>
      </w:pPr>
      <w:r>
        <w:tab/>
      </w:r>
      <w:r>
        <w:tab/>
      </w:r>
    </w:p>
    <w:p w:rsidR="006D47C0" w:rsidRDefault="006D47C0" w:rsidP="006D47C0">
      <w:pPr>
        <w:spacing w:line="360" w:lineRule="auto"/>
      </w:pPr>
      <w:r>
        <w:tab/>
      </w:r>
      <w:r>
        <w:tab/>
        <w:t xml:space="preserve">OCA recommends the Standard Offer Program </w:t>
      </w:r>
      <w:r>
        <w:rPr>
          <w:u w:val="single"/>
        </w:rPr>
        <w:t>not</w:t>
      </w:r>
      <w:r>
        <w:t xml:space="preserve"> be implemented at the same time as the Opt-In </w:t>
      </w:r>
      <w:r w:rsidR="00B91938">
        <w:t>P</w:t>
      </w:r>
      <w:r>
        <w:t xml:space="preserve">rogram.  Such severely overlapping programs will create significant customer confusion and the potential for adverse comparisons to the prices and terms of service associated with these various options, thus threatening the overall intent to stimulate customer </w:t>
      </w:r>
      <w:r>
        <w:lastRenderedPageBreak/>
        <w:t xml:space="preserve">interest in retail choice.  Therefore, the Commission should adopt Duquesne’s proposal to delay the implementation of the Standard Offer Referral program until after the Opt-In </w:t>
      </w:r>
      <w:r w:rsidR="003A07A1">
        <w:t>P</w:t>
      </w:r>
      <w:r>
        <w:t xml:space="preserve">rogram to avoid customer confusion.  </w:t>
      </w:r>
    </w:p>
    <w:p w:rsidR="006D47C0" w:rsidRDefault="006D47C0" w:rsidP="006D47C0">
      <w:pPr>
        <w:pStyle w:val="BriefL3"/>
        <w:numPr>
          <w:ilvl w:val="0"/>
          <w:numId w:val="0"/>
        </w:numPr>
        <w:spacing w:after="0" w:line="360" w:lineRule="auto"/>
        <w:ind w:left="288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WBBodyText1"/>
        <w:spacing w:line="360" w:lineRule="auto"/>
      </w:pPr>
      <w:r>
        <w:tab/>
        <w:t xml:space="preserve">RESA recommends implementation of the </w:t>
      </w:r>
      <w:r w:rsidR="006B5A8D">
        <w:t>S</w:t>
      </w:r>
      <w:r>
        <w:t xml:space="preserve">tandard </w:t>
      </w:r>
      <w:r w:rsidR="006B5A8D">
        <w:t>O</w:t>
      </w:r>
      <w:r>
        <w:t xml:space="preserve">ffer </w:t>
      </w:r>
      <w:r w:rsidR="006B5A8D">
        <w:t>P</w:t>
      </w:r>
      <w:r>
        <w:t xml:space="preserve">rogram by June 1, 2013.  </w:t>
      </w:r>
    </w:p>
    <w:p w:rsidR="006D47C0" w:rsidRDefault="006D47C0" w:rsidP="006D47C0">
      <w:pPr>
        <w:pStyle w:val="WBBodyText1"/>
        <w:spacing w:line="360" w:lineRule="auto"/>
      </w:pPr>
    </w:p>
    <w:p w:rsidR="006D47C0" w:rsidRDefault="006D47C0" w:rsidP="006D47C0">
      <w:pPr>
        <w:pStyle w:val="WBBodyText1"/>
        <w:spacing w:line="360" w:lineRule="auto"/>
      </w:pPr>
      <w:r w:rsidRPr="000F1AF0">
        <w:tab/>
      </w:r>
      <w:r>
        <w:rPr>
          <w:i/>
          <w:u w:val="single"/>
        </w:rPr>
        <w:t>New CIS System</w:t>
      </w:r>
      <w:r>
        <w:rPr>
          <w:u w:val="single"/>
        </w:rPr>
        <w:t>.</w:t>
      </w:r>
      <w:r>
        <w:t xml:space="preserve">  RESA contends Duquesne did not state whether it could push the implementation up approximately three months if it did not include accelerated switch functionality in the scope of the standard offer program IT changes.</w:t>
      </w:r>
      <w:r>
        <w:rPr>
          <w:rStyle w:val="FootnoteReference"/>
        </w:rPr>
        <w:footnoteReference w:id="123"/>
      </w:r>
      <w:r>
        <w:t xml:space="preserve">  RESA argues Duquesne’s customer service representatives need one piece of information, which Duquesne presumably would have on hand:  whether or not the customer is a default service customer.  In RESA’s view, the focus should be on starting the program as soon as possible and adding enhancements when they are available.</w:t>
      </w:r>
    </w:p>
    <w:p w:rsidR="00CE08DC" w:rsidRDefault="00CE08DC" w:rsidP="006D47C0">
      <w:pPr>
        <w:pStyle w:val="WBBodyText1"/>
        <w:spacing w:line="360" w:lineRule="auto"/>
      </w:pPr>
    </w:p>
    <w:p w:rsidR="006D47C0" w:rsidRDefault="006D47C0" w:rsidP="006D47C0">
      <w:pPr>
        <w:pStyle w:val="WBBodyText1"/>
        <w:tabs>
          <w:tab w:val="left" w:pos="720"/>
        </w:tabs>
        <w:spacing w:line="360" w:lineRule="auto"/>
        <w:ind w:firstLine="0"/>
      </w:pPr>
      <w:r>
        <w:rPr>
          <w:bCs/>
          <w:szCs w:val="26"/>
        </w:rPr>
        <w:tab/>
      </w:r>
      <w:r>
        <w:rPr>
          <w:bCs/>
          <w:szCs w:val="26"/>
        </w:rPr>
        <w:tab/>
      </w:r>
      <w:r>
        <w:rPr>
          <w:bCs/>
          <w:i/>
          <w:szCs w:val="26"/>
          <w:u w:val="single"/>
        </w:rPr>
        <w:t>Potential Impact on Risk Premiums for Wholesale Default Service Suppliers and Retail Opt-In Auction Bidders</w:t>
      </w:r>
      <w:r>
        <w:rPr>
          <w:bCs/>
          <w:szCs w:val="26"/>
          <w:u w:val="single"/>
        </w:rPr>
        <w:t>.</w:t>
      </w:r>
      <w:r>
        <w:t xml:space="preserve">  RESA contends there is no convincing evidence that likely migration as a result of either the Opt-In </w:t>
      </w:r>
      <w:r w:rsidR="00CE08DC">
        <w:t>P</w:t>
      </w:r>
      <w:r>
        <w:t xml:space="preserve">rogram (which strongly resembles other direct mail campaigns which are fairly common in the market) or the Standard Offer Referral </w:t>
      </w:r>
      <w:r w:rsidR="00CE08DC">
        <w:t>P</w:t>
      </w:r>
      <w:r>
        <w:t xml:space="preserve">rogram (which strongly resembles similar programs in New York) will be either material enough or sufficiently difficult to model that it will have a material impact on wholesale bidding behavior.  </w:t>
      </w:r>
    </w:p>
    <w:p w:rsidR="006D47C0" w:rsidRDefault="006D47C0" w:rsidP="006D47C0">
      <w:pPr>
        <w:pStyle w:val="WBBodyText1"/>
        <w:tabs>
          <w:tab w:val="left" w:pos="720"/>
        </w:tabs>
        <w:spacing w:line="360" w:lineRule="auto"/>
        <w:ind w:firstLine="0"/>
        <w:rPr>
          <w:bCs/>
          <w:szCs w:val="26"/>
          <w:u w:val="single"/>
        </w:rPr>
      </w:pPr>
    </w:p>
    <w:p w:rsidR="00982A23" w:rsidRDefault="006D47C0" w:rsidP="006D47C0">
      <w:pPr>
        <w:pStyle w:val="WBBodyText1"/>
        <w:spacing w:line="360" w:lineRule="auto"/>
      </w:pPr>
      <w:r w:rsidRPr="000F1AF0">
        <w:rPr>
          <w:bCs/>
          <w:szCs w:val="26"/>
        </w:rPr>
        <w:tab/>
      </w:r>
      <w:r>
        <w:rPr>
          <w:bCs/>
          <w:i/>
          <w:szCs w:val="26"/>
          <w:u w:val="single"/>
        </w:rPr>
        <w:t>The Possibility of Customer Confusion</w:t>
      </w:r>
      <w:r>
        <w:rPr>
          <w:bCs/>
          <w:szCs w:val="26"/>
          <w:u w:val="single"/>
        </w:rPr>
        <w:t>.</w:t>
      </w:r>
      <w:r w:rsidRPr="00E619F6">
        <w:rPr>
          <w:bCs/>
          <w:szCs w:val="26"/>
        </w:rPr>
        <w:t xml:space="preserve"> </w:t>
      </w:r>
      <w:r w:rsidRPr="00E619F6">
        <w:t xml:space="preserve"> </w:t>
      </w:r>
      <w:r>
        <w:t xml:space="preserve"> RESA does not agree with Duquesne</w:t>
      </w:r>
      <w:r>
        <w:rPr>
          <w:rStyle w:val="FootnoteReference"/>
        </w:rPr>
        <w:footnoteReference w:id="124"/>
      </w:r>
      <w:r>
        <w:t xml:space="preserve"> or OCA that rolling out the two programs simultaneously would result in customer confusion, as these are two different programs, both of which should be accompanied by substantial consumer </w:t>
      </w:r>
    </w:p>
    <w:p w:rsidR="00982A23" w:rsidRDefault="00982A23" w:rsidP="006D47C0">
      <w:pPr>
        <w:pStyle w:val="WBBodyText1"/>
        <w:spacing w:line="360" w:lineRule="auto"/>
      </w:pPr>
    </w:p>
    <w:p w:rsidR="006D47C0" w:rsidRDefault="006D47C0" w:rsidP="00982A23">
      <w:pPr>
        <w:pStyle w:val="WBBodyText1"/>
        <w:spacing w:line="360" w:lineRule="auto"/>
        <w:ind w:firstLine="0"/>
      </w:pPr>
      <w:r>
        <w:lastRenderedPageBreak/>
        <w:t>education efforts via different channels, as RESA explained in its testimony.</w:t>
      </w:r>
      <w:r>
        <w:rPr>
          <w:rStyle w:val="FootnoteReference"/>
        </w:rPr>
        <w:footnoteReference w:id="125"/>
      </w:r>
      <w:r>
        <w:t xml:space="preserve">  RESA argues even if customer confusion exists, this possibility of confusion would be mitigated were the </w:t>
      </w:r>
      <w:r w:rsidR="00CE08DC">
        <w:t>S</w:t>
      </w:r>
      <w:r>
        <w:t xml:space="preserve">tandard </w:t>
      </w:r>
      <w:r w:rsidR="00CE08DC">
        <w:t>O</w:t>
      </w:r>
      <w:r>
        <w:t xml:space="preserve">ffer and ROI </w:t>
      </w:r>
      <w:r w:rsidR="00CE08DC">
        <w:t>P</w:t>
      </w:r>
      <w:r>
        <w:t>rograms to be constructed in a consistent fashion as RESA recommended.  This approach should address any concerns about customer confusion between the two programs (which would be portrayed much more as different components of the same program, with the same introductory discount and term).</w:t>
      </w:r>
      <w:r>
        <w:rPr>
          <w:rStyle w:val="FootnoteReference"/>
        </w:rPr>
        <w:footnoteReference w:id="126"/>
      </w:r>
    </w:p>
    <w:p w:rsidR="006D47C0" w:rsidRDefault="006D47C0" w:rsidP="006D47C0">
      <w:pPr>
        <w:pStyle w:val="WBBodyText1"/>
        <w:spacing w:line="360" w:lineRule="auto"/>
      </w:pPr>
    </w:p>
    <w:p w:rsidR="006D47C0" w:rsidRDefault="006D47C0" w:rsidP="006D47C0">
      <w:pPr>
        <w:pStyle w:val="WBBodyText1"/>
        <w:tabs>
          <w:tab w:val="left" w:pos="720"/>
        </w:tabs>
        <w:spacing w:line="360" w:lineRule="auto"/>
      </w:pPr>
      <w:r w:rsidRPr="000F1AF0">
        <w:rPr>
          <w:bCs/>
          <w:szCs w:val="26"/>
        </w:rPr>
        <w:tab/>
      </w:r>
      <w:r>
        <w:rPr>
          <w:bCs/>
          <w:i/>
          <w:szCs w:val="26"/>
          <w:u w:val="single"/>
        </w:rPr>
        <w:t>More Time to Obtain Information About the Call Center Costs and Customer Service Impacts of Implementing the Program</w:t>
      </w:r>
      <w:r>
        <w:rPr>
          <w:bCs/>
          <w:szCs w:val="26"/>
          <w:u w:val="single"/>
        </w:rPr>
        <w:t>.</w:t>
      </w:r>
      <w:r>
        <w:rPr>
          <w:bCs/>
          <w:szCs w:val="26"/>
        </w:rPr>
        <w:t xml:space="preserve">  RESA contends </w:t>
      </w:r>
      <w:r>
        <w:t xml:space="preserve">Duquesne’s argument – that delaying the implementation of the </w:t>
      </w:r>
      <w:r w:rsidR="00CE08DC">
        <w:t>R</w:t>
      </w:r>
      <w:r>
        <w:t xml:space="preserve">eferral </w:t>
      </w:r>
      <w:r w:rsidR="00CE08DC">
        <w:t>P</w:t>
      </w:r>
      <w:r>
        <w:t xml:space="preserve">rogram would allow it to obtain more information about the call center costs and customer service impacts of implementing the program – is unconvincing.  RESA asserts Duquesne does not describe how the delay would result in any </w:t>
      </w:r>
    </w:p>
    <w:p w:rsidR="006D47C0" w:rsidRDefault="006D47C0" w:rsidP="006D47C0">
      <w:pPr>
        <w:pStyle w:val="WBBodyText1"/>
        <w:tabs>
          <w:tab w:val="left" w:pos="720"/>
        </w:tabs>
        <w:spacing w:line="360" w:lineRule="auto"/>
        <w:ind w:firstLine="0"/>
      </w:pPr>
      <w:r>
        <w:t xml:space="preserve">further information being made available or useful to the design of the </w:t>
      </w:r>
      <w:r w:rsidR="006804DD">
        <w:t>S</w:t>
      </w:r>
      <w:r>
        <w:t xml:space="preserve">tandard </w:t>
      </w:r>
      <w:r w:rsidR="006804DD">
        <w:t>O</w:t>
      </w:r>
      <w:r>
        <w:t xml:space="preserve">ffer </w:t>
      </w:r>
      <w:r w:rsidR="006804DD">
        <w:t>P</w:t>
      </w:r>
      <w:r>
        <w:t>rogram, despite being given numerous opportunities in testimony to do so.</w:t>
      </w:r>
      <w:r>
        <w:rPr>
          <w:rStyle w:val="FootnoteReference"/>
        </w:rPr>
        <w:footnoteReference w:id="127"/>
      </w:r>
    </w:p>
    <w:p w:rsidR="006D47C0" w:rsidRDefault="006D47C0" w:rsidP="006D47C0">
      <w:pPr>
        <w:pStyle w:val="WBBodyText1"/>
        <w:tabs>
          <w:tab w:val="left" w:pos="720"/>
        </w:tabs>
        <w:spacing w:line="360" w:lineRule="auto"/>
        <w:ind w:firstLine="0"/>
      </w:pPr>
    </w:p>
    <w:p w:rsidR="006D47C0" w:rsidRDefault="006D47C0" w:rsidP="006D47C0">
      <w:pPr>
        <w:pStyle w:val="WBBodyText1"/>
        <w:spacing w:line="360" w:lineRule="auto"/>
      </w:pPr>
      <w:r w:rsidRPr="000F1AF0">
        <w:rPr>
          <w:bCs/>
          <w:szCs w:val="26"/>
        </w:rPr>
        <w:tab/>
      </w:r>
      <w:r>
        <w:rPr>
          <w:bCs/>
          <w:i/>
          <w:szCs w:val="26"/>
          <w:u w:val="single"/>
        </w:rPr>
        <w:t>More Time for the Commission To Measure the Relative Benefits and Costs of the Two Retail Market Initiatives</w:t>
      </w:r>
      <w:r>
        <w:rPr>
          <w:bCs/>
          <w:szCs w:val="26"/>
          <w:u w:val="single"/>
        </w:rPr>
        <w:t>.</w:t>
      </w:r>
      <w:r>
        <w:rPr>
          <w:bCs/>
          <w:szCs w:val="26"/>
        </w:rPr>
        <w:t xml:space="preserve">   RESA contends Duquesne’s </w:t>
      </w:r>
      <w:r>
        <w:t xml:space="preserve">argument – that delaying the referral </w:t>
      </w:r>
    </w:p>
    <w:p w:rsidR="006D47C0" w:rsidRDefault="006D47C0" w:rsidP="006D47C0">
      <w:pPr>
        <w:pStyle w:val="WBBodyText1"/>
        <w:spacing w:line="360" w:lineRule="auto"/>
        <w:ind w:firstLine="0"/>
      </w:pPr>
      <w:r>
        <w:t xml:space="preserve">program would allow the Commission “to more easily measure the relative benefits and costs of the two retail market initiatives” – is without basis.  On the cost side, the costs of the two programs are separate, and RESA contends Duquesne has not explained what kinds of costs might be confused between the two programs.  On the benefit side, RESA insists the number of customers who enroll in the Opt-In </w:t>
      </w:r>
      <w:r w:rsidR="008E4BDD">
        <w:t>P</w:t>
      </w:r>
      <w:r>
        <w:t>rogram will be clear, as will the number of customers who enroll in the referral program.</w:t>
      </w:r>
      <w:r>
        <w:rPr>
          <w:rStyle w:val="FootnoteReference"/>
        </w:rPr>
        <w:footnoteReference w:id="128"/>
      </w:r>
      <w:r>
        <w:t xml:space="preserve">  </w:t>
      </w:r>
    </w:p>
    <w:p w:rsidR="006D47C0" w:rsidRDefault="006D47C0" w:rsidP="006D47C0">
      <w:pPr>
        <w:pStyle w:val="WBBodyText1"/>
        <w:spacing w:line="360" w:lineRule="auto"/>
      </w:pPr>
    </w:p>
    <w:p w:rsidR="006D47C0" w:rsidRDefault="006D47C0" w:rsidP="006D47C0">
      <w:pPr>
        <w:pStyle w:val="WBBodyText1"/>
        <w:spacing w:line="360" w:lineRule="auto"/>
      </w:pPr>
      <w:r>
        <w:lastRenderedPageBreak/>
        <w:tab/>
        <w:t xml:space="preserve">Moreover, if done according to Duquesne’s proposal, the Opt-In </w:t>
      </w:r>
      <w:r w:rsidR="008E4BDD">
        <w:t>P</w:t>
      </w:r>
      <w:r>
        <w:t>rogram would be over and done with by July 1, 2013.  Even if one could make the case for some confusion between the two programs (either on the part of customers or on the part of the Commission reviewing the impacts of the two programs), RESA insists the Duquesne proposal includes an additional 11 months of delay before implementing the referral program.</w:t>
      </w:r>
    </w:p>
    <w:p w:rsidR="006D47C0" w:rsidRPr="000F1AF0" w:rsidRDefault="006D47C0" w:rsidP="006D47C0">
      <w:pPr>
        <w:pStyle w:val="WBBodyText1"/>
        <w:spacing w:line="360" w:lineRule="auto"/>
      </w:pPr>
    </w:p>
    <w:p w:rsidR="006D47C0" w:rsidRDefault="006D47C0" w:rsidP="006D47C0">
      <w:pPr>
        <w:pStyle w:val="WBBodyText1"/>
        <w:spacing w:line="360" w:lineRule="auto"/>
      </w:pPr>
      <w:r w:rsidRPr="000F1AF0">
        <w:rPr>
          <w:bCs/>
          <w:szCs w:val="26"/>
        </w:rPr>
        <w:tab/>
      </w:r>
      <w:r>
        <w:rPr>
          <w:bCs/>
          <w:i/>
          <w:szCs w:val="26"/>
          <w:u w:val="single"/>
        </w:rPr>
        <w:t>Increase in PJM Capacity Prices Effective June 1, 2014</w:t>
      </w:r>
      <w:r>
        <w:rPr>
          <w:bCs/>
          <w:szCs w:val="26"/>
          <w:u w:val="single"/>
        </w:rPr>
        <w:t>.</w:t>
      </w:r>
      <w:r>
        <w:rPr>
          <w:bCs/>
          <w:szCs w:val="26"/>
        </w:rPr>
        <w:t xml:space="preserve">  </w:t>
      </w:r>
      <w:r>
        <w:t>Duquesne states that PJM capacity prices will increase substantially June 1, 2014, “thereby making it more difficult for an EGS to offer a fixed discounted rate that extends into the 2014/2015 PJM planning year.”</w:t>
      </w:r>
      <w:r>
        <w:rPr>
          <w:rStyle w:val="FootnoteReference"/>
        </w:rPr>
        <w:footnoteReference w:id="129"/>
      </w:r>
      <w:r>
        <w:t xml:space="preserve">  Duquesne contends that it designed its standard offer program in a manner that would not discourage EGSs from participating, and that the proposed June 2014 start date avoids the problem associated with the change in PTC.</w:t>
      </w:r>
      <w:r>
        <w:rPr>
          <w:rStyle w:val="FootnoteReference"/>
        </w:rPr>
        <w:footnoteReference w:id="130"/>
      </w:r>
      <w:r>
        <w:t xml:space="preserve">  RESA disagrees with the premise of this statement, as it boils down to the “guaranteed savings” that Duquesne acknowledges is a concern under its 12-month proposal if the PTC changes during the term.</w:t>
      </w:r>
      <w:r>
        <w:rPr>
          <w:rStyle w:val="FootnoteReference"/>
        </w:rPr>
        <w:footnoteReference w:id="131"/>
      </w:r>
      <w:r>
        <w:t xml:space="preserve">  The better way to handle this is to adopt RESA’s proposal, which includes a 4-month guaranteed savings.  In essence, implementing the standard offer program in June 2013 is neither an impossible nor insurmountable task.   </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spacing w:line="360" w:lineRule="auto"/>
        <w:ind w:firstLine="720"/>
      </w:pPr>
    </w:p>
    <w:p w:rsidR="006D47C0" w:rsidRDefault="006D47C0" w:rsidP="000850D6">
      <w:pPr>
        <w:spacing w:line="360" w:lineRule="auto"/>
        <w:ind w:firstLine="720"/>
      </w:pPr>
      <w:r>
        <w:tab/>
        <w:t xml:space="preserve">CAUSE-PA fully supports the delayed implementation of the </w:t>
      </w:r>
      <w:r w:rsidR="000850D6">
        <w:t>S</w:t>
      </w:r>
      <w:r>
        <w:t xml:space="preserve">tandard </w:t>
      </w:r>
      <w:r w:rsidR="000850D6">
        <w:t>O</w:t>
      </w:r>
      <w:r>
        <w:t xml:space="preserve">ffer </w:t>
      </w:r>
      <w:r w:rsidR="000850D6">
        <w:t>P</w:t>
      </w:r>
      <w:r>
        <w:t xml:space="preserve">rogram.  Duquesne put forth compelling reasons why the start date should be delayed.  First, </w:t>
      </w:r>
      <w:r>
        <w:lastRenderedPageBreak/>
        <w:t>Duquesne is in the process of making significant changes to its existing customer information system.</w:t>
      </w:r>
      <w:r>
        <w:rPr>
          <w:rStyle w:val="FootnoteReference"/>
        </w:rPr>
        <w:footnoteReference w:id="132"/>
      </w:r>
      <w:r>
        <w:t xml:space="preserve">  It is only once this system is up and running that Duquesne believes it will be able to effectively implement a</w:t>
      </w:r>
      <w:r w:rsidR="00E818A4">
        <w:t xml:space="preserve"> </w:t>
      </w:r>
      <w:r w:rsidR="000850D6">
        <w:t>S</w:t>
      </w:r>
      <w:r>
        <w:t xml:space="preserve">tandard </w:t>
      </w:r>
      <w:r w:rsidR="000850D6">
        <w:t>O</w:t>
      </w:r>
      <w:r>
        <w:t xml:space="preserve">ffer </w:t>
      </w:r>
      <w:r w:rsidR="000850D6">
        <w:t>P</w:t>
      </w:r>
      <w:r>
        <w:t xml:space="preserve">rogram.  Second, CAUSE-PA agrees with Duquesne and OCA that that </w:t>
      </w:r>
      <w:r w:rsidR="00E818A4">
        <w:t>S</w:t>
      </w:r>
      <w:r>
        <w:t xml:space="preserve">tandard </w:t>
      </w:r>
      <w:r w:rsidR="00E818A4">
        <w:t>O</w:t>
      </w:r>
      <w:r>
        <w:t xml:space="preserve">ffer </w:t>
      </w:r>
      <w:r w:rsidR="00E818A4">
        <w:t>P</w:t>
      </w:r>
      <w:r>
        <w:t>rogram has the potential to impact risk premium included in the RFP bids of both wholesale default service suppliers and EGS opt-in suppliers.</w:t>
      </w:r>
      <w:r>
        <w:rPr>
          <w:rStyle w:val="FootnoteReference"/>
        </w:rPr>
        <w:footnoteReference w:id="133"/>
      </w:r>
      <w:r>
        <w:t xml:space="preserve">  Third, and most significantly, CAUSE-PA supports Duquesne’s sequencing approach in order to avoid customer confusion concerning concurrent operation of the opt-in auction program as well as the </w:t>
      </w:r>
      <w:r w:rsidR="00E818A4">
        <w:t>S</w:t>
      </w:r>
      <w:r>
        <w:t xml:space="preserve">tandard </w:t>
      </w:r>
      <w:r w:rsidR="00E818A4">
        <w:t>O</w:t>
      </w:r>
      <w:r>
        <w:t xml:space="preserve">ffer </w:t>
      </w:r>
      <w:r w:rsidR="00E818A4">
        <w:t>P</w:t>
      </w:r>
      <w:r>
        <w:t xml:space="preserve">rogram.  </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Citizen Power agrees the June 1, 2014 start date proposed by Duquesne Light is appropriate given the benefit of running this program separately from the Opt-In </w:t>
      </w:r>
      <w:r w:rsidR="00C654F1">
        <w:t>P</w:t>
      </w:r>
      <w:r>
        <w:t>rogram and, more importantly, because of the significant increase in PJM capacity prices on June 1, 2014 which could price the standard offer at such a discount relative to the PTC that EGSs are discouraged from participating in the standard offer program.  Duquesne St. 3-RJ at 24.  In fact, Mr. Wolfe testified that the replacement of the Customer Information Center will not be completed until the second quarter of 2013 and after that it would take 9-12 months to complete the IT development necessary to implement the Standard Offer Program.  Duquesne St. 6-RJ at 2.</w:t>
      </w:r>
    </w:p>
    <w:p w:rsidR="006D47C0" w:rsidRDefault="006D47C0" w:rsidP="006D47C0">
      <w:pPr>
        <w:spacing w:line="360" w:lineRule="auto"/>
        <w:ind w:firstLine="720"/>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 xml:space="preserve">FES does not understand why the lack of accelerated switching capability should delay the implementation of the Referral Program.  First, the </w:t>
      </w:r>
      <w:r w:rsidRPr="00922A6F">
        <w:rPr>
          <w:i/>
        </w:rPr>
        <w:t>ME/PN/PP/WP DSP Order</w:t>
      </w:r>
      <w:r>
        <w:t xml:space="preserve"> and </w:t>
      </w:r>
      <w:r w:rsidRPr="002454D3">
        <w:rPr>
          <w:i/>
        </w:rPr>
        <w:t>PECO Binding Poll</w:t>
      </w:r>
      <w:r>
        <w:t xml:space="preserve"> directed the Referral Program to begin on June 1, 2013.  Customers are currently being switched to EGS service without Duquesne Light’s having such capability and the current system should be able to accommodate switches through the </w:t>
      </w:r>
      <w:r w:rsidR="002454D3">
        <w:t>R</w:t>
      </w:r>
      <w:r>
        <w:t xml:space="preserve">eferral </w:t>
      </w:r>
      <w:r w:rsidR="002454D3">
        <w:t>P</w:t>
      </w:r>
      <w:r>
        <w:t>rogram.  Further, FES is a wholesale supplier in Duquesne Light’s territory.  As such, FES sees no validity to Duquesne Light’s concern about any potential impact on wholesale supplier risk premiums if Duquesne Light were to implement its Referral Program in June 2013, concurrent with the start of its POLR VI plan.  FES St. No. 1 at 15</w:t>
      </w:r>
      <w:r>
        <w:noBreakHyphen/>
        <w:t>16.</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pStyle w:val="BodyText"/>
        <w:spacing w:after="0" w:line="360" w:lineRule="auto"/>
        <w:ind w:left="0" w:firstLine="0"/>
        <w:rPr>
          <w:b/>
          <w:color w:val="000000" w:themeColor="text1"/>
          <w:szCs w:val="24"/>
          <w:lang w:val="en-US"/>
        </w:rPr>
      </w:pPr>
      <w:r w:rsidRPr="00285C69">
        <w:rPr>
          <w:b/>
        </w:rPr>
        <w:t>Disposition</w:t>
      </w:r>
      <w:r w:rsidRPr="005D2AA2">
        <w:rPr>
          <w:b/>
        </w:rPr>
        <w:t xml:space="preserve"> </w:t>
      </w:r>
      <w:r>
        <w:rPr>
          <w:b/>
          <w:lang w:val="en-US"/>
        </w:rPr>
        <w:t xml:space="preserve">- </w:t>
      </w:r>
      <w:r w:rsidRPr="004E7112">
        <w:rPr>
          <w:b/>
          <w:color w:val="000000" w:themeColor="text1"/>
          <w:szCs w:val="24"/>
          <w:lang w:val="en-US"/>
        </w:rPr>
        <w:t>Standard Offer Program – Program Start Date</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lang w:val="en-US"/>
        </w:rPr>
        <w:tab/>
      </w:r>
      <w:r w:rsidRPr="004E7112">
        <w:rPr>
          <w:color w:val="000000" w:themeColor="text1"/>
          <w:lang w:val="en-US"/>
        </w:rPr>
        <w:tab/>
        <w:t xml:space="preserve">I recommend approving Duquesne Light’s proposal to set the start-up date on the SO program for June 1, 2014.  </w:t>
      </w:r>
      <w:r w:rsidRPr="004E7112">
        <w:rPr>
          <w:color w:val="000000" w:themeColor="text1"/>
        </w:rPr>
        <w:t>Duquesne Light cannot feasibly implement the SO Program on June 1, 2013 due to significant IT constraints</w:t>
      </w:r>
      <w:r w:rsidRPr="004E7112">
        <w:rPr>
          <w:color w:val="000000" w:themeColor="text1"/>
          <w:lang w:val="en-US"/>
        </w:rPr>
        <w:t xml:space="preserve"> which are well-documented in the hearing record.  The proposed</w:t>
      </w:r>
      <w:r w:rsidRPr="004E7112">
        <w:rPr>
          <w:color w:val="000000" w:themeColor="text1"/>
        </w:rPr>
        <w:t xml:space="preserve"> start-up date refle</w:t>
      </w:r>
      <w:r w:rsidRPr="004E7112">
        <w:rPr>
          <w:color w:val="000000" w:themeColor="text1"/>
          <w:lang w:val="en-US"/>
        </w:rPr>
        <w:t xml:space="preserve">cts </w:t>
      </w:r>
      <w:r w:rsidRPr="004E7112">
        <w:rPr>
          <w:color w:val="000000" w:themeColor="text1"/>
        </w:rPr>
        <w:t xml:space="preserve">the Company’s implementation of </w:t>
      </w:r>
      <w:r w:rsidRPr="004E7112">
        <w:rPr>
          <w:color w:val="000000" w:themeColor="text1"/>
          <w:lang w:val="en-US"/>
        </w:rPr>
        <w:t>its</w:t>
      </w:r>
      <w:r w:rsidRPr="004E7112">
        <w:rPr>
          <w:color w:val="000000" w:themeColor="text1"/>
        </w:rPr>
        <w:t xml:space="preserve"> new </w:t>
      </w:r>
      <w:r w:rsidRPr="004E7112">
        <w:rPr>
          <w:color w:val="000000" w:themeColor="text1"/>
          <w:lang w:val="en-US"/>
        </w:rPr>
        <w:t>CIS</w:t>
      </w:r>
      <w:r w:rsidRPr="004E7112">
        <w:rPr>
          <w:color w:val="000000" w:themeColor="text1"/>
        </w:rPr>
        <w:t xml:space="preserve"> and the</w:t>
      </w:r>
      <w:r w:rsidRPr="004E7112">
        <w:rPr>
          <w:color w:val="000000" w:themeColor="text1"/>
          <w:lang w:val="en-US"/>
        </w:rPr>
        <w:t xml:space="preserve"> </w:t>
      </w:r>
      <w:r w:rsidRPr="004E7112">
        <w:rPr>
          <w:color w:val="000000" w:themeColor="text1"/>
        </w:rPr>
        <w:t xml:space="preserve">new functionalities that will be available at that time.  </w:t>
      </w:r>
      <w:r w:rsidRPr="004E7112">
        <w:rPr>
          <w:color w:val="000000" w:themeColor="text1"/>
          <w:lang w:val="en-US"/>
        </w:rPr>
        <w:t>These</w:t>
      </w:r>
      <w:r w:rsidRPr="004E7112">
        <w:rPr>
          <w:color w:val="000000" w:themeColor="text1"/>
        </w:rPr>
        <w:t xml:space="preserve"> upgrades are prerequisites to the practical implementation of the </w:t>
      </w:r>
      <w:r w:rsidR="00D2354C">
        <w:rPr>
          <w:color w:val="000000" w:themeColor="text1"/>
          <w:lang w:val="en-US"/>
        </w:rPr>
        <w:t>R</w:t>
      </w:r>
      <w:r w:rsidRPr="004E7112">
        <w:rPr>
          <w:color w:val="000000" w:themeColor="text1"/>
        </w:rPr>
        <w:t xml:space="preserve">eferral </w:t>
      </w:r>
      <w:r w:rsidR="00D2354C">
        <w:rPr>
          <w:color w:val="000000" w:themeColor="text1"/>
          <w:lang w:val="en-US"/>
        </w:rPr>
        <w:t>P</w:t>
      </w:r>
      <w:r w:rsidRPr="004E7112">
        <w:rPr>
          <w:color w:val="000000" w:themeColor="text1"/>
        </w:rPr>
        <w:t>rogram and will not be ready at the start of the next default service period</w:t>
      </w:r>
      <w:r w:rsidRPr="004E7112">
        <w:rPr>
          <w:color w:val="000000" w:themeColor="text1"/>
          <w:lang w:val="en-US"/>
        </w:rPr>
        <w:t xml:space="preserve">.  I agree with the Company and OCA that </w:t>
      </w:r>
      <w:r w:rsidRPr="004E7112">
        <w:rPr>
          <w:color w:val="000000" w:themeColor="text1"/>
        </w:rPr>
        <w:t>the Standard Offer Program</w:t>
      </w:r>
      <w:r w:rsidRPr="004E7112">
        <w:rPr>
          <w:color w:val="000000" w:themeColor="text1"/>
          <w:lang w:val="en-US"/>
        </w:rPr>
        <w:t xml:space="preserve"> should</w:t>
      </w:r>
      <w:r w:rsidRPr="004E7112">
        <w:rPr>
          <w:color w:val="000000" w:themeColor="text1"/>
        </w:rPr>
        <w:t xml:space="preserve"> </w:t>
      </w:r>
      <w:r w:rsidRPr="004E7112">
        <w:rPr>
          <w:color w:val="000000" w:themeColor="text1"/>
          <w:u w:val="single"/>
        </w:rPr>
        <w:t>not</w:t>
      </w:r>
      <w:r w:rsidRPr="004E7112">
        <w:rPr>
          <w:color w:val="000000" w:themeColor="text1"/>
        </w:rPr>
        <w:t xml:space="preserve"> be implemented at the same time as the Opt-</w:t>
      </w:r>
      <w:r>
        <w:rPr>
          <w:color w:val="000000" w:themeColor="text1"/>
          <w:lang w:val="en-US"/>
        </w:rPr>
        <w:t>I</w:t>
      </w:r>
      <w:r w:rsidRPr="004E7112">
        <w:rPr>
          <w:color w:val="000000" w:themeColor="text1"/>
        </w:rPr>
        <w:t xml:space="preserve">n </w:t>
      </w:r>
      <w:r w:rsidR="00E06B8C">
        <w:rPr>
          <w:color w:val="000000" w:themeColor="text1"/>
          <w:lang w:val="en-US"/>
        </w:rPr>
        <w:t>P</w:t>
      </w:r>
      <w:r w:rsidRPr="004E7112">
        <w:rPr>
          <w:color w:val="000000" w:themeColor="text1"/>
        </w:rPr>
        <w:t>rogram</w:t>
      </w:r>
      <w:r w:rsidRPr="004E7112">
        <w:rPr>
          <w:color w:val="000000" w:themeColor="text1"/>
          <w:lang w:val="en-US"/>
        </w:rPr>
        <w:t xml:space="preserve"> because doing so will likely </w:t>
      </w:r>
      <w:r w:rsidRPr="004E7112">
        <w:rPr>
          <w:color w:val="000000" w:themeColor="text1"/>
        </w:rPr>
        <w:t>create significant customer confusion and the potential for adverse comparisons to the prices and terms of service associated with these various options</w:t>
      </w:r>
      <w:r w:rsidRPr="004E7112">
        <w:rPr>
          <w:color w:val="000000" w:themeColor="text1"/>
          <w:lang w:val="en-US"/>
        </w:rPr>
        <w:t>.  This potential would threaten</w:t>
      </w:r>
      <w:r w:rsidRPr="004E7112">
        <w:rPr>
          <w:color w:val="000000" w:themeColor="text1"/>
        </w:rPr>
        <w:t xml:space="preserve"> the overall intent to stimulate customer interest in retail choice.  Therefore, </w:t>
      </w:r>
      <w:r w:rsidRPr="004E7112">
        <w:rPr>
          <w:color w:val="000000" w:themeColor="text1"/>
          <w:lang w:val="en-US"/>
        </w:rPr>
        <w:t xml:space="preserve">I agree that the Company should be permitted </w:t>
      </w:r>
      <w:r w:rsidRPr="004E7112">
        <w:rPr>
          <w:color w:val="000000" w:themeColor="text1"/>
        </w:rPr>
        <w:t xml:space="preserve">to delay the implementation of the Standard Offer Referral Program until after the </w:t>
      </w:r>
      <w:r w:rsidRPr="004E7112">
        <w:rPr>
          <w:color w:val="000000" w:themeColor="text1"/>
          <w:szCs w:val="24"/>
        </w:rPr>
        <w:t xml:space="preserve">Opt-In </w:t>
      </w:r>
      <w:r w:rsidR="00416CB1">
        <w:rPr>
          <w:color w:val="000000" w:themeColor="text1"/>
          <w:szCs w:val="24"/>
          <w:lang w:val="en-US"/>
        </w:rPr>
        <w:t>P</w:t>
      </w:r>
      <w:r w:rsidRPr="004E7112">
        <w:rPr>
          <w:color w:val="000000" w:themeColor="text1"/>
          <w:szCs w:val="24"/>
        </w:rPr>
        <w:t xml:space="preserve">rogram </w:t>
      </w:r>
      <w:r w:rsidRPr="004E7112">
        <w:rPr>
          <w:color w:val="000000" w:themeColor="text1"/>
          <w:szCs w:val="24"/>
          <w:lang w:val="en-US"/>
        </w:rPr>
        <w:t xml:space="preserve">in order </w:t>
      </w:r>
      <w:r w:rsidRPr="004E7112">
        <w:rPr>
          <w:color w:val="000000" w:themeColor="text1"/>
          <w:szCs w:val="24"/>
        </w:rPr>
        <w:t xml:space="preserve">to avoid customer confusion.  </w:t>
      </w:r>
      <w:r w:rsidRPr="004E7112">
        <w:rPr>
          <w:color w:val="000000" w:themeColor="text1"/>
          <w:szCs w:val="24"/>
          <w:lang w:val="en-US"/>
        </w:rPr>
        <w:t xml:space="preserve">In addition, if the ROI and SO </w:t>
      </w:r>
      <w:r w:rsidR="00416CB1">
        <w:rPr>
          <w:color w:val="000000" w:themeColor="text1"/>
          <w:szCs w:val="24"/>
          <w:lang w:val="en-US"/>
        </w:rPr>
        <w:t>P</w:t>
      </w:r>
      <w:r w:rsidRPr="004E7112">
        <w:rPr>
          <w:color w:val="000000" w:themeColor="text1"/>
          <w:szCs w:val="24"/>
          <w:lang w:val="en-US"/>
        </w:rPr>
        <w:t xml:space="preserve">rograms are sequenced – as the Company proposes – the Commission and the parties can </w:t>
      </w:r>
      <w:r w:rsidRPr="004E7112">
        <w:rPr>
          <w:color w:val="000000" w:themeColor="text1"/>
          <w:szCs w:val="24"/>
        </w:rPr>
        <w:t xml:space="preserve">more easily </w:t>
      </w:r>
      <w:r w:rsidRPr="004E7112">
        <w:rPr>
          <w:color w:val="000000" w:themeColor="text1"/>
          <w:szCs w:val="24"/>
        </w:rPr>
        <w:lastRenderedPageBreak/>
        <w:t>measure the relative benefits and costs of the two retail market initiatives.  The costs related to the risk premiums in wholesale default service products would be difficult, if not impossible, to isolate if the two retail market initiatives were implemented simultaneously.</w:t>
      </w:r>
    </w:p>
    <w:p w:rsidR="006D47C0" w:rsidRDefault="006D47C0" w:rsidP="006D47C0">
      <w:pPr>
        <w:pStyle w:val="BodyText"/>
        <w:spacing w:after="0" w:line="360" w:lineRule="auto"/>
        <w:ind w:left="0" w:firstLine="0"/>
        <w:rPr>
          <w:szCs w:val="24"/>
          <w:lang w:val="en-US"/>
        </w:rPr>
      </w:pPr>
      <w:r>
        <w:rPr>
          <w:szCs w:val="24"/>
          <w:lang w:val="en-US"/>
        </w:rPr>
        <w:tab/>
      </w:r>
    </w:p>
    <w:p w:rsidR="006D47C0" w:rsidRDefault="006D47C0" w:rsidP="006D47C0">
      <w:pPr>
        <w:pStyle w:val="BriefL3"/>
        <w:numPr>
          <w:ilvl w:val="0"/>
          <w:numId w:val="0"/>
        </w:numPr>
        <w:spacing w:after="0" w:line="360" w:lineRule="auto"/>
        <w:ind w:firstLine="720"/>
        <w:outlineLvl w:val="9"/>
        <w:rPr>
          <w:b/>
          <w:szCs w:val="24"/>
        </w:rPr>
      </w:pPr>
      <w:r>
        <w:rPr>
          <w:b/>
          <w:szCs w:val="24"/>
        </w:rPr>
        <w:tab/>
        <w:t>e.</w:t>
      </w:r>
      <w:r>
        <w:rPr>
          <w:b/>
          <w:szCs w:val="24"/>
        </w:rPr>
        <w:tab/>
        <w:t>Program Suspension</w:t>
      </w: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Duquesne Light proposes to offer the SO Program on an ongoing basis from June</w:t>
      </w:r>
      <w:r>
        <w:rPr>
          <w:lang w:val="en-US"/>
        </w:rPr>
        <w:t> </w:t>
      </w:r>
      <w:r>
        <w:t>1, 2014 through the remainder of the DSP VI period on May 31, 2015</w:t>
      </w:r>
      <w:r>
        <w:rPr>
          <w:lang w:val="en-US"/>
        </w:rPr>
        <w:t>.  T</w:t>
      </w:r>
      <w:r>
        <w:t>he Company proposes to suspend new referrals to the SO Program through the end of the DSP VI period</w:t>
      </w:r>
      <w:r>
        <w:rPr>
          <w:lang w:val="en-US"/>
        </w:rPr>
        <w:t xml:space="preserve"> </w:t>
      </w:r>
      <w:r>
        <w:t xml:space="preserve">in the event residential shopping levels reach 67% of residential customer accounts.  Duquesne Light St. No. 3, p. 42.  Duquesne Light proposes this program suspension to reduce wholesale supplier risk premiums.  </w:t>
      </w:r>
      <w:r>
        <w:rPr>
          <w:lang w:val="en-US"/>
        </w:rPr>
        <w:t>I</w:t>
      </w:r>
      <w:r>
        <w:t xml:space="preserve">f residential shopping reached these levels, this </w:t>
      </w:r>
      <w:r>
        <w:rPr>
          <w:lang w:val="en-US"/>
        </w:rPr>
        <w:t xml:space="preserve">expansion </w:t>
      </w:r>
      <w:r>
        <w:t xml:space="preserve">would place Duquesne Light’s residential shopping levels within the top </w:t>
      </w:r>
      <w:r>
        <w:rPr>
          <w:lang w:val="en-US"/>
        </w:rPr>
        <w:t>five</w:t>
      </w:r>
      <w:r>
        <w:t xml:space="preserve"> in the U.S.  Therefore, the program cap serves a valuable purpose </w:t>
      </w:r>
      <w:r>
        <w:rPr>
          <w:lang w:val="en-US"/>
        </w:rPr>
        <w:t>to</w:t>
      </w:r>
      <w:r>
        <w:t xml:space="preserve"> reduc</w:t>
      </w:r>
      <w:r>
        <w:rPr>
          <w:lang w:val="en-US"/>
        </w:rPr>
        <w:t>e</w:t>
      </w:r>
      <w:r>
        <w:t xml:space="preserve"> risk premiums without being too restrictive.  Duquesne Light St. No. 3, p. 43.</w:t>
      </w:r>
    </w:p>
    <w:p w:rsidR="005E0618" w:rsidRPr="005E0618" w:rsidRDefault="005E0618"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The Company contends</w:t>
      </w:r>
      <w:r>
        <w:t xml:space="preserve"> RESA has not provided any evidence that this participation cap will inhibit competition.  Duquesne Light attempted to create a balance between EGS interests and default service customer interests by ensuring that a large number of customers will be able to participate in the SO Program and at the same time limit the impact of the program on the residential default service rates.  Duquesne Light St. No. 3-RJ, p. 27.  Moreover, the </w:t>
      </w:r>
      <w:r>
        <w:rPr>
          <w:lang w:val="en-US"/>
        </w:rPr>
        <w:t xml:space="preserve">Company argues the </w:t>
      </w:r>
      <w:r>
        <w:t xml:space="preserve">cap was established to allow approximately 50% of currently eligible default service customers to participate in the RME </w:t>
      </w:r>
      <w:r w:rsidR="00E94BA8">
        <w:rPr>
          <w:lang w:val="en-US"/>
        </w:rPr>
        <w:t>P</w:t>
      </w:r>
      <w:r>
        <w:t>rograms</w:t>
      </w:r>
      <w:r>
        <w:rPr>
          <w:lang w:val="en-US"/>
        </w:rPr>
        <w:t xml:space="preserve">.  </w:t>
      </w:r>
      <w:r>
        <w:t>For these reasons, the SO referral cap should be approved.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pPr>
      <w:r>
        <w:t>OCA note</w:t>
      </w:r>
      <w:r>
        <w:rPr>
          <w:lang w:val="en-US"/>
        </w:rPr>
        <w:t>s</w:t>
      </w:r>
      <w:r>
        <w:t xml:space="preserve"> the potential increase in costs to default service customers is another reason that the Referral Program should be targeted only to new and moving customers or those </w:t>
      </w:r>
      <w:r>
        <w:lastRenderedPageBreak/>
        <w:t xml:space="preserve">who specifically ask for shopping information (thus, eliminating the solicitation of customers who call the Company for a high bill inquiry or complaint or other reason).  OCA St. 1-R at 15.  By restricting the type of calls during which the </w:t>
      </w:r>
      <w:r w:rsidR="00E94BA8">
        <w:rPr>
          <w:lang w:val="en-US"/>
        </w:rPr>
        <w:t>R</w:t>
      </w:r>
      <w:r>
        <w:t xml:space="preserve">eferral </w:t>
      </w:r>
      <w:r w:rsidR="00E94BA8">
        <w:rPr>
          <w:lang w:val="en-US"/>
        </w:rPr>
        <w:t>P</w:t>
      </w:r>
      <w:r>
        <w:t xml:space="preserve">rogram can be introduced, there is a reduced need for limiting or terminating the Referral Program based on a migration level.  </w:t>
      </w:r>
      <w:r>
        <w:rPr>
          <w:u w:val="single"/>
        </w:rPr>
        <w:t>Id</w:t>
      </w:r>
      <w:r w:rsidRPr="00340EE5">
        <w:t xml:space="preserve">. </w:t>
      </w:r>
      <w:r>
        <w:t xml:space="preserve">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254F34" w:rsidRDefault="006D47C0" w:rsidP="006D47C0">
      <w:pPr>
        <w:pStyle w:val="Normal1"/>
        <w:spacing w:line="360" w:lineRule="auto"/>
      </w:pPr>
      <w:r>
        <w:tab/>
        <w:t xml:space="preserve">RESA disagrees with Duquesne’s proposal for several reasons.  First, if migration were to reach two-thirds during the term of this default service plan, it would be as a result of a number of factors, including the retail initiatives put in place by the Commission.  Having achieved that level of migration, it would be extremely risky to begin dismantling the very apparatus that helped to achieve it.  Second, there is nothing magical about the two-thirds level, </w:t>
      </w:r>
    </w:p>
    <w:p w:rsidR="006D47C0" w:rsidRDefault="006D47C0" w:rsidP="00254F34">
      <w:pPr>
        <w:pStyle w:val="Normal1"/>
        <w:spacing w:line="360" w:lineRule="auto"/>
        <w:ind w:firstLine="0"/>
      </w:pPr>
      <w:r>
        <w:t>regardless of where that level of migration might place Duquesne in relation to other utilities in Pennsylvania or elsewhere.  With approximately 525,000 residential distribution customers,</w:t>
      </w:r>
      <w:r>
        <w:rPr>
          <w:vertAlign w:val="superscript"/>
        </w:rPr>
        <w:footnoteReference w:id="134"/>
      </w:r>
      <w:r>
        <w:t xml:space="preserve"> even if the two-thirds shopping level for residential customers is accomplished, there would still be approximately 173,000 residential customers on utility default service, meaning that there would be ample customers that could benefit from continuation of the </w:t>
      </w:r>
      <w:r w:rsidR="001977CE">
        <w:t>R</w:t>
      </w:r>
      <w:r>
        <w:t xml:space="preserve">eferral </w:t>
      </w:r>
      <w:r w:rsidR="001977CE">
        <w:t>P</w:t>
      </w:r>
      <w:r>
        <w:t xml:space="preserve">rogram beyond the two-thirds level.  </w:t>
      </w:r>
    </w:p>
    <w:p w:rsidR="006D47C0" w:rsidRDefault="006D47C0" w:rsidP="006D47C0">
      <w:pPr>
        <w:pStyle w:val="Normal1"/>
        <w:spacing w:line="360" w:lineRule="auto"/>
      </w:pPr>
    </w:p>
    <w:p w:rsidR="006D47C0" w:rsidRDefault="006D47C0" w:rsidP="006D47C0">
      <w:pPr>
        <w:pStyle w:val="Normal1"/>
        <w:spacing w:line="360" w:lineRule="auto"/>
      </w:pPr>
      <w:r>
        <w:tab/>
        <w:t xml:space="preserve">Third, RESA and Duquesne simply disagree that the migration resulting from the </w:t>
      </w:r>
      <w:r w:rsidR="002B0C47">
        <w:t>S</w:t>
      </w:r>
      <w:r>
        <w:t xml:space="preserve">tandard </w:t>
      </w:r>
      <w:r w:rsidR="002B0C47">
        <w:t>O</w:t>
      </w:r>
      <w:r>
        <w:t xml:space="preserve">ffer </w:t>
      </w:r>
      <w:r w:rsidR="002B0C47">
        <w:t>P</w:t>
      </w:r>
      <w:r>
        <w:t xml:space="preserve">rogram will result in increased wholesale default service supply bids.  There is no evidence to suggest that wholesale bidders will increase their bids, but there is no evidence to suggest that the anticipated migration resulting from a successful </w:t>
      </w:r>
      <w:r w:rsidR="0055694C">
        <w:t>S</w:t>
      </w:r>
      <w:r>
        <w:t xml:space="preserve">tandard </w:t>
      </w:r>
      <w:r w:rsidR="0055694C">
        <w:t>O</w:t>
      </w:r>
      <w:r>
        <w:t xml:space="preserve">ffer </w:t>
      </w:r>
      <w:r w:rsidR="0055694C">
        <w:t>P</w:t>
      </w:r>
      <w:r>
        <w:t xml:space="preserve">rogram will materially impact the wholesale bids.  </w:t>
      </w:r>
    </w:p>
    <w:p w:rsidR="006D47C0" w:rsidRDefault="006D47C0" w:rsidP="006D47C0">
      <w:pPr>
        <w:pStyle w:val="Normal1"/>
        <w:spacing w:line="360" w:lineRule="auto"/>
      </w:pPr>
    </w:p>
    <w:p w:rsidR="006D47C0" w:rsidRDefault="006D47C0" w:rsidP="006D47C0">
      <w:pPr>
        <w:pStyle w:val="Normal1"/>
        <w:spacing w:line="360" w:lineRule="auto"/>
      </w:pPr>
      <w:r>
        <w:tab/>
        <w:t xml:space="preserve">Fourth, the fundamental point of the RMI and the RMEs that have come out of it, namely that the limits to migration observed in Pennsylvania and other states, are directly related to a market design in which, in the aftermath of restructuring, all customers were left on utility service as the default and continue to be placed automatically on bundled utility service when </w:t>
      </w:r>
      <w:r>
        <w:lastRenderedPageBreak/>
        <w:t>they establish new service for any reason with the utility.</w:t>
      </w:r>
      <w:r>
        <w:rPr>
          <w:rStyle w:val="FootnoteReference"/>
        </w:rPr>
        <w:footnoteReference w:id="135"/>
      </w:r>
      <w:r>
        <w:t xml:space="preserve">  In RESA’s view, a successful </w:t>
      </w:r>
      <w:r w:rsidR="00866359">
        <w:t>R</w:t>
      </w:r>
      <w:r>
        <w:t xml:space="preserve">eferral </w:t>
      </w:r>
      <w:r w:rsidR="00866359">
        <w:t>P</w:t>
      </w:r>
      <w:r>
        <w:t xml:space="preserve">rogram should be lauded and allowed to continue, not shut down.  </w:t>
      </w:r>
    </w:p>
    <w:p w:rsidR="006D47C0" w:rsidRDefault="006D47C0" w:rsidP="006D47C0">
      <w:pPr>
        <w:pStyle w:val="Normal1"/>
        <w:spacing w:line="360" w:lineRule="auto"/>
      </w:pPr>
    </w:p>
    <w:p w:rsidR="006D47C0" w:rsidRDefault="006D47C0" w:rsidP="006D47C0">
      <w:pPr>
        <w:pStyle w:val="Normal1"/>
        <w:spacing w:line="360" w:lineRule="auto"/>
      </w:pPr>
      <w:r>
        <w:tab/>
        <w:t xml:space="preserve">Finally, the critical function of this referral program, in relation to new and moving customers, is a sufficient reason to leave the program in place at least until the end of the DSP term.  In fact, unless the more permanent program for new and moving customers discussed is in place by June 1, 2015, the </w:t>
      </w:r>
      <w:r w:rsidR="00FD73DD">
        <w:t>R</w:t>
      </w:r>
      <w:r>
        <w:t xml:space="preserve">eferral </w:t>
      </w:r>
      <w:r w:rsidR="00FD73DD">
        <w:t>P</w:t>
      </w:r>
      <w:r>
        <w:t>rogram should remain in place beyond that date, at least as applied to new and moving customers.</w:t>
      </w:r>
    </w:p>
    <w:p w:rsidR="006D47C0" w:rsidRDefault="006D47C0" w:rsidP="006D47C0">
      <w:pPr>
        <w:pStyle w:val="Normal1"/>
        <w:spacing w:line="360" w:lineRule="auto"/>
      </w:pPr>
    </w:p>
    <w:p w:rsidR="006D47C0" w:rsidRDefault="006D47C0" w:rsidP="006D47C0">
      <w:pPr>
        <w:pStyle w:val="Normal1"/>
        <w:spacing w:line="360" w:lineRule="auto"/>
      </w:pPr>
      <w:r>
        <w:tab/>
        <w:t>For all these reasons, RESA insists Duquesne has not proven that the program should be suspended at any point in time, including if and when a 67% shopping rate is achieved.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CAUSE</w:t>
      </w:r>
      <w:r>
        <w:t xml:space="preserve"> takes no position on this issue.</w:t>
      </w:r>
    </w:p>
    <w:p w:rsidR="006D47C0" w:rsidRPr="0047054E" w:rsidRDefault="006D47C0" w:rsidP="006D47C0">
      <w:pPr>
        <w:pStyle w:val="BodyText2"/>
        <w:spacing w:line="360" w:lineRule="auto"/>
        <w:rPr>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t>Citizen Power</w:t>
      </w:r>
      <w:r>
        <w:t xml:space="preserve"> </w:t>
      </w:r>
      <w:r>
        <w:rPr>
          <w:lang w:val="en-US"/>
        </w:rPr>
        <w:t>supports DLC’s proposal that the Standard Offer Program should be suspended once shopping reaches 67% in order to reduce the risk premium associated with bidding on default service</w:t>
      </w:r>
      <w:r>
        <w:t>.</w:t>
      </w:r>
    </w:p>
    <w:p w:rsidR="006D47C0" w:rsidRDefault="006D47C0" w:rsidP="006D47C0">
      <w:pPr>
        <w:pStyle w:val="BriefL3"/>
        <w:numPr>
          <w:ilvl w:val="0"/>
          <w:numId w:val="0"/>
        </w:numPr>
        <w:spacing w:after="0" w:line="360" w:lineRule="auto"/>
        <w:ind w:firstLine="720"/>
        <w:rPr>
          <w:b/>
          <w:szCs w:val="24"/>
        </w:rPr>
      </w:pPr>
      <w:r>
        <w:rPr>
          <w:b/>
          <w:szCs w:val="24"/>
        </w:rPr>
        <w:tab/>
      </w:r>
    </w:p>
    <w:p w:rsidR="00F02144" w:rsidRDefault="00F02144" w:rsidP="006D47C0">
      <w:pPr>
        <w:pStyle w:val="BriefL3"/>
        <w:numPr>
          <w:ilvl w:val="0"/>
          <w:numId w:val="0"/>
        </w:numPr>
        <w:spacing w:after="0" w:line="360" w:lineRule="auto"/>
        <w:ind w:firstLine="720"/>
        <w:rPr>
          <w:b/>
          <w:szCs w:val="24"/>
        </w:rPr>
      </w:pPr>
    </w:p>
    <w:p w:rsidR="00F02144" w:rsidRDefault="00F02144"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EGS Parties take</w:t>
      </w:r>
      <w:r>
        <w:t xml:space="preserve"> no position on this issue.</w:t>
      </w:r>
    </w:p>
    <w:p w:rsidR="006D47C0" w:rsidRPr="004932D1" w:rsidRDefault="006D47C0" w:rsidP="006D47C0">
      <w:pPr>
        <w:pStyle w:val="BodyText2"/>
        <w:spacing w:line="360" w:lineRule="auto"/>
        <w:rPr>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FES contends Duquesne Light does not explain why it proposes to suspend the Referral Program when this level of shopping is reached.  FES disagrees with suspending the program under any circumstances.  Suppliers who participate in this program should not have its benefits stopped when an arbitrary shopping level is achieved, particularly if, as Duquesne Light proposes, they will be responsible for all the costs of the program.  Nor should customers be denied the benefits of this program just because an arbitrary shopping level is achieved.  FES St. No. 1 at 16-17.</w:t>
      </w:r>
    </w:p>
    <w:p w:rsidR="006D47C0" w:rsidRDefault="006D47C0"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spacing w:line="360" w:lineRule="auto"/>
        <w:rPr>
          <w:b/>
          <w:color w:val="000000" w:themeColor="text1"/>
        </w:rPr>
      </w:pPr>
      <w:r w:rsidRPr="00076524">
        <w:rPr>
          <w:b/>
        </w:rPr>
        <w:t>Disposition</w:t>
      </w:r>
      <w:r w:rsidRPr="008242A0">
        <w:rPr>
          <w:b/>
        </w:rPr>
        <w:t xml:space="preserve"> - </w:t>
      </w:r>
      <w:r w:rsidRPr="004E7112">
        <w:rPr>
          <w:b/>
          <w:color w:val="000000" w:themeColor="text1"/>
        </w:rPr>
        <w:t>Standard Offer Program – Program Suspension</w:t>
      </w:r>
    </w:p>
    <w:p w:rsidR="006D47C0" w:rsidRPr="004E7112" w:rsidRDefault="006D47C0" w:rsidP="006D47C0">
      <w:pPr>
        <w:spacing w:line="360" w:lineRule="auto"/>
        <w:rPr>
          <w:color w:val="000000" w:themeColor="text1"/>
        </w:rPr>
      </w:pPr>
    </w:p>
    <w:p w:rsidR="006D47C0" w:rsidRPr="004E7112" w:rsidRDefault="006D47C0" w:rsidP="006D47C0">
      <w:pPr>
        <w:spacing w:line="360" w:lineRule="auto"/>
        <w:rPr>
          <w:color w:val="000000" w:themeColor="text1"/>
        </w:rPr>
      </w:pPr>
      <w:r w:rsidRPr="004E7112">
        <w:rPr>
          <w:color w:val="000000" w:themeColor="text1"/>
        </w:rPr>
        <w:tab/>
      </w:r>
      <w:r w:rsidRPr="004E7112">
        <w:rPr>
          <w:color w:val="000000" w:themeColor="text1"/>
        </w:rPr>
        <w:tab/>
        <w:t xml:space="preserve">I agree with Duquesne Light that the SO Program should be offered through the end of this DSP period (i.e., May 31, 2015) regardless of the level of participation realized during this DSP.  I disagree with Duquesne Light that it’s necessary to suspend the program earlier than May 31, 2015 if residential shopping loads reach 67% before that date.  Although there may be some concomitant increase in risk for wholesale suppliers, the purpose of the DSP is to increase shopping as much as possible prior to June 2015.  As noted by RESA, even if the </w:t>
      </w:r>
      <w:r w:rsidRPr="004E7112">
        <w:rPr>
          <w:color w:val="000000" w:themeColor="text1"/>
        </w:rPr>
        <w:lastRenderedPageBreak/>
        <w:t xml:space="preserve">67% participation level is reached during this program, there will still remain 173,000 residential default service customers in the Company’s territory.  Lastly, I agree with RESA that Duquesne Light did not prove that the risk to wholesale suppliers outweighs the benefits to be realized if a greater number of residential customers enter the retail market.  </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firstLine="0"/>
        <w:rPr>
          <w:b/>
          <w:szCs w:val="24"/>
        </w:rPr>
      </w:pPr>
      <w:r>
        <w:rPr>
          <w:szCs w:val="24"/>
          <w:lang w:val="en-US"/>
        </w:rPr>
        <w:tab/>
      </w:r>
      <w:r>
        <w:rPr>
          <w:szCs w:val="24"/>
          <w:lang w:val="en-US"/>
        </w:rPr>
        <w:tab/>
      </w:r>
      <w:r>
        <w:rPr>
          <w:b/>
          <w:szCs w:val="24"/>
        </w:rPr>
        <w:t>f.</w:t>
      </w:r>
      <w:r>
        <w:rPr>
          <w:b/>
          <w:szCs w:val="24"/>
        </w:rPr>
        <w:tab/>
        <w:t>High Bill Callers</w:t>
      </w: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Duquesne Light proposes to refer customers with high bill inquiries to the SO Program after the callers’ high bill issue has been resolved.  Duquesne Light St. No. 5, p. 10.  </w:t>
      </w:r>
      <w:r>
        <w:rPr>
          <w:lang w:val="en-US"/>
        </w:rPr>
        <w:t xml:space="preserve">The Company acknowledges that </w:t>
      </w:r>
      <w:r>
        <w:t xml:space="preserve">OCA argues </w:t>
      </w:r>
      <w:r>
        <w:rPr>
          <w:lang w:val="en-US"/>
        </w:rPr>
        <w:t xml:space="preserve">these </w:t>
      </w:r>
      <w:r>
        <w:t xml:space="preserve">customers should not be referred to the SO Program. </w:t>
      </w:r>
      <w:r>
        <w:rPr>
          <w:lang w:val="en-US"/>
        </w:rPr>
        <w:t>(</w:t>
      </w:r>
      <w:r>
        <w:t>OCA St. No. 2, pp. 6-7.</w:t>
      </w:r>
      <w:r>
        <w:rPr>
          <w:lang w:val="en-US"/>
        </w:rPr>
        <w:t xml:space="preserve">), but </w:t>
      </w:r>
      <w:r>
        <w:t xml:space="preserve">Duquesne Light points out that its proposal is consistent with the Commission’s directives in the </w:t>
      </w:r>
      <w:r>
        <w:rPr>
          <w:i/>
        </w:rPr>
        <w:t>Intermediate Work Plan Order</w:t>
      </w:r>
      <w:r>
        <w:t xml:space="preserve">, the </w:t>
      </w:r>
      <w:r>
        <w:rPr>
          <w:i/>
        </w:rPr>
        <w:t>FE Order</w:t>
      </w:r>
      <w:r>
        <w:t xml:space="preserve"> and in the </w:t>
      </w:r>
      <w:r>
        <w:rPr>
          <w:i/>
        </w:rPr>
        <w:t>PECO Binding Poll</w:t>
      </w:r>
      <w:r>
        <w:t>.  For these reasons, Duquesne Light’s proposal should be adopted.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1440"/>
      </w:pPr>
      <w:r>
        <w:t xml:space="preserve">OCA recommends the Standard Offer Program be offered only during calls in which the customer is seeking to establish service, transfer service to a new location, or is specifically seeking to discuss customer choice and/or the </w:t>
      </w:r>
      <w:r w:rsidR="00D57F52">
        <w:t>R</w:t>
      </w:r>
      <w:r>
        <w:t xml:space="preserve">eferral </w:t>
      </w:r>
      <w:r w:rsidR="00D57F52">
        <w:t>P</w:t>
      </w:r>
      <w:r>
        <w:t>rogram.  OCA St. 2-S at 9</w:t>
      </w:r>
      <w:r>
        <w:noBreakHyphen/>
        <w:t xml:space="preserve">10.  Calls relating to utility obligations to respond to high bills, billing and usage questions, payment difficulties or payment plan options, collection, service quality and outages, and appointments for utility service in the field, should not be included in the obligation to present the Referral </w:t>
      </w:r>
      <w:r w:rsidR="00D57F52">
        <w:t>P</w:t>
      </w:r>
      <w:r>
        <w:t>rogram.</w:t>
      </w:r>
    </w:p>
    <w:p w:rsidR="006D47C0" w:rsidRDefault="006D47C0" w:rsidP="006D47C0">
      <w:pPr>
        <w:spacing w:line="360" w:lineRule="auto"/>
      </w:pPr>
    </w:p>
    <w:p w:rsidR="006D47C0" w:rsidRDefault="006D47C0" w:rsidP="006D47C0">
      <w:pPr>
        <w:spacing w:line="360" w:lineRule="auto"/>
      </w:pPr>
      <w:r>
        <w:tab/>
      </w:r>
      <w:r>
        <w:tab/>
        <w:t xml:space="preserve">OCA submits that the focus of calls other than New/Moving requests and calls requesting information on Customer Choice should be on resolving the customer’s specific concerns without delay.  Customers calling with a specific utility problem should have </w:t>
      </w:r>
      <w:r w:rsidRPr="009A5D90">
        <w:rPr>
          <w:u w:val="single"/>
        </w:rPr>
        <w:t>that</w:t>
      </w:r>
      <w:r>
        <w:t xml:space="preserve"> problem addressed without causing the customer to spend additional time on the phone about unrelated topics.  Indeed, burdening such calls with further unwanted or unsolicited discussions </w:t>
      </w:r>
      <w:r>
        <w:lastRenderedPageBreak/>
        <w:t>may jeopardize quality of service in direct contravention of Section 2807(d).  66 Pa. C.S.A. §2807(d)</w:t>
      </w:r>
      <w:r>
        <w:fldChar w:fldCharType="begin"/>
      </w:r>
      <w:r>
        <w:instrText xml:space="preserve"> TA \l "66 Pa.C.S. § 2807(d)" \s "66 Pa.C.S. § 2807(d)" \c 3 </w:instrText>
      </w:r>
      <w:r>
        <w:fldChar w:fldCharType="end"/>
      </w:r>
      <w:r>
        <w:t>.</w:t>
      </w:r>
      <w:r>
        <w:rPr>
          <w:rStyle w:val="FootnoteReference"/>
        </w:rPr>
        <w:footnoteReference w:id="136"/>
      </w:r>
      <w:r>
        <w:t xml:space="preserve">  OCA does not find persuasive DLC’s stated reasons for this proposal.  OCA asserts “this program, particularly in its early implementation, should be limited to customers who are calling DLC to get new service or move to a new location or who are seeking shopping information since the selection of an EGS at that time is relevant and timely.”  OCA St. 2-S at 8</w:t>
      </w:r>
      <w:r>
        <w:noBreakHyphen/>
        <w:t>9 (fn omitted).  For the foregoing reasons, OCA recommends customer calls regarding the Standard Offer Program be limited to new or moving customers and to those customers who specifically request information about Choice.</w:t>
      </w:r>
    </w:p>
    <w:p w:rsidR="006D47C0" w:rsidRDefault="006D47C0" w:rsidP="006D47C0">
      <w:pPr>
        <w:pStyle w:val="BodyText"/>
        <w:spacing w:after="0" w:line="360" w:lineRule="auto"/>
        <w:ind w:left="0" w:firstLine="0"/>
        <w:rPr>
          <w:szCs w:val="24"/>
          <w:lang w:val="en-US"/>
        </w:rPr>
      </w:pPr>
    </w:p>
    <w:p w:rsidR="006D47C0" w:rsidRDefault="00DD1FA5" w:rsidP="006D47C0">
      <w:pPr>
        <w:pStyle w:val="BriefL3"/>
        <w:numPr>
          <w:ilvl w:val="0"/>
          <w:numId w:val="0"/>
        </w:numPr>
        <w:spacing w:after="0" w:line="360" w:lineRule="auto"/>
        <w:ind w:left="1440" w:hanging="720"/>
        <w:rPr>
          <w:b/>
          <w:szCs w:val="24"/>
        </w:rPr>
      </w:pPr>
      <w:r>
        <w:rPr>
          <w:b/>
          <w:szCs w:val="24"/>
        </w:rPr>
        <w:tab/>
      </w:r>
      <w:r>
        <w:rPr>
          <w:b/>
          <w:szCs w:val="24"/>
        </w:rPr>
        <w:tab/>
      </w:r>
      <w:r w:rsidR="006D47C0">
        <w:rPr>
          <w:b/>
          <w:szCs w:val="24"/>
        </w:rPr>
        <w:t>iii.</w:t>
      </w:r>
      <w:r w:rsidR="006D47C0">
        <w:rPr>
          <w:b/>
          <w:szCs w:val="24"/>
        </w:rPr>
        <w:tab/>
        <w:t>RESA’s Position</w:t>
      </w:r>
    </w:p>
    <w:p w:rsidR="006D47C0" w:rsidRDefault="006D47C0" w:rsidP="006D47C0">
      <w:pPr>
        <w:pStyle w:val="Normal1"/>
        <w:spacing w:line="360" w:lineRule="auto"/>
      </w:pPr>
    </w:p>
    <w:p w:rsidR="006D47C0" w:rsidRDefault="006D47C0" w:rsidP="006D47C0">
      <w:pPr>
        <w:pStyle w:val="Normal1"/>
        <w:spacing w:line="360" w:lineRule="auto"/>
      </w:pPr>
      <w:r>
        <w:tab/>
        <w:t xml:space="preserve">RESA opposes OCA’s and CAUSE-PA’s attempts to prohibit Duquesne from providing information about the customer Standard Offer Referral </w:t>
      </w:r>
      <w:r w:rsidR="00003119">
        <w:t>P</w:t>
      </w:r>
      <w:r>
        <w:t>rogram to customers calling about high bill complaints.</w:t>
      </w:r>
      <w:r>
        <w:rPr>
          <w:rStyle w:val="FootnoteReference"/>
          <w:bCs/>
          <w:szCs w:val="26"/>
        </w:rPr>
        <w:footnoteReference w:id="137"/>
      </w:r>
      <w:r>
        <w:t xml:space="preserve">   The Commission specifically addressed this issue and ruled that </w:t>
      </w:r>
    </w:p>
    <w:p w:rsidR="006D47C0" w:rsidRDefault="006D47C0" w:rsidP="006D47C0">
      <w:pPr>
        <w:pStyle w:val="Normal1"/>
        <w:spacing w:line="360" w:lineRule="auto"/>
        <w:ind w:firstLine="0"/>
      </w:pPr>
      <w:r>
        <w:t>the standard offer customer referral should apply to general inquiry calls as well as high bill complaints, but “only and explicitly after the customer’s [high bill] concerns are satisfied.”</w:t>
      </w:r>
      <w:r>
        <w:rPr>
          <w:vertAlign w:val="superscript"/>
        </w:rPr>
        <w:footnoteReference w:id="138"/>
      </w:r>
      <w:r>
        <w:t xml:space="preserve">  This position was recently affirmed in the </w:t>
      </w:r>
      <w:r>
        <w:rPr>
          <w:i/>
        </w:rPr>
        <w:t>FE</w:t>
      </w:r>
      <w:r>
        <w:t xml:space="preserve"> and </w:t>
      </w:r>
      <w:r>
        <w:rPr>
          <w:i/>
        </w:rPr>
        <w:t>PECO</w:t>
      </w:r>
      <w:r>
        <w:t xml:space="preserve"> cases; in the </w:t>
      </w:r>
      <w:r>
        <w:rPr>
          <w:i/>
        </w:rPr>
        <w:t>FirstEnergy Default Service Order</w:t>
      </w:r>
      <w:r>
        <w:t>, the Commission agreed with RESA that “customers calling with high bill complaints are likely those customers that can most directly benefit from becoming informed about competitive offers such as the Customer Referral Program.”</w:t>
      </w:r>
      <w:r>
        <w:rPr>
          <w:vertAlign w:val="superscript"/>
        </w:rPr>
        <w:footnoteReference w:id="139"/>
      </w:r>
      <w:r>
        <w:t xml:space="preserve"> </w:t>
      </w:r>
    </w:p>
    <w:p w:rsidR="006D47C0" w:rsidRDefault="006D47C0" w:rsidP="006D47C0">
      <w:pPr>
        <w:pStyle w:val="BriefL3"/>
        <w:numPr>
          <w:ilvl w:val="0"/>
          <w:numId w:val="0"/>
        </w:numPr>
        <w:spacing w:after="0" w:line="360" w:lineRule="auto"/>
        <w:ind w:firstLine="720"/>
        <w:rPr>
          <w:b/>
          <w:szCs w:val="24"/>
        </w:rPr>
      </w:pPr>
    </w:p>
    <w:p w:rsidR="00367FC0" w:rsidRDefault="006D47C0" w:rsidP="006D47C0">
      <w:pPr>
        <w:pStyle w:val="BriefL3"/>
        <w:numPr>
          <w:ilvl w:val="0"/>
          <w:numId w:val="0"/>
        </w:numPr>
        <w:spacing w:after="0" w:line="360" w:lineRule="auto"/>
        <w:ind w:firstLine="720"/>
        <w:rPr>
          <w:b/>
          <w:szCs w:val="24"/>
        </w:rPr>
      </w:pPr>
      <w:r>
        <w:rPr>
          <w:b/>
          <w:szCs w:val="24"/>
        </w:rPr>
        <w:tab/>
      </w:r>
      <w:r>
        <w:rPr>
          <w:b/>
          <w:szCs w:val="24"/>
        </w:rPr>
        <w:tab/>
      </w:r>
    </w:p>
    <w:p w:rsidR="006D47C0" w:rsidRDefault="006D47C0" w:rsidP="00367FC0">
      <w:pPr>
        <w:pStyle w:val="BriefL3"/>
        <w:numPr>
          <w:ilvl w:val="0"/>
          <w:numId w:val="42"/>
        </w:numPr>
        <w:spacing w:after="0"/>
        <w:rPr>
          <w:b/>
          <w:szCs w:val="24"/>
        </w:rPr>
      </w:pPr>
      <w:r>
        <w:rPr>
          <w:b/>
          <w:szCs w:val="24"/>
        </w:rPr>
        <w:lastRenderedPageBreak/>
        <w:t>OSBA’s Position</w:t>
      </w:r>
    </w:p>
    <w:p w:rsidR="00367FC0" w:rsidRDefault="00367FC0" w:rsidP="00367FC0">
      <w:pPr>
        <w:pStyle w:val="BriefL3"/>
        <w:numPr>
          <w:ilvl w:val="0"/>
          <w:numId w:val="0"/>
        </w:numPr>
        <w:spacing w:after="0"/>
        <w:ind w:left="2160" w:hanging="720"/>
        <w:rPr>
          <w:b/>
          <w:szCs w:val="24"/>
        </w:rPr>
      </w:pPr>
    </w:p>
    <w:p w:rsidR="00367FC0" w:rsidRDefault="00367FC0" w:rsidP="00367FC0">
      <w:pPr>
        <w:pStyle w:val="BriefL3"/>
        <w:numPr>
          <w:ilvl w:val="0"/>
          <w:numId w:val="0"/>
        </w:numPr>
        <w:spacing w:after="0"/>
        <w:ind w:left="2160" w:hanging="720"/>
        <w:rPr>
          <w:b/>
          <w:szCs w:val="24"/>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CAUSE-PA believes that it would be inappropriate to refer high bill complaint customers to an EGS for service while these high bill inquiries/disputes are on-going.  Duquesne should be prohibited from including non-CAP participants who are confirmed low-income customers with “high bill complaints” in the group of customers that may be referred to the proposed Customer Referral Program.  A high bill complaint may be an indication that the caller is a low-income individual who requires immediate referral to and enrollment within a Customer Assistance Program, referral to a Hardship Fund and/or LIHEAP or to conservation services available through LIURP, Act 129, or weatherization.  In other situations, the high bill complaint of a renter may have occurred as a result of a foreign load.  </w:t>
      </w:r>
    </w:p>
    <w:p w:rsidR="006D47C0" w:rsidRDefault="006D47C0" w:rsidP="006D47C0">
      <w:pPr>
        <w:spacing w:line="360" w:lineRule="auto"/>
        <w:ind w:firstLine="720"/>
      </w:pPr>
    </w:p>
    <w:p w:rsidR="006D47C0" w:rsidRDefault="006D47C0" w:rsidP="006D47C0">
      <w:pPr>
        <w:spacing w:line="360" w:lineRule="auto"/>
        <w:ind w:firstLine="720"/>
      </w:pPr>
      <w:r>
        <w:tab/>
        <w:t xml:space="preserve">CAUSE contends that if the customers calling about high bill complaints are among the group of customers who are referred, then Duquesne Light should inquire about the income status of the household to ensure that the household has been offered all available assistance through the panoply of universal service programs that Duquesne is required to make available.  Only after the inquiry is made and the referral taken place should the customer be informed about the </w:t>
      </w:r>
      <w:r w:rsidR="0045453E">
        <w:t>S</w:t>
      </w:r>
      <w:r>
        <w:t xml:space="preserve">tandard </w:t>
      </w:r>
      <w:r w:rsidR="0045453E">
        <w:t>O</w:t>
      </w:r>
      <w:r>
        <w:t xml:space="preserve">ffer </w:t>
      </w:r>
      <w:r w:rsidR="0045453E">
        <w:t>P</w:t>
      </w:r>
      <w:r>
        <w:t xml:space="preserve">rogram. </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Citizen Power</w:t>
      </w:r>
      <w:r>
        <w:t xml:space="preserve"> takes no position on this issue.</w:t>
      </w:r>
    </w:p>
    <w:p w:rsidR="006D47C0" w:rsidRPr="008E74B6" w:rsidRDefault="006D47C0" w:rsidP="006D47C0">
      <w:pPr>
        <w:pStyle w:val="BodyText2"/>
        <w:spacing w:line="360" w:lineRule="auto"/>
        <w:rPr>
          <w:lang w:val="en-US"/>
        </w:rPr>
      </w:pPr>
    </w:p>
    <w:p w:rsidR="006D47C0" w:rsidRDefault="006D47C0" w:rsidP="006D47C0">
      <w:pPr>
        <w:pStyle w:val="BriefL3"/>
        <w:numPr>
          <w:ilvl w:val="0"/>
          <w:numId w:val="0"/>
        </w:numPr>
        <w:tabs>
          <w:tab w:val="left" w:pos="720"/>
        </w:tabs>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EE7F03" w:rsidP="006D47C0">
      <w:pPr>
        <w:pStyle w:val="BriefL3"/>
        <w:numPr>
          <w:ilvl w:val="0"/>
          <w:numId w:val="0"/>
        </w:numPr>
        <w:spacing w:after="0" w:line="480" w:lineRule="auto"/>
        <w:ind w:firstLine="720"/>
        <w:rPr>
          <w:b/>
          <w:szCs w:val="24"/>
        </w:rPr>
      </w:pPr>
      <w:r>
        <w:rPr>
          <w:b/>
          <w:szCs w:val="24"/>
        </w:rPr>
        <w:lastRenderedPageBreak/>
        <w:tab/>
      </w:r>
      <w:r>
        <w:rPr>
          <w:b/>
          <w:szCs w:val="24"/>
        </w:rPr>
        <w:tab/>
      </w:r>
      <w:r w:rsidR="006D47C0">
        <w:rPr>
          <w:b/>
          <w:szCs w:val="24"/>
        </w:rPr>
        <w:t>viii.</w:t>
      </w:r>
      <w:r w:rsidR="006D47C0">
        <w:rPr>
          <w:b/>
          <w:szCs w:val="24"/>
        </w:rPr>
        <w:tab/>
        <w:t>EGS Parties’ Position</w:t>
      </w:r>
    </w:p>
    <w:p w:rsidR="006D47C0" w:rsidRDefault="006D47C0" w:rsidP="006D47C0">
      <w:pPr>
        <w:pStyle w:val="BodyText"/>
        <w:spacing w:after="0" w:line="360" w:lineRule="auto"/>
        <w:ind w:left="0" w:firstLine="0"/>
        <w:rPr>
          <w:szCs w:val="24"/>
          <w:lang w:val="en-US"/>
        </w:rPr>
      </w:pPr>
    </w:p>
    <w:p w:rsidR="006D47C0" w:rsidRPr="00195295" w:rsidRDefault="006D47C0" w:rsidP="006D47C0">
      <w:pPr>
        <w:pStyle w:val="BodyText2"/>
        <w:rPr>
          <w:lang w:val="en-US"/>
        </w:rPr>
      </w:pPr>
      <w:r>
        <w:rPr>
          <w:lang w:val="en-US"/>
        </w:rPr>
        <w:tab/>
      </w:r>
      <w:r>
        <w:rPr>
          <w:lang w:val="en-US"/>
        </w:rPr>
        <w:tab/>
        <w:t>EGS Parties take</w:t>
      </w:r>
      <w:r>
        <w:t xml:space="preserve"> no position on this issue.</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01101D">
      <w:pPr>
        <w:pStyle w:val="BodyText2"/>
        <w:spacing w:line="360" w:lineRule="auto"/>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Default="006D47C0" w:rsidP="006D47C0">
      <w:pPr>
        <w:pStyle w:val="BodyText"/>
        <w:spacing w:after="0" w:line="360" w:lineRule="auto"/>
        <w:ind w:left="0" w:firstLine="0"/>
        <w:rPr>
          <w:b/>
          <w:u w:val="single"/>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DC5482">
        <w:rPr>
          <w:b/>
        </w:rPr>
        <w:t>Disposition</w:t>
      </w:r>
      <w:r w:rsidRPr="00EF1380">
        <w:rPr>
          <w:b/>
        </w:rPr>
        <w:t xml:space="preserve"> </w:t>
      </w:r>
      <w:r w:rsidRPr="00EF1380">
        <w:rPr>
          <w:b/>
          <w:lang w:val="en-US"/>
        </w:rPr>
        <w:t xml:space="preserve">- </w:t>
      </w:r>
      <w:r w:rsidRPr="004E7112">
        <w:rPr>
          <w:b/>
          <w:color w:val="000000" w:themeColor="text1"/>
          <w:szCs w:val="24"/>
          <w:lang w:val="en-US"/>
        </w:rPr>
        <w:t>Standard Offer Program – High Bill Callers</w:t>
      </w:r>
    </w:p>
    <w:p w:rsidR="006D47C0" w:rsidRPr="004E7112" w:rsidRDefault="006D47C0" w:rsidP="006D47C0">
      <w:pPr>
        <w:spacing w:line="360" w:lineRule="auto"/>
        <w:rPr>
          <w:color w:val="000000" w:themeColor="text1"/>
        </w:rPr>
      </w:pPr>
    </w:p>
    <w:p w:rsidR="006D47C0" w:rsidRPr="0067051F" w:rsidRDefault="006D47C0" w:rsidP="006D47C0">
      <w:pPr>
        <w:pStyle w:val="ListParagraph"/>
        <w:autoSpaceDE/>
        <w:autoSpaceDN/>
        <w:spacing w:line="360" w:lineRule="auto"/>
        <w:ind w:left="0"/>
        <w:rPr>
          <w:b/>
          <w:u w:val="single"/>
        </w:rPr>
      </w:pPr>
      <w:r w:rsidRPr="004E7112">
        <w:rPr>
          <w:color w:val="000000" w:themeColor="text1"/>
        </w:rPr>
        <w:tab/>
      </w:r>
      <w:r w:rsidRPr="004E7112">
        <w:rPr>
          <w:color w:val="000000" w:themeColor="text1"/>
        </w:rPr>
        <w:tab/>
        <w:t xml:space="preserve">I recommend approving Duquesne Light’s proposal to include High Bill Callers among the class of customers to whom the SO Program would be offered.  Although it’s true that a customer calling with a high bill complaint is likely the very type of customer who would benefit most directly from being informed about competitive offers, OCA’s point is legitimate and accurately reflects the typical high bill dispute context initiated by, typically, an unhappy ratepayer.  However, there </w:t>
      </w:r>
      <w:r w:rsidRPr="004E7112">
        <w:rPr>
          <w:color w:val="000000" w:themeColor="text1"/>
          <w:u w:val="single"/>
        </w:rPr>
        <w:t>may</w:t>
      </w:r>
      <w:r w:rsidRPr="004E7112">
        <w:rPr>
          <w:color w:val="000000" w:themeColor="text1"/>
        </w:rPr>
        <w:t xml:space="preserve"> be times when Duquesne Light’s customer representatives realize the dispute over high bills has been resolved and suggesting a referral to the Standard Offer </w:t>
      </w:r>
      <w:r w:rsidR="00C7042D">
        <w:rPr>
          <w:color w:val="000000" w:themeColor="text1"/>
        </w:rPr>
        <w:t>P</w:t>
      </w:r>
      <w:r w:rsidRPr="004E7112">
        <w:rPr>
          <w:color w:val="000000" w:themeColor="text1"/>
        </w:rPr>
        <w:t xml:space="preserve">rogram is appropriate and consistent with the goal of the DSP.  The Company should be permitted to make that referral.  </w:t>
      </w:r>
    </w:p>
    <w:p w:rsidR="003D2C41" w:rsidRDefault="003D2C41" w:rsidP="006D47C0">
      <w:pPr>
        <w:pStyle w:val="BodyText"/>
        <w:spacing w:after="0" w:line="360" w:lineRule="auto"/>
        <w:ind w:left="0" w:firstLine="0"/>
        <w:rPr>
          <w:szCs w:val="24"/>
          <w:lang w:val="en-US"/>
        </w:rPr>
      </w:pPr>
    </w:p>
    <w:p w:rsidR="009A30DB" w:rsidRDefault="00C7042D" w:rsidP="00C7042D">
      <w:pPr>
        <w:pStyle w:val="BodyText"/>
        <w:spacing w:after="0" w:line="360" w:lineRule="auto"/>
        <w:ind w:left="0" w:firstLine="0"/>
        <w:rPr>
          <w:b/>
          <w:szCs w:val="24"/>
          <w:lang w:val="en-US"/>
        </w:rPr>
      </w:pPr>
      <w:r>
        <w:rPr>
          <w:szCs w:val="24"/>
          <w:lang w:val="en-US"/>
        </w:rPr>
        <w:tab/>
      </w:r>
      <w:r w:rsidR="006D47C0">
        <w:rPr>
          <w:b/>
          <w:szCs w:val="24"/>
        </w:rPr>
        <w:tab/>
      </w:r>
    </w:p>
    <w:p w:rsidR="009A30DB" w:rsidRDefault="009A30DB" w:rsidP="00C7042D">
      <w:pPr>
        <w:pStyle w:val="BodyText"/>
        <w:spacing w:after="0" w:line="360" w:lineRule="auto"/>
        <w:ind w:left="0" w:firstLine="0"/>
        <w:rPr>
          <w:b/>
          <w:szCs w:val="24"/>
          <w:lang w:val="en-US"/>
        </w:rPr>
      </w:pPr>
    </w:p>
    <w:p w:rsidR="009A30DB" w:rsidRDefault="009A30DB" w:rsidP="00C7042D">
      <w:pPr>
        <w:pStyle w:val="BodyText"/>
        <w:spacing w:after="0" w:line="360" w:lineRule="auto"/>
        <w:ind w:left="0" w:firstLine="0"/>
        <w:rPr>
          <w:b/>
          <w:szCs w:val="24"/>
          <w:lang w:val="en-US"/>
        </w:rPr>
      </w:pPr>
    </w:p>
    <w:p w:rsidR="009A30DB" w:rsidRDefault="009A30DB" w:rsidP="00C7042D">
      <w:pPr>
        <w:pStyle w:val="BodyText"/>
        <w:spacing w:after="0" w:line="360" w:lineRule="auto"/>
        <w:ind w:left="0" w:firstLine="0"/>
        <w:rPr>
          <w:b/>
          <w:szCs w:val="24"/>
          <w:lang w:val="en-US"/>
        </w:rPr>
      </w:pPr>
    </w:p>
    <w:p w:rsidR="009A30DB" w:rsidRDefault="009A30DB" w:rsidP="00C7042D">
      <w:pPr>
        <w:pStyle w:val="BodyText"/>
        <w:spacing w:after="0" w:line="360" w:lineRule="auto"/>
        <w:ind w:left="0" w:firstLine="0"/>
        <w:rPr>
          <w:b/>
          <w:szCs w:val="24"/>
          <w:lang w:val="en-US"/>
        </w:rPr>
      </w:pPr>
    </w:p>
    <w:p w:rsidR="006D47C0" w:rsidRDefault="009A30DB" w:rsidP="00C7042D">
      <w:pPr>
        <w:pStyle w:val="BodyText"/>
        <w:spacing w:after="0" w:line="360" w:lineRule="auto"/>
        <w:ind w:left="0" w:firstLine="0"/>
        <w:rPr>
          <w:b/>
          <w:szCs w:val="24"/>
        </w:rPr>
      </w:pPr>
      <w:r>
        <w:rPr>
          <w:b/>
          <w:szCs w:val="24"/>
          <w:lang w:val="en-US"/>
        </w:rPr>
        <w:lastRenderedPageBreak/>
        <w:tab/>
      </w:r>
      <w:r>
        <w:rPr>
          <w:b/>
          <w:szCs w:val="24"/>
          <w:lang w:val="en-US"/>
        </w:rPr>
        <w:tab/>
      </w:r>
      <w:r w:rsidR="006D47C0">
        <w:rPr>
          <w:b/>
          <w:szCs w:val="24"/>
        </w:rPr>
        <w:t>g.</w:t>
      </w:r>
      <w:r w:rsidR="006D47C0">
        <w:rPr>
          <w:b/>
          <w:szCs w:val="24"/>
        </w:rPr>
        <w:tab/>
        <w:t>Choice Referral Team</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Duquesne Light proposes to create a Choice Referral Team to discuss the SO Program with customers</w:t>
      </w:r>
      <w:r>
        <w:rPr>
          <w:lang w:val="en-US"/>
        </w:rPr>
        <w:t xml:space="preserve"> due </w:t>
      </w:r>
      <w:r>
        <w:t xml:space="preserve">to the specialized nature of the SO Program.  Duquesne Light St. No. 5, p. 10.  </w:t>
      </w:r>
      <w:r>
        <w:rPr>
          <w:lang w:val="en-US"/>
        </w:rPr>
        <w:t xml:space="preserve">The Company contends that </w:t>
      </w:r>
      <w:r>
        <w:t>creating a separate Choice Referral Team is in the public interest because it will:  (1) allow the Company to provide detailed, specific training to a specific set of Customer Service Representatives (“CSRs”)</w:t>
      </w:r>
      <w:r>
        <w:rPr>
          <w:lang w:val="en-US"/>
        </w:rPr>
        <w:t>;</w:t>
      </w:r>
      <w:r>
        <w:t xml:space="preserve"> (2) minimize the impact of the Standard Offer Program on existing call center operations, (3) allow Duquesne Light to accurately track the costs of the Program</w:t>
      </w:r>
      <w:r>
        <w:rPr>
          <w:lang w:val="en-US"/>
        </w:rPr>
        <w:t>;</w:t>
      </w:r>
      <w:r>
        <w:t xml:space="preserve"> and (4) create administrative efficiencies for the Company.  Duquesne Light St. No. 5, p. 11; Duquesne Light St. No. 5-R, p. 16.  For these reasons, </w:t>
      </w:r>
      <w:r>
        <w:rPr>
          <w:lang w:val="en-US"/>
        </w:rPr>
        <w:t xml:space="preserve">the Company argues the Commission should deny </w:t>
      </w:r>
      <w:r>
        <w:t>the OCA proposal to disallow the Choice Referral Team.</w:t>
      </w:r>
    </w:p>
    <w:p w:rsidR="006D47C0" w:rsidRDefault="006D47C0" w:rsidP="006D47C0">
      <w:pPr>
        <w:pStyle w:val="BriefL3"/>
        <w:numPr>
          <w:ilvl w:val="0"/>
          <w:numId w:val="0"/>
        </w:numPr>
        <w:spacing w:after="0" w:line="360" w:lineRule="auto"/>
        <w:ind w:left="2160"/>
        <w:rPr>
          <w:szCs w:val="24"/>
          <w:lang w:eastAsia="x-none"/>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Pr="00B3206C"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rPr>
          <w:lang w:val="en-US"/>
        </w:rPr>
      </w:pPr>
      <w:r w:rsidRPr="00B3206C">
        <w:t>OCA is concerned that the specialized “</w:t>
      </w:r>
      <w:r w:rsidR="00E426E9">
        <w:rPr>
          <w:lang w:val="en-US"/>
        </w:rPr>
        <w:t>C</w:t>
      </w:r>
      <w:r w:rsidRPr="00B3206C">
        <w:t xml:space="preserve">hoice </w:t>
      </w:r>
      <w:r w:rsidR="00E426E9">
        <w:rPr>
          <w:lang w:val="en-US"/>
        </w:rPr>
        <w:t>R</w:t>
      </w:r>
      <w:r w:rsidRPr="00B3206C">
        <w:t xml:space="preserve">eferral </w:t>
      </w:r>
      <w:r w:rsidR="00E426E9">
        <w:rPr>
          <w:lang w:val="en-US"/>
        </w:rPr>
        <w:t>T</w:t>
      </w:r>
      <w:r w:rsidRPr="00B3206C">
        <w:t xml:space="preserve">eam” may result in increased costs that will unnecessarily burden the program.  </w:t>
      </w:r>
      <w:r w:rsidRPr="00B3206C">
        <w:rPr>
          <w:u w:val="single"/>
        </w:rPr>
        <w:t>See</w:t>
      </w:r>
      <w:r w:rsidRPr="00B3206C">
        <w:t xml:space="preserve"> OCA St. 2 at 18.  OCA submits that all costs, including the incremental costs of the Choice Referral Team, should be allocated to the EGSs that participate in this program because it is the EGSs who avoid marketing costs and gain customers as a result.  Regulated customers should not subsidize EGSs’ marketing and customer acquisition costs.  OCA St. 2 at 18.</w:t>
      </w:r>
      <w:r w:rsidRPr="00B3206C">
        <w:rPr>
          <w:rStyle w:val="FootnoteReference"/>
        </w:rPr>
        <w:footnoteReference w:id="140"/>
      </w:r>
    </w:p>
    <w:p w:rsidR="006D47C0" w:rsidRPr="00B3206C" w:rsidRDefault="006D47C0" w:rsidP="006D47C0">
      <w:pPr>
        <w:pStyle w:val="BodyText2"/>
        <w:spacing w:after="0" w:line="360" w:lineRule="auto"/>
        <w:ind w:firstLine="1440"/>
        <w:rPr>
          <w:lang w:val="en-US"/>
        </w:rPr>
      </w:pPr>
    </w:p>
    <w:p w:rsidR="006D47C0" w:rsidRDefault="006D47C0" w:rsidP="006D47C0">
      <w:pPr>
        <w:pStyle w:val="FootnoteText"/>
        <w:spacing w:line="360" w:lineRule="auto"/>
        <w:ind w:firstLine="1440"/>
        <w:rPr>
          <w:sz w:val="24"/>
          <w:szCs w:val="24"/>
        </w:rPr>
      </w:pPr>
      <w:r w:rsidRPr="00B3206C">
        <w:rPr>
          <w:sz w:val="24"/>
          <w:szCs w:val="24"/>
        </w:rPr>
        <w:t xml:space="preserve">OCA is also concerned about consumer protection and satisfaction issues.  The precise role of the </w:t>
      </w:r>
      <w:r w:rsidR="008D445F">
        <w:rPr>
          <w:sz w:val="24"/>
          <w:szCs w:val="24"/>
        </w:rPr>
        <w:t>C</w:t>
      </w:r>
      <w:r w:rsidRPr="00B3206C">
        <w:rPr>
          <w:sz w:val="24"/>
          <w:szCs w:val="24"/>
        </w:rPr>
        <w:t xml:space="preserve">hoice </w:t>
      </w:r>
      <w:r w:rsidR="008D445F">
        <w:rPr>
          <w:sz w:val="24"/>
          <w:szCs w:val="24"/>
        </w:rPr>
        <w:t>R</w:t>
      </w:r>
      <w:r w:rsidRPr="00B3206C">
        <w:rPr>
          <w:sz w:val="24"/>
          <w:szCs w:val="24"/>
        </w:rPr>
        <w:t xml:space="preserve">eferral </w:t>
      </w:r>
      <w:r w:rsidR="008D445F">
        <w:rPr>
          <w:sz w:val="24"/>
          <w:szCs w:val="24"/>
        </w:rPr>
        <w:t>T</w:t>
      </w:r>
      <w:r w:rsidRPr="00B3206C">
        <w:rPr>
          <w:sz w:val="24"/>
          <w:szCs w:val="24"/>
        </w:rPr>
        <w:t>eam has not been defined and it is possible that this specialized team could actually enroll the customer with a specific EGS.</w:t>
      </w:r>
      <w:r w:rsidRPr="00B3206C">
        <w:rPr>
          <w:rStyle w:val="FootnoteReference"/>
          <w:sz w:val="24"/>
          <w:szCs w:val="24"/>
        </w:rPr>
        <w:footnoteReference w:id="141"/>
      </w:r>
      <w:r w:rsidRPr="00B3206C">
        <w:rPr>
          <w:sz w:val="24"/>
          <w:szCs w:val="24"/>
        </w:rPr>
        <w:t xml:space="preserve">  </w:t>
      </w:r>
      <w:r w:rsidRPr="00B3206C">
        <w:rPr>
          <w:sz w:val="24"/>
          <w:szCs w:val="24"/>
          <w:u w:val="single"/>
        </w:rPr>
        <w:t>See</w:t>
      </w:r>
      <w:r w:rsidRPr="00B3206C">
        <w:rPr>
          <w:sz w:val="24"/>
          <w:szCs w:val="24"/>
        </w:rPr>
        <w:t xml:space="preserve"> Duquesne St. at</w:t>
      </w:r>
      <w:r>
        <w:rPr>
          <w:sz w:val="24"/>
          <w:szCs w:val="24"/>
        </w:rPr>
        <w:t> </w:t>
      </w:r>
      <w:r w:rsidRPr="00B3206C">
        <w:rPr>
          <w:sz w:val="24"/>
          <w:szCs w:val="24"/>
        </w:rPr>
        <w:t xml:space="preserve">8.  This </w:t>
      </w:r>
      <w:r>
        <w:rPr>
          <w:sz w:val="24"/>
          <w:szCs w:val="24"/>
        </w:rPr>
        <w:t xml:space="preserve">activity </w:t>
      </w:r>
      <w:r w:rsidRPr="00B3206C">
        <w:rPr>
          <w:sz w:val="24"/>
          <w:szCs w:val="24"/>
        </w:rPr>
        <w:t xml:space="preserve">would give rise to significant consumer protection concerns because of the </w:t>
      </w:r>
      <w:r w:rsidRPr="00B3206C">
        <w:rPr>
          <w:sz w:val="24"/>
          <w:szCs w:val="24"/>
        </w:rPr>
        <w:lastRenderedPageBreak/>
        <w:t xml:space="preserve">role that Duquesne would assume in presenting the terms and conditions of the program and obtaining consent to enroll a customer with a specific EGS.  OCA St. 2 at </w:t>
      </w:r>
      <w:r>
        <w:rPr>
          <w:sz w:val="24"/>
          <w:szCs w:val="24"/>
        </w:rPr>
        <w:t xml:space="preserve">18.  </w:t>
      </w:r>
    </w:p>
    <w:p w:rsidR="006D47C0" w:rsidRDefault="006D47C0" w:rsidP="006D47C0">
      <w:pPr>
        <w:pStyle w:val="FootnoteText"/>
        <w:spacing w:line="360" w:lineRule="auto"/>
        <w:ind w:firstLine="1440"/>
        <w:rPr>
          <w:sz w:val="24"/>
          <w:szCs w:val="24"/>
        </w:rPr>
      </w:pPr>
    </w:p>
    <w:p w:rsidR="006D47C0" w:rsidRPr="00B3206C" w:rsidRDefault="006D47C0" w:rsidP="006D47C0">
      <w:pPr>
        <w:pStyle w:val="FootnoteText"/>
        <w:spacing w:line="360" w:lineRule="auto"/>
        <w:ind w:firstLine="1440"/>
        <w:rPr>
          <w:sz w:val="24"/>
          <w:szCs w:val="24"/>
        </w:rPr>
      </w:pPr>
      <w:r w:rsidRPr="00B3206C">
        <w:rPr>
          <w:sz w:val="24"/>
          <w:szCs w:val="24"/>
        </w:rPr>
        <w:t xml:space="preserve">OCA submits this interaction and verification should be the responsibility of the EGS.  Additionally, the process of transferring the caller from the CSR to the </w:t>
      </w:r>
      <w:r w:rsidR="008D445F">
        <w:rPr>
          <w:sz w:val="24"/>
          <w:szCs w:val="24"/>
        </w:rPr>
        <w:t>C</w:t>
      </w:r>
      <w:r w:rsidRPr="00B3206C">
        <w:rPr>
          <w:sz w:val="24"/>
          <w:szCs w:val="24"/>
        </w:rPr>
        <w:t xml:space="preserve">hoice </w:t>
      </w:r>
      <w:r w:rsidR="008D445F">
        <w:rPr>
          <w:sz w:val="24"/>
          <w:szCs w:val="24"/>
        </w:rPr>
        <w:t>T</w:t>
      </w:r>
      <w:r w:rsidRPr="00B3206C">
        <w:rPr>
          <w:sz w:val="24"/>
          <w:szCs w:val="24"/>
        </w:rPr>
        <w:t>eam member</w:t>
      </w:r>
      <w:r>
        <w:rPr>
          <w:sz w:val="24"/>
          <w:szCs w:val="24"/>
        </w:rPr>
        <w:t xml:space="preserve"> and then, potentially,</w:t>
      </w:r>
      <w:r w:rsidRPr="00B3206C">
        <w:rPr>
          <w:sz w:val="24"/>
          <w:szCs w:val="24"/>
        </w:rPr>
        <w:t xml:space="preserve"> to the EGS may result in customer dissatisfaction about the process.  </w:t>
      </w:r>
      <w:r w:rsidRPr="00B3206C">
        <w:rPr>
          <w:sz w:val="24"/>
          <w:szCs w:val="24"/>
          <w:u w:val="single"/>
        </w:rPr>
        <w:t>See</w:t>
      </w:r>
      <w:r w:rsidRPr="00B3206C">
        <w:rPr>
          <w:sz w:val="24"/>
          <w:szCs w:val="24"/>
        </w:rPr>
        <w:t xml:space="preserve"> Duquesne St. 5-R </w:t>
      </w:r>
      <w:r>
        <w:rPr>
          <w:sz w:val="24"/>
          <w:szCs w:val="24"/>
        </w:rPr>
        <w:t xml:space="preserve">at 14-15; OCA St. 2-S at 8.  </w:t>
      </w:r>
      <w:r w:rsidRPr="00B3206C">
        <w:rPr>
          <w:sz w:val="24"/>
          <w:szCs w:val="24"/>
        </w:rPr>
        <w:t>OCA submits that this multi-step process may be neither efficient nor necessary.</w:t>
      </w:r>
    </w:p>
    <w:p w:rsidR="006D47C0" w:rsidRPr="00B3206C"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720" w:hanging="720"/>
        <w:rPr>
          <w:b/>
          <w:szCs w:val="24"/>
        </w:rPr>
      </w:pPr>
      <w:r>
        <w:rPr>
          <w:b/>
          <w:szCs w:val="24"/>
        </w:rPr>
        <w:tab/>
      </w: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firstLine="0"/>
        <w:rPr>
          <w:szCs w:val="24"/>
          <w:lang w:val="en-US"/>
        </w:rPr>
      </w:pPr>
      <w:r>
        <w:rPr>
          <w:szCs w:val="24"/>
          <w:lang w:val="en-US"/>
        </w:rPr>
        <w:tab/>
      </w:r>
      <w:r>
        <w:rPr>
          <w:szCs w:val="24"/>
          <w:lang w:val="en-US"/>
        </w:rPr>
        <w:tab/>
        <w:t>RESA takes no position on this issue.</w:t>
      </w:r>
    </w:p>
    <w:p w:rsidR="006D47C0" w:rsidRDefault="006D47C0" w:rsidP="006D47C0">
      <w:pPr>
        <w:pStyle w:val="ListParagraph"/>
        <w:autoSpaceDE/>
        <w:autoSpaceDN/>
        <w:spacing w:line="360" w:lineRule="auto"/>
        <w:ind w:left="0"/>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Joint Suppliers take</w:t>
      </w:r>
      <w:r>
        <w:t xml:space="preserve"> no position on this issue.</w:t>
      </w:r>
    </w:p>
    <w:p w:rsidR="00550761" w:rsidRDefault="00550761"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956B9F">
        <w:rPr>
          <w:b/>
        </w:rPr>
        <w:t>Disposition</w:t>
      </w:r>
      <w:r w:rsidRPr="004F3D43">
        <w:rPr>
          <w:b/>
        </w:rPr>
        <w:t xml:space="preserve"> </w:t>
      </w:r>
      <w:r>
        <w:rPr>
          <w:b/>
          <w:lang w:val="en-US"/>
        </w:rPr>
        <w:t xml:space="preserve">- </w:t>
      </w:r>
      <w:r w:rsidRPr="004E7112">
        <w:rPr>
          <w:b/>
          <w:color w:val="000000" w:themeColor="text1"/>
          <w:szCs w:val="24"/>
          <w:lang w:val="en-US"/>
        </w:rPr>
        <w:t>Standard Offer Program – Choice Referral Team</w:t>
      </w:r>
    </w:p>
    <w:p w:rsidR="006D47C0" w:rsidRPr="004E7112" w:rsidRDefault="006D47C0" w:rsidP="006D47C0">
      <w:pPr>
        <w:spacing w:line="360" w:lineRule="auto"/>
        <w:rPr>
          <w:color w:val="000000" w:themeColor="text1"/>
        </w:rPr>
      </w:pPr>
    </w:p>
    <w:p w:rsidR="006D47C0" w:rsidRPr="00057409" w:rsidRDefault="006D47C0" w:rsidP="006D47C0">
      <w:pPr>
        <w:pStyle w:val="ListParagraph"/>
        <w:autoSpaceDE/>
        <w:autoSpaceDN/>
        <w:spacing w:line="360" w:lineRule="auto"/>
        <w:ind w:left="0"/>
        <w:rPr>
          <w:b/>
          <w:u w:val="single"/>
        </w:rPr>
      </w:pPr>
      <w:r w:rsidRPr="004E7112">
        <w:rPr>
          <w:color w:val="000000" w:themeColor="text1"/>
        </w:rPr>
        <w:tab/>
      </w:r>
      <w:r w:rsidRPr="004E7112">
        <w:rPr>
          <w:color w:val="000000" w:themeColor="text1"/>
        </w:rPr>
        <w:tab/>
        <w:t>I recommend denying Duquesne Light’s proposal to create a Choice Referral Team to discuss the SO Program with customers due to the specialized nature of the SO Program.  I agree with OCA that creating such a specialized team may result in increased costs.  I also agree with OCA, however, that if this proposal is approved, all of the costs for the team should be allocated to the EGS</w:t>
      </w:r>
      <w:r w:rsidR="00B0003C">
        <w:rPr>
          <w:color w:val="000000" w:themeColor="text1"/>
        </w:rPr>
        <w:t>s</w:t>
      </w:r>
      <w:r w:rsidRPr="004E7112">
        <w:rPr>
          <w:color w:val="000000" w:themeColor="text1"/>
        </w:rPr>
        <w:t xml:space="preserve"> which participate in the program.  If approved, the EGSs will be able to avoid marketing costs and gain customers simultaneously, and it’s against the public interests for customers to subsidize the marketing and customer acquisition costs for the EGSs.  </w:t>
      </w:r>
    </w:p>
    <w:p w:rsidR="006D47C0" w:rsidRDefault="006D47C0" w:rsidP="006D47C0">
      <w:pPr>
        <w:pStyle w:val="BodyText"/>
        <w:spacing w:after="0" w:line="360" w:lineRule="auto"/>
        <w:ind w:left="0" w:firstLine="0"/>
        <w:rPr>
          <w:szCs w:val="24"/>
          <w:lang w:val="en-US"/>
        </w:rPr>
      </w:pPr>
    </w:p>
    <w:p w:rsidR="006D47C0" w:rsidRPr="00DB1879" w:rsidRDefault="006D47C0" w:rsidP="006D47C0">
      <w:pPr>
        <w:pStyle w:val="BodyText"/>
        <w:spacing w:after="0"/>
        <w:ind w:left="0" w:firstLine="0"/>
        <w:rPr>
          <w:szCs w:val="24"/>
          <w:lang w:val="en-US"/>
        </w:rPr>
      </w:pPr>
      <w:r>
        <w:rPr>
          <w:szCs w:val="24"/>
          <w:lang w:val="en-US"/>
        </w:rPr>
        <w:tab/>
      </w:r>
      <w:r>
        <w:rPr>
          <w:szCs w:val="24"/>
          <w:lang w:val="en-US"/>
        </w:rPr>
        <w:tab/>
      </w:r>
      <w:r>
        <w:rPr>
          <w:b/>
          <w:szCs w:val="24"/>
        </w:rPr>
        <w:t>h.</w:t>
      </w:r>
      <w:r>
        <w:rPr>
          <w:b/>
          <w:szCs w:val="24"/>
        </w:rPr>
        <w:tab/>
        <w:t xml:space="preserve">Standard Offer Customer Referral Program Rules and Supplier </w:t>
      </w:r>
      <w:r>
        <w:rPr>
          <w:b/>
          <w:szCs w:val="24"/>
          <w:lang w:val="en-US"/>
        </w:rPr>
        <w:tab/>
      </w:r>
      <w:r>
        <w:rPr>
          <w:b/>
          <w:szCs w:val="24"/>
          <w:lang w:val="en-US"/>
        </w:rPr>
        <w:tab/>
      </w:r>
      <w:r>
        <w:rPr>
          <w:b/>
          <w:szCs w:val="24"/>
          <w:lang w:val="en-US"/>
        </w:rPr>
        <w:tab/>
      </w:r>
      <w:r>
        <w:rPr>
          <w:b/>
          <w:szCs w:val="24"/>
          <w:lang w:val="en-US"/>
        </w:rPr>
        <w:tab/>
      </w:r>
      <w:r>
        <w:rPr>
          <w:b/>
          <w:szCs w:val="24"/>
        </w:rPr>
        <w:t xml:space="preserve">Agreement Between Duquesne Light and Electric Generation </w:t>
      </w:r>
      <w:r>
        <w:rPr>
          <w:b/>
          <w:szCs w:val="24"/>
          <w:lang w:val="en-US"/>
        </w:rPr>
        <w:tab/>
      </w:r>
      <w:r>
        <w:rPr>
          <w:b/>
          <w:szCs w:val="24"/>
          <w:lang w:val="en-US"/>
        </w:rPr>
        <w:tab/>
      </w:r>
      <w:r>
        <w:rPr>
          <w:b/>
          <w:szCs w:val="24"/>
          <w:lang w:val="en-US"/>
        </w:rPr>
        <w:tab/>
      </w:r>
      <w:r>
        <w:rPr>
          <w:b/>
          <w:szCs w:val="24"/>
          <w:lang w:val="en-US"/>
        </w:rPr>
        <w:tab/>
      </w:r>
      <w:r>
        <w:rPr>
          <w:b/>
          <w:szCs w:val="24"/>
          <w:lang w:val="en-US"/>
        </w:rPr>
        <w:tab/>
      </w:r>
      <w:r>
        <w:rPr>
          <w:b/>
          <w:szCs w:val="24"/>
        </w:rPr>
        <w:t>Suppliers</w:t>
      </w:r>
    </w:p>
    <w:p w:rsidR="003F70C4" w:rsidRDefault="003F70C4"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Pr>
          <w:b/>
          <w:szCs w:val="24"/>
        </w:rPr>
        <w:tab/>
        <w:t>i.</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 xml:space="preserve">Duquesne Light proposed that participating EGSs be required to enter into an agreement with the Company to participate in the SO Program.  Duquesne Light St. No. 3, </w:t>
      </w:r>
      <w:r>
        <w:lastRenderedPageBreak/>
        <w:t>pp.</w:t>
      </w:r>
      <w:r>
        <w:rPr>
          <w:lang w:val="en-US"/>
        </w:rPr>
        <w:t> </w:t>
      </w:r>
      <w:r>
        <w:t>37-38.  Duquesne Light provided a proposed agreement which set forth rules and procedures for the Program.  Duquesne Light Ex. NSF-3.</w:t>
      </w:r>
      <w:r>
        <w:rPr>
          <w:lang w:val="en-US"/>
        </w:rPr>
        <w:t xml:space="preserve">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Duquesne Light notes</w:t>
      </w:r>
      <w:r>
        <w:t xml:space="preserve"> the Commission typically review</w:t>
      </w:r>
      <w:r>
        <w:rPr>
          <w:lang w:val="en-US"/>
        </w:rPr>
        <w:t>s</w:t>
      </w:r>
      <w:r>
        <w:t xml:space="preserve"> and approve</w:t>
      </w:r>
      <w:r>
        <w:rPr>
          <w:lang w:val="en-US"/>
        </w:rPr>
        <w:t>s</w:t>
      </w:r>
      <w:r>
        <w:t xml:space="preserve"> agreements between wholesale default service suppliers and EDCs in default service proceedings, and </w:t>
      </w:r>
      <w:r>
        <w:rPr>
          <w:lang w:val="en-US"/>
        </w:rPr>
        <w:t xml:space="preserve">that </w:t>
      </w:r>
      <w:r>
        <w:t xml:space="preserve">these documents were reviewed and commented on in this proceeding.  See e.g., Constellation St. No. 1, Attachment 1.  </w:t>
      </w:r>
      <w:r>
        <w:rPr>
          <w:lang w:val="en-US"/>
        </w:rPr>
        <w:t>Duquesne Light avers t</w:t>
      </w:r>
      <w:r>
        <w:t xml:space="preserve">he need for agreements is clear.  </w:t>
      </w:r>
      <w:r>
        <w:rPr>
          <w:lang w:val="en-US"/>
        </w:rPr>
        <w:t>As an</w:t>
      </w:r>
      <w:r>
        <w:t xml:space="preserve"> example, </w:t>
      </w:r>
      <w:r>
        <w:rPr>
          <w:lang w:val="en-US"/>
        </w:rPr>
        <w:t xml:space="preserve">the Company opines </w:t>
      </w:r>
      <w:r>
        <w:t>SO suppliers will have obligations to take customers that elect to participate at the stated price and should be contractually obligated to live up to such obligations.  The SO Agreement further sets forth the Terms and Conditions of Providing Service and other rules and obligations of providing service that are not contained in the Company’s supplier tariff.  Duquesne Light St. No. 3-R, p. 26.</w:t>
      </w:r>
      <w:r>
        <w:rPr>
          <w:lang w:val="en-US"/>
        </w:rPr>
        <w:t xml:space="preserve">  Duquesne Light argues the </w:t>
      </w:r>
      <w:r>
        <w:t>EGSs’ contentions –</w:t>
      </w:r>
      <w:r>
        <w:rPr>
          <w:lang w:val="en-US"/>
        </w:rPr>
        <w:t xml:space="preserve"> </w:t>
      </w:r>
      <w:r>
        <w:t>that agreements are not necessary –</w:t>
      </w:r>
      <w:r>
        <w:rPr>
          <w:lang w:val="en-US"/>
        </w:rPr>
        <w:t xml:space="preserve"> </w:t>
      </w:r>
      <w:r>
        <w:t>should be rejected.  Moreover, all parties in this proceeding had an opportunity to propose revised terms and conditions to the SO Agreement.  Therefore, it is unnecessary to create a separate proceeding for parties to resolve any issues that they may have with respect to the SO Agreement.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iii.</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RESA recommended the </w:t>
      </w:r>
      <w:r>
        <w:rPr>
          <w:lang w:val="en-US"/>
        </w:rPr>
        <w:t xml:space="preserve">Commission find the </w:t>
      </w:r>
      <w:r>
        <w:t xml:space="preserve">Agreement between Duquesne and EGSs relating to the ROI auction is unnecessary and unreasonable.  For the same reasons expressed </w:t>
      </w:r>
      <w:r>
        <w:rPr>
          <w:lang w:val="en-US"/>
        </w:rPr>
        <w:t>previously concerning the Opt-In EGS Service Program</w:t>
      </w:r>
      <w:r>
        <w:t xml:space="preserve">, RESA recommends that the proposed standard offer Agreement be rejected, consistent with the Commission’s decision in the </w:t>
      </w:r>
      <w:r>
        <w:rPr>
          <w:i/>
        </w:rPr>
        <w:t>PECO Binding Poll,</w:t>
      </w:r>
      <w:r>
        <w:rPr>
          <w:rStyle w:val="FootnoteReference"/>
        </w:rPr>
        <w:footnoteReference w:id="142"/>
      </w:r>
      <w:r>
        <w:rPr>
          <w:i/>
        </w:rPr>
        <w:t xml:space="preserve"> </w:t>
      </w:r>
      <w:r>
        <w:t xml:space="preserve">and that a Staff collaborative for the negotiation of the governing documents be instituted.  </w:t>
      </w:r>
    </w:p>
    <w:p w:rsidR="006D47C0" w:rsidRDefault="006D47C0" w:rsidP="006D47C0">
      <w:pPr>
        <w:pStyle w:val="BriefL3"/>
        <w:numPr>
          <w:ilvl w:val="0"/>
          <w:numId w:val="0"/>
        </w:numPr>
        <w:spacing w:after="0" w:line="360" w:lineRule="auto"/>
        <w:ind w:firstLine="720"/>
        <w:rPr>
          <w:b/>
          <w:szCs w:val="24"/>
        </w:rPr>
      </w:pPr>
      <w:r>
        <w:rPr>
          <w:b/>
          <w:szCs w:val="24"/>
        </w:rPr>
        <w:lastRenderedPageBreak/>
        <w:tab/>
      </w:r>
      <w:r>
        <w:rPr>
          <w:b/>
          <w:szCs w:val="24"/>
        </w:rPr>
        <w:tab/>
        <w:t>iv.</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833501"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because the Company proposed a Standard Offer Customer Referral Program that only applies to residential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viii.</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ix.</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x.</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Joint Suppliers take</w:t>
      </w:r>
      <w:r>
        <w:t xml:space="preserve"> no position on this issue.</w:t>
      </w:r>
    </w:p>
    <w:p w:rsidR="00540B9C" w:rsidRDefault="00540B9C"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69156E">
        <w:rPr>
          <w:b/>
        </w:rPr>
        <w:lastRenderedPageBreak/>
        <w:t>Disposition</w:t>
      </w:r>
      <w:r w:rsidRPr="000E3FD3">
        <w:rPr>
          <w:b/>
        </w:rPr>
        <w:t xml:space="preserve"> </w:t>
      </w:r>
      <w:r>
        <w:rPr>
          <w:b/>
          <w:lang w:val="en-US"/>
        </w:rPr>
        <w:t xml:space="preserve">- </w:t>
      </w:r>
      <w:r w:rsidRPr="004E7112">
        <w:rPr>
          <w:b/>
          <w:color w:val="000000" w:themeColor="text1"/>
          <w:szCs w:val="24"/>
          <w:lang w:val="en-US"/>
        </w:rPr>
        <w:t xml:space="preserve">Standard Offer Program – Supplier Agreement </w:t>
      </w:r>
      <w:r>
        <w:rPr>
          <w:b/>
          <w:color w:val="000000" w:themeColor="text1"/>
          <w:szCs w:val="24"/>
          <w:lang w:val="en-US"/>
        </w:rPr>
        <w:t>B</w:t>
      </w:r>
      <w:r w:rsidRPr="004E7112">
        <w:rPr>
          <w:b/>
          <w:color w:val="000000" w:themeColor="text1"/>
          <w:szCs w:val="24"/>
          <w:lang w:val="en-US"/>
        </w:rPr>
        <w:t>etween DLC and EGSs</w:t>
      </w:r>
    </w:p>
    <w:p w:rsidR="006D47C0" w:rsidRPr="004E7112" w:rsidRDefault="006D47C0" w:rsidP="006D47C0">
      <w:pPr>
        <w:spacing w:line="360" w:lineRule="auto"/>
        <w:rPr>
          <w:color w:val="000000" w:themeColor="text1"/>
        </w:rPr>
      </w:pPr>
    </w:p>
    <w:p w:rsidR="006D47C0" w:rsidRPr="004E7112" w:rsidRDefault="006D47C0" w:rsidP="006D47C0">
      <w:pPr>
        <w:spacing w:line="360" w:lineRule="auto"/>
        <w:rPr>
          <w:color w:val="000000" w:themeColor="text1"/>
        </w:rPr>
      </w:pPr>
      <w:r w:rsidRPr="004E7112">
        <w:rPr>
          <w:color w:val="000000" w:themeColor="text1"/>
        </w:rPr>
        <w:tab/>
      </w:r>
      <w:r w:rsidRPr="004E7112">
        <w:rPr>
          <w:color w:val="000000" w:themeColor="text1"/>
        </w:rPr>
        <w:tab/>
        <w:t xml:space="preserve">I recommend approving Duquesne Light’s proposal to require all participating EGSs to enter into an agreement with the Company to participate in the SO Program.  The agreements are needed because these suppliers will have obligations to take customers that elect to participate at the stated price and the suppliers should be contractually obligated to live up to such obligations.  The Company proposes the SO Agreement – a copy of which is attached to the Company’s Statement No. 3 as Exhibit NSF-3 </w:t>
      </w:r>
      <w:r>
        <w:rPr>
          <w:color w:val="000000" w:themeColor="text1"/>
        </w:rPr>
        <w:t>–</w:t>
      </w:r>
      <w:r w:rsidRPr="004E7112">
        <w:rPr>
          <w:color w:val="000000" w:themeColor="text1"/>
        </w:rPr>
        <w:t xml:space="preserve"> sets forth the Terms and Conditions of providing service and other rules and obligations of providing service that are not contained in its supplier tariff.</w:t>
      </w:r>
    </w:p>
    <w:p w:rsidR="006D47C0" w:rsidRPr="0081077F" w:rsidRDefault="006D47C0" w:rsidP="006D47C0">
      <w:pPr>
        <w:pStyle w:val="ListParagraph"/>
        <w:autoSpaceDE/>
        <w:autoSpaceDN/>
        <w:spacing w:line="360" w:lineRule="auto"/>
        <w:ind w:left="0"/>
        <w:rPr>
          <w:b/>
          <w:u w:val="single"/>
        </w:rPr>
      </w:pPr>
    </w:p>
    <w:p w:rsidR="006D47C0" w:rsidRDefault="00C036BC" w:rsidP="006D47C0">
      <w:pPr>
        <w:pStyle w:val="BriefL3"/>
        <w:numPr>
          <w:ilvl w:val="0"/>
          <w:numId w:val="0"/>
        </w:numPr>
        <w:spacing w:after="0" w:line="360" w:lineRule="auto"/>
        <w:outlineLvl w:val="9"/>
        <w:rPr>
          <w:b/>
          <w:szCs w:val="24"/>
        </w:rPr>
      </w:pPr>
      <w:r>
        <w:rPr>
          <w:b/>
          <w:szCs w:val="24"/>
        </w:rPr>
        <w:tab/>
      </w:r>
      <w:r w:rsidR="006D47C0">
        <w:rPr>
          <w:b/>
          <w:szCs w:val="24"/>
        </w:rPr>
        <w:t>3.</w:t>
      </w:r>
      <w:r w:rsidR="006D47C0">
        <w:rPr>
          <w:b/>
          <w:szCs w:val="24"/>
        </w:rPr>
        <w:tab/>
        <w:t>Market Enhancement Program Cost Recovery</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Duquesne Light propose</w:t>
      </w:r>
      <w:r>
        <w:rPr>
          <w:lang w:val="en-US"/>
        </w:rPr>
        <w:t>s</w:t>
      </w:r>
      <w:r>
        <w:t xml:space="preserve"> to recover the costs of the ROI Program from participating suppliers</w:t>
      </w:r>
      <w:r>
        <w:rPr>
          <w:lang w:val="en-US"/>
        </w:rPr>
        <w:t>, consistent</w:t>
      </w:r>
      <w:r>
        <w:t xml:space="preserve"> with the Commission’s direction that participating EGSs be responsible for the costs of the RME Programs.  </w:t>
      </w:r>
      <w:r>
        <w:rPr>
          <w:i/>
        </w:rPr>
        <w:t>Intermediate Work Plan Order</w:t>
      </w:r>
      <w:r>
        <w:t xml:space="preserve"> at 84-85</w:t>
      </w:r>
      <w:r>
        <w:rPr>
          <w:lang w:val="en-US"/>
        </w:rPr>
        <w:t xml:space="preserve"> and </w:t>
      </w:r>
      <w:r>
        <w:t>Duquesne Light St. No. 3, p. 32.  In the event that no EGSs participate in the ROI Program, costs would be limited because no mailings would be made to customers and Duquesne Light would recover the very limited costs of the ROI Program through the POR discount.  In addition, Duquesne Light proposes to recover the SO Program costs predominantly through a customer acquisition charge assessed to participating SO suppliers.  The Company originally proposed to recover SO Program costs through its POR discount but modified its proposal to address EGS concerns about the POR cost recovery mechanism.  The Company recommend</w:t>
      </w:r>
      <w:r>
        <w:rPr>
          <w:lang w:val="en-US"/>
        </w:rPr>
        <w:t>s</w:t>
      </w:r>
      <w:r>
        <w:t xml:space="preserve"> a customer acquisition fee of $20 per customer in order to recover more of the estimated SO Program costs in a cost recovery mechanism that is acceptable to most of the parties.  Duquesne Light St. No.</w:t>
      </w:r>
      <w:r>
        <w:rPr>
          <w:lang w:val="en-US"/>
        </w:rPr>
        <w:t> </w:t>
      </w:r>
      <w:r>
        <w:t>3-RJ, p. 32.  Duquesne Light’s proposal to recover RME Program costs from EGSs is consistent with the Commission’s conclusion that these programs are intended to benefit EGSs by avoiding lower customer acquisition costs.  Duquesne Light St. No. 3-R, p. 72.</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lastRenderedPageBreak/>
        <w:tab/>
      </w:r>
      <w:r>
        <w:rPr>
          <w:lang w:val="en-US"/>
        </w:rPr>
        <w:tab/>
        <w:t>DLC notes</w:t>
      </w:r>
      <w:r>
        <w:t xml:space="preserve"> OCA, OSBA and CAUSE-PA supported the Company’s proposal to recover RME program costs from EGSs</w:t>
      </w:r>
      <w:r>
        <w:rPr>
          <w:lang w:val="en-US"/>
        </w:rPr>
        <w:t>,</w:t>
      </w:r>
      <w:r>
        <w:t xml:space="preserve">  </w:t>
      </w:r>
      <w:r>
        <w:rPr>
          <w:lang w:val="en-US"/>
        </w:rPr>
        <w:t>(</w:t>
      </w:r>
      <w:r>
        <w:t>Duquesne Light St. No. 3-R, p. 70; OCA St. No. 2, p.</w:t>
      </w:r>
      <w:r>
        <w:rPr>
          <w:lang w:val="en-US"/>
        </w:rPr>
        <w:t> </w:t>
      </w:r>
      <w:r>
        <w:t>7; OSBA St. No. 1, p. 8; CAUSE-PA St. No. 1, p. 4.</w:t>
      </w:r>
      <w:r>
        <w:rPr>
          <w:lang w:val="en-US"/>
        </w:rPr>
        <w:t>), while</w:t>
      </w:r>
      <w:r>
        <w:t xml:space="preserve"> the EGS parties offered different proposals regarding cost recovery, all with the common theme that default service customers should bear some or all of the RME Program costs.</w:t>
      </w:r>
      <w:r>
        <w:rPr>
          <w:lang w:val="en-US"/>
        </w:rPr>
        <w:t xml:space="preserve">  The Company contends these </w:t>
      </w:r>
      <w:r>
        <w:t>argument</w:t>
      </w:r>
      <w:r>
        <w:rPr>
          <w:lang w:val="en-US"/>
        </w:rPr>
        <w:t>s are</w:t>
      </w:r>
      <w:r>
        <w:t xml:space="preserve"> inconsistent with the Commission’s direction that EGSs are responsible for RME cost recovery</w:t>
      </w:r>
      <w:r>
        <w:rPr>
          <w:lang w:val="en-US"/>
        </w:rPr>
        <w:t xml:space="preserve"> as well as </w:t>
      </w:r>
      <w:r>
        <w:t xml:space="preserve">directly inconsistent with EDCs recovery of default service costs only from default service customers.  All customers clearly stand to benefit from default service.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The Company points out that</w:t>
      </w:r>
      <w:r>
        <w:t xml:space="preserve"> RESA argued Duquesne Light should recover RME </w:t>
      </w:r>
      <w:r w:rsidR="00DD28E6">
        <w:rPr>
          <w:lang w:val="en-US"/>
        </w:rPr>
        <w:t>P</w:t>
      </w:r>
      <w:r>
        <w:t>rogram costs only from default service customers through a PTC adder of 5 mils/kWh</w:t>
      </w:r>
      <w:r>
        <w:rPr>
          <w:lang w:val="en-US"/>
        </w:rPr>
        <w:t xml:space="preserve"> and that</w:t>
      </w:r>
      <w:r>
        <w:t xml:space="preserve"> any excess recovered over the RME costs be refunded to all customers, including shopping customers that did not pay the charge.  RESA St. No. 7, p. 27.  RESA’s proposal would have default service customers pay not only for RME Programs they are not participating in but pay a further subsidy to shopping customers.  </w:t>
      </w:r>
    </w:p>
    <w:p w:rsidR="006D47C0" w:rsidRPr="00AC28E9"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Duquesne Light argues </w:t>
      </w:r>
      <w:r>
        <w:t>RESA’s proposal is clearly inequitable and should be rejected</w:t>
      </w:r>
      <w:r>
        <w:rPr>
          <w:lang w:val="en-US"/>
        </w:rPr>
        <w:t>.  T</w:t>
      </w:r>
      <w:r>
        <w:t xml:space="preserve">he Commission recently rejected RESA’s proposal in two separate proceedings including the </w:t>
      </w:r>
      <w:r w:rsidRPr="00CF7CDA">
        <w:rPr>
          <w:i/>
        </w:rPr>
        <w:t>FE Companies’</w:t>
      </w:r>
      <w:r>
        <w:t xml:space="preserve"> default service proceeding and in the binding poll conducted on September 27, 2012 in </w:t>
      </w:r>
      <w:r w:rsidRPr="00CF7CDA">
        <w:rPr>
          <w:i/>
        </w:rPr>
        <w:t>PECO’s</w:t>
      </w:r>
      <w:r>
        <w:t xml:space="preserve"> default service proceeding at Docket No. P</w:t>
      </w:r>
      <w:r>
        <w:rPr>
          <w:lang w:val="en-US"/>
        </w:rPr>
        <w:noBreakHyphen/>
      </w:r>
      <w:r>
        <w:t xml:space="preserve">2012-2283641 (Issue No. 11).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The Company further notes</w:t>
      </w:r>
      <w:r>
        <w:t xml:space="preserve"> Dominion/IGS proposed the SO Program be paid for by participating suppliers on a “per customer acquired basis” with the upfront programming costs to be collected by Duquesne Light on a non-bypassable basis.  Dominion/IGS St. No. 1, p.</w:t>
      </w:r>
      <w:r>
        <w:rPr>
          <w:lang w:val="en-US"/>
        </w:rPr>
        <w:t> </w:t>
      </w:r>
      <w:r>
        <w:t>8.  Duquesne Light indicate</w:t>
      </w:r>
      <w:r>
        <w:rPr>
          <w:lang w:val="en-US"/>
        </w:rPr>
        <w:t xml:space="preserve">s </w:t>
      </w:r>
      <w:r>
        <w:t xml:space="preserve">it would be open to this type of proposal for SO Program costs, but that the customer acquisition fee would need to be $20, rather than the $10 proposed by Dominion, in order to recover more of the estimated costs.  Duquesne Light St. No. 3-RJ, p. 32.  </w:t>
      </w:r>
    </w:p>
    <w:p w:rsidR="00567BF2" w:rsidRPr="00567BF2" w:rsidRDefault="00567BF2"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However, </w:t>
      </w:r>
      <w:r>
        <w:rPr>
          <w:lang w:val="en-US"/>
        </w:rPr>
        <w:t>DLC notes one remaining issue is</w:t>
      </w:r>
      <w:r>
        <w:t xml:space="preserve"> what to do in the event that no EGSs and/or customers participate in the SO Program.  </w:t>
      </w:r>
      <w:r>
        <w:rPr>
          <w:lang w:val="en-US"/>
        </w:rPr>
        <w:t>T</w:t>
      </w:r>
      <w:r>
        <w:t xml:space="preserve">he Company believes these SO Program costs </w:t>
      </w:r>
      <w:r>
        <w:lastRenderedPageBreak/>
        <w:t xml:space="preserve">should be recovered from EGSs and not customers. </w:t>
      </w:r>
      <w:r>
        <w:rPr>
          <w:lang w:val="en-US"/>
        </w:rPr>
        <w:t xml:space="preserve"> </w:t>
      </w:r>
      <w:r>
        <w:t>Duquesne Light St. No. 3-RJ, pp. 72-83.  Therefore, another cost recovery mechanism – such as the Company’s proposed POR discount or a flat fee for EGSs</w:t>
      </w:r>
      <w:r>
        <w:rPr>
          <w:lang w:val="en-US"/>
        </w:rPr>
        <w:t xml:space="preserve"> –</w:t>
      </w:r>
      <w:r>
        <w:t xml:space="preserve"> is necessary as a fallback cost recovery mechanism since the customer acquisition charge may be insufficient to fully recover SO Program costs.  Duquesne Light St. No. 3-RJ, p. 32.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Duquesne Light notes the Commission reasserted its conclusion that EGSs are responsible for these costs and directed the parties to submit RME Program cost recovery proposals within 60 days after the Commission’s Order for Commission review</w:t>
      </w:r>
      <w:r>
        <w:rPr>
          <w:lang w:val="en-US"/>
        </w:rPr>
        <w:t xml:space="preserve"> </w:t>
      </w:r>
      <w:r>
        <w:t xml:space="preserve">in the FE Companies’ recent default service proceeding.  The Commission further directed the parties </w:t>
      </w:r>
      <w:r>
        <w:rPr>
          <w:lang w:val="en-US"/>
        </w:rPr>
        <w:t xml:space="preserve">to </w:t>
      </w:r>
      <w:r>
        <w:t xml:space="preserve">attempt to reach an agreement as to how these program costs will be recovered.  </w:t>
      </w:r>
      <w:r>
        <w:rPr>
          <w:i/>
        </w:rPr>
        <w:t>FE Order</w:t>
      </w:r>
      <w:r>
        <w:t xml:space="preserve"> at</w:t>
      </w:r>
      <w:r>
        <w:rPr>
          <w:lang w:val="en-US"/>
        </w:rPr>
        <w:t> </w:t>
      </w:r>
      <w:r>
        <w:t>136; Commissioner Witmer</w:t>
      </w:r>
      <w:r>
        <w:rPr>
          <w:lang w:val="en-US"/>
        </w:rPr>
        <w:t>’s</w:t>
      </w:r>
      <w:r>
        <w:t xml:space="preserve"> Motion in the PECO proceeding.  Consistent with the Commission’s direction in these two proceedings, Duquesne Light requests the </w:t>
      </w:r>
      <w:r>
        <w:rPr>
          <w:lang w:val="en-US"/>
        </w:rPr>
        <w:t>Commission</w:t>
      </w:r>
      <w:r>
        <w:t xml:space="preserve"> confirm the responsibility of EGSs for these costs.  </w:t>
      </w:r>
      <w:r>
        <w:rPr>
          <w:lang w:val="en-US"/>
        </w:rPr>
        <w:t>T</w:t>
      </w:r>
      <w:r>
        <w:t>he Company wants to ensure the costs associated with the retail market initiatives are fully recovered from EGSs, regardless of the level of supplier and customer participation and the level of the customer acquisition fee.  Duquesne Light St. No.</w:t>
      </w:r>
      <w:r>
        <w:rPr>
          <w:lang w:val="en-US"/>
        </w:rPr>
        <w:t> </w:t>
      </w:r>
      <w:r>
        <w:t>3</w:t>
      </w:r>
      <w:r>
        <w:rPr>
          <w:lang w:val="en-US"/>
        </w:rPr>
        <w:noBreakHyphen/>
      </w:r>
      <w:r>
        <w:t>RJ, p. 33.</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pPr>
      <w:r>
        <w:tab/>
      </w:r>
      <w:r>
        <w:tab/>
        <w:t xml:space="preserve">OCA avers Duquesne Light’s proposal for recovery of the costs of these programs is consistent with the </w:t>
      </w:r>
      <w:r w:rsidRPr="000B3E55">
        <w:rPr>
          <w:i/>
        </w:rPr>
        <w:t>IWP Order</w:t>
      </w:r>
      <w:r>
        <w:rPr>
          <w:u w:val="single"/>
        </w:rPr>
        <w:fldChar w:fldCharType="begin"/>
      </w:r>
      <w:r>
        <w:instrText xml:space="preserve"> TA \s "IWP Order" </w:instrText>
      </w:r>
      <w:r>
        <w:rPr>
          <w:u w:val="single"/>
        </w:rPr>
        <w:fldChar w:fldCharType="end"/>
      </w:r>
      <w:r>
        <w:t xml:space="preserve">, wherein the Commission stated that it would be appropriate for EDCs to recover Opt-In </w:t>
      </w:r>
      <w:r w:rsidR="00D4308A">
        <w:t>A</w:t>
      </w:r>
      <w:r>
        <w:t xml:space="preserve">uction implementation costs from participating EGSs, given that the participating EGSs are the entities reaping the possible customer acquisition benefits resulting from the auction.  </w:t>
      </w:r>
      <w:r w:rsidRPr="00CF781D">
        <w:rPr>
          <w:i/>
        </w:rPr>
        <w:t>IWP Order</w:t>
      </w:r>
      <w:r>
        <w:t xml:space="preserve"> at 78.  OCA notes that, as with the Opt-In Auction Program cost recovery proposal, Duquesne’s proposed recovery of the costs of the referral program from participating EGSs is also consistent with the </w:t>
      </w:r>
      <w:r w:rsidRPr="008701EC">
        <w:rPr>
          <w:i/>
        </w:rPr>
        <w:t>IWP Order</w:t>
      </w:r>
      <w:r>
        <w:rPr>
          <w:u w:val="single"/>
        </w:rPr>
        <w:fldChar w:fldCharType="begin"/>
      </w:r>
      <w:r>
        <w:instrText xml:space="preserve"> TA \s "IWP Order" </w:instrText>
      </w:r>
      <w:r>
        <w:rPr>
          <w:u w:val="single"/>
        </w:rPr>
        <w:fldChar w:fldCharType="end"/>
      </w:r>
      <w:r>
        <w:t xml:space="preserve">.  </w:t>
      </w:r>
    </w:p>
    <w:p w:rsidR="006D47C0" w:rsidRDefault="006D47C0" w:rsidP="006D47C0">
      <w:pPr>
        <w:spacing w:line="360" w:lineRule="auto"/>
      </w:pPr>
    </w:p>
    <w:p w:rsidR="006D47C0" w:rsidRDefault="006D47C0" w:rsidP="006D47C0">
      <w:pPr>
        <w:spacing w:line="360" w:lineRule="auto"/>
        <w:ind w:firstLine="1440"/>
      </w:pPr>
      <w:r>
        <w:t xml:space="preserve">The costs incurred to implement the Opt-In Auction and Referral Programs are not necessary to implement retail choice because the Competition Act does not mandate these programs.  These programs are “enhancements” that are intended to expand the current level of </w:t>
      </w:r>
      <w:r>
        <w:lastRenderedPageBreak/>
        <w:t xml:space="preserve">retail competition that already exists.   Therefore, it would not be reasonable to view the costs associated with these “enhancements” as similar to those incurred and paid for by all customers to implement the basic requirements for a retail competitive market.”  OCA St. 2-R at 17-18.  It would be particularly unfair and unreasonable for default service customers to pay for these costs in the manner suggested by RESA. </w:t>
      </w:r>
    </w:p>
    <w:p w:rsidR="006D47C0" w:rsidRDefault="006D47C0" w:rsidP="006D47C0">
      <w:pPr>
        <w:spacing w:line="360" w:lineRule="auto"/>
        <w:ind w:firstLine="1440"/>
      </w:pPr>
    </w:p>
    <w:p w:rsidR="006D47C0" w:rsidRDefault="006D47C0" w:rsidP="006D47C0">
      <w:pPr>
        <w:spacing w:line="360" w:lineRule="auto"/>
        <w:ind w:firstLine="1440"/>
      </w:pPr>
      <w:r>
        <w:t>In addition, OCA points out that Opt-In service customers are the ones who obtain the benefit of the program in the form of a rebate and lower costs for a 12</w:t>
      </w:r>
      <w:r>
        <w:noBreakHyphen/>
        <w:t xml:space="preserve">month period.  </w:t>
      </w:r>
    </w:p>
    <w:p w:rsidR="006D47C0" w:rsidRDefault="006D47C0" w:rsidP="006D47C0">
      <w:pPr>
        <w:spacing w:line="360" w:lineRule="auto"/>
        <w:jc w:val="both"/>
      </w:pPr>
      <w:r>
        <w:t>OCA St 1-R at 8-9.  OCA agrees with DLC that making EGSs pay for the bulk of the direct costs of these programs serves as a valuable “check and balance” on the design and structure of these programs, using an example provided by DLC:</w:t>
      </w:r>
    </w:p>
    <w:p w:rsidR="006D47C0" w:rsidRDefault="006D47C0" w:rsidP="006D47C0">
      <w:pPr>
        <w:ind w:left="1440" w:right="720"/>
      </w:pPr>
    </w:p>
    <w:p w:rsidR="006D47C0" w:rsidRDefault="006D47C0" w:rsidP="006D47C0">
      <w:pPr>
        <w:ind w:left="1440" w:right="720"/>
      </w:pPr>
      <w:r>
        <w:t xml:space="preserve">It is always easier to eat at a nice restaurant when someone else is paying the bill.  Making EGSs bear the bulk of the direct costs of these programs will require EGSs to think seriously about what is and what is not cost effective from a marketing and program administration standpoint.  Otherwise, if EGSs do not pay for the programs directly, this would provide EGSs with an incentive to ask for more “bells and whistles” to promote and expand these programs, even when it is not cost effective.  </w:t>
      </w:r>
    </w:p>
    <w:p w:rsidR="006D47C0" w:rsidRDefault="006D47C0" w:rsidP="006D47C0">
      <w:pPr>
        <w:spacing w:line="360" w:lineRule="auto"/>
      </w:pPr>
    </w:p>
    <w:p w:rsidR="006D47C0" w:rsidRDefault="006D47C0" w:rsidP="006D47C0">
      <w:pPr>
        <w:spacing w:line="360" w:lineRule="auto"/>
      </w:pPr>
      <w:r>
        <w:rPr>
          <w:u w:val="single"/>
        </w:rPr>
        <w:t>Id</w:t>
      </w:r>
      <w:r w:rsidRPr="004814A9">
        <w:t xml:space="preserve">. </w:t>
      </w:r>
      <w:r>
        <w:t xml:space="preserve"> </w:t>
      </w:r>
    </w:p>
    <w:p w:rsidR="001623CC" w:rsidRDefault="001623CC" w:rsidP="006D47C0">
      <w:pPr>
        <w:spacing w:line="360" w:lineRule="auto"/>
      </w:pPr>
    </w:p>
    <w:p w:rsidR="006D47C0" w:rsidRDefault="006D47C0" w:rsidP="006D47C0">
      <w:pPr>
        <w:spacing w:line="360" w:lineRule="auto"/>
      </w:pPr>
      <w:r>
        <w:tab/>
      </w:r>
      <w:r>
        <w:tab/>
        <w:t xml:space="preserve">OCA argues the EGSs provided no compelling evidence to justify a cost recovery method different from that method recommended in the </w:t>
      </w:r>
      <w:r w:rsidRPr="00AE2A0F">
        <w:rPr>
          <w:i/>
        </w:rPr>
        <w:t>IWP Order</w:t>
      </w:r>
      <w:r>
        <w:t>.  Accordingly, OCA submits that Duquesne’s proposal to recover the costs of these initiatives should be adopted.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c.</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RESA believes that the costs of RMEs should be paid only by default service customers, or through a non-bypassable charge applied to all customers.</w:t>
      </w:r>
      <w:r>
        <w:rPr>
          <w:vertAlign w:val="superscript"/>
        </w:rPr>
        <w:footnoteReference w:id="143"/>
      </w:r>
      <w:r>
        <w:t xml:space="preserve">   One of the principal purposes of the auction/aggregation is to provide a way to encourage “sticky” default service </w:t>
      </w:r>
      <w:r>
        <w:lastRenderedPageBreak/>
        <w:t>customers to take their first venture into the competitive market.</w:t>
      </w:r>
      <w:r>
        <w:rPr>
          <w:vertAlign w:val="superscript"/>
        </w:rPr>
        <w:footnoteReference w:id="144"/>
      </w:r>
      <w:r>
        <w:t xml:space="preserve">  In fact, in terms of traditional cost allocation, the costs of the RMEs are caused by the existence of default service, without which customers would all be on competitive supply, eliminating the need for measures to encourage them to move away from the utility.</w:t>
      </w:r>
      <w:r>
        <w:rPr>
          <w:vertAlign w:val="superscript"/>
        </w:rPr>
        <w:footnoteReference w:id="145"/>
      </w:r>
      <w:r>
        <w:t xml:space="preserve">  Thus, it is appropriate that the cost be collected from default service customers.  To do this, RESA has proposed a 5 mils/kWh charge.</w:t>
      </w:r>
    </w:p>
    <w:p w:rsidR="006D47C0" w:rsidRDefault="006D47C0" w:rsidP="006D47C0">
      <w:pPr>
        <w:spacing w:line="360" w:lineRule="auto"/>
        <w:ind w:firstLine="720"/>
      </w:pPr>
    </w:p>
    <w:p w:rsidR="006D47C0" w:rsidRDefault="006D47C0" w:rsidP="006D47C0">
      <w:pPr>
        <w:spacing w:line="360" w:lineRule="auto"/>
        <w:ind w:firstLine="720"/>
      </w:pPr>
      <w:r>
        <w:tab/>
        <w:t>Alternatively, it is just and reasonable for the costs of these market enhancements to be borne by all customers through non-bypassable charges.</w:t>
      </w:r>
      <w:r>
        <w:rPr>
          <w:vertAlign w:val="superscript"/>
        </w:rPr>
        <w:footnoteReference w:id="146"/>
      </w:r>
      <w:r>
        <w:t xml:space="preserve">  These market enhancements are intended to move Pennsylvania closer to what the Commission may consider to be an optimal structure.</w:t>
      </w:r>
      <w:r>
        <w:rPr>
          <w:vertAlign w:val="superscript"/>
        </w:rPr>
        <w:footnoteReference w:id="147"/>
      </w:r>
      <w:r>
        <w:t xml:space="preserve">  This process can be viewed as a natural continuation of the transition to restructured markets that began in the late ‘90s – where all costs of initially opening retail markets were recovered from all electric customers (since there were no EGSs on which to impose the costs).</w:t>
      </w:r>
      <w:r>
        <w:rPr>
          <w:vertAlign w:val="superscript"/>
        </w:rPr>
        <w:footnoteReference w:id="148"/>
      </w:r>
      <w:r>
        <w:t xml:space="preserve">  </w:t>
      </w:r>
    </w:p>
    <w:p w:rsidR="006D47C0" w:rsidRDefault="006D47C0" w:rsidP="006D47C0">
      <w:pPr>
        <w:spacing w:line="360" w:lineRule="auto"/>
        <w:ind w:firstLine="720"/>
      </w:pPr>
    </w:p>
    <w:p w:rsidR="006D47C0" w:rsidRDefault="006D47C0" w:rsidP="006D47C0">
      <w:pPr>
        <w:spacing w:line="360" w:lineRule="auto"/>
        <w:ind w:firstLine="720"/>
      </w:pPr>
      <w:r>
        <w:tab/>
        <w:t xml:space="preserve">In the </w:t>
      </w:r>
      <w:r>
        <w:rPr>
          <w:i/>
        </w:rPr>
        <w:t>Intermediate Work Plan Final Order</w:t>
      </w:r>
      <w:r>
        <w:t>, the Commission indicated that it thought it was “only fair” for the EGSs to pick up the associated costs, since they were the “prime beneficiaries” of the program.  While EGSs will certainly benefit to some degree if they are successful in gaining a critical mass of customers to make the process worthwhile, the primary – if not sole – justification for these enhancements should be the benefits they will bring – or at least make available – to all customers.</w:t>
      </w:r>
      <w:r>
        <w:rPr>
          <w:vertAlign w:val="superscript"/>
        </w:rPr>
        <w:footnoteReference w:id="149"/>
      </w:r>
      <w:r>
        <w:t xml:space="preserve">  Therefore, it is appropriate that the costs be borne by all customers, as were the costs of the original restructuring in the ‘90s.</w:t>
      </w:r>
      <w:r>
        <w:rPr>
          <w:vertAlign w:val="superscript"/>
        </w:rPr>
        <w:footnoteReference w:id="150"/>
      </w:r>
    </w:p>
    <w:p w:rsidR="006D47C0" w:rsidRDefault="006D47C0" w:rsidP="006D47C0">
      <w:pPr>
        <w:pStyle w:val="BodyText"/>
        <w:spacing w:after="0" w:line="360" w:lineRule="auto"/>
        <w:ind w:left="0" w:firstLine="0"/>
        <w:rPr>
          <w:szCs w:val="24"/>
          <w:lang w:val="en-US"/>
        </w:rPr>
      </w:pPr>
    </w:p>
    <w:p w:rsidR="00B442FF" w:rsidRDefault="00B442FF"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lastRenderedPageBreak/>
        <w:tab/>
        <w:t>d.</w:t>
      </w:r>
      <w:r>
        <w:rPr>
          <w:b/>
          <w:szCs w:val="24"/>
        </w:rPr>
        <w:tab/>
        <w:t>OSBA’s Position</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OSBA </w:t>
      </w:r>
      <w:r>
        <w:rPr>
          <w:lang w:val="en-US"/>
        </w:rPr>
        <w:t>chose to</w:t>
      </w:r>
      <w:r>
        <w:t xml:space="preserve"> address the recovery of program costs for retail market enhancements generally, rather than with respect to each specific program.</w:t>
      </w:r>
      <w:r>
        <w:rPr>
          <w:rStyle w:val="FootnoteReference"/>
        </w:rPr>
        <w:footnoteReference w:id="151"/>
      </w:r>
      <w:r>
        <w:rPr>
          <w:lang w:val="en-US"/>
        </w:rPr>
        <w:t xml:space="preserve">  It </w:t>
      </w:r>
      <w:r>
        <w:t>agrees with Duquesne’s proposal to recover the costs associated with its retail market enhancements through a discount on its purchased EGS receivables.  The Company’s proposal is consistent with the Commission’s directive in its Retail Market Order.</w:t>
      </w:r>
      <w:r>
        <w:rPr>
          <w:rStyle w:val="FootnoteReference"/>
        </w:rPr>
        <w:footnoteReference w:id="152"/>
      </w:r>
    </w:p>
    <w:p w:rsidR="006D47C0" w:rsidRDefault="006D47C0" w:rsidP="006D47C0">
      <w:pPr>
        <w:pStyle w:val="BodyText2"/>
        <w:spacing w:after="0" w:line="360" w:lineRule="auto"/>
        <w:rPr>
          <w:lang w:val="en-US"/>
        </w:rPr>
      </w:pPr>
    </w:p>
    <w:p w:rsidR="006D47C0" w:rsidRPr="008C3FD7" w:rsidRDefault="006D47C0" w:rsidP="006D47C0">
      <w:pPr>
        <w:pStyle w:val="BodyText2"/>
        <w:spacing w:after="0" w:line="360" w:lineRule="auto"/>
      </w:pPr>
      <w:r>
        <w:rPr>
          <w:lang w:val="en-US"/>
        </w:rPr>
        <w:tab/>
      </w:r>
      <w:r>
        <w:rPr>
          <w:lang w:val="en-US"/>
        </w:rPr>
        <w:tab/>
        <w:t xml:space="preserve">OSBA notes </w:t>
      </w:r>
      <w:r>
        <w:t xml:space="preserve">witnesses for both FES and RESA argue that Duquesne’s </w:t>
      </w:r>
      <w:r w:rsidR="007A0296">
        <w:rPr>
          <w:lang w:val="en-US"/>
        </w:rPr>
        <w:t>R</w:t>
      </w:r>
      <w:r>
        <w:t xml:space="preserve">etail </w:t>
      </w:r>
      <w:r w:rsidR="007A0296">
        <w:rPr>
          <w:lang w:val="en-US"/>
        </w:rPr>
        <w:t>M</w:t>
      </w:r>
      <w:r>
        <w:t xml:space="preserve">arket </w:t>
      </w:r>
      <w:r w:rsidR="007A0296">
        <w:rPr>
          <w:lang w:val="en-US"/>
        </w:rPr>
        <w:t>E</w:t>
      </w:r>
      <w:r>
        <w:t xml:space="preserve">nhancements benefit default service customers because all customers benefit from the development of a more robust/competitive electricity market.  OSBA agrees that all customers benefit from a competitive electricity market, but all customers also benefit from Duquesne’s default service procurement program.  </w:t>
      </w:r>
    </w:p>
    <w:p w:rsidR="006D47C0" w:rsidRDefault="006D47C0" w:rsidP="006D47C0">
      <w:pPr>
        <w:pStyle w:val="BodyText2"/>
        <w:spacing w:after="0" w:line="360" w:lineRule="auto"/>
      </w:pPr>
    </w:p>
    <w:p w:rsidR="006D47C0" w:rsidRDefault="006D47C0" w:rsidP="006D47C0">
      <w:pPr>
        <w:pStyle w:val="BodyText2"/>
        <w:spacing w:after="0" w:line="360" w:lineRule="auto"/>
      </w:pPr>
      <w:r>
        <w:rPr>
          <w:lang w:val="en-US"/>
        </w:rPr>
        <w:tab/>
      </w:r>
      <w:r>
        <w:rPr>
          <w:lang w:val="en-US"/>
        </w:rPr>
        <w:tab/>
        <w:t xml:space="preserve">OSBA contends </w:t>
      </w:r>
      <w:r>
        <w:t xml:space="preserve">RESA </w:t>
      </w:r>
      <w:r>
        <w:rPr>
          <w:lang w:val="en-US"/>
        </w:rPr>
        <w:t>seeks</w:t>
      </w:r>
      <w:r>
        <w:t xml:space="preserve"> to penalize default service customers who choose not to shop</w:t>
      </w:r>
      <w:r>
        <w:rPr>
          <w:lang w:val="en-US"/>
        </w:rPr>
        <w:t xml:space="preserve"> and suggests</w:t>
      </w:r>
      <w:r>
        <w:t xml:space="preserve"> “the costs of the </w:t>
      </w:r>
      <w:r w:rsidR="00E829B3">
        <w:rPr>
          <w:lang w:val="en-US"/>
        </w:rPr>
        <w:t>R</w:t>
      </w:r>
      <w:r>
        <w:t xml:space="preserve">etail </w:t>
      </w:r>
      <w:r w:rsidR="00E829B3">
        <w:rPr>
          <w:lang w:val="en-US"/>
        </w:rPr>
        <w:t>M</w:t>
      </w:r>
      <w:r>
        <w:t xml:space="preserve">arket </w:t>
      </w:r>
      <w:r w:rsidR="00E829B3">
        <w:rPr>
          <w:lang w:val="en-US"/>
        </w:rPr>
        <w:t>E</w:t>
      </w:r>
      <w:r>
        <w:t>nhancements RESA advocates are caused by the existence of default service, without which customers would all be on competitive supply, eliminating the need for measures to encourage them to move away from the utility.”</w:t>
      </w:r>
      <w:r>
        <w:rPr>
          <w:rStyle w:val="FootnoteReference"/>
        </w:rPr>
        <w:footnoteReference w:id="153"/>
      </w:r>
      <w:r>
        <w:t xml:space="preserve">  RESA implies that if all Duquesne customers only had the good sense to shop, all of these costs would be avoided.  However, it is inequitable to penalize default service customers who choose not to shop by forcing them to subsidize customer choice in the Commonwealth.</w:t>
      </w:r>
      <w:r>
        <w:rPr>
          <w:rStyle w:val="FootnoteReference"/>
        </w:rPr>
        <w:footnoteReference w:id="154"/>
      </w:r>
      <w:r>
        <w:t xml:space="preserve">  Therefore</w:t>
      </w:r>
      <w:r>
        <w:rPr>
          <w:lang w:val="en-US"/>
        </w:rPr>
        <w:t>,</w:t>
      </w:r>
      <w:r>
        <w:t xml:space="preserve"> OSBA respectfully requests the Commission reject RESA’s and FES’ cost recovery proposals.</w:t>
      </w:r>
    </w:p>
    <w:p w:rsidR="006D47C0" w:rsidRDefault="006D47C0" w:rsidP="006D47C0">
      <w:pPr>
        <w:pStyle w:val="BodyText"/>
        <w:spacing w:after="0" w:line="360" w:lineRule="auto"/>
        <w:ind w:left="0" w:firstLine="0"/>
        <w:rPr>
          <w:szCs w:val="24"/>
          <w:lang w:val="en-US"/>
        </w:rPr>
      </w:pPr>
    </w:p>
    <w:p w:rsidR="00772FD2" w:rsidRDefault="006D47C0" w:rsidP="006D47C0">
      <w:pPr>
        <w:pStyle w:val="BriefL3"/>
        <w:numPr>
          <w:ilvl w:val="0"/>
          <w:numId w:val="0"/>
        </w:numPr>
        <w:spacing w:after="0" w:line="360" w:lineRule="auto"/>
        <w:ind w:firstLine="720"/>
        <w:rPr>
          <w:b/>
          <w:szCs w:val="24"/>
        </w:rPr>
      </w:pPr>
      <w:r>
        <w:rPr>
          <w:b/>
          <w:szCs w:val="24"/>
        </w:rPr>
        <w:tab/>
      </w:r>
    </w:p>
    <w:p w:rsidR="00772FD2" w:rsidRDefault="00772FD2" w:rsidP="006D47C0">
      <w:pPr>
        <w:pStyle w:val="BriefL3"/>
        <w:numPr>
          <w:ilvl w:val="0"/>
          <w:numId w:val="0"/>
        </w:numPr>
        <w:spacing w:after="0" w:line="360" w:lineRule="auto"/>
        <w:ind w:firstLine="720"/>
        <w:rPr>
          <w:b/>
          <w:szCs w:val="24"/>
        </w:rPr>
      </w:pPr>
    </w:p>
    <w:p w:rsidR="006D47C0" w:rsidRDefault="00772FD2" w:rsidP="006D47C0">
      <w:pPr>
        <w:pStyle w:val="BriefL3"/>
        <w:numPr>
          <w:ilvl w:val="0"/>
          <w:numId w:val="0"/>
        </w:numPr>
        <w:spacing w:after="0" w:line="360" w:lineRule="auto"/>
        <w:ind w:firstLine="720"/>
        <w:rPr>
          <w:b/>
          <w:szCs w:val="24"/>
        </w:rPr>
      </w:pPr>
      <w:r>
        <w:rPr>
          <w:b/>
          <w:szCs w:val="24"/>
        </w:rPr>
        <w:lastRenderedPageBreak/>
        <w:tab/>
      </w:r>
      <w:r w:rsidR="006D47C0">
        <w:rPr>
          <w:b/>
          <w:szCs w:val="24"/>
        </w:rPr>
        <w:t>e.</w:t>
      </w:r>
      <w:r w:rsidR="006D47C0">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CAUSE</w:t>
      </w:r>
      <w:r>
        <w:t xml:space="preserve"> takes </w:t>
      </w:r>
      <w:r>
        <w:rPr>
          <w:lang w:val="en-US"/>
        </w:rPr>
        <w:t>the position it stated previously concerning Market Enhancements generally</w:t>
      </w:r>
      <w:r>
        <w:t>.</w:t>
      </w: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Citizen Power agrees with Duquesne that the costs of </w:t>
      </w:r>
      <w:r w:rsidR="005B51A3">
        <w:t>Retail M</w:t>
      </w:r>
      <w:r>
        <w:t xml:space="preserve">arket </w:t>
      </w:r>
      <w:r w:rsidR="005B51A3">
        <w:t>E</w:t>
      </w:r>
      <w:r>
        <w:t xml:space="preserve">nhancement </w:t>
      </w:r>
      <w:r w:rsidR="00EF13C0">
        <w:t>P</w:t>
      </w:r>
      <w:r>
        <w:t>rograms should be borne entirely by the main beneficiaries, which are the EGSs.  Citizen Power argues that, if RESA’s arguments are taken to their logical extreme, then default service customers should have to pay a portion of the marketing budgets of the EGSs.</w:t>
      </w:r>
    </w:p>
    <w:p w:rsidR="006D47C0" w:rsidRDefault="006D47C0" w:rsidP="006D47C0">
      <w:pPr>
        <w:spacing w:line="360" w:lineRule="auto"/>
        <w:ind w:firstLine="720"/>
      </w:pPr>
    </w:p>
    <w:p w:rsidR="006D47C0" w:rsidRDefault="006D47C0" w:rsidP="006D47C0">
      <w:pPr>
        <w:spacing w:line="360" w:lineRule="auto"/>
        <w:ind w:firstLine="720"/>
      </w:pPr>
      <w:r>
        <w:tab/>
        <w:t xml:space="preserve">Although Citizen Power agrees the </w:t>
      </w:r>
      <w:r w:rsidR="003403AB">
        <w:t>M</w:t>
      </w:r>
      <w:r>
        <w:t xml:space="preserve">arket </w:t>
      </w:r>
      <w:r w:rsidR="003403AB">
        <w:t>E</w:t>
      </w:r>
      <w:r>
        <w:t xml:space="preserve">nhancement </w:t>
      </w:r>
      <w:r w:rsidR="003403AB">
        <w:t>P</w:t>
      </w:r>
      <w:r>
        <w:t xml:space="preserve">rograms benefit default service customers to a degree, it pales in comparison to the benefits afforded to the EGSs.  The main purpose of the retail enhancement programs is not to increase the number of suppliers in Duquesne’s territory but to increase the number of retail customers, i.e. </w:t>
      </w:r>
      <w:r w:rsidRPr="00D02EDF">
        <w:rPr>
          <w:u w:val="single"/>
        </w:rPr>
        <w:t>the demand</w:t>
      </w:r>
      <w:r>
        <w:t xml:space="preserve">.  In a market place, increased demand typically benefits the sellers, not the buyers.  In addition, just as the existence of the electric market benefits default service customers, the existence of default service benefits shopping customers.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DII agrees with Duquesne that RME programs primarily benefit EGSs and, accordingly, that EGSs should assume responsibility for the program costs.  The Commission has recognized that costs of the program should be borne by EGSs and specifically identified a POR discount as a permissible and equitable recovery mechanism for such costs.  </w:t>
      </w:r>
      <w:r>
        <w:rPr>
          <w:i/>
        </w:rPr>
        <w:t>Investigation of Pennsylvania’s Retail Electricity Market Intermediate Work Plan</w:t>
      </w:r>
      <w:r>
        <w:t xml:space="preserve">, Docket No. 1-2011-2237952, Order (Mar. 2, 2012), pp. 32, 78 (hereinafter “RMI Order”).  Moreover, EGSs should remit the costs for both a customer referral </w:t>
      </w:r>
      <w:r w:rsidRPr="00D02EDF">
        <w:rPr>
          <w:u w:val="single"/>
        </w:rPr>
        <w:t>and</w:t>
      </w:r>
      <w:r>
        <w:t xml:space="preserve"> aggregation program.  </w:t>
      </w:r>
      <w:r>
        <w:rPr>
          <w:i/>
        </w:rPr>
        <w:t>See Joint Petition of Metropolitan Edison Company, Pennsylvania Electric Company, Pennsylvania Power Company and West Penn Power Company For Approval of Their Default Service Programs</w:t>
      </w:r>
      <w:r>
        <w:rPr>
          <w:b/>
        </w:rPr>
        <w:t xml:space="preserve">, </w:t>
      </w:r>
      <w:r>
        <w:t xml:space="preserve">Docket Nos. </w:t>
      </w:r>
      <w:r>
        <w:lastRenderedPageBreak/>
        <w:t xml:space="preserve">P-2011-2273650, </w:t>
      </w:r>
      <w:r>
        <w:rPr>
          <w:i/>
        </w:rPr>
        <w:t>et. al.</w:t>
      </w:r>
      <w:r>
        <w:t xml:space="preserve">, Opinion and Order (Aug. 16, 2012), p. 136 (hereinafter “Aug. 16, 2012, Order”).  </w:t>
      </w:r>
    </w:p>
    <w:p w:rsidR="00772FD2" w:rsidRDefault="00772FD2" w:rsidP="006D47C0">
      <w:pPr>
        <w:spacing w:line="360" w:lineRule="auto"/>
        <w:ind w:firstLine="720"/>
      </w:pPr>
    </w:p>
    <w:p w:rsidR="006D47C0" w:rsidRDefault="006D47C0" w:rsidP="006D47C0">
      <w:pPr>
        <w:spacing w:line="360" w:lineRule="auto"/>
        <w:ind w:firstLine="720"/>
      </w:pPr>
      <w:r>
        <w:tab/>
      </w:r>
      <w:r>
        <w:rPr>
          <w:szCs w:val="20"/>
        </w:rPr>
        <w:t xml:space="preserve">Contrary to the implication of such cost recovery proposals, </w:t>
      </w:r>
      <w:r>
        <w:t xml:space="preserve">Duquesne’s RME </w:t>
      </w:r>
      <w:r w:rsidR="003403AB">
        <w:t>P</w:t>
      </w:r>
      <w:r>
        <w:t xml:space="preserve">rogram descriptions generally exclude C&amp;I customers from participation.  Duquesne St. No. 3, p. 4.  In addition, no party to the proceeding envisions Large C&amp;I customer eligibility for RME </w:t>
      </w:r>
      <w:r w:rsidR="003403AB">
        <w:t>P</w:t>
      </w:r>
      <w:r>
        <w:t>rograms.  As evidenced by the plain language of Duquesne’s RME proposals and the clarifications offered by CNE, FES, and Dominion, Large C&amp;I customers are ineligible for participation in Duquesne’s proposed RME programs.</w:t>
      </w:r>
    </w:p>
    <w:p w:rsidR="006D47C0" w:rsidRDefault="006D47C0" w:rsidP="006D47C0">
      <w:pPr>
        <w:spacing w:line="360" w:lineRule="auto"/>
        <w:ind w:firstLine="720"/>
      </w:pPr>
    </w:p>
    <w:p w:rsidR="006D47C0" w:rsidRDefault="006D47C0" w:rsidP="006D47C0">
      <w:pPr>
        <w:spacing w:line="360" w:lineRule="auto"/>
        <w:ind w:firstLine="720"/>
      </w:pPr>
      <w:r>
        <w:tab/>
        <w:t xml:space="preserve">If the Commission should decline to approve Duquesne’s proposal to recover RME program costs through a POR discount, then the Commission must ensure that any approved mechanism for recovering RME program costs complies with the Public Utility Code and principles of cost causation.  Because Large C&amp;I customers are ineligible for RME programs, they must not be charged these costs.  </w:t>
      </w:r>
      <w:r>
        <w:rPr>
          <w:i/>
        </w:rPr>
        <w:t xml:space="preserve">See, e.g., </w:t>
      </w:r>
      <w:r>
        <w:t>Stipulation of DII and OSBA.  It would be unjust, unreasonable, and inconsistent with cost causation principles for DII to recover costs from customers that are ineligible to participate in such programs.</w:t>
      </w:r>
    </w:p>
    <w:p w:rsidR="006D47C0" w:rsidRDefault="006D47C0" w:rsidP="006D47C0">
      <w:pPr>
        <w:spacing w:line="360" w:lineRule="auto"/>
        <w:ind w:firstLine="720"/>
      </w:pPr>
    </w:p>
    <w:p w:rsidR="006D47C0" w:rsidRDefault="006D47C0" w:rsidP="006D47C0">
      <w:pPr>
        <w:spacing w:line="360" w:lineRule="auto"/>
        <w:ind w:firstLine="720"/>
      </w:pPr>
      <w:r>
        <w:tab/>
        <w:t xml:space="preserve">Large C&amp;I customers are ineligible to participate in RME programs and would receive no corresponding benefits from these programs.  Shopping statistics reflect that any additional incentives for Large C&amp;I shopping are unnecessary.  Therefore, the Commission should reject any proposal to collect RME </w:t>
      </w:r>
      <w:r w:rsidR="00AB2464">
        <w:t>P</w:t>
      </w:r>
      <w:r>
        <w:t>rogram costs from ineligible customer classes, particularly Large C&amp;I customers.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outlineLvl w:val="9"/>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The EGS Parties note Duquesne’s proposal to recover the costs of the ROA from winning suppliers on a </w:t>
      </w:r>
      <w:r>
        <w:rPr>
          <w:i/>
        </w:rPr>
        <w:t xml:space="preserve">pro-rata </w:t>
      </w:r>
      <w:r>
        <w:t xml:space="preserve">basis and point out that, while this approach appears to be reasonable if the Commission imposes an </w:t>
      </w:r>
      <w:r>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xml:space="preserve"> style assignment program, the cost could grow if the auction process is retained.  If the auction wins the day, then customers must share in the costs since they benefit from these programs.  (TJB St. No. 1, p. 6:4-8).</w:t>
      </w:r>
    </w:p>
    <w:p w:rsidR="006D47C0" w:rsidRDefault="006D47C0" w:rsidP="006D47C0">
      <w:pPr>
        <w:spacing w:line="360" w:lineRule="auto"/>
        <w:ind w:firstLine="720"/>
      </w:pPr>
      <w:r>
        <w:lastRenderedPageBreak/>
        <w:tab/>
        <w:t xml:space="preserve">The SOR should be paid for by participating suppliers on a “per customer acquired basis” (e.g. $10/customer acquired) only so the cost responsibility is directly applied to the cost-causers.  While there may be certain programming necessary for the program to be started, those upfront costs should be collected by Duquesne Light through a non-bypassable rider since one has to assume this program benefits choice in general and should be borne by all customers, because every customer may be able to take advantage of the program in the future.  (TJB St. No. 1, pp. 7:15-8:9).  It is not appropriate to put suppliers at risk for future recovery of any remaining costs through a POR discount, as proposed by Duquesne witness Fisher, particularly those suppliers that have customers today and may choose not to participate in the </w:t>
      </w:r>
      <w:r w:rsidR="00FE475F">
        <w:t>R</w:t>
      </w:r>
      <w:r>
        <w:t xml:space="preserve">eferral </w:t>
      </w:r>
      <w:r w:rsidR="00FE475F">
        <w:t>P</w:t>
      </w:r>
      <w:r>
        <w:t xml:space="preserve">rogram.  (TJB St. No. 1-SR, pp. 4:23-5:13). </w:t>
      </w:r>
    </w:p>
    <w:p w:rsidR="006D47C0" w:rsidRDefault="006D47C0" w:rsidP="006D47C0">
      <w:pPr>
        <w:pStyle w:val="BriefL3"/>
        <w:numPr>
          <w:ilvl w:val="0"/>
          <w:numId w:val="0"/>
        </w:numPr>
        <w:spacing w:after="0" w:line="360" w:lineRule="auto"/>
        <w:ind w:firstLine="72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 xml:space="preserve">FES appreciates Duquesne Light's reconsideration of the cost recovery issue as it pertains to the Referral Program, but disagrees with any proposal that includes collection through an increase to the POR discount.  FES St. No. 1 at 17-21; FES St. No. 1-SR at 11.  Therefore, FES opposes Duquesne Light’s cost recovery proposals.  As an initial matter, FES believes the costs of both programs should be recovered from all customers in the class of customers that are eligible to participate.  </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 xml:space="preserve">All these customers stand to experience significant savings from a robust, competitive retail electricity market that includes an increase in the number of EGSs from which they can choose.  The Opt-In </w:t>
      </w:r>
      <w:r w:rsidR="00FE475F">
        <w:t>P</w:t>
      </w:r>
      <w:r>
        <w:t xml:space="preserve">rogram and Referral Program promote such a market, and the benefits to customers will continue well beyond the expiration of this program.  Therefore, recovery of costs for these programs should be through a charge applicable to all customers.  Also, the </w:t>
      </w:r>
      <w:r w:rsidRPr="00FE475F">
        <w:rPr>
          <w:i/>
        </w:rPr>
        <w:t>ME/PN/PP/WP Order</w:t>
      </w:r>
      <w:r>
        <w:t xml:space="preserve"> expanded eligibility to participate in the programs to additional customers, including Small C&amp;I customers.  In which case, the costs would be spread over an even larger customer pool, which would result in an even lower cost per customer.  Recovering costs of the programs from all customers in any class eligible to participate in the program eliminates the need for a contingency plan in the event there are no winning EGSs in the Opt-In </w:t>
      </w:r>
      <w:r w:rsidR="00823059">
        <w:t>P</w:t>
      </w:r>
      <w:r>
        <w:t>rogram.  FES St. No. 1 at 18-19; FES St. No. 1-R at 22.</w:t>
      </w:r>
    </w:p>
    <w:p w:rsidR="006D47C0" w:rsidRDefault="006D47C0" w:rsidP="006D47C0">
      <w:pPr>
        <w:pStyle w:val="BodyTextFirstLine5DS"/>
        <w:spacing w:line="360" w:lineRule="auto"/>
        <w:jc w:val="left"/>
      </w:pPr>
      <w:r>
        <w:lastRenderedPageBreak/>
        <w:tab/>
        <w:t xml:space="preserve">If costs are to be recovered from EGSs, it is critical that an EGS’s cost per customer be a known, capped amount.  Otherwise it is unreasonable to expect significant EGS participation.  FES recommends that the costs of the Opt-In </w:t>
      </w:r>
      <w:r w:rsidR="00DB6E6C">
        <w:t>P</w:t>
      </w:r>
      <w:r>
        <w:t>rogram be allocated based on the number of customers actually enrolled by each EGS.  Also, there should be a cap on the amount charged to EGSs for each customer enrolled, and any under-collection of program costs as a result of the supplier cost cap or lack of participation should be recovered from all customers in the classes of customers eligible to participate in the program.  All costs should be made known to all qualified bidders prior to the bid proposal due date.  This method of cost recovery would provide for a sharing of costs between EGSs and the customers who benefit from the programs, and would give EGSs the certainty they need to determine whether to participate in the program.  FES St. No. 1-R at 22-23.</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 xml:space="preserve">FES argues there is </w:t>
      </w:r>
      <w:r>
        <w:rPr>
          <w:u w:val="single"/>
        </w:rPr>
        <w:t>no relationship</w:t>
      </w:r>
      <w:r>
        <w:t xml:space="preserve"> between the </w:t>
      </w:r>
      <w:r w:rsidR="00DD3EF4">
        <w:t>R</w:t>
      </w:r>
      <w:r>
        <w:t xml:space="preserve">etail </w:t>
      </w:r>
      <w:r w:rsidR="00DD3EF4">
        <w:t>P</w:t>
      </w:r>
      <w:r>
        <w:t xml:space="preserve">rograms and the </w:t>
      </w:r>
      <w:r w:rsidR="00DD3EF4">
        <w:t>D</w:t>
      </w:r>
      <w:r>
        <w:t xml:space="preserve">iscount </w:t>
      </w:r>
      <w:r w:rsidR="00DD3EF4">
        <w:t>O</w:t>
      </w:r>
      <w:r>
        <w:t xml:space="preserve">n </w:t>
      </w:r>
      <w:r w:rsidR="00DD3EF4">
        <w:t>P</w:t>
      </w:r>
      <w:r>
        <w:t xml:space="preserve">urchased </w:t>
      </w:r>
      <w:r w:rsidR="00DD3EF4">
        <w:t>R</w:t>
      </w:r>
      <w:r>
        <w:t xml:space="preserve">eceivables.  A discount on purchased receivables should be used only for reasons that have a logical connection to the purposes of the POR </w:t>
      </w:r>
      <w:r w:rsidR="00B139F0">
        <w:t>P</w:t>
      </w:r>
      <w:r>
        <w:t xml:space="preserve">rogram, not as a mechanism for recovering costs of programs completely unrelated to POR.  Such unrelated cost imposition will encourage EGSs to discontinue their participation in POR programs.  Indeed, Rule 12.1.7.1 of Duquesne Light’s Electric Generation Supplier Coordination Tariff explains that participation in its POR </w:t>
      </w:r>
      <w:r w:rsidR="00B139F0">
        <w:t>P</w:t>
      </w:r>
      <w:r>
        <w:t xml:space="preserve">rogram is voluntary and not all EGSs must participate.  </w:t>
      </w:r>
      <w:r>
        <w:rPr>
          <w:i/>
        </w:rPr>
        <w:t xml:space="preserve">See </w:t>
      </w:r>
      <w:r>
        <w:t xml:space="preserve">Duquesne Light Company’s Supplement No. 8 to Electric-Pa.P.U.C. No. 3S (Effective January 1, 2011).  </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rPr>
          <w:i/>
        </w:rPr>
      </w:pPr>
      <w:r>
        <w:tab/>
        <w:t xml:space="preserve">Under Rule 12.1.7.1, an EGS which does its own billing does not participate in Duquesne Light’s POR </w:t>
      </w:r>
      <w:r w:rsidR="00803DAC">
        <w:t>P</w:t>
      </w:r>
      <w:r>
        <w:t xml:space="preserve">rogram.  Such an EGS would not pay any share of </w:t>
      </w:r>
      <w:r w:rsidR="00803DAC">
        <w:t>R</w:t>
      </w:r>
      <w:r>
        <w:t xml:space="preserve">etail </w:t>
      </w:r>
      <w:r w:rsidR="00803DAC">
        <w:t>P</w:t>
      </w:r>
      <w:r>
        <w:t xml:space="preserve">rogram costs, even if it participates in the programs.  Since POR </w:t>
      </w:r>
      <w:r w:rsidR="00803DAC">
        <w:t>P</w:t>
      </w:r>
      <w:r>
        <w:t xml:space="preserve">rograms were implemented for the purpose of attracting increased EGS activity in EDC service territories where they might otherwise not participate, it would be ill-advised to make POR </w:t>
      </w:r>
      <w:r w:rsidR="00803DAC">
        <w:t>P</w:t>
      </w:r>
      <w:r>
        <w:t xml:space="preserve">rograms unattractive to EGSs.  Unfair and disproportionately allocated cost recovery will be harmful to the success of retail competition in an EDC's service territory if it discourages EGSs from participating in the territory.  </w:t>
      </w:r>
      <w:r>
        <w:rPr>
          <w:i/>
        </w:rPr>
        <w:t>Id.</w:t>
      </w:r>
    </w:p>
    <w:p w:rsidR="006D47C0" w:rsidRDefault="006D47C0" w:rsidP="006D47C0">
      <w:pPr>
        <w:pStyle w:val="BodyTextFirstLine5DS"/>
        <w:spacing w:line="360" w:lineRule="auto"/>
        <w:jc w:val="left"/>
      </w:pPr>
    </w:p>
    <w:p w:rsidR="00987E15" w:rsidRDefault="00987E15" w:rsidP="006D47C0">
      <w:pPr>
        <w:pStyle w:val="BodyTextFirstLine5DS"/>
        <w:spacing w:line="360" w:lineRule="auto"/>
        <w:jc w:val="left"/>
      </w:pPr>
    </w:p>
    <w:p w:rsidR="006D47C0" w:rsidRDefault="006D47C0" w:rsidP="006D47C0">
      <w:pPr>
        <w:pStyle w:val="BodyTextFirstLine5DS"/>
        <w:spacing w:line="360" w:lineRule="auto"/>
        <w:jc w:val="left"/>
        <w:rPr>
          <w:b/>
        </w:rPr>
      </w:pPr>
      <w:r>
        <w:rPr>
          <w:b/>
        </w:rPr>
        <w:lastRenderedPageBreak/>
        <w:tab/>
        <w:t>j.</w:t>
      </w:r>
      <w:r>
        <w:rPr>
          <w:b/>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spacing w:line="360" w:lineRule="auto"/>
        <w:rPr>
          <w:b/>
          <w:color w:val="000000" w:themeColor="text1"/>
        </w:rPr>
      </w:pPr>
      <w:r w:rsidRPr="004630DE">
        <w:rPr>
          <w:b/>
        </w:rPr>
        <w:t>Disposition</w:t>
      </w:r>
      <w:r w:rsidRPr="009E0A4F">
        <w:rPr>
          <w:b/>
        </w:rPr>
        <w:t xml:space="preserve"> </w:t>
      </w:r>
      <w:r w:rsidRPr="009E0A4F">
        <w:t>-</w:t>
      </w:r>
      <w:r>
        <w:rPr>
          <w:b/>
        </w:rPr>
        <w:t xml:space="preserve"> </w:t>
      </w:r>
      <w:r w:rsidRPr="004E7112">
        <w:rPr>
          <w:b/>
          <w:color w:val="000000" w:themeColor="text1"/>
        </w:rPr>
        <w:t xml:space="preserve">Market Enhancement Program Cost Recovery </w:t>
      </w:r>
    </w:p>
    <w:p w:rsidR="006D47C0" w:rsidRPr="004E7112" w:rsidRDefault="006D47C0" w:rsidP="006D47C0">
      <w:pPr>
        <w:spacing w:line="360" w:lineRule="auto"/>
        <w:rPr>
          <w:color w:val="000000" w:themeColor="text1"/>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r w:rsidRPr="004E7112">
        <w:rPr>
          <w:color w:val="000000" w:themeColor="text1"/>
          <w:szCs w:val="24"/>
        </w:rPr>
        <w:tab/>
      </w:r>
      <w:r w:rsidRPr="004E7112">
        <w:rPr>
          <w:color w:val="000000" w:themeColor="text1"/>
          <w:szCs w:val="24"/>
          <w:lang w:val="en-US"/>
        </w:rPr>
        <w:t xml:space="preserve">I recommend approving Duquesne Light’s proposal to recover the cost of the ROI Program from participating suppliers.  This proposal is consistent with prior Commission direction specifying that EGSs must be responsible for the costs of the programs that enhance the retail market. </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Herein, RESA seeks to force default service customer</w:t>
      </w:r>
      <w:r>
        <w:rPr>
          <w:color w:val="000000" w:themeColor="text1"/>
          <w:szCs w:val="24"/>
          <w:lang w:val="en-US"/>
        </w:rPr>
        <w:t>s</w:t>
      </w:r>
      <w:r w:rsidRPr="004E7112">
        <w:rPr>
          <w:color w:val="000000" w:themeColor="text1"/>
          <w:szCs w:val="24"/>
          <w:lang w:val="en-US"/>
        </w:rPr>
        <w:t xml:space="preserve"> to pay for the cost of a program which benefits EGSs primarily and shopping customers secondarily.  This approach cannot be described as anything other than a punitive measure meant to punish non-shopping, default service customers using an added surcharge as a financial “2x4”, and it ignores the fact that default service customers </w:t>
      </w:r>
      <w:r w:rsidRPr="004E7112">
        <w:rPr>
          <w:color w:val="000000" w:themeColor="text1"/>
          <w:szCs w:val="24"/>
          <w:u w:val="single"/>
          <w:lang w:val="en-US"/>
        </w:rPr>
        <w:t>may</w:t>
      </w:r>
      <w:r w:rsidRPr="00F1354F">
        <w:rPr>
          <w:color w:val="000000" w:themeColor="text1"/>
          <w:szCs w:val="24"/>
          <w:lang w:val="en-US"/>
        </w:rPr>
        <w:t xml:space="preserve"> </w:t>
      </w:r>
      <w:r w:rsidRPr="004E7112">
        <w:rPr>
          <w:color w:val="000000" w:themeColor="text1"/>
          <w:szCs w:val="24"/>
          <w:u w:val="single"/>
          <w:lang w:val="en-US"/>
        </w:rPr>
        <w:t>be</w:t>
      </w:r>
      <w:r w:rsidRPr="004E7112">
        <w:rPr>
          <w:color w:val="000000" w:themeColor="text1"/>
          <w:szCs w:val="24"/>
          <w:lang w:val="en-US"/>
        </w:rPr>
        <w:t xml:space="preserve"> comparing rates to the PTC – and electing (i.e., choosing) not to select a supplier other than Duquesne Light at this time.  This approach ignores any of the myriad of reasons why a ratepayer may have chosen to consider DLC as its EGS.  </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It should be noted the issue of how to organize and structure RME Program cost recovery is still under consideration with the Commission in the context of the FirstEnergy proceeding.  I agree with the Company that the EGSs are responsible for these costs and these costs should be fully recovered from the EGSs.  </w:t>
      </w:r>
    </w:p>
    <w:p w:rsidR="006D47C0" w:rsidRPr="003B16AE" w:rsidRDefault="006D47C0" w:rsidP="006D47C0">
      <w:pPr>
        <w:pStyle w:val="ListParagraph"/>
        <w:autoSpaceDE/>
        <w:autoSpaceDN/>
        <w:spacing w:line="360" w:lineRule="auto"/>
        <w:ind w:left="0"/>
        <w:rPr>
          <w:b/>
          <w:u w:val="single"/>
        </w:rPr>
      </w:pPr>
    </w:p>
    <w:p w:rsidR="006D47C0" w:rsidRDefault="006D47C0" w:rsidP="0059119F">
      <w:pPr>
        <w:pStyle w:val="BodyText"/>
        <w:spacing w:after="0" w:line="360" w:lineRule="auto"/>
        <w:ind w:left="0" w:firstLine="0"/>
      </w:pPr>
      <w:r>
        <w:rPr>
          <w:szCs w:val="24"/>
          <w:lang w:val="en-US"/>
        </w:rPr>
        <w:tab/>
      </w:r>
      <w:r>
        <w:rPr>
          <w:szCs w:val="24"/>
          <w:lang w:val="en-US"/>
        </w:rPr>
        <w:tab/>
      </w:r>
      <w:r>
        <w:t xml:space="preserve">In its Final Order in the </w:t>
      </w:r>
      <w:r w:rsidRPr="0059119F">
        <w:rPr>
          <w:i/>
        </w:rPr>
        <w:t>Intermediate Work Plan</w:t>
      </w:r>
      <w:r>
        <w:t xml:space="preserve"> proceeding, the Commission stated: </w:t>
      </w:r>
    </w:p>
    <w:p w:rsidR="006D47C0" w:rsidRDefault="006D47C0" w:rsidP="006D47C0">
      <w:pPr>
        <w:ind w:left="1440" w:right="720"/>
      </w:pPr>
      <w:r>
        <w:t>As for the costs of the Retail Opt-in Auctions, we agree with UGIES and OCA that, in general, most, if not all, of these costs should be recovered from participating suppliers.  The participating suppliers will be receiving customers via this program in a manner that negates almost all of the usual customer acquisition costs.  As such, it is only fair that the suppliers, as the prime beneficiaries of the program, should pick up the associated costs.</w:t>
      </w:r>
    </w:p>
    <w:p w:rsidR="006D47C0" w:rsidRDefault="006D47C0" w:rsidP="006D47C0">
      <w:pPr>
        <w:spacing w:line="360" w:lineRule="auto"/>
      </w:pPr>
    </w:p>
    <w:p w:rsidR="006D47C0" w:rsidRDefault="006D47C0" w:rsidP="006D47C0">
      <w:pPr>
        <w:pStyle w:val="BodyText"/>
        <w:spacing w:after="0" w:line="360" w:lineRule="auto"/>
        <w:ind w:left="0" w:firstLine="0"/>
        <w:rPr>
          <w:szCs w:val="24"/>
          <w:lang w:val="en-US"/>
        </w:rPr>
      </w:pPr>
      <w:r w:rsidRPr="00922F48">
        <w:rPr>
          <w:i/>
        </w:rPr>
        <w:lastRenderedPageBreak/>
        <w:t>IWP Order</w:t>
      </w:r>
      <w:r>
        <w:t xml:space="preserve"> at 84-85.  </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pPr>
      <w:r>
        <w:tab/>
      </w:r>
      <w:r>
        <w:tab/>
        <w:t xml:space="preserve">According to the Commission: </w:t>
      </w:r>
    </w:p>
    <w:p w:rsidR="00991D78" w:rsidRDefault="00991D78" w:rsidP="006D47C0">
      <w:pPr>
        <w:ind w:left="1440" w:right="720"/>
      </w:pPr>
    </w:p>
    <w:p w:rsidR="006D47C0" w:rsidRDefault="006D47C0" w:rsidP="006D47C0">
      <w:pPr>
        <w:ind w:left="1440" w:right="720"/>
      </w:pPr>
      <w:r>
        <w:t>As to program costs, we agree with the assertions of OCA and UGIES that the bulk of the costs, including the costs of maintaining the referral programs once they are put into place, should be the responsibility of the participating EGSs.  We also find that PECO’s proposal to recover program costs through the discount on the POR appears to be acceptable.</w:t>
      </w:r>
    </w:p>
    <w:p w:rsidR="006D47C0" w:rsidRDefault="006D47C0" w:rsidP="006D47C0">
      <w:pPr>
        <w:spacing w:line="360" w:lineRule="auto"/>
      </w:pPr>
    </w:p>
    <w:p w:rsidR="006D47C0" w:rsidRDefault="006D47C0" w:rsidP="006D47C0">
      <w:pPr>
        <w:spacing w:line="360" w:lineRule="auto"/>
      </w:pPr>
      <w:r w:rsidRPr="008E0B96">
        <w:rPr>
          <w:i/>
        </w:rPr>
        <w:t>IWP Order</w:t>
      </w:r>
      <w:r>
        <w:t xml:space="preserve"> at 32.  </w:t>
      </w:r>
    </w:p>
    <w:p w:rsidR="006D47C0" w:rsidRDefault="006D47C0" w:rsidP="006D47C0">
      <w:pPr>
        <w:pStyle w:val="BodyText"/>
        <w:spacing w:after="0" w:line="360" w:lineRule="auto"/>
        <w:ind w:left="0" w:firstLine="0"/>
        <w:rPr>
          <w:szCs w:val="24"/>
          <w:lang w:val="en-US"/>
        </w:rPr>
      </w:pPr>
    </w:p>
    <w:p w:rsidR="006D47C0" w:rsidRDefault="006D47C0" w:rsidP="006D47C0">
      <w:pPr>
        <w:spacing w:line="480" w:lineRule="auto"/>
        <w:jc w:val="both"/>
      </w:pPr>
      <w:r>
        <w:tab/>
      </w:r>
      <w:r>
        <w:tab/>
        <w:t xml:space="preserve">Company witness Neil Fisher echoed OCA’s testimony on this issue when he stated: </w:t>
      </w:r>
    </w:p>
    <w:p w:rsidR="006D47C0" w:rsidRDefault="006D47C0" w:rsidP="006D47C0">
      <w:pPr>
        <w:ind w:left="1440" w:right="720"/>
      </w:pPr>
      <w:r>
        <w:t xml:space="preserve">First, part of me wonders why we are discussing customer referral and retail auction programs in the first place if EGSs do not want to pay for these programs.  EGSs have pushed for these programs for many years, even before the RMI.  EDCs and customer representatives have generally expressed concerns about the implementation of these programs. …While I recognize that not all EGSs agree on the design and development of these retail market initiatives, EGSs have been the primary sponsor of these proposals over the years – not customer representatives and not EDCs – and EGSs are largely responsible for their development.  </w:t>
      </w:r>
    </w:p>
    <w:p w:rsidR="006D47C0" w:rsidRDefault="006D47C0" w:rsidP="006D47C0">
      <w:pPr>
        <w:spacing w:line="360" w:lineRule="auto"/>
      </w:pPr>
    </w:p>
    <w:p w:rsidR="006D47C0" w:rsidRDefault="006D47C0" w:rsidP="006D47C0">
      <w:pPr>
        <w:pStyle w:val="BodyText"/>
        <w:spacing w:after="0" w:line="360" w:lineRule="auto"/>
        <w:ind w:left="0" w:firstLine="0"/>
        <w:rPr>
          <w:szCs w:val="24"/>
          <w:lang w:val="en-US"/>
        </w:rPr>
      </w:pPr>
      <w:r>
        <w:t xml:space="preserve">Duquesne St. 3-R at 73-75.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outlineLvl w:val="9"/>
        <w:rPr>
          <w:b/>
          <w:szCs w:val="24"/>
        </w:rPr>
      </w:pPr>
      <w:r>
        <w:rPr>
          <w:b/>
          <w:szCs w:val="24"/>
        </w:rPr>
        <w:tab/>
        <w:t>4.</w:t>
      </w:r>
      <w:r>
        <w:rPr>
          <w:b/>
          <w:szCs w:val="24"/>
        </w:rPr>
        <w:tab/>
        <w:t xml:space="preserve">CAP Customer Participation in Market Enhancement Programs </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In this proceeding, Duquesne Light proposed that CAP customers not be allowed to participate in the RME Programs until the Commission sets rules and procedures for portability of CAP discounts.  Duquesne Light’s proposal was based on the following considerations:</w:t>
      </w:r>
    </w:p>
    <w:p w:rsidR="006D47C0" w:rsidRPr="009B38C4" w:rsidRDefault="006D47C0" w:rsidP="006D47C0">
      <w:pPr>
        <w:pStyle w:val="BodyText2"/>
        <w:numPr>
          <w:ilvl w:val="0"/>
          <w:numId w:val="16"/>
        </w:numPr>
        <w:spacing w:after="0" w:line="240" w:lineRule="auto"/>
        <w:rPr>
          <w:lang w:val="en-US"/>
        </w:rPr>
      </w:pPr>
      <w:r>
        <w:lastRenderedPageBreak/>
        <w:t xml:space="preserve">CAP customer benefits are not portable and most CAP customers would pay higher rates by participating in the RME programs without portable benefits; </w:t>
      </w:r>
    </w:p>
    <w:p w:rsidR="006D47C0" w:rsidRPr="00C34F46" w:rsidRDefault="006D47C0" w:rsidP="006D47C0">
      <w:pPr>
        <w:pStyle w:val="BodyText2"/>
        <w:spacing w:after="0" w:line="240" w:lineRule="auto"/>
        <w:ind w:left="2160"/>
        <w:rPr>
          <w:lang w:val="en-US"/>
        </w:rPr>
      </w:pPr>
    </w:p>
    <w:p w:rsidR="006D47C0" w:rsidRDefault="006D47C0" w:rsidP="006D47C0">
      <w:pPr>
        <w:pStyle w:val="BodyText2"/>
        <w:numPr>
          <w:ilvl w:val="0"/>
          <w:numId w:val="16"/>
        </w:numPr>
        <w:spacing w:after="0" w:line="240" w:lineRule="auto"/>
        <w:rPr>
          <w:lang w:val="en-US"/>
        </w:rPr>
      </w:pPr>
      <w:r>
        <w:t xml:space="preserve">Current billing system limitations prevent the Company from issuing an integrated CAP bill with supplier charges; and </w:t>
      </w:r>
    </w:p>
    <w:p w:rsidR="006D47C0" w:rsidRPr="00BF5254" w:rsidRDefault="006D47C0" w:rsidP="006D47C0">
      <w:pPr>
        <w:pStyle w:val="BodyText2"/>
        <w:spacing w:after="0" w:line="240" w:lineRule="auto"/>
        <w:ind w:left="2160"/>
        <w:rPr>
          <w:lang w:val="en-US"/>
        </w:rPr>
      </w:pPr>
    </w:p>
    <w:p w:rsidR="006D47C0" w:rsidRDefault="006D47C0" w:rsidP="006D47C0">
      <w:pPr>
        <w:pStyle w:val="BodyText2"/>
        <w:spacing w:after="0" w:line="240" w:lineRule="auto"/>
        <w:ind w:left="2160" w:hanging="720"/>
      </w:pPr>
      <w:r>
        <w:rPr>
          <w:lang w:val="en-US"/>
        </w:rPr>
        <w:t>(3)</w:t>
      </w:r>
      <w:r>
        <w:rPr>
          <w:lang w:val="en-US"/>
        </w:rPr>
        <w:tab/>
      </w:r>
      <w:r>
        <w:t>The Commission should first conduct a generic process to address issues regarding CAP customer shopping, portability of CAP benefits and participation in RME programs.</w:t>
      </w:r>
    </w:p>
    <w:p w:rsidR="006D47C0" w:rsidRDefault="006D47C0" w:rsidP="006D47C0">
      <w:pPr>
        <w:pStyle w:val="BodyText2"/>
        <w:spacing w:after="0" w:line="240" w:lineRule="auto"/>
        <w:rPr>
          <w:lang w:val="en-US"/>
        </w:rPr>
      </w:pPr>
    </w:p>
    <w:p w:rsidR="006D47C0" w:rsidRDefault="006D47C0" w:rsidP="00947667">
      <w:pPr>
        <w:pStyle w:val="BodyText2"/>
        <w:spacing w:after="0" w:line="360" w:lineRule="auto"/>
        <w:rPr>
          <w:lang w:val="en-US"/>
        </w:rPr>
      </w:pPr>
      <w:r>
        <w:t xml:space="preserve">Duquesne Light St. No. 5-R, Exhibit MRS-2.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DLC points out</w:t>
      </w:r>
      <w:r>
        <w:t xml:space="preserve"> the Commission determined the CAP benefits should be portable, CAP customers should be permitted to shop and CAP customers should be permitted to participate in the RME Programs</w:t>
      </w:r>
      <w:r>
        <w:rPr>
          <w:lang w:val="en-US"/>
        </w:rPr>
        <w:t>, b</w:t>
      </w:r>
      <w:r>
        <w:t xml:space="preserve">ased upon the recent Motion of Commissioner Witmer in the </w:t>
      </w:r>
      <w:r w:rsidRPr="00873790">
        <w:rPr>
          <w:i/>
        </w:rPr>
        <w:t xml:space="preserve">PECO </w:t>
      </w:r>
      <w:r w:rsidR="008F57ED" w:rsidRPr="00F23229">
        <w:rPr>
          <w:i/>
          <w:lang w:val="en-US"/>
        </w:rPr>
        <w:t>d</w:t>
      </w:r>
      <w:r w:rsidRPr="00F23229">
        <w:rPr>
          <w:i/>
        </w:rPr>
        <w:t>efault</w:t>
      </w:r>
      <w:r w:rsidR="008F57ED" w:rsidRPr="00F23229">
        <w:rPr>
          <w:i/>
          <w:lang w:val="en-US"/>
        </w:rPr>
        <w:t xml:space="preserve"> s</w:t>
      </w:r>
      <w:r w:rsidRPr="00F23229">
        <w:rPr>
          <w:i/>
        </w:rPr>
        <w:t>ervice</w:t>
      </w:r>
      <w:r w:rsidR="008F57ED" w:rsidRPr="00F23229">
        <w:rPr>
          <w:i/>
          <w:lang w:val="en-US"/>
        </w:rPr>
        <w:t xml:space="preserve"> </w:t>
      </w:r>
      <w:r w:rsidRPr="00F23229">
        <w:rPr>
          <w:i/>
        </w:rPr>
        <w:t>proceeding</w:t>
      </w:r>
      <w:r>
        <w:t xml:space="preserve"> and a Joint Statement by Chairman Powelson and Commissioner Witmer in the </w:t>
      </w:r>
      <w:r w:rsidRPr="008F57ED">
        <w:rPr>
          <w:i/>
        </w:rPr>
        <w:t>FE Companies</w:t>
      </w:r>
      <w:r>
        <w:t xml:space="preserve"> default service proceeding</w:t>
      </w:r>
      <w:r>
        <w:rPr>
          <w:lang w:val="en-US"/>
        </w:rPr>
        <w:t xml:space="preserve">.  </w:t>
      </w:r>
      <w:r>
        <w:t xml:space="preserve">Duquesne Light supports the Commission’s directives with respect to CAP customers.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However, DLC</w:t>
      </w:r>
      <w:r>
        <w:t xml:space="preserve"> will be required to implement complex IT procedures and tracking mechanisms before it can comply with the Commission’s directives.  Duquesne Light St. No. 5-R, p. 5.  In anticipation of this system being completed, Duquesne Light </w:t>
      </w:r>
      <w:r>
        <w:rPr>
          <w:lang w:val="en-US"/>
        </w:rPr>
        <w:t>proposed to</w:t>
      </w:r>
      <w:r>
        <w:t xml:space="preserve"> work with the Commission Staff and interested parties to develop a plan to make CAP customer benefits portable by January 1, 2014, consistent with Commissioner Witmer’s Motion in the </w:t>
      </w:r>
      <w:r w:rsidRPr="00F23229">
        <w:rPr>
          <w:i/>
        </w:rPr>
        <w:t>PECO</w:t>
      </w:r>
      <w:r>
        <w:t xml:space="preserve"> </w:t>
      </w:r>
      <w:r w:rsidRPr="00F23229">
        <w:rPr>
          <w:i/>
        </w:rPr>
        <w:t>default service proceeding</w:t>
      </w:r>
      <w:r>
        <w:rPr>
          <w:lang w:val="en-US"/>
        </w:rPr>
        <w:t>,</w:t>
      </w:r>
      <w:r>
        <w:t xml:space="preserve"> and the commencement of its next Universal Service and Energy Conservation Plan.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1440"/>
      </w:pPr>
      <w:r>
        <w:t xml:space="preserve">OCA points out that, in the </w:t>
      </w:r>
      <w:r w:rsidRPr="00DE7C27">
        <w:rPr>
          <w:i/>
        </w:rPr>
        <w:t>IWP Order</w:t>
      </w:r>
      <w:r>
        <w:t xml:space="preserve">, the Commission referred the question of whether CAP customers can participate in the </w:t>
      </w:r>
      <w:r w:rsidR="00CA5D12">
        <w:t>R</w:t>
      </w:r>
      <w:r>
        <w:t xml:space="preserve">etail </w:t>
      </w:r>
      <w:r w:rsidR="00CA5D12">
        <w:t>M</w:t>
      </w:r>
      <w:r>
        <w:t xml:space="preserve">arket </w:t>
      </w:r>
      <w:r w:rsidR="00CA5D12">
        <w:t>E</w:t>
      </w:r>
      <w:r>
        <w:t>nhancements to the RMI Universal Service working group</w:t>
      </w:r>
      <w:r w:rsidRPr="001E7F26">
        <w:rPr>
          <w:i/>
        </w:rPr>
        <w:t>.  IWP Order</w:t>
      </w:r>
      <w:r>
        <w:t xml:space="preserve"> at 18.  While OCA did not present specific testimony on this issue in this proceeding, OCA supports the proposal of Duquesne and CAUSE-PA and </w:t>
      </w:r>
      <w:r>
        <w:lastRenderedPageBreak/>
        <w:t xml:space="preserve">recommends that this question be considered as part of the Commission’s RMI Universal Service subgroup.  </w:t>
      </w:r>
      <w:r>
        <w:rPr>
          <w:u w:val="single"/>
        </w:rPr>
        <w:t>See</w:t>
      </w:r>
      <w:r>
        <w:t xml:space="preserve"> OCA St. 2-R at 6.    </w:t>
      </w:r>
    </w:p>
    <w:p w:rsidR="00D7359A" w:rsidRDefault="00D7359A" w:rsidP="006D47C0">
      <w:pPr>
        <w:spacing w:line="360" w:lineRule="auto"/>
        <w:ind w:firstLine="1440"/>
      </w:pPr>
    </w:p>
    <w:p w:rsidR="006D47C0" w:rsidRDefault="006D47C0" w:rsidP="006D47C0">
      <w:pPr>
        <w:autoSpaceDE/>
        <w:autoSpaceDN/>
        <w:rPr>
          <w:b/>
        </w:rPr>
      </w:pPr>
      <w:r>
        <w:tab/>
      </w:r>
      <w:r>
        <w:tab/>
        <w:t>c</w:t>
      </w:r>
      <w:r>
        <w:rPr>
          <w:b/>
        </w:rPr>
        <w:t>.</w:t>
      </w:r>
      <w:r>
        <w:rPr>
          <w:b/>
        </w:rPr>
        <w:tab/>
        <w:t>RESA’s Position</w:t>
      </w:r>
    </w:p>
    <w:p w:rsidR="006D47C0" w:rsidRDefault="006D47C0" w:rsidP="006D47C0">
      <w:pPr>
        <w:pStyle w:val="BodyText"/>
        <w:spacing w:after="0" w:line="360" w:lineRule="auto"/>
        <w:ind w:left="0" w:firstLine="0"/>
        <w:rPr>
          <w:szCs w:val="24"/>
          <w:lang w:val="en-US"/>
        </w:rPr>
      </w:pPr>
    </w:p>
    <w:p w:rsidR="00AB5EEE" w:rsidRDefault="006D47C0" w:rsidP="006D47C0">
      <w:pPr>
        <w:tabs>
          <w:tab w:val="num" w:pos="720"/>
        </w:tabs>
        <w:spacing w:line="360" w:lineRule="auto"/>
        <w:ind w:firstLine="720"/>
      </w:pPr>
      <w:r>
        <w:tab/>
        <w:t xml:space="preserve">RESA recommends that CAP customers be included in the RME </w:t>
      </w:r>
      <w:r w:rsidR="00A562A9">
        <w:t>P</w:t>
      </w:r>
      <w:r>
        <w:t xml:space="preserve">rograms because there is no reason not to include these customers from the full range of retail programs, including the </w:t>
      </w:r>
      <w:r w:rsidR="00A562A9">
        <w:t>S</w:t>
      </w:r>
      <w:r>
        <w:t xml:space="preserve">tandard </w:t>
      </w:r>
      <w:r w:rsidR="00A562A9">
        <w:t>O</w:t>
      </w:r>
      <w:r>
        <w:t xml:space="preserve">ffer </w:t>
      </w:r>
      <w:r w:rsidR="00A562A9">
        <w:t>P</w:t>
      </w:r>
      <w:r>
        <w:t xml:space="preserve">rogram, and there are good reasons to include them.  Customers who qualify for CAP are no different from other customers in their need to manage their electricity consumption, and the competitive market gives them options they would not </w:t>
      </w:r>
    </w:p>
    <w:p w:rsidR="006D47C0" w:rsidRDefault="006D47C0" w:rsidP="00AB5EEE">
      <w:pPr>
        <w:tabs>
          <w:tab w:val="num" w:pos="720"/>
        </w:tabs>
        <w:spacing w:line="360" w:lineRule="auto"/>
      </w:pPr>
      <w:r>
        <w:t>otherwise have if they remain captive to utility default service.</w:t>
      </w:r>
      <w:r>
        <w:rPr>
          <w:rStyle w:val="FootnoteReference"/>
        </w:rPr>
        <w:footnoteReference w:id="155"/>
      </w:r>
      <w:r>
        <w:t xml:space="preserve">  RESA contends the solution is to change the CAP program rather than to discriminate against CAP customers if the logistics of the CAP program limit a customer’s ability to participate in the competitive market.  RESA strongly supports the transition of the CAP </w:t>
      </w:r>
      <w:r w:rsidR="00A562A9">
        <w:t>P</w:t>
      </w:r>
      <w:r>
        <w:t>rogram to one in which benefits are provided on a portable basis, without regard to the commodity service a customer may subscribe to, so that CAP customers have the same opportunities as other customers to find the right electricity service for them.</w:t>
      </w:r>
      <w:r>
        <w:rPr>
          <w:rStyle w:val="FootnoteReference"/>
        </w:rPr>
        <w:footnoteReference w:id="156"/>
      </w:r>
      <w:r>
        <w:t xml:space="preserve">  Access to the Opt-In </w:t>
      </w:r>
      <w:r w:rsidR="00A562A9">
        <w:t>P</w:t>
      </w:r>
      <w:r>
        <w:t xml:space="preserve">rogram and the Standard Offer Referral </w:t>
      </w:r>
      <w:r w:rsidR="00A562A9">
        <w:t>P</w:t>
      </w:r>
      <w:r>
        <w:t>rogram should be among those options available to CAP customers.</w:t>
      </w:r>
    </w:p>
    <w:p w:rsidR="006D47C0" w:rsidRDefault="006D47C0" w:rsidP="006D47C0">
      <w:pPr>
        <w:tabs>
          <w:tab w:val="num" w:pos="720"/>
        </w:tabs>
        <w:spacing w:line="360" w:lineRule="auto"/>
        <w:ind w:firstLine="720"/>
        <w:rPr>
          <w:bCs/>
          <w:szCs w:val="26"/>
        </w:rPr>
      </w:pPr>
    </w:p>
    <w:p w:rsidR="006D47C0" w:rsidRDefault="006D47C0" w:rsidP="006D47C0">
      <w:pPr>
        <w:tabs>
          <w:tab w:val="num" w:pos="720"/>
        </w:tabs>
        <w:spacing w:line="360" w:lineRule="auto"/>
        <w:ind w:firstLine="720"/>
        <w:rPr>
          <w:b/>
        </w:rPr>
      </w:pPr>
      <w:r>
        <w:rPr>
          <w:b/>
        </w:rPr>
        <w:tab/>
        <w:t>d.</w:t>
      </w:r>
      <w:r>
        <w:rPr>
          <w:b/>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outlineLvl w:val="9"/>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pPr>
      <w:r>
        <w:tab/>
      </w:r>
      <w:r>
        <w:tab/>
        <w:t xml:space="preserve">No party contested the testimony submitted by CAUSE-PA concerning the economic vulnerability of Duquesne’s confirmed low-income customers, and the testimony is worth reviewing here in summary format.  Households with incomes at or below 150% of the </w:t>
      </w:r>
      <w:r>
        <w:lastRenderedPageBreak/>
        <w:t>federal poverty guideline lack sufficient income to pay for all of their essential needs.</w:t>
      </w:r>
      <w:r>
        <w:rPr>
          <w:rStyle w:val="FootnoteReference"/>
        </w:rPr>
        <w:footnoteReference w:id="157"/>
      </w:r>
      <w:r>
        <w:t xml:space="preserve">  Before all of the bills are paid, low-income families routinely run out of money.  In any given month, many of them cannot afford and are unable to pay for utility service because competing essential needs like rent, food, and medicine may take precedence.</w:t>
      </w:r>
      <w:r>
        <w:rPr>
          <w:rStyle w:val="FootnoteReference"/>
        </w:rPr>
        <w:footnoteReference w:id="158"/>
      </w:r>
      <w:r>
        <w:t xml:space="preserve">  </w:t>
      </w:r>
    </w:p>
    <w:p w:rsidR="006D47C0" w:rsidRDefault="006D47C0" w:rsidP="006D47C0">
      <w:pPr>
        <w:spacing w:line="360" w:lineRule="auto"/>
        <w:ind w:firstLine="720"/>
      </w:pPr>
    </w:p>
    <w:p w:rsidR="006D47C0" w:rsidRDefault="006D47C0" w:rsidP="006D47C0">
      <w:pPr>
        <w:spacing w:line="360" w:lineRule="auto"/>
        <w:ind w:firstLine="720"/>
      </w:pPr>
      <w:r>
        <w:tab/>
        <w:t>Approximately 10% of Duquesne’s residential customers have been confirmed by Duquesne as being low-income, that is, these households have incomes that are at or below 150% of the Federal Poverty Level (“FPL”).</w:t>
      </w:r>
      <w:r>
        <w:rPr>
          <w:rStyle w:val="FootnoteReference"/>
        </w:rPr>
        <w:footnoteReference w:id="159"/>
      </w:r>
      <w:r>
        <w:t xml:space="preserve">  In raw numbers, this is more than 53,000 households out of its approximately 524,000 residential customers.</w:t>
      </w:r>
      <w:r>
        <w:rPr>
          <w:rStyle w:val="FootnoteReference"/>
        </w:rPr>
        <w:footnoteReference w:id="160"/>
      </w:r>
      <w:r>
        <w:t xml:space="preserve">  These households subsist on very low-incomes.  By way of perspective, currently, 150% of the FPL for a family of two is $22,695 annually and for a family of four is $34,575 annually.  This is simply not enough income for most families to pay all of their bills each month and </w:t>
      </w:r>
      <w:r>
        <w:rPr>
          <w:i/>
        </w:rPr>
        <w:t xml:space="preserve">this is the high end of eligibility </w:t>
      </w:r>
      <w:r>
        <w:t xml:space="preserve">for CAP and other universal service programs administered by Duquesne.  For those customers further down the income ladder who find themselves trapped in intractable poverty the situation poses a desperate challenge.  </w:t>
      </w:r>
    </w:p>
    <w:p w:rsidR="006D47C0" w:rsidRDefault="006D47C0" w:rsidP="006D47C0">
      <w:pPr>
        <w:ind w:left="720" w:right="720" w:firstLine="720"/>
        <w:jc w:val="both"/>
      </w:pPr>
    </w:p>
    <w:p w:rsidR="006D47C0" w:rsidRDefault="006D47C0" w:rsidP="006D47C0">
      <w:pPr>
        <w:spacing w:line="360" w:lineRule="auto"/>
        <w:ind w:firstLine="720"/>
      </w:pPr>
      <w:r>
        <w:t xml:space="preserve">    </w:t>
      </w:r>
      <w:r>
        <w:tab/>
        <w:t xml:space="preserve">Low-income households are struggling to a significantly greater extent than other households to meet their essential utility costs. This inability to meet essential costs is unique to this group and requires specific Commission consideration.  The Commission recognized the vulnerability and unique needs to CAP customers in its </w:t>
      </w:r>
      <w:r w:rsidRPr="00155B2A">
        <w:rPr>
          <w:i/>
        </w:rPr>
        <w:t>Intermediate Work Plan Final Order</w:t>
      </w:r>
      <w:r>
        <w:t xml:space="preserve"> when it stated that CAP customers should not participate in the Customer Referral Program and should only participate in the Opt-in Auction if they could do so and not be subject to harm.</w:t>
      </w:r>
      <w:r>
        <w:rPr>
          <w:rStyle w:val="FootnoteReference"/>
        </w:rPr>
        <w:footnoteReference w:id="161"/>
      </w:r>
      <w:r>
        <w:t xml:space="preserve">  </w:t>
      </w:r>
    </w:p>
    <w:p w:rsidR="006D47C0" w:rsidRDefault="006D47C0" w:rsidP="006D47C0">
      <w:pPr>
        <w:pStyle w:val="CommentText"/>
        <w:spacing w:line="360" w:lineRule="auto"/>
        <w:ind w:firstLine="720"/>
        <w:rPr>
          <w:sz w:val="24"/>
          <w:szCs w:val="24"/>
        </w:rPr>
      </w:pPr>
    </w:p>
    <w:p w:rsidR="006D47C0" w:rsidRDefault="006D47C0" w:rsidP="006D47C0">
      <w:pPr>
        <w:pStyle w:val="CommentText"/>
        <w:spacing w:line="360" w:lineRule="auto"/>
        <w:ind w:firstLine="720"/>
        <w:rPr>
          <w:sz w:val="24"/>
          <w:szCs w:val="24"/>
        </w:rPr>
      </w:pPr>
      <w:r>
        <w:rPr>
          <w:sz w:val="24"/>
          <w:szCs w:val="24"/>
        </w:rPr>
        <w:lastRenderedPageBreak/>
        <w:tab/>
        <w:t>The evidence amply demonstrates the CAP customers would be subject to harm – as that term has been defined by the Commission to mean a total loss of CAP benefits – through their participation in either of the retail market enhancements.  Although CAP customers are technically allowed to shop for an alternate supplier, the supplier would have to separately bill the CAP customer and, to date, no supplier is able to do so.</w:t>
      </w:r>
      <w:r>
        <w:rPr>
          <w:rStyle w:val="FootnoteReference"/>
          <w:sz w:val="24"/>
          <w:szCs w:val="24"/>
        </w:rPr>
        <w:footnoteReference w:id="162"/>
      </w:r>
      <w:r>
        <w:rPr>
          <w:sz w:val="24"/>
          <w:szCs w:val="24"/>
        </w:rPr>
        <w:t xml:space="preserve">  Even if a supplier were to offer separate or dual billing, however, CAUSE-PA introduced uncontested testimony that CAP customers would be harmed by such an arrangement.</w:t>
      </w:r>
      <w:r>
        <w:rPr>
          <w:szCs w:val="24"/>
        </w:rPr>
        <w:t xml:space="preserve">  </w:t>
      </w:r>
      <w:r>
        <w:rPr>
          <w:sz w:val="24"/>
          <w:szCs w:val="24"/>
        </w:rPr>
        <w:t>For instance, under Duquesne’s currently stated model, if a supplier were to offer a CAP customer a lower rate than the price to compare, accompanied by dual billing, the CAP customer could shop.  This would create a host of complications with CAP customers accessing other services such as LIHEAP.</w:t>
      </w:r>
    </w:p>
    <w:p w:rsidR="006D47C0" w:rsidRDefault="006D47C0" w:rsidP="006D47C0">
      <w:pPr>
        <w:pStyle w:val="CommentText"/>
        <w:spacing w:line="360" w:lineRule="auto"/>
        <w:ind w:firstLine="720"/>
        <w:rPr>
          <w:sz w:val="24"/>
          <w:szCs w:val="24"/>
        </w:rPr>
      </w:pPr>
    </w:p>
    <w:p w:rsidR="006D47C0" w:rsidRDefault="006D47C0" w:rsidP="006D47C0">
      <w:pPr>
        <w:pStyle w:val="CommentText"/>
        <w:spacing w:line="360" w:lineRule="auto"/>
        <w:ind w:firstLine="720"/>
        <w:rPr>
          <w:sz w:val="24"/>
          <w:szCs w:val="24"/>
        </w:rPr>
      </w:pPr>
      <w:r>
        <w:rPr>
          <w:sz w:val="24"/>
          <w:szCs w:val="24"/>
        </w:rPr>
        <w:tab/>
        <w:t xml:space="preserve">LIHEAP is a federally-funded block grant program administered on the Federal level by the U.S. Department of Health and Human Services Administration for Children and Families.  In Pennsylvania, the block grant allocation is administered by the Department of Public Welfare (“DPW”) pursuant to a State Plan that is submitted each year to HHS.  The LIHEAP State Plan specifically excludes the possibility that an EGS can be a LIHEAP vendor.  </w:t>
      </w:r>
    </w:p>
    <w:p w:rsidR="006D47C0" w:rsidRDefault="006D47C0" w:rsidP="006D47C0">
      <w:pPr>
        <w:pStyle w:val="ListParagraph"/>
        <w:spacing w:line="360" w:lineRule="auto"/>
        <w:ind w:left="0"/>
      </w:pPr>
    </w:p>
    <w:p w:rsidR="006D47C0" w:rsidRDefault="006D47C0" w:rsidP="006D47C0">
      <w:pPr>
        <w:pStyle w:val="ListParagraph"/>
        <w:spacing w:line="360" w:lineRule="auto"/>
        <w:ind w:left="0"/>
      </w:pPr>
      <w:r>
        <w:tab/>
      </w:r>
      <w:r>
        <w:tab/>
        <w:t xml:space="preserve">Given that an EGS cannot be a direct recipient of LIHEAP grants, a low-income customer who chooses an EGS which utilizes dual billing would not be able to have his or her LIHEAP grant applied to his or her full energy bill.  Instead, the LIHEAP grant could only be applied to the Duquesne bill for distribution services.  A dual billing customer who has remained current on his Duquesne distribution bill would have no way to utilize a LIHEAP cash grant to eliminate the risk of default on EGS bills which have remained unpaid.  This is unacceptable and would violate the intent of the LIHEAP program which is to assist low-income households in paying for home heating during the winter months.  </w:t>
      </w:r>
    </w:p>
    <w:p w:rsidR="006D47C0" w:rsidRDefault="006D47C0" w:rsidP="006D47C0">
      <w:pPr>
        <w:pStyle w:val="ListParagraph"/>
        <w:spacing w:line="360" w:lineRule="auto"/>
        <w:ind w:left="0"/>
      </w:pPr>
    </w:p>
    <w:p w:rsidR="006D47C0" w:rsidRDefault="006D47C0" w:rsidP="006D47C0">
      <w:pPr>
        <w:pStyle w:val="ListParagraph"/>
        <w:spacing w:line="360" w:lineRule="auto"/>
        <w:ind w:left="0"/>
      </w:pPr>
      <w:r>
        <w:tab/>
      </w:r>
      <w:r>
        <w:tab/>
        <w:t xml:space="preserve">Furthermore, there are many unanswered questions concerning CAP portability.  CAUSE-PA continues to believe that Duquesne CAP customers continue, at present, to be best served through default service.  Low-income electric customers require subsidization because </w:t>
      </w:r>
      <w:r>
        <w:lastRenderedPageBreak/>
        <w:t>they do not have sufficient resources to meet their essential needs, and Duquesne’s CAP program is designed to work effectively with regulated, default supply and coordination with LIHEAP.  It is not designed to coordinate with an inordinate number of supplier offers.  As a group, low-income customers experience a higher level of non-payment service termination than the broader residential customer population.</w:t>
      </w:r>
      <w:r>
        <w:rPr>
          <w:rStyle w:val="FootnoteReference"/>
        </w:rPr>
        <w:footnoteReference w:id="163"/>
      </w:r>
      <w:r>
        <w:t xml:space="preserve">  This indicates that price is especially important in maintaining continuous electric service for these customers.    </w:t>
      </w:r>
    </w:p>
    <w:p w:rsidR="006D47C0" w:rsidRDefault="006D47C0" w:rsidP="006D47C0">
      <w:pPr>
        <w:spacing w:line="360" w:lineRule="auto"/>
        <w:ind w:firstLine="720"/>
      </w:pPr>
    </w:p>
    <w:p w:rsidR="006D47C0" w:rsidRDefault="006D47C0" w:rsidP="006D47C0">
      <w:pPr>
        <w:spacing w:line="360" w:lineRule="auto"/>
        <w:ind w:firstLine="720"/>
      </w:pPr>
      <w:r>
        <w:tab/>
        <w:t xml:space="preserve">CAUSE-PA respectfully submits that if the Commission is inclined to take a similar approach to that which was taken in </w:t>
      </w:r>
      <w:r w:rsidRPr="00F96005">
        <w:rPr>
          <w:i/>
        </w:rPr>
        <w:t>PECO</w:t>
      </w:r>
      <w:r>
        <w:t xml:space="preserve">, the Commission should direct Duquesne to work not only with OCMO, but also low-income advocates and the OCA both of whom can provide insight into this process that would be missed without their participation.  While OCMO has a breadth of experience concerning the operation of the competitive markets, the integration of CAP benefits with those markets, as well as the ancillary yet essential issues such as the effective integration of LIHEAP benefits for low-income households, would benefit from a discussion with a broader audience. Additionally, the Commission must ensure that any changes made by Duquesne in its effort to develop a CAP program that will effectively allow its customers to receive service by an EGS will do so </w:t>
      </w:r>
      <w:r>
        <w:rPr>
          <w:b/>
        </w:rPr>
        <w:t xml:space="preserve">without a diminution in the benefits to CAP customers.  </w:t>
      </w:r>
      <w:r>
        <w:t xml:space="preserve">Finally, consistent with the direction taken in the </w:t>
      </w:r>
      <w:r w:rsidRPr="009305A1">
        <w:rPr>
          <w:i/>
        </w:rPr>
        <w:t>PECO</w:t>
      </w:r>
      <w:r>
        <w:t xml:space="preserve"> proceeding, CAUSE-PA urges the Commission not to afford Duquesne some time to work collaboratively with the interested stakeholders in this process and to have until at least January 1, 2014 to accomplish any CAP shopping.  This date is consistent with the directive given to </w:t>
      </w:r>
      <w:r w:rsidRPr="009305A1">
        <w:rPr>
          <w:i/>
        </w:rPr>
        <w:t>PECO</w:t>
      </w:r>
      <w:r>
        <w:t xml:space="preserve"> and would allow Duquesne to implement such a plan after the April 2013 launch of its new billing system.  </w:t>
      </w:r>
    </w:p>
    <w:p w:rsidR="00F10D93" w:rsidRDefault="00F10D93" w:rsidP="006D47C0">
      <w:pPr>
        <w:spacing w:line="360" w:lineRule="auto"/>
        <w:ind w:firstLine="720"/>
      </w:pP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Citizen Power opposes the suggestion from RESA’s witness Mr. Kallaher who advocates for the participation of CAP customers in the </w:t>
      </w:r>
      <w:r w:rsidR="00AB757B">
        <w:t>M</w:t>
      </w:r>
      <w:r>
        <w:t xml:space="preserve">arket </w:t>
      </w:r>
      <w:r w:rsidR="00AB757B">
        <w:t>E</w:t>
      </w:r>
      <w:r>
        <w:t xml:space="preserve">nhancement </w:t>
      </w:r>
      <w:r w:rsidR="00AB757B">
        <w:t>P</w:t>
      </w:r>
      <w:r>
        <w:t xml:space="preserve">rograms accommodated by a redesigned CAP Program.  RESA St. 2-R at 15.  Specifically, Citizen Power argues there is no evidence in the record indicating that it is technically possible to make CAP benefits portable in a way that benefits low-income customers. CAUSE-PA St. 1-SR at 6. </w:t>
      </w:r>
    </w:p>
    <w:p w:rsidR="006D47C0" w:rsidRDefault="006D47C0" w:rsidP="006D47C0">
      <w:pPr>
        <w:pStyle w:val="BriefL3"/>
        <w:numPr>
          <w:ilvl w:val="0"/>
          <w:numId w:val="0"/>
        </w:numPr>
        <w:spacing w:after="0" w:line="360" w:lineRule="auto"/>
        <w:ind w:firstLine="720"/>
        <w:rPr>
          <w:b/>
          <w:szCs w:val="24"/>
        </w:rPr>
      </w:pPr>
      <w:r>
        <w:rPr>
          <w:b/>
          <w:szCs w:val="24"/>
        </w:rPr>
        <w:lastRenderedPageBreak/>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19021E">
      <w:pPr>
        <w:pStyle w:val="BodyText2"/>
        <w:spacing w:line="360" w:lineRule="auto"/>
      </w:pPr>
      <w:r>
        <w:rPr>
          <w:lang w:val="en-US"/>
        </w:rPr>
        <w:tab/>
      </w:r>
      <w:r>
        <w:rPr>
          <w:lang w:val="en-US"/>
        </w:rPr>
        <w:tab/>
        <w:t>EGS Parties take</w:t>
      </w:r>
      <w:r>
        <w:t xml:space="preserve"> no position on this issue.</w:t>
      </w:r>
    </w:p>
    <w:p w:rsidR="00AE166A" w:rsidRDefault="006D47C0" w:rsidP="006D47C0">
      <w:pPr>
        <w:pStyle w:val="BriefL3"/>
        <w:numPr>
          <w:ilvl w:val="0"/>
          <w:numId w:val="0"/>
        </w:numPr>
        <w:spacing w:after="0" w:line="360" w:lineRule="auto"/>
        <w:ind w:firstLine="720"/>
        <w:rPr>
          <w:b/>
          <w:szCs w:val="24"/>
        </w:rPr>
      </w:pPr>
      <w:r>
        <w:rPr>
          <w:b/>
          <w:szCs w:val="24"/>
        </w:rPr>
        <w:tab/>
      </w:r>
    </w:p>
    <w:p w:rsidR="006D47C0" w:rsidRDefault="00AE166A" w:rsidP="006D47C0">
      <w:pPr>
        <w:pStyle w:val="BriefL3"/>
        <w:numPr>
          <w:ilvl w:val="0"/>
          <w:numId w:val="0"/>
        </w:numPr>
        <w:spacing w:after="0" w:line="360" w:lineRule="auto"/>
        <w:ind w:firstLine="720"/>
        <w:rPr>
          <w:b/>
          <w:szCs w:val="24"/>
        </w:rPr>
      </w:pPr>
      <w:r>
        <w:rPr>
          <w:b/>
          <w:szCs w:val="24"/>
        </w:rPr>
        <w:tab/>
      </w:r>
      <w:r w:rsidR="006D47C0">
        <w:rPr>
          <w:b/>
          <w:szCs w:val="24"/>
        </w:rPr>
        <w:t>i.</w:t>
      </w:r>
      <w:r w:rsidR="006D47C0">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D63573">
      <w:pPr>
        <w:pStyle w:val="BodyText2"/>
        <w:spacing w:line="360" w:lineRule="auto"/>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pStyle w:val="BodyText"/>
        <w:spacing w:after="0" w:line="360" w:lineRule="auto"/>
        <w:ind w:left="0" w:firstLine="0"/>
        <w:rPr>
          <w:b/>
          <w:color w:val="000000" w:themeColor="text1"/>
          <w:szCs w:val="24"/>
          <w:lang w:val="en-US"/>
        </w:rPr>
      </w:pPr>
      <w:r w:rsidRPr="00DB1537">
        <w:rPr>
          <w:b/>
        </w:rPr>
        <w:t>Disposition</w:t>
      </w:r>
      <w:r w:rsidRPr="00855490">
        <w:rPr>
          <w:b/>
        </w:rPr>
        <w:t xml:space="preserve"> </w:t>
      </w:r>
      <w:r w:rsidRPr="00855490">
        <w:rPr>
          <w:lang w:val="en-US"/>
        </w:rPr>
        <w:t xml:space="preserve">- </w:t>
      </w:r>
      <w:r w:rsidRPr="004E7112">
        <w:rPr>
          <w:b/>
          <w:color w:val="000000" w:themeColor="text1"/>
          <w:szCs w:val="24"/>
          <w:lang w:val="en-US"/>
        </w:rPr>
        <w:t>CAP Customer Participation in Market Enhancement Programs</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 recommend approving Duquesne Light’s proposal to preclude CAP customers from participation in the RME </w:t>
      </w:r>
      <w:r w:rsidR="00EE2FDE">
        <w:rPr>
          <w:color w:val="000000" w:themeColor="text1"/>
          <w:szCs w:val="24"/>
          <w:lang w:val="en-US"/>
        </w:rPr>
        <w:t>P</w:t>
      </w:r>
      <w:r w:rsidRPr="004E7112">
        <w:rPr>
          <w:color w:val="000000" w:themeColor="text1"/>
          <w:szCs w:val="24"/>
          <w:lang w:val="en-US"/>
        </w:rPr>
        <w:t>rograms until such time as the Commission sets rules and procedures about the portability of CAP discounts.  In addition, there is need to ascertain how to move these CAP discounts to the EGSs without running afoul of federal provisions in the LIHEAP program.  In this proceeding, the Company agreed it needs to develop a plan to make CAP customer benefits portable by January 1, 2014, but this plan is more likely to happen</w:t>
      </w:r>
      <w:r w:rsidR="00EE2FDE">
        <w:rPr>
          <w:color w:val="000000" w:themeColor="text1"/>
          <w:szCs w:val="24"/>
          <w:lang w:val="en-US"/>
        </w:rPr>
        <w:t xml:space="preserve"> earlier</w:t>
      </w:r>
      <w:r w:rsidRPr="004E7112">
        <w:rPr>
          <w:color w:val="000000" w:themeColor="text1"/>
          <w:szCs w:val="24"/>
          <w:lang w:val="en-US"/>
        </w:rPr>
        <w:t>, especially if the Company is permitted to make the IT transitions sequentially as it proposes</w:t>
      </w:r>
      <w:r w:rsidR="00B42B82">
        <w:rPr>
          <w:color w:val="000000" w:themeColor="text1"/>
          <w:szCs w:val="24"/>
          <w:lang w:val="en-US"/>
        </w:rPr>
        <w:t>.</w:t>
      </w:r>
      <w:r w:rsidRPr="004E7112">
        <w:rPr>
          <w:color w:val="000000" w:themeColor="text1"/>
          <w:szCs w:val="24"/>
          <w:lang w:val="en-US"/>
        </w:rPr>
        <w:t xml:space="preserve">  Because many questions and concerns remain about whether and how to move CAP discounts to an EGSs (especially when EGSs are not considered “vendors” as the federal provisions define that term), it is imprudent and inappropriate to permit CAP customers to participate in these programs.  </w:t>
      </w:r>
    </w:p>
    <w:p w:rsidR="006D47C0" w:rsidRDefault="006D47C0" w:rsidP="006D47C0">
      <w:pPr>
        <w:pStyle w:val="ListParagraph"/>
        <w:autoSpaceDE/>
        <w:autoSpaceDN/>
        <w:spacing w:line="360" w:lineRule="auto"/>
        <w:ind w:left="0"/>
        <w:rPr>
          <w:b/>
          <w:u w:val="single"/>
        </w:rPr>
      </w:pPr>
    </w:p>
    <w:p w:rsidR="00DE352D" w:rsidRPr="00B160FF" w:rsidRDefault="00DE352D" w:rsidP="006D47C0">
      <w:pPr>
        <w:pStyle w:val="ListParagraph"/>
        <w:autoSpaceDE/>
        <w:autoSpaceDN/>
        <w:spacing w:line="360" w:lineRule="auto"/>
        <w:ind w:left="0"/>
        <w:rPr>
          <w:b/>
          <w:u w:val="single"/>
        </w:rPr>
      </w:pPr>
    </w:p>
    <w:p w:rsidR="006D47C0" w:rsidRDefault="0065070B" w:rsidP="0065070B">
      <w:pPr>
        <w:pStyle w:val="BodyText"/>
        <w:spacing w:after="0" w:line="360" w:lineRule="auto"/>
        <w:ind w:left="0" w:firstLine="0"/>
        <w:rPr>
          <w:b/>
          <w:szCs w:val="24"/>
        </w:rPr>
      </w:pPr>
      <w:r>
        <w:rPr>
          <w:szCs w:val="24"/>
          <w:lang w:val="en-US"/>
        </w:rPr>
        <w:lastRenderedPageBreak/>
        <w:tab/>
      </w:r>
      <w:r w:rsidR="006D47C0">
        <w:rPr>
          <w:b/>
          <w:szCs w:val="24"/>
        </w:rPr>
        <w:tab/>
        <w:t>5.</w:t>
      </w:r>
      <w:r w:rsidR="006D47C0">
        <w:rPr>
          <w:b/>
          <w:szCs w:val="24"/>
        </w:rPr>
        <w:tab/>
        <w:t xml:space="preserve">Shopping Customer Participation in Market Enhancement Programs </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r>
      <w:r w:rsidR="0065070B">
        <w:rPr>
          <w:b/>
          <w:szCs w:val="24"/>
        </w:rPr>
        <w:tab/>
      </w:r>
      <w:r>
        <w:rPr>
          <w:b/>
          <w:szCs w:val="24"/>
        </w:rPr>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 xml:space="preserve">In this proceeding, Duquesne Light proposed that shopping customers be eligible to participate in the RME Programs but that the Company would only focus its marketing and customer education efforts on default service customers.  Duquesne Light St. No. 3, pp. 24, 28.  This </w:t>
      </w:r>
      <w:r>
        <w:rPr>
          <w:lang w:val="en-US"/>
        </w:rPr>
        <w:t xml:space="preserve">approach </w:t>
      </w:r>
      <w:r>
        <w:t xml:space="preserve">is consistent with the Commission’s guidance set forth in the </w:t>
      </w:r>
      <w:r>
        <w:rPr>
          <w:i/>
        </w:rPr>
        <w:t>Intermediate Work Plan Order</w:t>
      </w:r>
      <w:r>
        <w:t xml:space="preserve">.  </w:t>
      </w:r>
      <w:r>
        <w:rPr>
          <w:i/>
        </w:rPr>
        <w:t>Intermediate Work Plan Order</w:t>
      </w:r>
      <w:r>
        <w:t xml:space="preserve"> at 42.</w:t>
      </w:r>
    </w:p>
    <w:p w:rsidR="006B3F5A" w:rsidRPr="006B3F5A" w:rsidRDefault="006B3F5A"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The Company contends </w:t>
      </w:r>
      <w:r>
        <w:t xml:space="preserve">RESA’s position is contrary to the Commission’s directives in its Retail Markets Investigation.  </w:t>
      </w:r>
      <w:r>
        <w:rPr>
          <w:i/>
        </w:rPr>
        <w:t>Intermediate Work Plan Order</w:t>
      </w:r>
      <w:r>
        <w:t xml:space="preserve"> at 42</w:t>
      </w:r>
      <w:r>
        <w:rPr>
          <w:lang w:val="en-US"/>
        </w:rPr>
        <w:t xml:space="preserve"> and is </w:t>
      </w:r>
      <w:r>
        <w:t xml:space="preserve">also directly contrary to the Commission’s recent Order in the FE Companies’ default service proceeding where the Commission rejected RESA’s proposal to exclude shopping customers from the RME Programs and also contrary to the recent binding poll taken by the Commission in PECO Energy Company’s default service proceeding.  </w:t>
      </w:r>
      <w:r>
        <w:rPr>
          <w:i/>
        </w:rPr>
        <w:t>FE Order</w:t>
      </w:r>
      <w:r>
        <w:t xml:space="preserve"> at 107; </w:t>
      </w:r>
      <w:r>
        <w:rPr>
          <w:i/>
        </w:rPr>
        <w:t>PECO Binding Poll</w:t>
      </w:r>
      <w:r>
        <w:t xml:space="preserve">, Issue </w:t>
      </w:r>
      <w:r>
        <w:rPr>
          <w:lang w:val="en-US"/>
        </w:rPr>
        <w:t xml:space="preserve">No. </w:t>
      </w:r>
      <w:r>
        <w:t>13.  For these reasons,</w:t>
      </w:r>
      <w:r>
        <w:rPr>
          <w:lang w:val="en-US"/>
        </w:rPr>
        <w:t xml:space="preserve"> Duquesne Light argues</w:t>
      </w:r>
      <w:r>
        <w:t xml:space="preserve"> the RESA proposal –</w:t>
      </w:r>
      <w:r>
        <w:rPr>
          <w:lang w:val="en-US"/>
        </w:rPr>
        <w:t xml:space="preserve"> </w:t>
      </w:r>
      <w:r>
        <w:t>to exclude shopping customers from the RME Programs –</w:t>
      </w:r>
      <w:r>
        <w:rPr>
          <w:lang w:val="en-US"/>
        </w:rPr>
        <w:t xml:space="preserve"> </w:t>
      </w:r>
      <w:r>
        <w:t xml:space="preserve">should be denied </w:t>
      </w:r>
      <w:r>
        <w:rPr>
          <w:lang w:val="en-US"/>
        </w:rPr>
        <w:t>and DLC should be permitted to include shopping customers in its RME programs</w:t>
      </w:r>
      <w:r>
        <w: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pPr>
      <w:r>
        <w:t xml:space="preserve">Duquesne </w:t>
      </w:r>
      <w:r>
        <w:rPr>
          <w:lang w:val="en-US"/>
        </w:rPr>
        <w:t>Light proposes to not</w:t>
      </w:r>
      <w:r>
        <w:t xml:space="preserve"> specifically market its Opt-In or Referral programs to those customers who have already selected an alternative generation supplier, but </w:t>
      </w:r>
      <w:r>
        <w:rPr>
          <w:lang w:val="en-US"/>
        </w:rPr>
        <w:t>to</w:t>
      </w:r>
      <w:r>
        <w:t xml:space="preserve"> allow these customer</w:t>
      </w:r>
      <w:r>
        <w:rPr>
          <w:lang w:val="en-US"/>
        </w:rPr>
        <w:t>s</w:t>
      </w:r>
      <w:r>
        <w:t xml:space="preserve"> to participate in the Market Enhancement Programs if they so request.  </w:t>
      </w:r>
      <w:r>
        <w:rPr>
          <w:u w:val="single"/>
        </w:rPr>
        <w:t>See</w:t>
      </w:r>
      <w:r>
        <w:t xml:space="preserve"> Duquesne St. 3-R at 13-14.  This approach is consistent with the </w:t>
      </w:r>
      <w:r w:rsidRPr="00BC77A3">
        <w:rPr>
          <w:i/>
        </w:rPr>
        <w:t>IWP Order</w:t>
      </w:r>
      <w:r>
        <w:t xml:space="preserve">.  </w:t>
      </w:r>
    </w:p>
    <w:p w:rsidR="006D47C0" w:rsidRDefault="006D47C0" w:rsidP="006D47C0">
      <w:pPr>
        <w:spacing w:line="360" w:lineRule="auto"/>
      </w:pPr>
    </w:p>
    <w:p w:rsidR="006D47C0" w:rsidRDefault="006D47C0" w:rsidP="006D47C0">
      <w:pPr>
        <w:spacing w:line="360" w:lineRule="auto"/>
      </w:pPr>
      <w:r>
        <w:tab/>
      </w:r>
      <w:r>
        <w:tab/>
        <w:t>RESA proposed that shopping customers should be ineligible to participate in the EGS Opt-In Competitive Offer Program.  RESA St. 2 at 11, 21.  While OCA agrees that Duquesne should not directly solicit shopping customers for participation, this position does not mean that shopping customers who inquire about the offer should not be allowed to participate.  OCA pointed out the fact that more than 40% of the Company’s residential customers shop is a sign those same customers are likely to hear about these programs and will seek enrollment.  OCA submits that if its recommendation to limit the EGS Opt-In Competitive Offer Program participation to 20% of non-shopping customers is adopted, RESA’s concerns regarding participation by shopping customers would be substantially lessened.  The enrollment limit allows the program to be presented as a limited, one-time opportunity to non-shopping customers.  OCA St. 2-R at 11.</w:t>
      </w:r>
    </w:p>
    <w:p w:rsidR="006D47C0" w:rsidRDefault="006D47C0" w:rsidP="006D47C0">
      <w:pPr>
        <w:spacing w:line="360" w:lineRule="auto"/>
        <w:rPr>
          <w:u w:val="single"/>
        </w:rPr>
      </w:pPr>
    </w:p>
    <w:p w:rsidR="006D47C0" w:rsidRDefault="006D47C0" w:rsidP="006D47C0">
      <w:pPr>
        <w:spacing w:line="360" w:lineRule="auto"/>
      </w:pPr>
      <w:r>
        <w:tab/>
      </w:r>
      <w:r>
        <w:tab/>
        <w:t xml:space="preserve">OCA agrees with RESA that the main purpose of the program is to provide customers – who have not otherwise shopped – with additional opportunities to test the market, and not to shift customers who are currently shopping.  OCA does not agree that closing the program to shopping customers is the answer.  Duquesne’s approach to direct the marketing efforts towards non-shopping customers addresses this issue and carries forward the focus for the program identified in the </w:t>
      </w:r>
      <w:r w:rsidRPr="00AA5BB9">
        <w:rPr>
          <w:i/>
        </w:rPr>
        <w:t>IWP Order</w:t>
      </w:r>
      <w:r>
        <w:t xml:space="preserve">.  </w:t>
      </w:r>
    </w:p>
    <w:p w:rsidR="006D47C0" w:rsidRDefault="006D47C0" w:rsidP="006D47C0">
      <w:pPr>
        <w:spacing w:line="360" w:lineRule="auto"/>
      </w:pPr>
    </w:p>
    <w:p w:rsidR="006D47C0" w:rsidRDefault="006D47C0" w:rsidP="006D47C0">
      <w:pPr>
        <w:spacing w:line="360" w:lineRule="auto"/>
      </w:pPr>
      <w:r>
        <w:tab/>
      </w:r>
      <w:r>
        <w:tab/>
        <w:t>OCA submits that all non-CAP residential customers, both default service and shopping customers, should be eligible to participate in the Opt-In Auction Program and all marketing materials should be specifically directed towards non-shopping customers as the Company proposed.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c.</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RESA advocates it is not appropriate to allow existing shopping customers to participate in the ROI auction/aggregation,</w:t>
      </w:r>
      <w:r>
        <w:rPr>
          <w:vertAlign w:val="superscript"/>
        </w:rPr>
        <w:footnoteReference w:id="164"/>
      </w:r>
      <w:r>
        <w:t xml:space="preserve"> because the primary intent of the ROI auction/aggregation and other retail market enhancements is to introduce default service </w:t>
      </w:r>
    </w:p>
    <w:p w:rsidR="006D47C0" w:rsidRDefault="006D47C0" w:rsidP="006D47C0">
      <w:pPr>
        <w:spacing w:line="360" w:lineRule="auto"/>
      </w:pPr>
      <w:r>
        <w:t>customers to competitive alternatives.</w:t>
      </w:r>
      <w:r>
        <w:rPr>
          <w:vertAlign w:val="superscript"/>
        </w:rPr>
        <w:footnoteReference w:id="165"/>
      </w:r>
      <w:r>
        <w:t xml:space="preserve">  Accordingly, only default service customers should be eligible for the retail Opt-In auction/aggregation.</w:t>
      </w:r>
      <w:r>
        <w:rPr>
          <w:vertAlign w:val="superscript"/>
        </w:rPr>
        <w:footnoteReference w:id="166"/>
      </w:r>
      <w:r>
        <w:t xml:space="preserve">  </w:t>
      </w:r>
    </w:p>
    <w:p w:rsidR="006D47C0" w:rsidRDefault="006D47C0" w:rsidP="006D47C0">
      <w:pPr>
        <w:spacing w:line="360" w:lineRule="auto"/>
        <w:ind w:firstLine="720"/>
      </w:pPr>
    </w:p>
    <w:p w:rsidR="006D47C0" w:rsidRDefault="006D47C0" w:rsidP="006D47C0">
      <w:pPr>
        <w:spacing w:line="360" w:lineRule="auto"/>
        <w:ind w:firstLine="720"/>
      </w:pPr>
      <w:r>
        <w:tab/>
        <w:t>RESA insists the EDCs – in developing messaging about the program, call center scripts and other materials and protocols – should inform customers that they are not eligible for the Opt-In auction/aggregation if they are already being served by an EGS.</w:t>
      </w:r>
      <w:r>
        <w:rPr>
          <w:vertAlign w:val="superscript"/>
        </w:rPr>
        <w:footnoteReference w:id="167"/>
      </w:r>
      <w:r>
        <w:t xml:space="preserve">  This limitation is also important from a customer perspective,</w:t>
      </w:r>
      <w:r>
        <w:rPr>
          <w:vertAlign w:val="superscript"/>
        </w:rPr>
        <w:footnoteReference w:id="168"/>
      </w:r>
      <w:r>
        <w:t xml:space="preserve">  because some EGSs impose early termination fees on customers who cancel their contract early.</w:t>
      </w:r>
      <w:r>
        <w:rPr>
          <w:vertAlign w:val="superscript"/>
        </w:rPr>
        <w:footnoteReference w:id="169"/>
      </w:r>
      <w:r>
        <w:t xml:space="preserve">  Limiting eligibility to non-shopping customers will eliminate the risk that existing shopping customers will be subject to such penalties from their existing supplier should they choose to enroll in the Opt-In auction/aggregation.</w:t>
      </w:r>
      <w:r>
        <w:rPr>
          <w:vertAlign w:val="superscript"/>
        </w:rPr>
        <w:footnoteReference w:id="170"/>
      </w:r>
      <w:r>
        <w:t xml:space="preserve">  </w:t>
      </w:r>
    </w:p>
    <w:p w:rsidR="006D47C0" w:rsidRDefault="006D47C0" w:rsidP="006D47C0">
      <w:pPr>
        <w:spacing w:line="360" w:lineRule="auto"/>
        <w:ind w:firstLine="720"/>
      </w:pPr>
    </w:p>
    <w:p w:rsidR="00EF601D" w:rsidRDefault="006D47C0" w:rsidP="006D47C0">
      <w:pPr>
        <w:spacing w:line="360" w:lineRule="auto"/>
        <w:ind w:firstLine="720"/>
      </w:pPr>
      <w:r>
        <w:tab/>
        <w:t xml:space="preserve">RESA admits the exclusion of shopping customers departs from the Commission’s guidelines and recent pronouncements in the </w:t>
      </w:r>
      <w:r>
        <w:rPr>
          <w:i/>
        </w:rPr>
        <w:t>FE</w:t>
      </w:r>
      <w:r>
        <w:t xml:space="preserve"> and </w:t>
      </w:r>
      <w:r>
        <w:rPr>
          <w:i/>
        </w:rPr>
        <w:t>PECO</w:t>
      </w:r>
      <w:r>
        <w:t xml:space="preserve"> cases but insists good cause exists to justify a departure.  Customers in Duquesne’s service territory have been exposed </w:t>
      </w:r>
    </w:p>
    <w:p w:rsidR="006D47C0" w:rsidRDefault="006D47C0" w:rsidP="00EF601D">
      <w:pPr>
        <w:spacing w:line="360" w:lineRule="auto"/>
      </w:pPr>
      <w:r>
        <w:t>to many offers and yet numerous default service customers have not taken advantage of these offers to save significant money or obtain other benefits.</w:t>
      </w:r>
      <w:r>
        <w:rPr>
          <w:rStyle w:val="FootnoteReference"/>
        </w:rPr>
        <w:footnoteReference w:id="171"/>
      </w:r>
      <w:r>
        <w:t xml:space="preserve">  RESA contends this scenario presents a unique risk that a large number of shopping customers could leave their existing contracts to participate in the retail market enhancements.  </w:t>
      </w:r>
    </w:p>
    <w:p w:rsidR="006D47C0" w:rsidRDefault="006D47C0" w:rsidP="006D47C0">
      <w:pPr>
        <w:spacing w:line="360" w:lineRule="auto"/>
        <w:ind w:firstLine="720"/>
      </w:pPr>
    </w:p>
    <w:p w:rsidR="006D47C0" w:rsidRDefault="006D47C0" w:rsidP="006D47C0">
      <w:pPr>
        <w:spacing w:line="360" w:lineRule="auto"/>
        <w:ind w:firstLine="720"/>
        <w:rPr>
          <w:b/>
        </w:rPr>
      </w:pPr>
      <w:r>
        <w:rPr>
          <w:b/>
        </w:rPr>
        <w:tab/>
        <w:t>d.</w:t>
      </w:r>
      <w:r>
        <w:rPr>
          <w:b/>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CC3A56" w:rsidRDefault="00CC3A56"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Joint Suppliers take</w:t>
      </w:r>
      <w:r>
        <w:t xml:space="preserve"> no position on this issue.</w:t>
      </w:r>
    </w:p>
    <w:p w:rsidR="006D47C0" w:rsidRPr="00CF778F" w:rsidRDefault="006D47C0" w:rsidP="006D47C0">
      <w:pPr>
        <w:pStyle w:val="BodyText2"/>
        <w:spacing w:line="360" w:lineRule="auto"/>
        <w:rPr>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D169D6">
        <w:rPr>
          <w:b/>
        </w:rPr>
        <w:t>Disposition</w:t>
      </w:r>
      <w:r w:rsidRPr="007D643F">
        <w:rPr>
          <w:b/>
        </w:rPr>
        <w:t xml:space="preserve"> </w:t>
      </w:r>
      <w:r w:rsidRPr="007D643F">
        <w:rPr>
          <w:lang w:val="en-US"/>
        </w:rPr>
        <w:t>-</w:t>
      </w:r>
      <w:r>
        <w:rPr>
          <w:b/>
          <w:lang w:val="en-US"/>
        </w:rPr>
        <w:t xml:space="preserve"> </w:t>
      </w:r>
      <w:r w:rsidRPr="004E7112">
        <w:rPr>
          <w:b/>
          <w:color w:val="000000" w:themeColor="text1"/>
          <w:szCs w:val="24"/>
          <w:lang w:val="en-US"/>
        </w:rPr>
        <w:t>Shopping Customer Participation</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 recommend approving Duquesne Light’s proposal to make shopping customers eligible for these RME Programs even though the focus of the Company’s marketing and customer education efforts would be squarely on default service customers.  This proposal is consistent with prior Commission action which has clearly stated these incentives should be available to </w:t>
      </w:r>
      <w:r w:rsidRPr="004E7112">
        <w:rPr>
          <w:color w:val="000000" w:themeColor="text1"/>
          <w:szCs w:val="24"/>
          <w:u w:val="single"/>
          <w:lang w:val="en-US"/>
        </w:rPr>
        <w:t>all</w:t>
      </w:r>
      <w:r w:rsidRPr="004E7112">
        <w:rPr>
          <w:color w:val="000000" w:themeColor="text1"/>
          <w:szCs w:val="24"/>
          <w:lang w:val="en-US"/>
        </w:rPr>
        <w:t xml:space="preserve"> customers.  I disagree with RESA’s contention that shopping customers already know how to shop and, therefore, should be excluded from this incentive.  We either trust and respect shopping customers to know their own minds and be masters of their own lives with enough savvy to pick an EGS – and know whether termination fees apply – or we don’t.  We either respect the decisions the ratepayers make or we paternalistically make decisions for them because, in the end, we believe them to be too dull-witted to do it for themselves.  RESA’s proposal expects the Company to monitor enrollment requests and to educate inquirers about the implications of enrollment which is unfair, in addition to being unrealistic, when the Company will have no knowledge of the EGSs’ terms and conditions.  </w:t>
      </w:r>
    </w:p>
    <w:p w:rsidR="006D47C0" w:rsidRPr="008E02F4" w:rsidRDefault="006D47C0" w:rsidP="006D47C0">
      <w:pPr>
        <w:pStyle w:val="ListParagraph"/>
        <w:autoSpaceDE/>
        <w:autoSpaceDN/>
        <w:spacing w:line="360" w:lineRule="auto"/>
        <w:ind w:left="0"/>
        <w:rPr>
          <w:b/>
          <w:u w:val="single"/>
        </w:rPr>
      </w:pPr>
    </w:p>
    <w:p w:rsidR="006D47C0" w:rsidRDefault="006D47C0" w:rsidP="00E97438">
      <w:pPr>
        <w:pStyle w:val="BodyText"/>
        <w:spacing w:after="0" w:line="360" w:lineRule="auto"/>
        <w:ind w:left="0" w:firstLine="0"/>
        <w:rPr>
          <w:lang w:val="en-US"/>
        </w:rPr>
      </w:pPr>
      <w:r>
        <w:rPr>
          <w:szCs w:val="24"/>
          <w:lang w:val="en-US"/>
        </w:rPr>
        <w:tab/>
      </w:r>
      <w:r>
        <w:rPr>
          <w:szCs w:val="24"/>
          <w:lang w:val="en-US"/>
        </w:rPr>
        <w:tab/>
      </w:r>
      <w:r>
        <w:t xml:space="preserve">The Commission captured the importance of allowing </w:t>
      </w:r>
      <w:r w:rsidRPr="00955942">
        <w:rPr>
          <w:b/>
          <w:u w:val="single"/>
        </w:rPr>
        <w:t>all</w:t>
      </w:r>
      <w:r>
        <w:t xml:space="preserve"> customers – shopping and non-shopping – to participate</w:t>
      </w:r>
      <w:r>
        <w:rPr>
          <w:lang w:val="en-US"/>
        </w:rPr>
        <w:t xml:space="preserve"> when it </w:t>
      </w:r>
      <w:r>
        <w:t>stated:</w:t>
      </w:r>
    </w:p>
    <w:p w:rsidR="006D47C0" w:rsidRPr="00F162BC" w:rsidRDefault="006D47C0" w:rsidP="006D47C0">
      <w:pPr>
        <w:pStyle w:val="BodyText2"/>
        <w:spacing w:after="0" w:line="360" w:lineRule="auto"/>
        <w:ind w:firstLine="1440"/>
        <w:rPr>
          <w:lang w:val="en-US"/>
        </w:rPr>
      </w:pPr>
    </w:p>
    <w:p w:rsidR="006D47C0" w:rsidRDefault="006D47C0" w:rsidP="006D47C0">
      <w:pPr>
        <w:ind w:left="1440" w:right="720"/>
      </w:pPr>
      <w:r>
        <w:t>The Commission maintains its original position that Retail Opt-In Auctions should be open to both residential default service and residential shopping customers.  The Commission agrees with those parties that expressed discomfort in the possibility of EDCs rejecting shopping customer participation.  The Commission believes that would cast a shadow over the auctions and appear to be discriminatory against those who have already entered into the retail electric market.  Additionally, the Commission believes this will prevent shopping customers from returning to default service in order to participate, which may result in cancelled contracts and the imposition of early termination fees/penalties.</w:t>
      </w:r>
    </w:p>
    <w:p w:rsidR="006D47C0" w:rsidRDefault="006D47C0" w:rsidP="006D47C0">
      <w:pPr>
        <w:spacing w:line="360" w:lineRule="auto"/>
      </w:pPr>
    </w:p>
    <w:p w:rsidR="006D47C0" w:rsidRDefault="006D47C0" w:rsidP="006D47C0">
      <w:pPr>
        <w:spacing w:line="360" w:lineRule="auto"/>
      </w:pPr>
      <w:r w:rsidRPr="003B791E">
        <w:rPr>
          <w:i/>
        </w:rPr>
        <w:t>IWP Order</w:t>
      </w:r>
      <w:r>
        <w:t xml:space="preserve"> at 42.</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pPr>
      <w:r>
        <w:tab/>
      </w:r>
      <w:r>
        <w:tab/>
        <w:t xml:space="preserve">The </w:t>
      </w:r>
      <w:r w:rsidRPr="009B0C85">
        <w:rPr>
          <w:i/>
        </w:rPr>
        <w:t>IWP Order</w:t>
      </w:r>
      <w:r>
        <w:t xml:space="preserve"> stated:</w:t>
      </w:r>
    </w:p>
    <w:p w:rsidR="006D47C0" w:rsidRDefault="006D47C0" w:rsidP="006D47C0">
      <w:pPr>
        <w:ind w:left="1440" w:right="720"/>
      </w:pPr>
      <w:r>
        <w:t>However, to ensure the focus of this competitive enhancement is on those customers who have not shopped, the Commission will also maintain its original position that all marketing, notifications and consumer educations efforts for Retail Opt-in Auctions should be targeted to non-shopping, residential, default service customers.  As such, although a shopping customer may become aware of the Retail Opt-In Auction and request participation, the auction materials themselves will be directed toward the non-shopping segment of the residential sector.</w:t>
      </w:r>
    </w:p>
    <w:p w:rsidR="006D47C0" w:rsidRDefault="006D47C0" w:rsidP="006D47C0">
      <w:pPr>
        <w:spacing w:line="360" w:lineRule="auto"/>
      </w:pPr>
    </w:p>
    <w:p w:rsidR="006D47C0" w:rsidRDefault="006D47C0" w:rsidP="006D47C0">
      <w:pPr>
        <w:spacing w:line="360" w:lineRule="auto"/>
      </w:pPr>
      <w:r w:rsidRPr="003B791E">
        <w:rPr>
          <w:i/>
        </w:rPr>
        <w:t>IWP Order</w:t>
      </w:r>
      <w:r>
        <w:t xml:space="preserve"> at 42.</w:t>
      </w:r>
    </w:p>
    <w:p w:rsidR="006D47C0" w:rsidRDefault="006D47C0" w:rsidP="006D47C0">
      <w:pPr>
        <w:pStyle w:val="BodyText"/>
        <w:spacing w:after="0" w:line="360" w:lineRule="auto"/>
        <w:ind w:left="0" w:firstLine="0"/>
        <w:rPr>
          <w:szCs w:val="24"/>
          <w:lang w:val="en-US"/>
        </w:rPr>
      </w:pPr>
    </w:p>
    <w:p w:rsidR="007C6954" w:rsidRDefault="007C6954" w:rsidP="006D47C0">
      <w:pPr>
        <w:pStyle w:val="BodyText"/>
        <w:spacing w:after="0" w:line="360" w:lineRule="auto"/>
        <w:ind w:left="0" w:firstLine="0"/>
        <w:rPr>
          <w:szCs w:val="24"/>
          <w:lang w:val="en-US"/>
        </w:rPr>
      </w:pPr>
    </w:p>
    <w:p w:rsidR="007C6954" w:rsidRDefault="007C6954"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outlineLvl w:val="9"/>
        <w:rPr>
          <w:b/>
          <w:szCs w:val="24"/>
        </w:rPr>
      </w:pPr>
      <w:r>
        <w:rPr>
          <w:b/>
          <w:szCs w:val="24"/>
        </w:rPr>
        <w:tab/>
        <w:t>6.</w:t>
      </w:r>
      <w:r>
        <w:rPr>
          <w:b/>
          <w:szCs w:val="24"/>
        </w:rPr>
        <w:tab/>
        <w:t xml:space="preserve">Small C&amp;I Customer Participation in Market Enhancement Programs </w:t>
      </w:r>
    </w:p>
    <w:p w:rsidR="006D47C0" w:rsidRDefault="006D47C0" w:rsidP="006D47C0">
      <w:pPr>
        <w:pStyle w:val="BriefL3"/>
        <w:numPr>
          <w:ilvl w:val="0"/>
          <w:numId w:val="0"/>
        </w:numPr>
        <w:spacing w:after="0" w:line="360" w:lineRule="auto"/>
        <w:ind w:firstLine="720"/>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Duquesne Light proposed to exclude Small C&amp;I customers from participating in the RME Programs</w:t>
      </w:r>
      <w:r>
        <w:rPr>
          <w:lang w:val="en-US"/>
        </w:rPr>
        <w:t xml:space="preserve">, and </w:t>
      </w:r>
      <w:r>
        <w:t>explained several reasons why it would be reasonable to maintain this position at this time, including:</w:t>
      </w:r>
    </w:p>
    <w:p w:rsidR="006D47C0" w:rsidRDefault="006D47C0" w:rsidP="006D47C0">
      <w:pPr>
        <w:pStyle w:val="BodyText2"/>
        <w:numPr>
          <w:ilvl w:val="0"/>
          <w:numId w:val="17"/>
        </w:numPr>
        <w:spacing w:after="0" w:line="240" w:lineRule="auto"/>
        <w:ind w:left="2160" w:hanging="720"/>
        <w:rPr>
          <w:lang w:val="en-US"/>
        </w:rPr>
      </w:pPr>
      <w:r>
        <w:t xml:space="preserve">It would be prudent to consider the benefits and costs of the residential RME Programs before expanding applicability to Small C&amp;I customers; </w:t>
      </w:r>
    </w:p>
    <w:p w:rsidR="006D47C0" w:rsidRPr="00C42691" w:rsidRDefault="006D47C0" w:rsidP="006D47C0">
      <w:pPr>
        <w:pStyle w:val="BodyText2"/>
        <w:spacing w:after="0" w:line="240" w:lineRule="auto"/>
        <w:ind w:left="1800"/>
        <w:rPr>
          <w:lang w:val="en-US"/>
        </w:rPr>
      </w:pPr>
    </w:p>
    <w:p w:rsidR="006D47C0" w:rsidRDefault="006D47C0" w:rsidP="006D47C0">
      <w:pPr>
        <w:pStyle w:val="BodyText2"/>
        <w:numPr>
          <w:ilvl w:val="0"/>
          <w:numId w:val="17"/>
        </w:numPr>
        <w:spacing w:after="0" w:line="240" w:lineRule="auto"/>
        <w:ind w:left="2160" w:hanging="720"/>
        <w:rPr>
          <w:lang w:val="en-US"/>
        </w:rPr>
      </w:pPr>
      <w:r>
        <w:t>Duquesne Light already has high levels of customer shopping in its service territory with 42% of Small C&amp;I customers shopping as of August 2012; and</w:t>
      </w:r>
    </w:p>
    <w:p w:rsidR="006D47C0" w:rsidRPr="001D2ED3" w:rsidRDefault="006D47C0" w:rsidP="006D47C0">
      <w:pPr>
        <w:pStyle w:val="BodyText2"/>
        <w:spacing w:after="0" w:line="240" w:lineRule="auto"/>
        <w:ind w:left="1800"/>
        <w:rPr>
          <w:lang w:val="en-US"/>
        </w:rPr>
      </w:pPr>
    </w:p>
    <w:p w:rsidR="006D47C0" w:rsidRDefault="006D47C0" w:rsidP="006D47C0">
      <w:pPr>
        <w:pStyle w:val="BodyText2"/>
        <w:numPr>
          <w:ilvl w:val="0"/>
          <w:numId w:val="17"/>
        </w:numPr>
        <w:spacing w:after="0" w:line="240" w:lineRule="auto"/>
        <w:ind w:left="2160" w:hanging="720"/>
        <w:rPr>
          <w:lang w:val="en-US"/>
        </w:rPr>
      </w:pPr>
      <w:r>
        <w:t>Duquesne Light is making its Small C&amp;I procurement plan more market responsive under DSP VI than under DSP V.</w:t>
      </w:r>
    </w:p>
    <w:p w:rsidR="006D47C0" w:rsidRPr="001D2ED3" w:rsidRDefault="006D47C0" w:rsidP="006D47C0">
      <w:pPr>
        <w:pStyle w:val="BodyText2"/>
        <w:spacing w:after="0" w:line="240" w:lineRule="auto"/>
        <w:ind w:left="1800"/>
        <w:rPr>
          <w:lang w:val="en-US"/>
        </w:rPr>
      </w:pPr>
    </w:p>
    <w:p w:rsidR="006D47C0" w:rsidRDefault="006D47C0" w:rsidP="006D47C0">
      <w:pPr>
        <w:pStyle w:val="BodyText2"/>
        <w:spacing w:after="0" w:line="240" w:lineRule="auto"/>
      </w:pPr>
      <w:r>
        <w:t>Duquesne Light St. No. 3-RJ, pp. 21-23.</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Duquesne Light </w:t>
      </w:r>
      <w:r>
        <w:rPr>
          <w:lang w:val="en-US"/>
        </w:rPr>
        <w:t>acknowledged</w:t>
      </w:r>
      <w:r>
        <w:t xml:space="preserve"> the Commission recently revised its guidance in the Retail Markets Investigation proceeding and expanded the scope of the FE Companies’ and PECO’s RME Programs to include Small C&amp;I customers.  The </w:t>
      </w:r>
      <w:r>
        <w:rPr>
          <w:lang w:val="en-US"/>
        </w:rPr>
        <w:t xml:space="preserve">Company opined </w:t>
      </w:r>
      <w:r>
        <w:t>there are special challenges in designing a Small C&amp;I program due to the load diversity in this class</w:t>
      </w:r>
      <w:r>
        <w:rPr>
          <w:lang w:val="en-US"/>
        </w:rPr>
        <w:t>, and</w:t>
      </w:r>
      <w:r>
        <w:t xml:space="preserve"> it is not clear that either PECO or FE </w:t>
      </w:r>
      <w:r>
        <w:rPr>
          <w:lang w:val="en-US"/>
        </w:rPr>
        <w:t>had</w:t>
      </w:r>
      <w:r>
        <w:t xml:space="preserve"> levels of Small C&amp;I shopping that Duquesne</w:t>
      </w:r>
      <w:r>
        <w:rPr>
          <w:lang w:val="en-US"/>
        </w:rPr>
        <w:t xml:space="preserve"> already</w:t>
      </w:r>
      <w:r>
        <w:t xml:space="preserve"> achieved for this particular set of customers.  Further, the Company note</w:t>
      </w:r>
      <w:r>
        <w:rPr>
          <w:lang w:val="en-US"/>
        </w:rPr>
        <w:t>d</w:t>
      </w:r>
      <w:r>
        <w:t xml:space="preserve"> the success of these new retail market initiatives in Duquesne Light’s service area and the relative benefits and costs of these programs is dependent on many things and is uncertain.  Duquesne Light St. No. 3-RJ, p. 16.  The </w:t>
      </w:r>
      <w:r>
        <w:rPr>
          <w:lang w:val="en-US"/>
        </w:rPr>
        <w:t xml:space="preserve">Company argues the </w:t>
      </w:r>
      <w:r>
        <w:t xml:space="preserve">Commission should give consideration to these issues in determining whether the Company should offer Small C&amp;I RME Programs given the relative high level of Small C&amp;I shopping </w:t>
      </w:r>
      <w:r>
        <w:rPr>
          <w:lang w:val="en-US"/>
        </w:rPr>
        <w:t>already in progress with</w:t>
      </w:r>
      <w:r>
        <w:t xml:space="preserve">in the Company’s service area.  </w:t>
      </w:r>
    </w:p>
    <w:p w:rsidR="006D47C0" w:rsidRDefault="006D47C0" w:rsidP="006D47C0">
      <w:pPr>
        <w:pStyle w:val="ListParagraph"/>
        <w:autoSpaceDE/>
        <w:autoSpaceDN/>
        <w:spacing w:line="360" w:lineRule="auto"/>
        <w:ind w:left="0"/>
        <w:rPr>
          <w:u w:val="single"/>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ListParagraph"/>
        <w:autoSpaceDE/>
        <w:autoSpaceDN/>
        <w:spacing w:line="360" w:lineRule="auto"/>
        <w:ind w:left="0"/>
        <w:rPr>
          <w:u w:val="single"/>
        </w:rPr>
      </w:pPr>
    </w:p>
    <w:p w:rsidR="006D47C0" w:rsidRDefault="006D47C0" w:rsidP="006D47C0">
      <w:pPr>
        <w:pStyle w:val="BodyText2"/>
        <w:ind w:left="720"/>
      </w:pPr>
      <w:r>
        <w:rPr>
          <w:lang w:val="en-US"/>
        </w:rPr>
        <w:tab/>
      </w:r>
      <w:r>
        <w:t>OCA takes no position on this issue.</w:t>
      </w:r>
    </w:p>
    <w:p w:rsidR="006D47C0" w:rsidRDefault="006D47C0" w:rsidP="006D47C0">
      <w:pPr>
        <w:pStyle w:val="BriefL3"/>
        <w:numPr>
          <w:ilvl w:val="0"/>
          <w:numId w:val="0"/>
        </w:numPr>
        <w:spacing w:after="0" w:line="360" w:lineRule="auto"/>
        <w:ind w:left="1350" w:hanging="630"/>
        <w:rPr>
          <w:b/>
          <w:szCs w:val="24"/>
        </w:rPr>
      </w:pPr>
      <w:r>
        <w:rPr>
          <w:b/>
          <w:szCs w:val="24"/>
        </w:rPr>
        <w:tab/>
        <w:t>c.</w:t>
      </w:r>
      <w:r>
        <w:rPr>
          <w:b/>
          <w:szCs w:val="24"/>
        </w:rPr>
        <w:tab/>
        <w:t>RESA’s Position</w:t>
      </w:r>
    </w:p>
    <w:p w:rsidR="006D47C0" w:rsidRDefault="006D47C0" w:rsidP="006D47C0">
      <w:pPr>
        <w:pStyle w:val="ListParagraph"/>
        <w:autoSpaceDE/>
        <w:autoSpaceDN/>
        <w:spacing w:line="360" w:lineRule="auto"/>
        <w:ind w:left="0"/>
        <w:rPr>
          <w:u w:val="single"/>
        </w:rPr>
      </w:pPr>
    </w:p>
    <w:p w:rsidR="005F62F4" w:rsidRDefault="006D47C0" w:rsidP="006D47C0">
      <w:pPr>
        <w:spacing w:line="360" w:lineRule="auto"/>
        <w:ind w:firstLine="720"/>
      </w:pPr>
      <w:r>
        <w:tab/>
        <w:t xml:space="preserve">Duquesne would limit the ROI auction/aggregation program to residential customers but RESA recommended Small C&amp;I customers be eligible to participate in the ROI program.  In RESA’s view, there is no reason not to extend the auction/aggregation and referral </w:t>
      </w:r>
    </w:p>
    <w:p w:rsidR="005F62F4" w:rsidRDefault="005F62F4" w:rsidP="006D47C0">
      <w:pPr>
        <w:spacing w:line="360" w:lineRule="auto"/>
        <w:ind w:firstLine="720"/>
      </w:pPr>
    </w:p>
    <w:p w:rsidR="005F62F4" w:rsidRDefault="005F62F4" w:rsidP="006D47C0">
      <w:pPr>
        <w:spacing w:line="360" w:lineRule="auto"/>
        <w:ind w:firstLine="720"/>
      </w:pPr>
    </w:p>
    <w:p w:rsidR="006D47C0" w:rsidRDefault="006D47C0" w:rsidP="005F62F4">
      <w:pPr>
        <w:spacing w:line="360" w:lineRule="auto"/>
      </w:pPr>
      <w:r>
        <w:t>program to Small C&amp;I customers.</w:t>
      </w:r>
      <w:r>
        <w:rPr>
          <w:vertAlign w:val="superscript"/>
        </w:rPr>
        <w:footnoteReference w:id="172"/>
      </w:r>
      <w:r>
        <w:t xml:space="preserve">  That conclusion was reached in the </w:t>
      </w:r>
      <w:r>
        <w:rPr>
          <w:i/>
        </w:rPr>
        <w:t>FE</w:t>
      </w:r>
      <w:r>
        <w:t xml:space="preserve"> and </w:t>
      </w:r>
      <w:r>
        <w:rPr>
          <w:i/>
        </w:rPr>
        <w:t>PECO</w:t>
      </w:r>
      <w:r>
        <w:t xml:space="preserve"> default service cases,</w:t>
      </w:r>
      <w:r>
        <w:rPr>
          <w:vertAlign w:val="superscript"/>
        </w:rPr>
        <w:footnoteReference w:id="173"/>
      </w:r>
      <w:r>
        <w:t xml:space="preserve"> and should also be reached here.  </w:t>
      </w:r>
    </w:p>
    <w:p w:rsidR="00D52C15" w:rsidRDefault="00D52C15" w:rsidP="005F62F4">
      <w:pPr>
        <w:spacing w:line="360" w:lineRule="auto"/>
      </w:pPr>
    </w:p>
    <w:p w:rsidR="006D47C0" w:rsidRDefault="006D47C0" w:rsidP="006D47C0">
      <w:pPr>
        <w:spacing w:line="360" w:lineRule="auto"/>
        <w:ind w:firstLine="720"/>
      </w:pPr>
      <w:r>
        <w:tab/>
        <w:t>Despite the somewhat higher level of residential shopping in the Duquesne service territory, the Small C&amp;I experience does not appear to be materially different from the situation in the FirstEnergy service territories.  Only about 30% of Small C&amp;I customers (accounting for about 38% of the load) had switched to an EGS as of May 2012, meaning that Small C&amp;I customers were switching at a rate materially less than the switching rates of residential customers in the Duquesne service territory.</w:t>
      </w:r>
      <w:r>
        <w:rPr>
          <w:rStyle w:val="FootnoteReference"/>
        </w:rPr>
        <w:footnoteReference w:id="174"/>
      </w:r>
      <w:r>
        <w:t xml:space="preserve">  This trend is sufficient to justify application of the result reached in the </w:t>
      </w:r>
      <w:r>
        <w:rPr>
          <w:i/>
        </w:rPr>
        <w:t>FirstEnergy Default Service Order</w:t>
      </w:r>
      <w:r>
        <w:t xml:space="preserve"> and the </w:t>
      </w:r>
      <w:r>
        <w:rPr>
          <w:i/>
        </w:rPr>
        <w:t>PECO Binding Poll</w:t>
      </w:r>
      <w:r>
        <w:t xml:space="preserve"> to the Duquesne default service plan.</w:t>
      </w:r>
    </w:p>
    <w:p w:rsidR="006D47C0" w:rsidRDefault="006D47C0" w:rsidP="006D47C0">
      <w:pPr>
        <w:spacing w:line="360" w:lineRule="auto"/>
        <w:ind w:firstLine="720"/>
      </w:pPr>
    </w:p>
    <w:p w:rsidR="006D47C0" w:rsidRDefault="006D47C0" w:rsidP="006D47C0">
      <w:pPr>
        <w:spacing w:line="360" w:lineRule="auto"/>
        <w:ind w:firstLine="720"/>
      </w:pPr>
      <w:r>
        <w:tab/>
        <w:t>RESA recommends the Standard Offer Referral program be made available to small business customers.</w:t>
      </w:r>
      <w:r>
        <w:rPr>
          <w:rStyle w:val="FootnoteReference"/>
        </w:rPr>
        <w:footnoteReference w:id="175"/>
      </w:r>
      <w:r>
        <w:t xml:space="preserve">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d.</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SBA’s</w:t>
      </w:r>
      <w:r>
        <w:t xml:space="preserve"> position on this issue</w:t>
      </w:r>
      <w:r>
        <w:rPr>
          <w:lang w:val="en-US"/>
        </w:rPr>
        <w:t xml:space="preserve"> is stated previously concerning Market Enhancement Program Cost Recovery</w:t>
      </w:r>
      <w:r>
        <w:t>.</w:t>
      </w:r>
    </w:p>
    <w:p w:rsidR="006D47C0" w:rsidRDefault="006D47C0" w:rsidP="006D47C0">
      <w:pPr>
        <w:pStyle w:val="BriefL3"/>
        <w:numPr>
          <w:ilvl w:val="0"/>
          <w:numId w:val="0"/>
        </w:numPr>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D52C15" w:rsidRDefault="006D47C0" w:rsidP="006D47C0">
      <w:pPr>
        <w:pStyle w:val="BriefL3"/>
        <w:numPr>
          <w:ilvl w:val="0"/>
          <w:numId w:val="0"/>
        </w:numPr>
        <w:spacing w:after="0" w:line="360" w:lineRule="auto"/>
        <w:ind w:firstLine="720"/>
        <w:rPr>
          <w:b/>
          <w:szCs w:val="24"/>
        </w:rPr>
      </w:pPr>
      <w:r>
        <w:rPr>
          <w:b/>
          <w:szCs w:val="24"/>
        </w:rPr>
        <w:tab/>
      </w:r>
    </w:p>
    <w:p w:rsidR="006D47C0" w:rsidRDefault="00D52C15" w:rsidP="006D47C0">
      <w:pPr>
        <w:pStyle w:val="BriefL3"/>
        <w:numPr>
          <w:ilvl w:val="0"/>
          <w:numId w:val="0"/>
        </w:numPr>
        <w:spacing w:after="0" w:line="360" w:lineRule="auto"/>
        <w:ind w:firstLine="720"/>
        <w:rPr>
          <w:b/>
          <w:szCs w:val="24"/>
        </w:rPr>
      </w:pPr>
      <w:r>
        <w:rPr>
          <w:b/>
          <w:szCs w:val="24"/>
        </w:rPr>
        <w:tab/>
      </w:r>
      <w:r w:rsidR="006D47C0">
        <w:rPr>
          <w:b/>
          <w:szCs w:val="24"/>
        </w:rPr>
        <w:t>f.</w:t>
      </w:r>
      <w:r w:rsidR="006D47C0">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 xml:space="preserve">FES believes </w:t>
      </w:r>
      <w:r w:rsidR="00DE6381">
        <w:t>R</w:t>
      </w:r>
      <w:r>
        <w:t xml:space="preserve">etail </w:t>
      </w:r>
      <w:r w:rsidR="00DE6381">
        <w:t>M</w:t>
      </w:r>
      <w:r>
        <w:t xml:space="preserve">arket </w:t>
      </w:r>
      <w:r w:rsidR="00DE6381">
        <w:t>E</w:t>
      </w:r>
      <w:r>
        <w:t xml:space="preserve">nhancement </w:t>
      </w:r>
      <w:r w:rsidR="00DE6381">
        <w:t>P</w:t>
      </w:r>
      <w:r>
        <w:t xml:space="preserve">rograms should be open to customers in all rate classes.  While Duquesne Light’s proposal is consistent with the </w:t>
      </w:r>
      <w:r w:rsidRPr="000F30E9">
        <w:rPr>
          <w:i/>
        </w:rPr>
        <w:t>IWP Order</w:t>
      </w:r>
      <w:r>
        <w:t xml:space="preserve">, the Commission’s holding in the </w:t>
      </w:r>
      <w:r w:rsidRPr="006D3830">
        <w:rPr>
          <w:i/>
        </w:rPr>
        <w:t>ME/PN/PP/WP Order</w:t>
      </w:r>
      <w:r>
        <w:t xml:space="preserve"> (pp. 103-104) clearly shows its intention that Small C&amp;I customers should be included in the </w:t>
      </w:r>
      <w:r w:rsidR="006D3830">
        <w:t>M</w:t>
      </w:r>
      <w:r>
        <w:t xml:space="preserve">arket </w:t>
      </w:r>
      <w:r w:rsidR="006D3830">
        <w:t>E</w:t>
      </w:r>
      <w:r>
        <w:t xml:space="preserve">nhancement </w:t>
      </w:r>
      <w:r w:rsidR="006D3830">
        <w:t>P</w:t>
      </w:r>
      <w:r>
        <w:t>rograms.</w:t>
      </w:r>
      <w:r>
        <w:rPr>
          <w:rStyle w:val="FootnoteReference"/>
        </w:rPr>
        <w:footnoteReference w:id="176"/>
      </w:r>
    </w:p>
    <w:p w:rsidR="006D47C0" w:rsidRPr="00C40586"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Joint Suppliers take</w:t>
      </w:r>
      <w:r>
        <w:t xml:space="preserve"> no position on this issue.</w:t>
      </w:r>
    </w:p>
    <w:p w:rsidR="006D47C0" w:rsidRPr="004E7112" w:rsidRDefault="006D47C0" w:rsidP="006D47C0">
      <w:pPr>
        <w:pStyle w:val="BodyText"/>
        <w:spacing w:after="0" w:line="360" w:lineRule="auto"/>
        <w:ind w:left="0" w:firstLine="0"/>
        <w:rPr>
          <w:b/>
          <w:color w:val="000000" w:themeColor="text1"/>
          <w:szCs w:val="24"/>
          <w:lang w:val="en-US"/>
        </w:rPr>
      </w:pPr>
      <w:r w:rsidRPr="00696165">
        <w:rPr>
          <w:b/>
        </w:rPr>
        <w:t>Disposition</w:t>
      </w:r>
      <w:r w:rsidRPr="00A27BCC">
        <w:rPr>
          <w:b/>
        </w:rPr>
        <w:t xml:space="preserve"> </w:t>
      </w:r>
      <w:r w:rsidRPr="00A27BCC">
        <w:rPr>
          <w:lang w:val="en-US"/>
        </w:rPr>
        <w:t>-</w:t>
      </w:r>
      <w:r>
        <w:rPr>
          <w:b/>
          <w:lang w:val="en-US"/>
        </w:rPr>
        <w:t xml:space="preserve"> </w:t>
      </w:r>
      <w:r w:rsidRPr="004E7112">
        <w:rPr>
          <w:b/>
          <w:color w:val="000000" w:themeColor="text1"/>
          <w:szCs w:val="24"/>
          <w:lang w:val="en-US"/>
        </w:rPr>
        <w:t xml:space="preserve">Small C&amp;I Customer Participation </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The level of Small C&amp;I customers already shopping in the Company’s territory is only slightly higher than the percentage seen with the residential shopping levels.  There are reasons to seek expanded participation by this class and, therefore, the Standard Offer Referral </w:t>
      </w:r>
      <w:r w:rsidR="005A310C">
        <w:rPr>
          <w:color w:val="000000" w:themeColor="text1"/>
          <w:szCs w:val="24"/>
          <w:lang w:val="en-US"/>
        </w:rPr>
        <w:t>P</w:t>
      </w:r>
      <w:r w:rsidRPr="004E7112">
        <w:rPr>
          <w:color w:val="000000" w:themeColor="text1"/>
          <w:szCs w:val="24"/>
          <w:lang w:val="en-US"/>
        </w:rPr>
        <w:t xml:space="preserve">rogram should be available to the Company’s Small C&amp;I customers to the same extent it is applied to the </w:t>
      </w:r>
      <w:r w:rsidR="005A310C">
        <w:rPr>
          <w:color w:val="000000" w:themeColor="text1"/>
          <w:szCs w:val="24"/>
          <w:lang w:val="en-US"/>
        </w:rPr>
        <w:t>r</w:t>
      </w:r>
      <w:r w:rsidRPr="004E7112">
        <w:rPr>
          <w:color w:val="000000" w:themeColor="text1"/>
          <w:szCs w:val="24"/>
          <w:lang w:val="en-US"/>
        </w:rPr>
        <w:t>esidential class, and for the same reasons.</w:t>
      </w:r>
    </w:p>
    <w:p w:rsidR="006D47C0" w:rsidRPr="007E5FB1" w:rsidRDefault="006D47C0" w:rsidP="006D47C0">
      <w:pPr>
        <w:pStyle w:val="ListParagraph"/>
        <w:autoSpaceDE/>
        <w:autoSpaceDN/>
        <w:spacing w:line="360" w:lineRule="auto"/>
        <w:ind w:left="0"/>
        <w:rPr>
          <w:b/>
          <w:u w:val="single"/>
        </w:rPr>
      </w:pPr>
    </w:p>
    <w:p w:rsidR="006D47C0" w:rsidRDefault="004F6E4D" w:rsidP="004F6E4D">
      <w:pPr>
        <w:pStyle w:val="BodyText"/>
        <w:spacing w:after="0" w:line="360" w:lineRule="auto"/>
        <w:ind w:left="0" w:firstLine="0"/>
        <w:rPr>
          <w:b/>
          <w:szCs w:val="24"/>
        </w:rPr>
      </w:pPr>
      <w:r>
        <w:rPr>
          <w:szCs w:val="24"/>
          <w:lang w:val="en-US"/>
        </w:rPr>
        <w:tab/>
      </w:r>
      <w:r w:rsidR="006D47C0">
        <w:rPr>
          <w:b/>
          <w:szCs w:val="24"/>
        </w:rPr>
        <w:t>7.</w:t>
      </w:r>
      <w:r w:rsidR="006D47C0">
        <w:rPr>
          <w:b/>
          <w:szCs w:val="24"/>
        </w:rPr>
        <w:tab/>
        <w:t xml:space="preserve">Customer Status at the End of the Market Enhancement Product </w:t>
      </w:r>
    </w:p>
    <w:p w:rsidR="006D47C0" w:rsidRDefault="006D47C0"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Duquesne Light proposed that customers </w:t>
      </w:r>
      <w:r>
        <w:rPr>
          <w:lang w:val="en-US"/>
        </w:rPr>
        <w:t>who</w:t>
      </w:r>
      <w:r>
        <w:t xml:space="preserve"> elect to participate in the RME Programs </w:t>
      </w:r>
      <w:r>
        <w:rPr>
          <w:lang w:val="en-US"/>
        </w:rPr>
        <w:t xml:space="preserve">should </w:t>
      </w:r>
      <w:r>
        <w:t xml:space="preserve">remain with the EGS on a month-to-month contract unless the customer makes an affirmative choice to select another EGS or return to default service.  This proposal is consistent with the Commission’s Order in the Retail Markets Investigation and with the Commission’s recent Order in the </w:t>
      </w:r>
      <w:r w:rsidRPr="00DE2540">
        <w:rPr>
          <w:i/>
        </w:rPr>
        <w:t xml:space="preserve">FE Companies’ </w:t>
      </w:r>
      <w:r>
        <w:t xml:space="preserve">default services proceeding.  </w:t>
      </w:r>
      <w:r>
        <w:rPr>
          <w:i/>
        </w:rPr>
        <w:t>Intermediate Work Plan Order</w:t>
      </w:r>
      <w:r>
        <w:t xml:space="preserve"> at 32; </w:t>
      </w:r>
      <w:r>
        <w:rPr>
          <w:i/>
        </w:rPr>
        <w:t>FE Order</w:t>
      </w:r>
      <w:r>
        <w:t xml:space="preserve"> at 129.</w:t>
      </w:r>
      <w:r>
        <w:rPr>
          <w:lang w:val="en-US"/>
        </w:rPr>
        <w:t xml:space="preserve">  </w:t>
      </w:r>
      <w:r>
        <w:t xml:space="preserve">The Company notes the Commission recently held in the FE Companies proceeding that customers </w:t>
      </w:r>
      <w:r>
        <w:rPr>
          <w:lang w:val="en-US"/>
        </w:rPr>
        <w:t>who</w:t>
      </w:r>
      <w:r>
        <w:t xml:space="preserve"> participate in the RME Programs are to remain with the EGS after the expiration of the RME Programs unless the customer affirmatively selects a different alternative.</w:t>
      </w:r>
    </w:p>
    <w:p w:rsidR="00104D86" w:rsidRDefault="00104D86" w:rsidP="006D47C0">
      <w:pPr>
        <w:pStyle w:val="BodyText"/>
        <w:spacing w:after="0" w:line="360" w:lineRule="auto"/>
        <w:ind w:left="0" w:firstLine="0"/>
        <w:rPr>
          <w:szCs w:val="24"/>
          <w:lang w:val="en-US"/>
        </w:rPr>
      </w:pPr>
    </w:p>
    <w:p w:rsidR="006D47C0" w:rsidRDefault="006D47C0" w:rsidP="006D47C0">
      <w:pPr>
        <w:pStyle w:val="BriefL3"/>
        <w:numPr>
          <w:ilvl w:val="0"/>
          <w:numId w:val="0"/>
        </w:numPr>
        <w:tabs>
          <w:tab w:val="left" w:pos="1530"/>
        </w:tabs>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rPr>
          <w:lang w:val="en-US"/>
        </w:rPr>
      </w:pPr>
      <w:r>
        <w:t xml:space="preserve">OCA proposed different treatment of the customers at the end of the two </w:t>
      </w:r>
      <w:r w:rsidR="00E90B9C">
        <w:rPr>
          <w:lang w:val="en-US"/>
        </w:rPr>
        <w:t>M</w:t>
      </w:r>
      <w:r>
        <w:t xml:space="preserve">arket </w:t>
      </w:r>
      <w:r w:rsidR="00E90B9C">
        <w:rPr>
          <w:lang w:val="en-US"/>
        </w:rPr>
        <w:t>E</w:t>
      </w:r>
      <w:r>
        <w:t xml:space="preserve">nhancement </w:t>
      </w:r>
      <w:r w:rsidR="00E90B9C">
        <w:rPr>
          <w:lang w:val="en-US"/>
        </w:rPr>
        <w:t>P</w:t>
      </w:r>
      <w:r>
        <w:t xml:space="preserve">rograms.  The reason for this </w:t>
      </w:r>
      <w:r>
        <w:rPr>
          <w:lang w:val="en-US"/>
        </w:rPr>
        <w:t xml:space="preserve">proposal </w:t>
      </w:r>
      <w:r>
        <w:t xml:space="preserve">is that customers who enroll in the Opt-In </w:t>
      </w:r>
      <w:r w:rsidR="00E90B9C">
        <w:rPr>
          <w:lang w:val="en-US"/>
        </w:rPr>
        <w:t>P</w:t>
      </w:r>
      <w:r>
        <w:t xml:space="preserve">rogram are being solicited by mail and have to take the action of calling, enrolling online, or sending in a return card in order to enroll in the program.  In the </w:t>
      </w:r>
      <w:r w:rsidR="00E90B9C">
        <w:rPr>
          <w:lang w:val="en-US"/>
        </w:rPr>
        <w:t>R</w:t>
      </w:r>
      <w:r>
        <w:t xml:space="preserve">eferral </w:t>
      </w:r>
      <w:r w:rsidR="00E90B9C">
        <w:rPr>
          <w:lang w:val="en-US"/>
        </w:rPr>
        <w:t>P</w:t>
      </w:r>
      <w:r>
        <w:t>rogram, customers are enrolled when they call the Company about a completely separate matter.</w:t>
      </w:r>
      <w:r>
        <w:rPr>
          <w:lang w:val="en-US"/>
        </w:rPr>
        <w:t xml:space="preserve">  </w:t>
      </w:r>
      <w:r>
        <w:t xml:space="preserve">Therefore, OCA submits that in the instance of the </w:t>
      </w:r>
      <w:r w:rsidR="0089776A">
        <w:rPr>
          <w:lang w:val="en-US"/>
        </w:rPr>
        <w:t>R</w:t>
      </w:r>
      <w:r>
        <w:t xml:space="preserve">eferral </w:t>
      </w:r>
      <w:r w:rsidR="0089776A">
        <w:rPr>
          <w:lang w:val="en-US"/>
        </w:rPr>
        <w:t>P</w:t>
      </w:r>
      <w:r>
        <w:t xml:space="preserve">rogram, the customer should be allowed to take their “affirmative” action at the end of the introductory period and be returned to default service if such action is not taken.      </w:t>
      </w:r>
    </w:p>
    <w:p w:rsidR="006D47C0" w:rsidRDefault="006D47C0" w:rsidP="006D47C0">
      <w:pPr>
        <w:pStyle w:val="BodyText2"/>
        <w:spacing w:after="0" w:line="360" w:lineRule="auto"/>
        <w:ind w:firstLine="1440"/>
      </w:pPr>
      <w:r>
        <w:t xml:space="preserve"> </w:t>
      </w:r>
      <w:r>
        <w:rPr>
          <w:b/>
          <w:i/>
        </w:rPr>
        <w:fldChar w:fldCharType="begin"/>
      </w:r>
      <w:r>
        <w:instrText xml:space="preserve"> TC "</w:instrText>
      </w:r>
      <w:bookmarkStart w:id="18" w:name="_Toc337116756"/>
      <w:r>
        <w:rPr>
          <w:i/>
        </w:rPr>
        <w:instrText>a. Customer Status at the End of the Opt-In Program</w:instrText>
      </w:r>
      <w:bookmarkEnd w:id="18"/>
      <w:r>
        <w:instrText xml:space="preserve">" \f C \l "4" </w:instrText>
      </w:r>
      <w:r>
        <w:rPr>
          <w:b/>
          <w:i/>
        </w:rPr>
        <w:fldChar w:fldCharType="end"/>
      </w:r>
    </w:p>
    <w:p w:rsidR="006D47C0" w:rsidRDefault="006D47C0" w:rsidP="006D47C0">
      <w:pPr>
        <w:spacing w:line="360" w:lineRule="auto"/>
      </w:pPr>
      <w:r>
        <w:tab/>
      </w:r>
      <w:r>
        <w:tab/>
        <w:t xml:space="preserve">OCA recommends that, if no response to an EGS offer is provided by the customer, the customer should be placed on a fixed price month-to-month contract with no penalties or termination fees.  Customers who opt in to this program will likely receive some type of offer from the EGS before the program ends.  OCA submits that one of the products should be a fixed price offer and that the fixed price offer should be the offer the customer is placed on if the customer does not make an affirmative selection.  </w:t>
      </w:r>
    </w:p>
    <w:p w:rsidR="00C961C9" w:rsidRDefault="00C961C9" w:rsidP="006D47C0">
      <w:pPr>
        <w:spacing w:line="360" w:lineRule="auto"/>
      </w:pPr>
    </w:p>
    <w:p w:rsidR="006D47C0" w:rsidRDefault="006D47C0" w:rsidP="006D47C0">
      <w:pPr>
        <w:spacing w:line="360" w:lineRule="auto"/>
      </w:pPr>
      <w:r>
        <w:tab/>
      </w:r>
      <w:r>
        <w:tab/>
        <w:t xml:space="preserve">The EGSs already have maximum flexibility in what they can offer to customers, but if the customer does not respond, the customer should not be placed on a variable priced rate or other rate that is wholly inconsistent with the program in which they participated.  The Opt-In Auction Program is designed to create a </w:t>
      </w:r>
      <w:r w:rsidRPr="00070A25">
        <w:rPr>
          <w:u w:val="single"/>
        </w:rPr>
        <w:t>positive</w:t>
      </w:r>
      <w:r>
        <w:t xml:space="preserve"> experience for customers who otherwise have chosen not to shop, and a fixed price month-to-month product after the end of the program will help to maintain customers’ comfort level with continuing to receive supply from an EGS.  Customers who do not respond to a notice should stay with their current EGS on a fixed price, month-to-month contract if the customer does not affirmatively select another product.</w:t>
      </w:r>
    </w:p>
    <w:p w:rsidR="006D47C0" w:rsidRDefault="006D47C0" w:rsidP="006D47C0">
      <w:pPr>
        <w:spacing w:line="360" w:lineRule="auto"/>
      </w:pPr>
    </w:p>
    <w:p w:rsidR="006D47C0" w:rsidRDefault="006D47C0" w:rsidP="006D47C0">
      <w:pPr>
        <w:spacing w:line="360" w:lineRule="auto"/>
        <w:ind w:firstLine="1440"/>
      </w:pPr>
      <w:r>
        <w:t xml:space="preserve">Customers who agree to participate in such an “introductory” offer of a fixed discount as part of a customer call to a Call Center for an entirely different purpose should be returned to default service unless the customer makes an affirmative choice to remain with the EGS or to select another EGS.  OCA St. 2 at 16-17. </w:t>
      </w:r>
    </w:p>
    <w:p w:rsidR="00763E0D" w:rsidRDefault="00763E0D" w:rsidP="006D47C0">
      <w:pPr>
        <w:spacing w:line="360" w:lineRule="auto"/>
        <w:ind w:firstLine="1440"/>
      </w:pPr>
    </w:p>
    <w:p w:rsidR="006D47C0" w:rsidRDefault="006D47C0" w:rsidP="006D47C0">
      <w:pPr>
        <w:spacing w:line="360" w:lineRule="auto"/>
      </w:pPr>
      <w:r>
        <w:tab/>
      </w:r>
      <w:r>
        <w:tab/>
        <w:t xml:space="preserve">OCA explains, “the customer’s silence should result in the transfer of the customer back to Default Service.”  OCA St. 2 at 17.  This element is particularly important given the structure of the Referral Program. </w:t>
      </w:r>
    </w:p>
    <w:p w:rsidR="006D47C0" w:rsidRDefault="006D47C0" w:rsidP="006D47C0">
      <w:pPr>
        <w:spacing w:line="360" w:lineRule="auto"/>
      </w:pPr>
      <w:r>
        <w:t xml:space="preserve"> </w:t>
      </w:r>
    </w:p>
    <w:p w:rsidR="006D47C0" w:rsidRDefault="006D47C0" w:rsidP="006D47C0">
      <w:pPr>
        <w:spacing w:line="360" w:lineRule="auto"/>
      </w:pPr>
      <w:r>
        <w:tab/>
      </w:r>
      <w:r>
        <w:tab/>
        <w:t xml:space="preserve">OCA argues the Referral Program should provide an opportunity for a customer to shop with a guaranteed price reduction, for a short period of time, and at no risk.  OCA submits its recommendations provide a reasonable path for the implementation of a Standard Offer Referral </w:t>
      </w:r>
      <w:r w:rsidR="00763E0D">
        <w:t>P</w:t>
      </w:r>
      <w:r>
        <w:t xml:space="preserve">rogram that would benefit ratepayers and, therefore, Duquesne’s Standard Offer Referral </w:t>
      </w:r>
      <w:r w:rsidR="00763E0D">
        <w:t>P</w:t>
      </w:r>
      <w:r>
        <w:t xml:space="preserve">rogram should be revised so that the customer will return to default service after the introductory offer period expires unless the customer affirmatively chooses otherwise.  </w:t>
      </w:r>
    </w:p>
    <w:p w:rsidR="006D47C0" w:rsidRDefault="006D47C0" w:rsidP="006D47C0">
      <w:pPr>
        <w:pStyle w:val="BodyText"/>
        <w:spacing w:after="0" w:line="360" w:lineRule="auto"/>
        <w:ind w:left="0" w:firstLine="0"/>
        <w:rPr>
          <w:szCs w:val="24"/>
          <w:lang w:val="en-US"/>
        </w:rPr>
      </w:pPr>
    </w:p>
    <w:p w:rsidR="006D47C0" w:rsidRDefault="0010391C" w:rsidP="006D47C0">
      <w:pPr>
        <w:pStyle w:val="BriefL3"/>
        <w:numPr>
          <w:ilvl w:val="0"/>
          <w:numId w:val="0"/>
        </w:numPr>
        <w:spacing w:after="0" w:line="360" w:lineRule="auto"/>
        <w:ind w:left="1440" w:hanging="720"/>
        <w:rPr>
          <w:b/>
          <w:szCs w:val="24"/>
        </w:rPr>
      </w:pPr>
      <w:r>
        <w:rPr>
          <w:b/>
          <w:szCs w:val="24"/>
        </w:rPr>
        <w:tab/>
      </w:r>
      <w:r w:rsidR="006D47C0">
        <w:rPr>
          <w:b/>
          <w:szCs w:val="24"/>
        </w:rPr>
        <w:t>c.</w:t>
      </w:r>
      <w:r w:rsidR="006D47C0">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RESA notes the </w:t>
      </w:r>
      <w:r w:rsidR="0066482B">
        <w:t>S</w:t>
      </w:r>
      <w:r>
        <w:t xml:space="preserve">tandard </w:t>
      </w:r>
      <w:r w:rsidR="0066482B">
        <w:t>O</w:t>
      </w:r>
      <w:r>
        <w:t xml:space="preserve">ffer </w:t>
      </w:r>
      <w:r w:rsidR="0066482B">
        <w:t>P</w:t>
      </w:r>
      <w:r>
        <w:t xml:space="preserve">rogram is only offered to customers on a voluntary (opt-in) basis.  The selection of standard offer is an affirmative choice.  Because they are opting in to a program where service is being provided by an EGS, those customers should not be automatically returned to default service without an affirmative action by the customer.  Automatically returning customers to default service at the end of the standard offer program would be “forcing” them back to default service, which would be contrary to the standard in 66 Pa. C.S.A. §2807(d)(1).  </w:t>
      </w:r>
    </w:p>
    <w:p w:rsidR="006D47C0" w:rsidRDefault="006D47C0" w:rsidP="006D47C0">
      <w:pPr>
        <w:spacing w:line="360" w:lineRule="auto"/>
        <w:ind w:firstLine="720"/>
      </w:pPr>
    </w:p>
    <w:p w:rsidR="006D47C0" w:rsidRDefault="006D47C0" w:rsidP="006D47C0">
      <w:pPr>
        <w:spacing w:line="360" w:lineRule="auto"/>
        <w:ind w:firstLine="720"/>
      </w:pPr>
      <w:r>
        <w:tab/>
        <w:t xml:space="preserve">Finally, RESA insists its recommendation is consistent with the </w:t>
      </w:r>
      <w:r>
        <w:rPr>
          <w:i/>
        </w:rPr>
        <w:t>FirstEnergy Default Service Order</w:t>
      </w:r>
      <w:r>
        <w:t xml:space="preserve">, in which the Commission determined that, with respect to customer options at end of the ROI </w:t>
      </w:r>
      <w:r w:rsidR="0066482B">
        <w:t>P</w:t>
      </w:r>
      <w:r>
        <w:t>rogram term, the customer must affirmatively choose to receive service from a different EGS or elect default service; absent such an affirmative selection, the customer will remain with the EGS that previously provided service under the ROI aggregation program.</w:t>
      </w:r>
      <w:r>
        <w:rPr>
          <w:rStyle w:val="FootnoteReference"/>
        </w:rPr>
        <w:footnoteReference w:id="177"/>
      </w:r>
      <w:r>
        <w:t xml:space="preserve">  RESA sees no reason to deviate from the Commission’s decisions in </w:t>
      </w:r>
      <w:r>
        <w:rPr>
          <w:i/>
        </w:rPr>
        <w:t>Pike County</w:t>
      </w:r>
      <w:r>
        <w:t xml:space="preserve">, the </w:t>
      </w:r>
      <w:r>
        <w:rPr>
          <w:i/>
        </w:rPr>
        <w:t xml:space="preserve">Intermediate Work Plan Final Order, </w:t>
      </w:r>
      <w:r>
        <w:t>or</w:t>
      </w:r>
      <w:r>
        <w:rPr>
          <w:i/>
        </w:rPr>
        <w:t xml:space="preserve"> </w:t>
      </w:r>
      <w:r>
        <w:t>the</w:t>
      </w:r>
      <w:r>
        <w:rPr>
          <w:i/>
        </w:rPr>
        <w:t xml:space="preserve"> FirstEnergy Default Service Order.</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d.</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A31287" w:rsidRDefault="00A31287" w:rsidP="006D47C0">
      <w:pPr>
        <w:pStyle w:val="BodyText"/>
        <w:spacing w:after="0" w:line="360" w:lineRule="auto"/>
        <w:ind w:left="0" w:firstLine="0"/>
        <w:rPr>
          <w:szCs w:val="24"/>
          <w:lang w:val="en-US"/>
        </w:rPr>
      </w:pPr>
    </w:p>
    <w:p w:rsidR="00A31287" w:rsidRDefault="00A31287" w:rsidP="006D47C0">
      <w:pPr>
        <w:pStyle w:val="BodyText"/>
        <w:spacing w:after="0" w:line="360" w:lineRule="auto"/>
        <w:ind w:left="0" w:firstLine="0"/>
        <w:rPr>
          <w:szCs w:val="24"/>
          <w:lang w:val="en-US"/>
        </w:rPr>
      </w:pPr>
    </w:p>
    <w:p w:rsidR="00A31287" w:rsidRDefault="00A31287"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CAUSE-PA fully supports the positions advanced by OCA concerning customer status at the end of the </w:t>
      </w:r>
      <w:r w:rsidR="0066482B">
        <w:t>M</w:t>
      </w:r>
      <w:r>
        <w:t xml:space="preserve">arket </w:t>
      </w:r>
      <w:r w:rsidR="0066482B">
        <w:t>E</w:t>
      </w:r>
      <w:r>
        <w:t xml:space="preserve">nhancement </w:t>
      </w:r>
      <w:r w:rsidR="0066482B">
        <w:t>P</w:t>
      </w:r>
      <w:r>
        <w:t>rograms.  That is, those customers participating in the opt-in auction should be given the right to return to default service or switch to a different EGS without cancellation fee or other penalty.  Additionally, these customers should be provided with the three notices recommended by OCA.</w:t>
      </w:r>
      <w:r>
        <w:rPr>
          <w:rStyle w:val="FootnoteReference"/>
        </w:rPr>
        <w:footnoteReference w:id="178"/>
      </w:r>
      <w:r>
        <w:t xml:space="preserve">  CAUSE-PA also supports OCA’s position that at the end of the </w:t>
      </w:r>
      <w:r w:rsidR="0066482B">
        <w:t>R</w:t>
      </w:r>
      <w:r>
        <w:t xml:space="preserve">eferral </w:t>
      </w:r>
      <w:r w:rsidR="0066482B">
        <w:t>P</w:t>
      </w:r>
      <w:r>
        <w:t>rogram those customers who do not make an affirmative choice to remain with the EGS should be transferred back to default service.</w:t>
      </w:r>
      <w:r>
        <w:rPr>
          <w:rStyle w:val="FootnoteReference"/>
        </w:rPr>
        <w:footnoteReference w:id="179"/>
      </w:r>
      <w:r>
        <w:t xml:space="preserve">  Customers who were satisfied with their referral experience will be able to remain with the EGS, but should not have to opt-out to do so.</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t>Citizen Power</w:t>
      </w:r>
      <w:r>
        <w:t xml:space="preserve"> </w:t>
      </w:r>
      <w:r>
        <w:rPr>
          <w:lang w:val="en-US"/>
        </w:rPr>
        <w:t>agrees with the position of OCA that, at the end of a market enhancement product, the customer should be returned to default service unless they affirmatively decide to accept a new offer from the EGS</w:t>
      </w:r>
      <w:r>
        <w: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3D00B6" w:rsidRDefault="003D00B6" w:rsidP="006D47C0">
      <w:pPr>
        <w:pStyle w:val="BodyText"/>
        <w:spacing w:after="0" w:line="360" w:lineRule="auto"/>
        <w:ind w:left="0" w:firstLine="0"/>
        <w:rPr>
          <w:szCs w:val="24"/>
          <w:lang w:val="en-US"/>
        </w:rPr>
      </w:pPr>
    </w:p>
    <w:p w:rsidR="003D00B6" w:rsidRDefault="003D00B6"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Pr="004E7112" w:rsidRDefault="006D47C0" w:rsidP="006D47C0">
      <w:pPr>
        <w:pStyle w:val="BodyText"/>
        <w:spacing w:after="0" w:line="360" w:lineRule="auto"/>
        <w:ind w:left="0" w:firstLine="0"/>
        <w:rPr>
          <w:b/>
          <w:color w:val="000000" w:themeColor="text1"/>
          <w:szCs w:val="24"/>
          <w:lang w:val="en-US"/>
        </w:rPr>
      </w:pPr>
      <w:r w:rsidRPr="00697406">
        <w:rPr>
          <w:b/>
        </w:rPr>
        <w:t xml:space="preserve">Disposition </w:t>
      </w:r>
      <w:r w:rsidRPr="00C52E17">
        <w:rPr>
          <w:lang w:val="en-US"/>
        </w:rPr>
        <w:t>-</w:t>
      </w:r>
      <w:r>
        <w:rPr>
          <w:b/>
          <w:lang w:val="en-US"/>
        </w:rPr>
        <w:t xml:space="preserve"> </w:t>
      </w:r>
      <w:r w:rsidRPr="004E7112">
        <w:rPr>
          <w:b/>
          <w:color w:val="000000" w:themeColor="text1"/>
          <w:szCs w:val="24"/>
          <w:lang w:val="en-US"/>
        </w:rPr>
        <w:t>Customer Status at the End of the Market Enhancement</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EA07C2" w:rsidRDefault="006D47C0" w:rsidP="006D47C0">
      <w:pPr>
        <w:pStyle w:val="ListParagraph"/>
        <w:autoSpaceDE/>
        <w:autoSpaceDN/>
        <w:spacing w:line="360" w:lineRule="auto"/>
        <w:ind w:left="0"/>
        <w:rPr>
          <w:b/>
          <w:u w:val="single"/>
        </w:rPr>
      </w:pPr>
      <w:r w:rsidRPr="004E7112">
        <w:rPr>
          <w:color w:val="000000" w:themeColor="text1"/>
        </w:rPr>
        <w:tab/>
      </w:r>
      <w:r w:rsidRPr="004E7112">
        <w:rPr>
          <w:color w:val="000000" w:themeColor="text1"/>
        </w:rPr>
        <w:tab/>
        <w:t xml:space="preserve">I recommend approving Duquesne Light’s proposal that customers who elect to participate in the </w:t>
      </w:r>
      <w:r w:rsidR="0066482B">
        <w:rPr>
          <w:color w:val="000000" w:themeColor="text1"/>
        </w:rPr>
        <w:t>R</w:t>
      </w:r>
      <w:r w:rsidRPr="004E7112">
        <w:rPr>
          <w:color w:val="000000" w:themeColor="text1"/>
        </w:rPr>
        <w:t xml:space="preserve">etail </w:t>
      </w:r>
      <w:r w:rsidR="0066482B">
        <w:rPr>
          <w:color w:val="000000" w:themeColor="text1"/>
        </w:rPr>
        <w:t>M</w:t>
      </w:r>
      <w:r w:rsidRPr="004E7112">
        <w:rPr>
          <w:color w:val="000000" w:themeColor="text1"/>
        </w:rPr>
        <w:t xml:space="preserve">arket </w:t>
      </w:r>
      <w:r w:rsidR="0066482B">
        <w:rPr>
          <w:color w:val="000000" w:themeColor="text1"/>
        </w:rPr>
        <w:t>E</w:t>
      </w:r>
      <w:r w:rsidRPr="004E7112">
        <w:rPr>
          <w:color w:val="000000" w:themeColor="text1"/>
        </w:rPr>
        <w:t>nhancements should remain with the EGS on a month-to-month contract unless the customer makes an affirmative choice to select another EGS or to return to default service.  This proposal is consistent with prior Commission action.  A customer who is sophisticated enough to shop and try an EGS will be familiar with the idea that having opted in, the EGS will remain the same until such time as the consumer opts out.  The opt-out could be to default service or to another EGS but the consumer is in the best position to know which product is best for him or her.</w:t>
      </w:r>
    </w:p>
    <w:p w:rsidR="006D47C0" w:rsidRDefault="006D47C0" w:rsidP="006D47C0">
      <w:pPr>
        <w:pStyle w:val="BodyText"/>
        <w:spacing w:after="0" w:line="360" w:lineRule="auto"/>
        <w:ind w:left="0" w:firstLine="0"/>
        <w:rPr>
          <w:szCs w:val="24"/>
          <w:lang w:val="en-US"/>
        </w:rPr>
      </w:pPr>
    </w:p>
    <w:p w:rsidR="006D47C0" w:rsidRDefault="00BF21F5" w:rsidP="00BF21F5">
      <w:pPr>
        <w:pStyle w:val="BodyText"/>
        <w:spacing w:after="0" w:line="360" w:lineRule="auto"/>
        <w:ind w:left="0" w:firstLine="0"/>
        <w:rPr>
          <w:b/>
          <w:szCs w:val="24"/>
        </w:rPr>
      </w:pPr>
      <w:r>
        <w:rPr>
          <w:szCs w:val="24"/>
          <w:lang w:val="en-US"/>
        </w:rPr>
        <w:tab/>
      </w:r>
      <w:r w:rsidR="006D47C0">
        <w:rPr>
          <w:b/>
          <w:szCs w:val="24"/>
        </w:rPr>
        <w:t>8.</w:t>
      </w:r>
      <w:r w:rsidR="006D47C0">
        <w:rPr>
          <w:b/>
          <w:szCs w:val="24"/>
        </w:rPr>
        <w:tab/>
        <w:t xml:space="preserve">Miscellaneous Market Enhancement Program Issues </w:t>
      </w:r>
    </w:p>
    <w:p w:rsidR="00DF3A33" w:rsidRDefault="00DF3A33" w:rsidP="006D47C0">
      <w:pPr>
        <w:pStyle w:val="BriefL3"/>
        <w:numPr>
          <w:ilvl w:val="0"/>
          <w:numId w:val="0"/>
        </w:numPr>
        <w:spacing w:after="0" w:line="360" w:lineRule="auto"/>
        <w:outlineLvl w:val="9"/>
        <w:rPr>
          <w:b/>
          <w:szCs w:val="24"/>
        </w:rPr>
      </w:pPr>
    </w:p>
    <w:p w:rsidR="006D47C0" w:rsidRDefault="006D47C0" w:rsidP="006D47C0">
      <w:pPr>
        <w:pStyle w:val="BriefL3"/>
        <w:numPr>
          <w:ilvl w:val="0"/>
          <w:numId w:val="0"/>
        </w:numPr>
        <w:spacing w:after="0" w:line="360" w:lineRule="auto"/>
        <w:outlineLvl w:val="9"/>
        <w:rPr>
          <w:b/>
          <w:szCs w:val="24"/>
        </w:rPr>
      </w:pPr>
      <w:r>
        <w:rPr>
          <w:b/>
          <w:szCs w:val="24"/>
        </w:rPr>
        <w:tab/>
      </w:r>
      <w:r>
        <w:rPr>
          <w:b/>
          <w:szCs w:val="24"/>
        </w:rPr>
        <w:tab/>
        <w:t>a.</w:t>
      </w:r>
      <w:r>
        <w:rPr>
          <w:b/>
          <w:szCs w:val="24"/>
        </w:rPr>
        <w:tab/>
        <w:t>DLC did not propose any.</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firstLine="0"/>
        <w:rPr>
          <w:lang w:val="en-US"/>
        </w:rPr>
      </w:pPr>
      <w:r>
        <w:rPr>
          <w:szCs w:val="24"/>
          <w:lang w:val="en-US"/>
        </w:rPr>
        <w:tab/>
      </w:r>
      <w:r>
        <w:rPr>
          <w:szCs w:val="24"/>
          <w:lang w:val="en-US"/>
        </w:rPr>
        <w:tab/>
        <w:t xml:space="preserve">OCA proposes the Commission reject RESA’s proposal for a 5 mil per kWh adder to Default Service Rates.  </w:t>
      </w:r>
      <w:r>
        <w:rPr>
          <w:i/>
        </w:rPr>
        <w:fldChar w:fldCharType="begin"/>
      </w:r>
      <w:r>
        <w:instrText xml:space="preserve"> TC "</w:instrText>
      </w:r>
      <w:bookmarkStart w:id="19" w:name="_Toc337116761"/>
      <w:r>
        <w:rPr>
          <w:i/>
        </w:rPr>
        <w:instrText>a. RESA’s Proposal for a 5 mil per KWH adder to Default Service Rates Must be Rejected</w:instrText>
      </w:r>
      <w:bookmarkEnd w:id="19"/>
      <w:r>
        <w:instrText xml:space="preserve">" \f C \l "4" </w:instrText>
      </w:r>
      <w:r>
        <w:rPr>
          <w:i/>
        </w:rPr>
        <w:fldChar w:fldCharType="end"/>
      </w:r>
      <w:r>
        <w:t xml:space="preserve">OCA calculated that, if this proposal were to be implemented, the Company would collect an additional $27 million from residential default service customers over the two-year period, resulting in an approximately </w:t>
      </w:r>
      <w:r>
        <w:rPr>
          <w:u w:val="single"/>
        </w:rPr>
        <w:t>$41 per year</w:t>
      </w:r>
      <w:r>
        <w:t xml:space="preserve"> adder to the average residential customer bill.  OCA St. 1-R at 12.  In those two years, Duquesne would also receive approximately $4 million in excess of any costs incurred.  </w:t>
      </w:r>
      <w:r>
        <w:rPr>
          <w:u w:val="single"/>
        </w:rPr>
        <w:t>Id</w:t>
      </w:r>
      <w:r w:rsidRPr="00CF2C3F">
        <w:t xml:space="preserve">.  </w:t>
      </w:r>
    </w:p>
    <w:p w:rsidR="006D47C0" w:rsidRDefault="006D47C0" w:rsidP="006D47C0">
      <w:pPr>
        <w:spacing w:line="360" w:lineRule="auto"/>
        <w:ind w:firstLine="1440"/>
      </w:pPr>
      <w:r>
        <w:t xml:space="preserve">OCA submits the adder is in conflict with the Public Utility Code in several respects, particularly since the Company will receive full recovery for all its costs to provide default service on a dollar-for-dollar basis through an automatic adjustment surcharge.  The proposed adder would also impact shopping customers in the Companies’ service territories and an artificially inflated default service rate will result in increased EGS’ charges for consumers who accept a percent-off-the-default price offering.  </w:t>
      </w:r>
    </w:p>
    <w:p w:rsidR="006D47C0" w:rsidRDefault="006D47C0" w:rsidP="006D47C0">
      <w:pPr>
        <w:spacing w:line="360" w:lineRule="auto"/>
        <w:ind w:firstLine="1440"/>
      </w:pPr>
    </w:p>
    <w:p w:rsidR="006D47C0" w:rsidRDefault="006D47C0" w:rsidP="006D47C0">
      <w:pPr>
        <w:spacing w:line="360" w:lineRule="auto"/>
        <w:ind w:firstLine="1440"/>
      </w:pPr>
      <w:r>
        <w:t xml:space="preserve">OCA points out RESA carries the burden of proving that the adder will result in just and reasonable rates for Duquesne’s customers as the proponents of this new rate – and RESA failed to carry its burden of proof, failed to provide substantial evidence in support of the adder, and failed to show the inclusion of the adder in Duquesne’s DSP would result in just and reasonable rates.  Therefore, OCA submits that RESA’s proposal for a 5 mil per kWh adder to default service rates must be rejected.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c.</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RESA recommends the use of a separate charge that would apply only to default service, due to their variability or the uncertainty in estimating the currently unrecovered costs of providing default service or implementing RMEs.</w:t>
      </w:r>
      <w:r>
        <w:rPr>
          <w:vertAlign w:val="superscript"/>
        </w:rPr>
        <w:footnoteReference w:id="180"/>
      </w:r>
      <w:r>
        <w:t xml:space="preserve">  RESA recommends an initial amount of 5 mils/kWh with the proceeds to be used as follows:</w:t>
      </w:r>
    </w:p>
    <w:p w:rsidR="006D47C0" w:rsidRDefault="006D47C0" w:rsidP="006D47C0">
      <w:pPr>
        <w:spacing w:line="360" w:lineRule="auto"/>
        <w:ind w:firstLine="720"/>
      </w:pPr>
    </w:p>
    <w:p w:rsidR="006D47C0" w:rsidRDefault="006D47C0" w:rsidP="006D47C0">
      <w:pPr>
        <w:numPr>
          <w:ilvl w:val="0"/>
          <w:numId w:val="12"/>
        </w:numPr>
        <w:autoSpaceDE/>
        <w:autoSpaceDN/>
        <w:spacing w:after="240"/>
      </w:pPr>
      <w:r>
        <w:t>Payment of any verifiable costs related to providing default service that have otherwise not been collected by the EDC;</w:t>
      </w:r>
    </w:p>
    <w:p w:rsidR="006D47C0" w:rsidRDefault="006D47C0" w:rsidP="006D47C0">
      <w:pPr>
        <w:numPr>
          <w:ilvl w:val="0"/>
          <w:numId w:val="12"/>
        </w:numPr>
        <w:autoSpaceDE/>
        <w:autoSpaceDN/>
        <w:spacing w:after="240"/>
      </w:pPr>
      <w:r>
        <w:t>Payment of costs related to implementing and maintaining competitive market enhancements, such as the Opt-In auction/aggregation, referral programs; and,</w:t>
      </w:r>
    </w:p>
    <w:p w:rsidR="006D47C0" w:rsidRDefault="006D47C0" w:rsidP="006D47C0">
      <w:pPr>
        <w:numPr>
          <w:ilvl w:val="0"/>
          <w:numId w:val="13"/>
        </w:numPr>
        <w:autoSpaceDE/>
        <w:autoSpaceDN/>
      </w:pPr>
      <w:r>
        <w:t>Any balance remaining being carried forward up to some amount, with the remainder returned to all distribution customers.</w:t>
      </w:r>
      <w:r>
        <w:rPr>
          <w:vertAlign w:val="superscript"/>
        </w:rPr>
        <w:footnoteReference w:id="181"/>
      </w:r>
      <w:r>
        <w:t xml:space="preserve">  </w:t>
      </w:r>
    </w:p>
    <w:p w:rsidR="006D47C0" w:rsidRDefault="006D47C0" w:rsidP="006D47C0">
      <w:pPr>
        <w:ind w:left="1080"/>
      </w:pPr>
    </w:p>
    <w:p w:rsidR="006D47C0" w:rsidRDefault="006D47C0" w:rsidP="006D47C0">
      <w:pPr>
        <w:spacing w:line="360" w:lineRule="auto"/>
        <w:ind w:firstLine="720"/>
      </w:pPr>
    </w:p>
    <w:p w:rsidR="006D47C0" w:rsidRDefault="006D47C0" w:rsidP="006D47C0">
      <w:pPr>
        <w:spacing w:line="360" w:lineRule="auto"/>
        <w:ind w:firstLine="720"/>
      </w:pPr>
      <w:r>
        <w:tab/>
        <w:t>RESA argues the implicit assumption of those who wish to impose 100% of the costs of these programs on EGSs is that only EGSs benefit from the competitive enhancements.</w:t>
      </w:r>
      <w:r>
        <w:rPr>
          <w:vertAlign w:val="superscript"/>
        </w:rPr>
        <w:footnoteReference w:id="182"/>
      </w:r>
      <w:r>
        <w:t xml:space="preserve">  This assumption is plainly wrong.</w:t>
      </w:r>
      <w:r>
        <w:rPr>
          <w:vertAlign w:val="superscript"/>
        </w:rPr>
        <w:footnoteReference w:id="183"/>
      </w:r>
      <w:r>
        <w:t xml:space="preserve">  These programs benefit the customers </w:t>
      </w:r>
    </w:p>
    <w:p w:rsidR="006D47C0" w:rsidRDefault="006D47C0" w:rsidP="006D47C0">
      <w:pPr>
        <w:spacing w:line="360" w:lineRule="auto"/>
      </w:pPr>
      <w:r>
        <w:t>themselves, who experience the savings and have the opportunity to participate in the competitive market.</w:t>
      </w:r>
      <w:r>
        <w:rPr>
          <w:vertAlign w:val="superscript"/>
        </w:rPr>
        <w:footnoteReference w:id="184"/>
      </w:r>
      <w:r>
        <w:t xml:space="preserve">  It is thus incongruous to impose the costs only on EGSs.</w:t>
      </w:r>
    </w:p>
    <w:p w:rsidR="002200EB" w:rsidRDefault="002200EB" w:rsidP="006D47C0">
      <w:pPr>
        <w:spacing w:line="360" w:lineRule="auto"/>
      </w:pPr>
    </w:p>
    <w:p w:rsidR="006D47C0" w:rsidRDefault="006D47C0" w:rsidP="006D47C0">
      <w:pPr>
        <w:spacing w:line="360" w:lineRule="auto"/>
        <w:ind w:firstLine="720"/>
      </w:pPr>
      <w:r>
        <w:tab/>
        <w:t>Requiring default service customers – on whose behalf the costs are being incurred – to pay the costs with the remainder credited to all distribution customers is fair and equitable.</w:t>
      </w:r>
      <w:r>
        <w:rPr>
          <w:vertAlign w:val="superscript"/>
        </w:rPr>
        <w:footnoteReference w:id="185"/>
      </w:r>
      <w:r>
        <w:t xml:space="preserve">  The goal is to move default service customers into the competitive market.</w:t>
      </w:r>
      <w:r>
        <w:rPr>
          <w:rStyle w:val="FootnoteReference"/>
        </w:rPr>
        <w:footnoteReference w:id="186"/>
      </w:r>
      <w:r>
        <w:t xml:space="preserve">  Therefore, the default service customer who pays the charge today is likely to be a shopping customer tomorrow.</w:t>
      </w:r>
      <w:r>
        <w:rPr>
          <w:vertAlign w:val="superscript"/>
        </w:rPr>
        <w:footnoteReference w:id="187"/>
      </w:r>
      <w:r>
        <w:t xml:space="preserve">  By limiting the payment of the charge to default service customers while crediting remaining funds to all customers assures that the “newly shopping” customer will not be deprived of his or her credit for paying some portion of the costs of default service through his or her distribution rates because he or she chose to shop.</w:t>
      </w:r>
      <w:r>
        <w:rPr>
          <w:vertAlign w:val="superscript"/>
        </w:rPr>
        <w:footnoteReference w:id="188"/>
      </w:r>
      <w:r>
        <w:t xml:space="preserve">  Any crediting back to default customers only would create a shopping disincentive, and would clearly be inappropriate.</w:t>
      </w:r>
      <w:r>
        <w:rPr>
          <w:vertAlign w:val="superscript"/>
        </w:rPr>
        <w:footnoteReference w:id="189"/>
      </w:r>
    </w:p>
    <w:p w:rsidR="006D47C0" w:rsidRDefault="006D47C0" w:rsidP="006D47C0">
      <w:pPr>
        <w:spacing w:line="360" w:lineRule="auto"/>
        <w:ind w:firstLine="720"/>
      </w:pPr>
    </w:p>
    <w:p w:rsidR="00636450" w:rsidRDefault="006D47C0" w:rsidP="006D47C0">
      <w:pPr>
        <w:spacing w:line="360" w:lineRule="auto"/>
        <w:ind w:firstLine="720"/>
      </w:pPr>
      <w:r>
        <w:tab/>
        <w:t>One purpose of the charge is to counter the subsidization by shopping customers of non-shopping customers that exists today in Pennsylvania’s bundled electricity market.   As explained above, generation, transmission and distribution costs continue to be bundled; therefore, all customers, including shopping customers, are paying the costs of default service.</w:t>
      </w:r>
      <w:r>
        <w:rPr>
          <w:vertAlign w:val="superscript"/>
        </w:rPr>
        <w:footnoteReference w:id="190"/>
      </w:r>
      <w:r>
        <w:t xml:space="preserve">   Thus, default service customers do not pay 100% of the costs associated with Duquesne’s provision of default service.  The proposed 5 mils/kWh charge operates as a proxy for those costs to eliminates the current subsidization of default service rates.  If RESA’s proposal is not </w:t>
      </w:r>
    </w:p>
    <w:p w:rsidR="00636450" w:rsidRDefault="00636450" w:rsidP="006D47C0">
      <w:pPr>
        <w:spacing w:line="360" w:lineRule="auto"/>
        <w:ind w:firstLine="720"/>
      </w:pPr>
    </w:p>
    <w:p w:rsidR="006D47C0" w:rsidRDefault="006D47C0" w:rsidP="00636450">
      <w:pPr>
        <w:spacing w:line="360" w:lineRule="auto"/>
      </w:pPr>
      <w:r>
        <w:t>adopted and there is no full unbundling, all customers will continue to pay for some part of the costs of default service in their distribution rates.</w:t>
      </w:r>
      <w:r>
        <w:rPr>
          <w:vertAlign w:val="superscript"/>
        </w:rPr>
        <w:footnoteReference w:id="191"/>
      </w:r>
      <w:r>
        <w:t xml:space="preserve">  </w:t>
      </w:r>
    </w:p>
    <w:p w:rsidR="00CA224A" w:rsidRDefault="00CA224A" w:rsidP="00636450">
      <w:pPr>
        <w:spacing w:line="360" w:lineRule="auto"/>
      </w:pPr>
    </w:p>
    <w:p w:rsidR="006D47C0" w:rsidRDefault="006D47C0" w:rsidP="006D47C0">
      <w:pPr>
        <w:spacing w:line="360" w:lineRule="auto"/>
        <w:ind w:firstLine="720"/>
      </w:pPr>
      <w:r>
        <w:tab/>
        <w:t xml:space="preserve">For these reasons, RESA recommends the Commission adopt its proposed 5 mils/kWh charge, applicable to all default service rates.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d.</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t xml:space="preserve">OSBA argues </w:t>
      </w:r>
      <w:r>
        <w:t>RESA’s proposal</w:t>
      </w:r>
      <w:r>
        <w:rPr>
          <w:lang w:val="en-US"/>
        </w:rPr>
        <w:t xml:space="preserve"> – </w:t>
      </w:r>
      <w:r>
        <w:t>that such surcharge be used to pay for Duquesne’s costs for providing default service that have otherwise not been collected and to pay for retail market enhancements</w:t>
      </w:r>
      <w:r>
        <w:rPr>
          <w:lang w:val="en-US"/>
        </w:rPr>
        <w:t xml:space="preserve"> –</w:t>
      </w:r>
      <w:r>
        <w:t xml:space="preserve"> is unnecessary, unlawful, and inequitable.</w:t>
      </w:r>
      <w:r>
        <w:rPr>
          <w:rStyle w:val="FootnoteReference"/>
        </w:rPr>
        <w:footnoteReference w:id="192"/>
      </w:r>
      <w:r>
        <w:rPr>
          <w:lang w:val="en-US"/>
        </w:rPr>
        <w:t xml:space="preserve">  OSBA finds it </w:t>
      </w:r>
      <w:r>
        <w:t>noteworthy that Duquesne has not expressed any concern in this regard</w:t>
      </w:r>
      <w:r>
        <w:rPr>
          <w:lang w:val="en-US"/>
        </w:rPr>
        <w:t xml:space="preserve"> and opines the reason may be that </w:t>
      </w:r>
      <w:r>
        <w:t>Duquesne is well aware that default service providers are permitted to fully recover all reasonable costs incurred through the use of a reconciliation mechanism under Section</w:t>
      </w:r>
      <w:r w:rsidR="00350ED7">
        <w:rPr>
          <w:lang w:val="en-US"/>
        </w:rPr>
        <w:t> </w:t>
      </w:r>
      <w:r>
        <w:t>2807(e)(3.9) of the Public Utility Code.</w:t>
      </w:r>
      <w:r>
        <w:rPr>
          <w:rStyle w:val="FootnoteReference"/>
        </w:rPr>
        <w:footnoteReference w:id="193"/>
      </w:r>
      <w:r>
        <w:t xml:space="preserve">  </w:t>
      </w:r>
      <w:r>
        <w:rPr>
          <w:lang w:val="en-US"/>
        </w:rPr>
        <w:t>Therefore, i</w:t>
      </w:r>
      <w:r>
        <w:t xml:space="preserve">t is reasonable to assume Duquesne is recovering all of its default service costs in its default service rates.  </w:t>
      </w:r>
      <w:r>
        <w:rPr>
          <w:lang w:val="en-US"/>
        </w:rPr>
        <w:t xml:space="preserve">As a result, OSBA contends </w:t>
      </w:r>
      <w:r>
        <w:t>the surcharge is unnecessary for Duquesne to recover its costs.</w:t>
      </w:r>
    </w:p>
    <w:p w:rsidR="006D47C0" w:rsidRPr="005B10F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Furthermore, OSBA disagrees with </w:t>
      </w:r>
      <w:r>
        <w:rPr>
          <w:lang w:val="en-US"/>
        </w:rPr>
        <w:t xml:space="preserve">RESA’s </w:t>
      </w:r>
      <w:r>
        <w:t xml:space="preserve">proposal in that it imposes the cost of implementing retail market enhancements on default service customers.  However, even if the surcharge were to be used to cover the cost of retail market enhancements, </w:t>
      </w:r>
      <w:r>
        <w:rPr>
          <w:lang w:val="en-US"/>
        </w:rPr>
        <w:t>RESA</w:t>
      </w:r>
      <w:r>
        <w:t xml:space="preserve"> provides no basis for how </w:t>
      </w:r>
      <w:r>
        <w:rPr>
          <w:lang w:val="en-US"/>
        </w:rPr>
        <w:t>it</w:t>
      </w:r>
      <w:r>
        <w:t xml:space="preserve"> arrived at the proposed level of </w:t>
      </w:r>
      <w:r>
        <w:rPr>
          <w:lang w:val="en-US"/>
        </w:rPr>
        <w:t>its</w:t>
      </w:r>
      <w:r>
        <w:t xml:space="preserve"> recommended surcharge.  Five mils appears to be completely arbitrary.</w:t>
      </w:r>
      <w:r>
        <w:rPr>
          <w:rStyle w:val="FootnoteReference"/>
        </w:rPr>
        <w:footnoteReference w:id="194"/>
      </w:r>
      <w:r>
        <w:t xml:space="preserve">  RESA’s proposed surcharge would result in Duquesne collecting revenues of approximately $41 million over the two-year plan period based on default service sales for just residential and small commercial and medium commercial customers.</w:t>
      </w:r>
      <w:r>
        <w:rPr>
          <w:rStyle w:val="FootnoteReference"/>
        </w:rPr>
        <w:footnoteReference w:id="195"/>
      </w:r>
      <w:r>
        <w:t xml:space="preserve">  However, </w:t>
      </w:r>
      <w:r>
        <w:rPr>
          <w:lang w:val="en-US"/>
        </w:rPr>
        <w:t xml:space="preserve">OSBA points out </w:t>
      </w:r>
      <w:r>
        <w:t>the estimated cost for retail market enhancements is only $2.5 million.</w:t>
      </w:r>
      <w:r>
        <w:rPr>
          <w:rStyle w:val="FootnoteReference"/>
        </w:rPr>
        <w:footnoteReference w:id="196"/>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OSBA points out that RESA</w:t>
      </w:r>
      <w:r>
        <w:t xml:space="preserve"> correctly anticipates </w:t>
      </w:r>
      <w:r>
        <w:rPr>
          <w:lang w:val="en-US"/>
        </w:rPr>
        <w:t>the</w:t>
      </w:r>
      <w:r>
        <w:t xml:space="preserve"> recommended surcharge would produce revenue in excess of Duquesne’s alleged otherwise unrecovered costs and the </w:t>
      </w:r>
    </w:p>
    <w:p w:rsidR="006D47C0" w:rsidRDefault="006D47C0" w:rsidP="006D47C0">
      <w:pPr>
        <w:pStyle w:val="BodyText2"/>
        <w:spacing w:after="0" w:line="360" w:lineRule="auto"/>
      </w:pPr>
      <w:r>
        <w:t>costs of retail market enhancements.</w:t>
      </w:r>
      <w:r>
        <w:rPr>
          <w:rStyle w:val="FootnoteReference"/>
        </w:rPr>
        <w:footnoteReference w:id="197"/>
      </w:r>
      <w:r>
        <w:t xml:space="preserve">  Not surprisingly</w:t>
      </w:r>
      <w:r>
        <w:rPr>
          <w:lang w:val="en-US"/>
        </w:rPr>
        <w:t xml:space="preserve"> to OSBA</w:t>
      </w:r>
      <w:r>
        <w:t xml:space="preserve">, </w:t>
      </w:r>
      <w:r>
        <w:rPr>
          <w:lang w:val="en-US"/>
        </w:rPr>
        <w:t>RESA</w:t>
      </w:r>
      <w:r>
        <w:t xml:space="preserve"> also has a recommendation as to how that excess revenue should be used</w:t>
      </w:r>
      <w:r>
        <w:rPr>
          <w:lang w:val="en-US"/>
        </w:rPr>
        <w:t xml:space="preserve">, namely, that </w:t>
      </w:r>
      <w:r>
        <w:t xml:space="preserve">Duquesne would be able to retain up to 10 percent of any excess revenue as an incentive (profit) and the remaining would be returned to all distribution customers, </w:t>
      </w:r>
      <w:r>
        <w:rPr>
          <w:i/>
        </w:rPr>
        <w:t>i.e.</w:t>
      </w:r>
      <w:r>
        <w:t xml:space="preserve"> both default service and shopping customers.</w:t>
      </w:r>
      <w:r>
        <w:rPr>
          <w:rStyle w:val="FootnoteReference"/>
        </w:rPr>
        <w:footnoteReference w:id="198"/>
      </w:r>
      <w:r>
        <w:t xml:space="preserve">  Duquesne’s profit would be approximately $4 million over the two years of any costs incurred.</w:t>
      </w:r>
      <w:r>
        <w:rPr>
          <w:rStyle w:val="FootnoteReference"/>
        </w:rPr>
        <w:footnoteReference w:id="199"/>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t>OSBA argues t</w:t>
      </w:r>
      <w:r>
        <w:t xml:space="preserve">here are at least three glaring problems with </w:t>
      </w:r>
      <w:r>
        <w:rPr>
          <w:lang w:val="en-US"/>
        </w:rPr>
        <w:t>RESA’s</w:t>
      </w:r>
      <w:r>
        <w:t xml:space="preserve"> proposal.  First, it would be unlawful for Duquesne to earn a profit on the provision of default service.  Default service providers are only entitled to recover all reasonable costs as well as an allowable rate of return on equity.</w:t>
      </w:r>
      <w:r>
        <w:rPr>
          <w:lang w:val="en-US"/>
        </w:rPr>
        <w:t xml:space="preserve">  </w:t>
      </w:r>
      <w:r>
        <w:t>Second, the surcharge would artificially inflate the PTC because it is unrelated to the true cost of providing default service.</w:t>
      </w:r>
      <w:r>
        <w:rPr>
          <w:rStyle w:val="FootnoteReference"/>
        </w:rPr>
        <w:footnoteReference w:id="200"/>
      </w:r>
      <w:r>
        <w:t xml:space="preserve">  Any “savings” offered by EGSs over the inflated PTC are not actually savings at all.  The increase in the PTC caused by the surcharge could result in an increase to the prices offered by EGSs, in which case shopping customers might not realize any savings at all.  The only benefit would be to EGSs that take in additional profits as a consequence of imposing a surcharge on default service customers.</w:t>
      </w:r>
      <w:r>
        <w:rPr>
          <w:rStyle w:val="FootnoteReference"/>
        </w:rPr>
        <w:footnoteReference w:id="201"/>
      </w:r>
      <w:r>
        <w:rPr>
          <w:lang w:val="en-US"/>
        </w:rPr>
        <w:t xml:space="preserve">  </w:t>
      </w:r>
      <w:r>
        <w:t xml:space="preserve">Finally, collecting a surcharge from default service customers and then returning the excess revenue collected from that surcharge to all distribution customers (including shopping customers who did not pay the surcharge) would cause default service customers to subsidize shopping customers.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OSBA argues i</w:t>
      </w:r>
      <w:r>
        <w:t>t is patently inequitable and discriminatory to redistribute revenues from default service customers to shopping customers without any link to cost causation.</w:t>
      </w:r>
      <w:r>
        <w:rPr>
          <w:rStyle w:val="FootnoteReference"/>
        </w:rPr>
        <w:footnoteReference w:id="202"/>
      </w:r>
    </w:p>
    <w:p w:rsidR="006D47C0" w:rsidRDefault="006D47C0" w:rsidP="006D47C0">
      <w:pPr>
        <w:pStyle w:val="BodyText2"/>
        <w:spacing w:after="0" w:line="360" w:lineRule="auto"/>
      </w:pPr>
      <w:r>
        <w:t>RESA’s proposed 5-mil adder to the PTC is unnecessary, unlawful, and inequitable.  OSBA respectfully requests that the Commission reject RESA’s proposed 5-mil adder.</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jc w:val="center"/>
        <w:rPr>
          <w:szCs w:val="24"/>
          <w:lang w:val="en-US"/>
        </w:rPr>
      </w:pPr>
    </w:p>
    <w:p w:rsidR="006D47C0" w:rsidRDefault="006D47C0" w:rsidP="006D47C0">
      <w:pPr>
        <w:spacing w:line="360" w:lineRule="auto"/>
        <w:ind w:firstLine="720"/>
      </w:pPr>
      <w:r>
        <w:tab/>
        <w:t xml:space="preserve">CAUSE takes no position on this issue but did posit a new issue.  In its testimony submitted in this proceeding, CAUSE-PA’s witness recommended that prior to participating in either of the </w:t>
      </w:r>
      <w:r w:rsidR="005D4D9B">
        <w:t>R</w:t>
      </w:r>
      <w:r>
        <w:t xml:space="preserve">etail </w:t>
      </w:r>
      <w:r w:rsidR="005D4D9B">
        <w:t>M</w:t>
      </w:r>
      <w:r>
        <w:t xml:space="preserve">arket </w:t>
      </w:r>
      <w:r w:rsidR="005D4D9B">
        <w:t>E</w:t>
      </w:r>
      <w:r>
        <w:t>nhancements, confirmed low-income customers not enrolled in CAP should be informed about and assessed for CAP eligibility.</w:t>
      </w:r>
      <w:r>
        <w:rPr>
          <w:rStyle w:val="FootnoteReference"/>
        </w:rPr>
        <w:footnoteReference w:id="203"/>
      </w:r>
      <w:r>
        <w:t xml:space="preserve">  </w:t>
      </w:r>
    </w:p>
    <w:p w:rsidR="006D47C0" w:rsidRDefault="006D47C0" w:rsidP="006D47C0">
      <w:pPr>
        <w:spacing w:line="360" w:lineRule="auto"/>
      </w:pPr>
    </w:p>
    <w:p w:rsidR="006D47C0" w:rsidRDefault="006D47C0" w:rsidP="006D47C0">
      <w:pPr>
        <w:spacing w:line="360" w:lineRule="auto"/>
      </w:pPr>
      <w:r>
        <w:tab/>
      </w:r>
      <w:r>
        <w:tab/>
        <w:t xml:space="preserve">If Duquesne Light were to take these steps it would satisfy the concerns raised by Mr. Krone in his testimony.  Specifically, low-income customers must be better informed about CAP prior to having to determine whether to participate in either of the proposed retail market enhancements.  CAUSE-PA believes that an order in this proceeding requiring Duquesne to implement its suggestion made in rebuttal, continue this targeted outreach to its confirmed low-income non-CAP customers for the remainder of its triennial universal service plan, which runs through 2013, and evaluate the effectiveness of this outreach effort upon the filing of its next universal service plan for the 2013-2016 period would be an acceptable resolution of this issue.  </w:t>
      </w:r>
    </w:p>
    <w:p w:rsidR="006D47C0" w:rsidRDefault="006D47C0" w:rsidP="006D47C0">
      <w:pPr>
        <w:rPr>
          <w:szCs w:val="22"/>
        </w:rPr>
      </w:pP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w:t>
      </w:r>
      <w:r>
        <w:rPr>
          <w:lang w:val="en-US"/>
        </w:rPr>
        <w:t>any miscellaneous</w:t>
      </w:r>
      <w:r>
        <w:t xml:space="preserve">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DII opposes RESA’s request and concurs with Duquesne and OCA that RESA’s proposal would recover excess costs from default service customers, artificially inflate the PTC, and inappropriately refund costs recovered from default service customers to all customers.  </w:t>
      </w:r>
      <w:r>
        <w:rPr>
          <w:i/>
        </w:rPr>
        <w:t>See</w:t>
      </w:r>
      <w:r>
        <w:t xml:space="preserve"> Rebuttal Testimony of Neil S. Fisher on behalf of Duquesne, p. 82; </w:t>
      </w:r>
      <w:r>
        <w:rPr>
          <w:i/>
        </w:rPr>
        <w:t>see also</w:t>
      </w:r>
      <w:r>
        <w:t xml:space="preserve"> Rebuttal Testimony of Steven L. Estomin of OCA, (hereinafter “OCA St. No. 1-R”), pp. 11-12.</w:t>
      </w:r>
    </w:p>
    <w:p w:rsidR="006D47C0" w:rsidRDefault="006D47C0" w:rsidP="006D47C0">
      <w:pPr>
        <w:spacing w:line="360" w:lineRule="auto"/>
        <w:ind w:firstLine="720"/>
      </w:pPr>
    </w:p>
    <w:p w:rsidR="006D47C0" w:rsidRDefault="006D47C0" w:rsidP="006D47C0">
      <w:pPr>
        <w:spacing w:line="360" w:lineRule="auto"/>
        <w:ind w:firstLine="720"/>
      </w:pPr>
      <w:r>
        <w:tab/>
        <w:t xml:space="preserve">RESA’s proposal for Duquesne to collect $5.00 per MWh from default service customers, including a 10% profit, with no additional benefits to customers related to adequacy or reliability of Duquesne’s service, confirms that the </w:t>
      </w:r>
      <w:r w:rsidR="00F375E3">
        <w:t>a</w:t>
      </w:r>
      <w:r>
        <w:t xml:space="preserve">dder falls outside of the parameters of the Public Utility Code.  </w:t>
      </w:r>
      <w:r>
        <w:rPr>
          <w:i/>
        </w:rPr>
        <w:t>See</w:t>
      </w:r>
      <w:r>
        <w:t xml:space="preserve"> 66 Pa. C.S.A. §2807(e); </w:t>
      </w:r>
      <w:r>
        <w:rPr>
          <w:i/>
        </w:rPr>
        <w:t>see also</w:t>
      </w:r>
      <w:r>
        <w:t xml:space="preserve"> Act 129 Rulemaking Order, p. 12 (holding that “least cost over time” is not equivalent to the lowest cost at a particular time, but instead a consideration of affordability, in conjunction with adequacy and reliability).  As such, inclusion of the </w:t>
      </w:r>
      <w:r w:rsidR="00B36A8B">
        <w:t>a</w:t>
      </w:r>
      <w:r>
        <w:t>dder to Duquesne’s default service costs is diametrically opposed to the statutory requirement that an EDC must utilize a “least cost over time” procurement methodology.</w:t>
      </w:r>
    </w:p>
    <w:p w:rsidR="006D47C0" w:rsidRDefault="006D47C0" w:rsidP="006D47C0">
      <w:pPr>
        <w:spacing w:line="360" w:lineRule="auto"/>
        <w:ind w:firstLine="720"/>
      </w:pPr>
    </w:p>
    <w:p w:rsidR="006D47C0" w:rsidRDefault="006D47C0" w:rsidP="006D47C0">
      <w:pPr>
        <w:spacing w:line="360" w:lineRule="auto"/>
        <w:ind w:firstLine="720"/>
      </w:pPr>
      <w:r>
        <w:tab/>
        <w:t xml:space="preserve">An arbitrary increase to the default service price to encourage shopping certainly creates a distorted market, in which increased customer shopping and EGS presence would be based on artificially-inflated prices.  </w:t>
      </w:r>
      <w:r>
        <w:rPr>
          <w:i/>
        </w:rPr>
        <w:t>See</w:t>
      </w:r>
      <w:r>
        <w:t xml:space="preserve"> OCA St. No. 1-R, p. 11.  In addition, the presence of the </w:t>
      </w:r>
      <w:r w:rsidR="00B36A8B">
        <w:t>a</w:t>
      </w:r>
      <w:r>
        <w:t xml:space="preserve">dder could trigger EGSs, who compare their prices to default service prices, to offer higher prices to shopping customers, ensuring that the </w:t>
      </w:r>
      <w:r w:rsidR="00B36A8B">
        <w:t>a</w:t>
      </w:r>
      <w:r>
        <w:t xml:space="preserve">dder’s negative consequences would be pervasive throughout the competitive market.  </w:t>
      </w:r>
      <w:r>
        <w:rPr>
          <w:i/>
        </w:rPr>
        <w:t>See Id.</w:t>
      </w:r>
    </w:p>
    <w:p w:rsidR="006D47C0" w:rsidRDefault="006D47C0" w:rsidP="006D47C0">
      <w:pPr>
        <w:spacing w:line="360" w:lineRule="auto"/>
        <w:ind w:firstLine="720"/>
      </w:pPr>
    </w:p>
    <w:p w:rsidR="006D47C0" w:rsidRDefault="006D47C0" w:rsidP="006D47C0">
      <w:pPr>
        <w:spacing w:line="360" w:lineRule="auto"/>
        <w:ind w:firstLine="720"/>
      </w:pPr>
      <w:r>
        <w:tab/>
        <w:t xml:space="preserve">Finally, the proposal to recover the costs of the </w:t>
      </w:r>
      <w:r w:rsidR="00DE5D87">
        <w:t>a</w:t>
      </w:r>
      <w:r>
        <w:t xml:space="preserve">dder from default service customers and then recoup any refunds to Duquesne and all customers flatly contradicts cost causation principles and must be rejected.  Implementation of RESA’s proposed </w:t>
      </w:r>
      <w:r w:rsidR="00DE5D87">
        <w:t>a</w:t>
      </w:r>
      <w:r>
        <w:t xml:space="preserve">dder is counter to the Commission’s commitment to cost-based rates, and would reverse the cost causation principles established by </w:t>
      </w:r>
      <w:r>
        <w:rPr>
          <w:i/>
        </w:rPr>
        <w:t>L</w:t>
      </w:r>
      <w:r>
        <w:rPr>
          <w:i/>
          <w:iCs/>
        </w:rPr>
        <w:t>loyd v. Pa. PUC</w:t>
      </w:r>
      <w:r>
        <w:t xml:space="preserve">, 904 A.2d 1010 (Pa. Commw. Ct. 2006).  The proposed </w:t>
      </w:r>
      <w:r w:rsidR="001A1506">
        <w:t>a</w:t>
      </w:r>
      <w:r>
        <w:t xml:space="preserve">dder is directly contrary to the Public Utility Code.  It is unjust, unreasonable, and precisely the opposite of a “least cost over time” procurement process.  The </w:t>
      </w:r>
      <w:r w:rsidR="0094676D">
        <w:t>a</w:t>
      </w:r>
      <w:r>
        <w:t xml:space="preserve">dder inappropriately encourages competition through market distortion at the expense of all customers.  Accordingly, the </w:t>
      </w:r>
      <w:r w:rsidR="0094676D">
        <w:t>a</w:t>
      </w:r>
      <w:r>
        <w:t>dder must be denied by the Commission.</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Joint Suppliers take</w:t>
      </w:r>
      <w:r>
        <w:t xml:space="preserve"> no position on this issue.</w:t>
      </w:r>
    </w:p>
    <w:p w:rsidR="001D0829" w:rsidRDefault="001D0829" w:rsidP="006D47C0">
      <w:pPr>
        <w:pStyle w:val="BodyText"/>
        <w:spacing w:after="0" w:line="360" w:lineRule="auto"/>
        <w:ind w:left="0" w:firstLine="0"/>
        <w:rPr>
          <w:b/>
          <w:lang w:val="en-US"/>
        </w:rPr>
      </w:pPr>
    </w:p>
    <w:p w:rsidR="006D47C0" w:rsidRPr="004E7112" w:rsidRDefault="006D47C0" w:rsidP="006D47C0">
      <w:pPr>
        <w:pStyle w:val="BodyText"/>
        <w:spacing w:after="0" w:line="360" w:lineRule="auto"/>
        <w:ind w:left="0" w:firstLine="0"/>
        <w:rPr>
          <w:b/>
          <w:color w:val="000000" w:themeColor="text1"/>
          <w:szCs w:val="24"/>
          <w:lang w:val="en-US"/>
        </w:rPr>
      </w:pPr>
      <w:r w:rsidRPr="001C0685">
        <w:rPr>
          <w:b/>
        </w:rPr>
        <w:t xml:space="preserve">Disposition </w:t>
      </w:r>
      <w:r w:rsidRPr="00694750">
        <w:rPr>
          <w:lang w:val="en-US"/>
        </w:rPr>
        <w:t>-</w:t>
      </w:r>
      <w:r>
        <w:rPr>
          <w:b/>
          <w:lang w:val="en-US"/>
        </w:rPr>
        <w:t xml:space="preserve"> </w:t>
      </w:r>
      <w:r w:rsidRPr="004E7112">
        <w:rPr>
          <w:b/>
          <w:color w:val="000000" w:themeColor="text1"/>
          <w:szCs w:val="24"/>
          <w:lang w:val="en-US"/>
        </w:rPr>
        <w:t>Miscellaneous Market Enhancement</w:t>
      </w:r>
    </w:p>
    <w:p w:rsidR="006D47C0" w:rsidRPr="004E7112" w:rsidRDefault="006D47C0" w:rsidP="006D47C0">
      <w:pPr>
        <w:pStyle w:val="BodyText"/>
        <w:spacing w:after="0" w:line="360" w:lineRule="auto"/>
        <w:ind w:left="0" w:firstLine="0"/>
        <w:rPr>
          <w:color w:val="000000" w:themeColor="text1"/>
          <w:szCs w:val="24"/>
          <w:lang w:val="en-US"/>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I recommend rejecting RESA’s proposal to include a 5 mil/kwh adder to default service rates.  If approved, d</w:t>
      </w:r>
      <w:r w:rsidRPr="004E7112">
        <w:rPr>
          <w:color w:val="000000" w:themeColor="text1"/>
          <w:szCs w:val="24"/>
        </w:rPr>
        <w:t xml:space="preserve">efault </w:t>
      </w:r>
      <w:r>
        <w:rPr>
          <w:color w:val="000000" w:themeColor="text1"/>
          <w:szCs w:val="24"/>
          <w:lang w:val="en-US"/>
        </w:rPr>
        <w:t>s</w:t>
      </w:r>
      <w:r w:rsidRPr="004E7112">
        <w:rPr>
          <w:color w:val="000000" w:themeColor="text1"/>
          <w:szCs w:val="24"/>
        </w:rPr>
        <w:t xml:space="preserve">ervice customers will pay all of the charge, but receive only a portion back from any residual funds.  </w:t>
      </w:r>
      <w:r w:rsidRPr="004E7112">
        <w:rPr>
          <w:color w:val="000000" w:themeColor="text1"/>
          <w:szCs w:val="24"/>
          <w:lang w:val="en-US"/>
        </w:rPr>
        <w:t>I agree with OCA that t</w:t>
      </w:r>
      <w:r w:rsidRPr="004E7112">
        <w:rPr>
          <w:color w:val="000000" w:themeColor="text1"/>
          <w:szCs w:val="24"/>
        </w:rPr>
        <w:t xml:space="preserve">his </w:t>
      </w:r>
      <w:r w:rsidRPr="004E7112">
        <w:rPr>
          <w:color w:val="000000" w:themeColor="text1"/>
          <w:szCs w:val="24"/>
          <w:lang w:val="en-US"/>
        </w:rPr>
        <w:t xml:space="preserve">proposal </w:t>
      </w:r>
      <w:r w:rsidRPr="004E7112">
        <w:rPr>
          <w:color w:val="000000" w:themeColor="text1"/>
          <w:szCs w:val="24"/>
        </w:rPr>
        <w:t xml:space="preserve">constitutes a wealth transfer from </w:t>
      </w:r>
      <w:r w:rsidRPr="004E7112">
        <w:rPr>
          <w:color w:val="000000" w:themeColor="text1"/>
          <w:szCs w:val="24"/>
          <w:lang w:val="en-US"/>
        </w:rPr>
        <w:t>d</w:t>
      </w:r>
      <w:r w:rsidRPr="004E7112">
        <w:rPr>
          <w:color w:val="000000" w:themeColor="text1"/>
          <w:szCs w:val="24"/>
        </w:rPr>
        <w:t xml:space="preserve">efault </w:t>
      </w:r>
      <w:r w:rsidRPr="004E7112">
        <w:rPr>
          <w:color w:val="000000" w:themeColor="text1"/>
          <w:szCs w:val="24"/>
          <w:lang w:val="en-US"/>
        </w:rPr>
        <w:t>s</w:t>
      </w:r>
      <w:r w:rsidRPr="004E7112">
        <w:rPr>
          <w:color w:val="000000" w:themeColor="text1"/>
          <w:szCs w:val="24"/>
        </w:rPr>
        <w:t>ervice customers to shopping customers that is unsupported by any concept of cost causality and is on its face inequitable.</w:t>
      </w:r>
      <w:r w:rsidRPr="004E7112">
        <w:rPr>
          <w:color w:val="000000" w:themeColor="text1"/>
          <w:szCs w:val="24"/>
          <w:lang w:val="en-US"/>
        </w:rPr>
        <w:t xml:space="preserve">  </w:t>
      </w:r>
    </w:p>
    <w:p w:rsidR="006D47C0" w:rsidRPr="004E7112" w:rsidRDefault="006D47C0" w:rsidP="006D47C0">
      <w:pPr>
        <w:spacing w:line="360" w:lineRule="auto"/>
        <w:ind w:firstLine="1440"/>
        <w:rPr>
          <w:color w:val="000000" w:themeColor="text1"/>
        </w:rPr>
      </w:pPr>
    </w:p>
    <w:p w:rsidR="006D47C0" w:rsidRPr="004E7112" w:rsidRDefault="006D47C0" w:rsidP="006D47C0">
      <w:pPr>
        <w:spacing w:line="360" w:lineRule="auto"/>
        <w:ind w:firstLine="1440"/>
        <w:rPr>
          <w:color w:val="000000" w:themeColor="text1"/>
        </w:rPr>
      </w:pPr>
      <w:r w:rsidRPr="004E7112">
        <w:rPr>
          <w:color w:val="000000" w:themeColor="text1"/>
        </w:rPr>
        <w:t xml:space="preserve">The Public Utility Code gives a default service provider the right to “recover” all reasonable costs “incurred” and has been interpreted as such in numerous court decisions.  As stated by the state Supreme Court in </w:t>
      </w:r>
      <w:r w:rsidRPr="004E7112">
        <w:rPr>
          <w:color w:val="000000" w:themeColor="text1"/>
          <w:u w:val="single"/>
        </w:rPr>
        <w:t>Barasch v Pa. Public Utility Commission</w:t>
      </w:r>
      <w:r w:rsidRPr="004E7112">
        <w:rPr>
          <w:color w:val="000000" w:themeColor="text1"/>
        </w:rPr>
        <w:t>, 493 A.2d 653 (Pa. 1985):</w:t>
      </w:r>
    </w:p>
    <w:p w:rsidR="006D47C0" w:rsidRPr="004E7112" w:rsidRDefault="006D47C0" w:rsidP="006D47C0">
      <w:pPr>
        <w:adjustRightInd w:val="0"/>
        <w:ind w:left="1440" w:right="720"/>
        <w:rPr>
          <w:color w:val="000000" w:themeColor="text1"/>
        </w:rPr>
      </w:pPr>
      <w:r w:rsidRPr="004E7112">
        <w:rPr>
          <w:color w:val="000000" w:themeColor="text1"/>
        </w:rPr>
        <w:t xml:space="preserve">Although the Commission is vested with broad discretion in determining what expenses incurred by a utility may be charged to the ratepayers, the Commission has no authority to permit, in the rate-making process, the inclusion of </w:t>
      </w:r>
      <w:r w:rsidRPr="004E7112">
        <w:rPr>
          <w:i/>
          <w:color w:val="000000" w:themeColor="text1"/>
        </w:rPr>
        <w:t>hypothetical expenses not actually incurred</w:t>
      </w:r>
      <w:r w:rsidRPr="004E7112">
        <w:rPr>
          <w:color w:val="000000" w:themeColor="text1"/>
        </w:rPr>
        <w:t>. When it does so, as it did in this case, it is an error of law subject to reversal on appeal.</w:t>
      </w:r>
    </w:p>
    <w:p w:rsidR="006D47C0" w:rsidRDefault="006D47C0" w:rsidP="006D47C0">
      <w:pPr>
        <w:pStyle w:val="BodyText"/>
        <w:spacing w:after="0" w:line="360" w:lineRule="auto"/>
        <w:ind w:left="0" w:firstLine="0"/>
        <w:rPr>
          <w:color w:val="000000" w:themeColor="text1"/>
          <w:szCs w:val="24"/>
          <w:lang w:val="en-US"/>
        </w:rPr>
      </w:pPr>
    </w:p>
    <w:p w:rsidR="00332B66" w:rsidRDefault="00332B66" w:rsidP="00332B66">
      <w:pPr>
        <w:adjustRightInd w:val="0"/>
        <w:spacing w:line="360" w:lineRule="auto"/>
        <w:rPr>
          <w:color w:val="000000"/>
        </w:rPr>
      </w:pPr>
      <w:r>
        <w:rPr>
          <w:color w:val="000000" w:themeColor="text1"/>
        </w:rPr>
        <w:tab/>
      </w:r>
      <w:r>
        <w:rPr>
          <w:color w:val="000000" w:themeColor="text1"/>
        </w:rPr>
        <w:tab/>
      </w:r>
      <w:r>
        <w:rPr>
          <w:color w:val="000000"/>
        </w:rPr>
        <w:t>On this same issue of illusory costs, the Commonwealth Court of Pennsylvania has held that:</w:t>
      </w:r>
    </w:p>
    <w:p w:rsidR="00332B66" w:rsidRDefault="00332B66" w:rsidP="00332B66">
      <w:pPr>
        <w:widowControl w:val="0"/>
        <w:adjustRightInd w:val="0"/>
        <w:ind w:left="1440" w:right="720"/>
        <w:rPr>
          <w:color w:val="000000"/>
        </w:rPr>
      </w:pPr>
      <w:r>
        <w:rPr>
          <w:color w:val="000000"/>
        </w:rPr>
        <w:t>However, a utility may pass along to its customers only those expenses or costs it actually incurs. Any other approach would permit the utility, by charging higher rates than necessary, to gain a profit from its customers under the guise of recovering operating expenses.</w:t>
      </w:r>
      <w:r>
        <w:rPr>
          <w:rStyle w:val="FootnoteReference"/>
          <w:color w:val="000000"/>
        </w:rPr>
        <w:footnoteReference w:id="204"/>
      </w:r>
    </w:p>
    <w:p w:rsidR="00332B66" w:rsidRPr="004E7112" w:rsidRDefault="00332B66" w:rsidP="006D47C0">
      <w:pPr>
        <w:pStyle w:val="BodyText"/>
        <w:spacing w:after="0" w:line="360" w:lineRule="auto"/>
        <w:ind w:left="0" w:firstLine="0"/>
        <w:rPr>
          <w:color w:val="000000" w:themeColor="text1"/>
          <w:szCs w:val="24"/>
          <w:lang w:val="en-US"/>
        </w:rPr>
      </w:pPr>
      <w:r>
        <w:rPr>
          <w:szCs w:val="24"/>
          <w:lang w:val="en-US"/>
        </w:rPr>
        <w:tab/>
      </w:r>
      <w:r>
        <w:rPr>
          <w:szCs w:val="24"/>
          <w:lang w:val="en-US"/>
        </w:rPr>
        <w:tab/>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Therefore, I agree with the parties who request the Commission deny this request from RESA as contrary to the public interest and as contrary to the established law in Pennsylvania.</w:t>
      </w:r>
    </w:p>
    <w:p w:rsidR="006D47C0" w:rsidRDefault="006D47C0" w:rsidP="00332B66">
      <w:pPr>
        <w:adjustRightInd w:val="0"/>
        <w:spacing w:line="360" w:lineRule="auto"/>
      </w:pPr>
      <w:r>
        <w:rPr>
          <w:color w:val="000000"/>
        </w:rPr>
        <w:tab/>
      </w:r>
    </w:p>
    <w:p w:rsidR="006D47C0" w:rsidRPr="00265AAB" w:rsidRDefault="006D47C0" w:rsidP="006D47C0">
      <w:pPr>
        <w:pStyle w:val="BriefL1"/>
        <w:numPr>
          <w:ilvl w:val="0"/>
          <w:numId w:val="0"/>
        </w:numPr>
        <w:spacing w:after="0" w:line="360" w:lineRule="auto"/>
        <w:jc w:val="left"/>
        <w:rPr>
          <w:szCs w:val="24"/>
        </w:rPr>
      </w:pPr>
      <w:r>
        <w:rPr>
          <w:szCs w:val="24"/>
        </w:rPr>
        <w:t>D</w:t>
      </w:r>
      <w:r w:rsidRPr="00265AAB">
        <w:rPr>
          <w:szCs w:val="24"/>
        </w:rPr>
        <w:t>.</w:t>
      </w:r>
      <w:r w:rsidRPr="00265AAB">
        <w:rPr>
          <w:szCs w:val="24"/>
        </w:rPr>
        <w:tab/>
      </w:r>
      <w:r>
        <w:rPr>
          <w:szCs w:val="24"/>
        </w:rPr>
        <w:t>R</w:t>
      </w:r>
      <w:r w:rsidR="00A00354">
        <w:rPr>
          <w:caps w:val="0"/>
          <w:szCs w:val="24"/>
        </w:rPr>
        <w:t>ate</w:t>
      </w:r>
      <w:r>
        <w:rPr>
          <w:szCs w:val="24"/>
        </w:rPr>
        <w:t xml:space="preserve"> </w:t>
      </w:r>
      <w:r w:rsidR="00A00354">
        <w:rPr>
          <w:szCs w:val="24"/>
        </w:rPr>
        <w:t>D</w:t>
      </w:r>
      <w:r w:rsidR="00A00354">
        <w:rPr>
          <w:caps w:val="0"/>
          <w:szCs w:val="24"/>
        </w:rPr>
        <w:t>esign</w:t>
      </w:r>
      <w:r>
        <w:rPr>
          <w:caps w:val="0"/>
          <w:szCs w:val="24"/>
        </w:rPr>
        <w:fldChar w:fldCharType="begin"/>
      </w:r>
      <w:r>
        <w:instrText xml:space="preserve"> TC "</w:instrText>
      </w:r>
      <w:r w:rsidRPr="002A1620">
        <w:rPr>
          <w:szCs w:val="24"/>
        </w:rPr>
        <w:instrText>A.</w:instrText>
      </w:r>
      <w:r w:rsidRPr="002A1620">
        <w:rPr>
          <w:szCs w:val="24"/>
        </w:rPr>
        <w:tab/>
        <w:instrText>D</w:instrText>
      </w:r>
      <w:r w:rsidRPr="002A1620">
        <w:rPr>
          <w:caps w:val="0"/>
          <w:szCs w:val="24"/>
        </w:rPr>
        <w:instrText>efault Service Procurement and Implementation Plans</w:instrText>
      </w:r>
      <w:r>
        <w:instrText xml:space="preserve">" \f C \l "2" </w:instrText>
      </w:r>
      <w:r>
        <w:rPr>
          <w:caps w:val="0"/>
          <w:szCs w:val="24"/>
        </w:rPr>
        <w:fldChar w:fldCharType="end"/>
      </w:r>
    </w:p>
    <w:p w:rsidR="006D47C0" w:rsidRPr="00265AAB" w:rsidRDefault="006D47C0" w:rsidP="006D47C0">
      <w:pPr>
        <w:pStyle w:val="BodyText"/>
        <w:spacing w:after="0" w:line="360" w:lineRule="auto"/>
        <w:rPr>
          <w:b/>
          <w:szCs w:val="24"/>
        </w:rPr>
      </w:pPr>
    </w:p>
    <w:p w:rsidR="006D47C0" w:rsidRDefault="006D47C0" w:rsidP="006D47C0">
      <w:pPr>
        <w:pStyle w:val="BriefL3"/>
        <w:numPr>
          <w:ilvl w:val="0"/>
          <w:numId w:val="0"/>
        </w:numPr>
        <w:spacing w:after="0" w:line="360" w:lineRule="auto"/>
        <w:ind w:left="720"/>
        <w:rPr>
          <w:b/>
          <w:szCs w:val="24"/>
        </w:rPr>
      </w:pPr>
      <w:r>
        <w:rPr>
          <w:b/>
          <w:szCs w:val="24"/>
        </w:rPr>
        <w:t>1.</w:t>
      </w:r>
      <w:r>
        <w:rPr>
          <w:b/>
          <w:szCs w:val="24"/>
        </w:rPr>
        <w:tab/>
        <w:t xml:space="preserve">Reconciliation Issues </w:t>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firstLine="720"/>
        <w:rPr>
          <w:b/>
          <w:szCs w:val="24"/>
        </w:rPr>
      </w:pP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The Company proposed annual separate reconciliation of default service costs and recoveries for each of the Residential, Small C&amp;I and Medium C&amp;I rate classes.  </w:t>
      </w:r>
      <w:r>
        <w:rPr>
          <w:lang w:val="en-US"/>
        </w:rPr>
        <w:t>I</w:t>
      </w:r>
      <w:r>
        <w:t xml:space="preserve">f approved, the Company </w:t>
      </w:r>
      <w:r>
        <w:rPr>
          <w:lang w:val="en-US"/>
        </w:rPr>
        <w:t>explained it would</w:t>
      </w:r>
      <w:r>
        <w:t xml:space="preserve"> not experience large ove</w:t>
      </w:r>
      <w:r>
        <w:rPr>
          <w:lang w:val="en-US"/>
        </w:rPr>
        <w:t>r-</w:t>
      </w:r>
      <w:r>
        <w:t xml:space="preserve"> or under</w:t>
      </w:r>
      <w:r>
        <w:rPr>
          <w:lang w:val="en-US"/>
        </w:rPr>
        <w:t>-</w:t>
      </w:r>
      <w:r>
        <w:t xml:space="preserve"> collections because all default supply procurements involve the exclusive use of fixed-price full requirements contracts and the default service rates are set after the supply solicitations for the applicable period are completed.  Duquesne Light St. No. 4-R, p. 9.  The exclusive use of full-requirements contracts greatly reduces the risk of over/under collections.  Duquesne Light St. No. 4-R, p. 10.  </w:t>
      </w:r>
      <w:r>
        <w:rPr>
          <w:lang w:val="en-US"/>
        </w:rPr>
        <w:t>F</w:t>
      </w:r>
      <w:r>
        <w:t>urther</w:t>
      </w:r>
      <w:r>
        <w:rPr>
          <w:lang w:val="en-US"/>
        </w:rPr>
        <w:t xml:space="preserve">more, </w:t>
      </w:r>
      <w:r>
        <w:t xml:space="preserve">the over/under collection component of the Company’s default service rate has only deviated +/- 0.03 cents per kWh since </w:t>
      </w:r>
      <w:r>
        <w:rPr>
          <w:lang w:val="en-US"/>
        </w:rPr>
        <w:t xml:space="preserve">implementing </w:t>
      </w:r>
      <w:r>
        <w:t>the RFP process and reconciliation for Medium C&amp;I customers.</w:t>
      </w:r>
    </w:p>
    <w:p w:rsidR="006D47C0" w:rsidRDefault="006D47C0" w:rsidP="006D47C0">
      <w:pPr>
        <w:pStyle w:val="BodyText2"/>
        <w:spacing w:after="0" w:line="360" w:lineRule="auto"/>
      </w:pPr>
      <w:r>
        <w:rPr>
          <w:lang w:val="en-US"/>
        </w:rPr>
        <w:tab/>
      </w:r>
      <w:r>
        <w:rPr>
          <w:lang w:val="en-US"/>
        </w:rPr>
        <w:tab/>
      </w:r>
      <w:r>
        <w:t xml:space="preserve">The Company </w:t>
      </w:r>
      <w:r>
        <w:rPr>
          <w:lang w:val="en-US"/>
        </w:rPr>
        <w:t xml:space="preserve">contended the </w:t>
      </w:r>
      <w:r>
        <w:t>RESA’s proposal for quarterly reconciliation is</w:t>
      </w:r>
      <w:r>
        <w:rPr>
          <w:lang w:val="en-US"/>
        </w:rPr>
        <w:t xml:space="preserve"> not</w:t>
      </w:r>
      <w:r>
        <w:t xml:space="preserve"> necessary unless the procurement plan is revised to include block and/or spot purchases.  As long as the procurement plan consists entirely of full requirements contracts, the default service price will be known and fixed before each application period.  Duquesne Light St. No. 4-SR, p. 4.  The Company will pay wholesale suppliers the fixed rate based on actual volumes sold.  Therefore, the reconciliation amounts will be minimal, and it is unnecessary to adopt RESA’s reconciliation proposal under such circumstances.</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ind w:firstLine="1440"/>
      </w:pPr>
      <w:r>
        <w:t xml:space="preserve">OCA supports the Company’s proposal for annual reconciliation and changes to the PTC.  Duquesne is unique from other large EDCs in the Commonwealth.  The Company’s current PTC has been set for the duration of their existing 29-month default service plan.  Therefore, Duquesne’s customers are not accustomed to the quarterly shifts in the PTC that are experienced by the customers of other large EDCs.  Further, the Company has been out from under rate caps for a much longer time than other EDCs.  Importantly, the relative stability in the PTC has helped customer shopping in Duquesne’s service territory as it has experienced high levels of shopping for many years.  </w:t>
      </w:r>
      <w:r>
        <w:rPr>
          <w:lang w:val="en-US"/>
        </w:rPr>
        <w:t>F</w:t>
      </w:r>
      <w:r>
        <w:t xml:space="preserve">or these reasons that OCA supports the Company’s proposals with respect to annual reconciliation and changes in the PTC and encourages the Commission to adopt the Company’s position on these issues.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r>
      <w:r>
        <w:rPr>
          <w:b/>
          <w:szCs w:val="24"/>
        </w:rPr>
        <w:tab/>
        <w:t>c.</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In RESA’s view, reconciliation</w:t>
      </w:r>
      <w:r>
        <w:rPr>
          <w:lang w:val="en-US"/>
        </w:rPr>
        <w:t>s</w:t>
      </w:r>
      <w:r>
        <w:t xml:space="preserve"> should be conducted quarterly to account for the significant amount of default service contracts that will be procured on a quarterly basis for the </w:t>
      </w:r>
      <w:r>
        <w:rPr>
          <w:lang w:val="en-US"/>
        </w:rPr>
        <w:t>R</w:t>
      </w:r>
      <w:r>
        <w:t xml:space="preserve">esidential, </w:t>
      </w:r>
      <w:r>
        <w:rPr>
          <w:lang w:val="en-US"/>
        </w:rPr>
        <w:t>S</w:t>
      </w:r>
      <w:r>
        <w:t xml:space="preserve">mall C&amp;I, and </w:t>
      </w:r>
      <w:r>
        <w:rPr>
          <w:lang w:val="en-US"/>
        </w:rPr>
        <w:t>M</w:t>
      </w:r>
      <w:r>
        <w:t>edium C&amp;I customer classes, and the associated quarterly default service rate changes for each class.</w:t>
      </w:r>
      <w:r>
        <w:rPr>
          <w:rStyle w:val="FootnoteReference"/>
        </w:rPr>
        <w:footnoteReference w:id="205"/>
      </w:r>
      <w:r>
        <w:t xml:space="preserve">  RESA’s concern is that quarterly procurements and price changes, with annual reconciliations, could cause the actual default service rates to become divorced from actual underlying wholesale costs.</w:t>
      </w:r>
      <w:r>
        <w:rPr>
          <w:rStyle w:val="FootnoteReference"/>
        </w:rPr>
        <w:footnoteReference w:id="206"/>
      </w:r>
      <w:r>
        <w:t xml:space="preserve">  In short, administrative mechanisms like reconciliations, regardless of frequency, have the potential to impair the development of a thriving retail market.</w:t>
      </w:r>
      <w:r>
        <w:rPr>
          <w:rStyle w:val="FootnoteReference"/>
        </w:rPr>
        <w:footnoteReference w:id="207"/>
      </w:r>
      <w:r>
        <w:t xml:space="preserve">    </w:t>
      </w:r>
    </w:p>
    <w:p w:rsidR="006D47C0" w:rsidRPr="00565D07"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Similarly, RESA’s proposed procurement structure includes 50% quarterly procurement and quarterly price changes for </w:t>
      </w:r>
      <w:r>
        <w:rPr>
          <w:lang w:val="en-US"/>
        </w:rPr>
        <w:t>R</w:t>
      </w:r>
      <w:r>
        <w:t xml:space="preserve">esidential and </w:t>
      </w:r>
      <w:r>
        <w:rPr>
          <w:lang w:val="en-US"/>
        </w:rPr>
        <w:t>S</w:t>
      </w:r>
      <w:r>
        <w:t>mall C&amp;I customers, and 100%</w:t>
      </w:r>
      <w:r>
        <w:rPr>
          <w:lang w:val="en-US"/>
        </w:rPr>
        <w:t> </w:t>
      </w:r>
      <w:r>
        <w:t xml:space="preserve">quarterly procurements and price changes for </w:t>
      </w:r>
      <w:r>
        <w:rPr>
          <w:lang w:val="en-US"/>
        </w:rPr>
        <w:t>M</w:t>
      </w:r>
      <w:r>
        <w:t>edium C&amp;I customers.  Under this proposal, quarterly, not annual, reconciliations are appropriate because “[a]n annual reconciliation will create a distorted pricing structure that will stymie continued competitive market development because competitive suppliers will be forced to compete against prices that do not accurately reflect market prices and costs.”</w:t>
      </w:r>
      <w:r>
        <w:rPr>
          <w:rStyle w:val="FootnoteReference"/>
        </w:rPr>
        <w:footnoteReference w:id="208"/>
      </w:r>
      <w:r>
        <w:t xml:space="preserve">  </w:t>
      </w:r>
    </w:p>
    <w:p w:rsidR="009A34BD" w:rsidRDefault="009A34BD"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d.</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O</w:t>
      </w:r>
      <w:r>
        <w:rPr>
          <w:lang w:val="en-US"/>
        </w:rPr>
        <w:t>SB</w:t>
      </w:r>
      <w:r>
        <w:t xml:space="preserve">A </w:t>
      </w:r>
      <w:r>
        <w:rPr>
          <w:lang w:val="en-US"/>
        </w:rPr>
        <w:t>supports the Company’s proposal for the reconciliation of over-collections and under-collections associated with the respective default service rates paid by Small C&amp;I and Medium C&amp;I customers on an annual basis</w:t>
      </w:r>
      <w:r>
        <w: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Joint Suppliers take</w:t>
      </w:r>
      <w:r>
        <w:t xml:space="preserve"> no position on this issue.</w:t>
      </w:r>
    </w:p>
    <w:p w:rsidR="006D47C0" w:rsidRDefault="006D47C0" w:rsidP="006D47C0">
      <w:pPr>
        <w:pStyle w:val="ListParagraph"/>
        <w:spacing w:line="360" w:lineRule="auto"/>
        <w:ind w:left="1440"/>
        <w:rPr>
          <w:lang w:eastAsia="x-none"/>
        </w:rPr>
      </w:pPr>
    </w:p>
    <w:p w:rsidR="006D47C0" w:rsidRPr="003A1E0E" w:rsidRDefault="006D47C0" w:rsidP="006D47C0">
      <w:pPr>
        <w:pStyle w:val="ListParagraph"/>
        <w:spacing w:line="360" w:lineRule="auto"/>
        <w:ind w:left="1440" w:hanging="1440"/>
        <w:rPr>
          <w:b/>
          <w:color w:val="000000" w:themeColor="text1"/>
        </w:rPr>
      </w:pPr>
      <w:r w:rsidRPr="003A1E0E">
        <w:rPr>
          <w:b/>
        </w:rPr>
        <w:t xml:space="preserve">Disposition </w:t>
      </w:r>
      <w:r w:rsidRPr="00832E4A">
        <w:t>-</w:t>
      </w:r>
      <w:r w:rsidRPr="003A1E0E">
        <w:rPr>
          <w:b/>
        </w:rPr>
        <w:t xml:space="preserve"> </w:t>
      </w:r>
      <w:r w:rsidRPr="003A1E0E">
        <w:rPr>
          <w:b/>
          <w:color w:val="000000" w:themeColor="text1"/>
        </w:rPr>
        <w:t xml:space="preserve">Rate Design – Reconciliation Issues </w:t>
      </w:r>
    </w:p>
    <w:p w:rsidR="006D47C0" w:rsidRPr="004E7112" w:rsidRDefault="006D47C0" w:rsidP="006D47C0">
      <w:pPr>
        <w:spacing w:line="360" w:lineRule="auto"/>
        <w:rPr>
          <w:color w:val="000000" w:themeColor="text1"/>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r w:rsidRPr="004E7112">
        <w:rPr>
          <w:color w:val="000000" w:themeColor="text1"/>
          <w:szCs w:val="24"/>
        </w:rPr>
        <w:tab/>
      </w:r>
      <w:r w:rsidRPr="004E7112">
        <w:rPr>
          <w:color w:val="000000" w:themeColor="text1"/>
          <w:szCs w:val="24"/>
          <w:lang w:val="en-US"/>
        </w:rPr>
        <w:t xml:space="preserve">The reconciliation period should coincide with the mix and timing of the default service supply products, therefore, it should be done annually at this time.  If reconciliations occur more frequently, the cost must be borne by the EDC, and eventually passed on to all default service customers of the EDC.  This increased cost would adversely impact the cost of doing business as an EDC.  If in future DSP proceedings, DLC’s plan is amended to reflect more frequent turn-over in the mix and timing for all load classes, not only </w:t>
      </w:r>
      <w:r>
        <w:rPr>
          <w:color w:val="000000" w:themeColor="text1"/>
          <w:szCs w:val="24"/>
          <w:lang w:val="en-US"/>
        </w:rPr>
        <w:t>S</w:t>
      </w:r>
      <w:r w:rsidRPr="004E7112">
        <w:rPr>
          <w:color w:val="000000" w:themeColor="text1"/>
          <w:szCs w:val="24"/>
          <w:lang w:val="en-US"/>
        </w:rPr>
        <w:t xml:space="preserve">mall and </w:t>
      </w:r>
      <w:r>
        <w:rPr>
          <w:color w:val="000000" w:themeColor="text1"/>
          <w:szCs w:val="24"/>
          <w:lang w:val="en-US"/>
        </w:rPr>
        <w:t>M</w:t>
      </w:r>
      <w:r w:rsidRPr="004E7112">
        <w:rPr>
          <w:color w:val="000000" w:themeColor="text1"/>
          <w:szCs w:val="24"/>
          <w:lang w:val="en-US"/>
        </w:rPr>
        <w:t>edium C&amp;I customers, then there may be a need to reconcile more frequently.  In the meantime, however, I agree with the Company that it should only do reconciliation of default service costs annually.</w:t>
      </w:r>
    </w:p>
    <w:p w:rsidR="006D47C0" w:rsidRPr="00353BD0" w:rsidRDefault="006D47C0" w:rsidP="006D47C0">
      <w:pPr>
        <w:pStyle w:val="ListParagraph"/>
        <w:autoSpaceDE/>
        <w:autoSpaceDN/>
        <w:spacing w:line="360" w:lineRule="auto"/>
        <w:ind w:left="0"/>
        <w:rPr>
          <w:b/>
          <w:u w:val="single"/>
        </w:rPr>
      </w:pPr>
    </w:p>
    <w:p w:rsidR="00883E83" w:rsidRDefault="006D47C0" w:rsidP="006D47C0">
      <w:pPr>
        <w:pStyle w:val="BodyText"/>
        <w:spacing w:after="0" w:line="360" w:lineRule="auto"/>
        <w:ind w:left="0" w:firstLine="0"/>
        <w:rPr>
          <w:szCs w:val="24"/>
          <w:lang w:val="en-US"/>
        </w:rPr>
      </w:pPr>
      <w:r>
        <w:rPr>
          <w:szCs w:val="24"/>
          <w:lang w:val="en-US"/>
        </w:rPr>
        <w:tab/>
      </w:r>
      <w:r>
        <w:rPr>
          <w:szCs w:val="24"/>
          <w:lang w:val="en-US"/>
        </w:rPr>
        <w:tab/>
      </w:r>
    </w:p>
    <w:p w:rsidR="00883E83" w:rsidRDefault="00883E83" w:rsidP="006D47C0">
      <w:pPr>
        <w:pStyle w:val="BodyText"/>
        <w:spacing w:after="0" w:line="360" w:lineRule="auto"/>
        <w:ind w:left="0" w:firstLine="0"/>
        <w:rPr>
          <w:szCs w:val="24"/>
          <w:lang w:val="en-US"/>
        </w:rPr>
      </w:pPr>
    </w:p>
    <w:p w:rsidR="006D47C0" w:rsidRPr="00EE639F" w:rsidRDefault="00883E83" w:rsidP="006D47C0">
      <w:pPr>
        <w:pStyle w:val="BodyText"/>
        <w:spacing w:after="0" w:line="360" w:lineRule="auto"/>
        <w:ind w:left="0" w:firstLine="0"/>
        <w:rPr>
          <w:b/>
          <w:szCs w:val="24"/>
          <w:lang w:val="en-US"/>
        </w:rPr>
      </w:pPr>
      <w:r>
        <w:rPr>
          <w:szCs w:val="24"/>
          <w:lang w:val="en-US"/>
        </w:rPr>
        <w:tab/>
      </w:r>
      <w:r w:rsidR="006D47C0" w:rsidRPr="00EE639F">
        <w:rPr>
          <w:b/>
          <w:szCs w:val="24"/>
          <w:lang w:val="en-US"/>
        </w:rPr>
        <w:t>2.</w:t>
      </w:r>
      <w:r w:rsidR="006D47C0">
        <w:rPr>
          <w:b/>
          <w:szCs w:val="24"/>
          <w:lang w:val="en-US"/>
        </w:rPr>
        <w:tab/>
        <w:t>Price to Compare Calculation Date</w:t>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rPr>
          <w:b/>
          <w:szCs w:val="24"/>
        </w:rPr>
      </w:pPr>
      <w:r>
        <w:rPr>
          <w:b/>
          <w:szCs w:val="24"/>
        </w:rPr>
        <w:tab/>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r>
      <w:r>
        <w:t xml:space="preserve">Duquesne Light </w:t>
      </w:r>
      <w:r>
        <w:rPr>
          <w:lang w:val="en-US"/>
        </w:rPr>
        <w:t xml:space="preserve">avers it </w:t>
      </w:r>
      <w:r>
        <w:t xml:space="preserve">understands the need to provide customers and EGSs </w:t>
      </w:r>
      <w:r>
        <w:rPr>
          <w:lang w:val="en-US"/>
        </w:rPr>
        <w:t xml:space="preserve">with </w:t>
      </w:r>
      <w:r>
        <w:t>PTC information as early as possible</w:t>
      </w:r>
      <w:r>
        <w:rPr>
          <w:lang w:val="en-US"/>
        </w:rPr>
        <w:t xml:space="preserve">.  By so doing, </w:t>
      </w:r>
      <w:r>
        <w:t>EGSs can make offers to customers and customers can have necessary information to make informed shopping decisions.  Duquesne Light</w:t>
      </w:r>
      <w:r>
        <w:rPr>
          <w:lang w:val="en-US"/>
        </w:rPr>
        <w:t xml:space="preserve"> contends it</w:t>
      </w:r>
      <w:r>
        <w:t xml:space="preserve"> posts an estimated PTC seven days after determining winning bids in the RFP.  Duquesne Light St. No. 4-RJ, p. 2.  The only difference between the estimated and final PTC is the final determination of the e-factor component</w:t>
      </w:r>
      <w:r>
        <w:rPr>
          <w:lang w:val="en-US"/>
        </w:rPr>
        <w:t>,</w:t>
      </w:r>
      <w:r>
        <w:t xml:space="preserve"> </w:t>
      </w:r>
      <w:r>
        <w:rPr>
          <w:lang w:val="en-US"/>
        </w:rPr>
        <w:t xml:space="preserve">which </w:t>
      </w:r>
      <w:r>
        <w:t>is very small</w:t>
      </w:r>
      <w:r>
        <w:rPr>
          <w:lang w:val="en-US"/>
        </w:rPr>
        <w:t>.</w:t>
      </w:r>
    </w:p>
    <w:p w:rsidR="006D47C0" w:rsidRDefault="006D47C0" w:rsidP="006D47C0">
      <w:pPr>
        <w:pStyle w:val="BodyText2"/>
        <w:spacing w:line="360" w:lineRule="auto"/>
        <w:rPr>
          <w:lang w:val="en-US"/>
        </w:rPr>
      </w:pPr>
    </w:p>
    <w:p w:rsidR="006D47C0" w:rsidRPr="00EB6988" w:rsidRDefault="006D47C0" w:rsidP="006D47C0">
      <w:pPr>
        <w:pStyle w:val="BodyText2"/>
        <w:spacing w:line="360" w:lineRule="auto"/>
        <w:rPr>
          <w:lang w:val="en-US"/>
        </w:rPr>
      </w:pPr>
      <w:r>
        <w:rPr>
          <w:lang w:val="en-US"/>
        </w:rPr>
        <w:tab/>
      </w:r>
      <w:r>
        <w:rPr>
          <w:lang w:val="en-US"/>
        </w:rPr>
        <w:tab/>
      </w:r>
      <w:r>
        <w:t>Therefore, the EGSs know the estimated PTC well in advance of the date rates go into effect.  In addition, the Company is not able to post the final PTC 45 days in advance</w:t>
      </w:r>
      <w:r>
        <w:rPr>
          <w:lang w:val="en-US"/>
        </w:rPr>
        <w:t>.</w:t>
      </w:r>
    </w:p>
    <w:p w:rsidR="006D47C0" w:rsidRPr="00012AEE" w:rsidRDefault="006D47C0" w:rsidP="006D47C0">
      <w:pPr>
        <w:pStyle w:val="BodyText2"/>
        <w:spacing w:after="0" w:line="360" w:lineRule="auto"/>
        <w:rPr>
          <w:lang w:val="en-US"/>
        </w:rPr>
      </w:pPr>
    </w:p>
    <w:p w:rsidR="006D47C0" w:rsidRDefault="006D47C0" w:rsidP="006D47C0">
      <w:pPr>
        <w:pStyle w:val="BodyText2"/>
        <w:spacing w:after="0" w:line="360" w:lineRule="auto"/>
        <w:rPr>
          <w:rFonts w:eastAsia="Calibri"/>
          <w:lang w:val="en-US"/>
        </w:rPr>
      </w:pPr>
      <w:r>
        <w:rPr>
          <w:bCs/>
          <w:lang w:val="en-US"/>
        </w:rPr>
        <w:tab/>
      </w:r>
      <w:r>
        <w:rPr>
          <w:bCs/>
          <w:lang w:val="en-US"/>
        </w:rPr>
        <w:tab/>
      </w:r>
      <w:r>
        <w:rPr>
          <w:bCs/>
        </w:rPr>
        <w:t>Duquesne opposes RESA’s recommendation –</w:t>
      </w:r>
      <w:r>
        <w:rPr>
          <w:bCs/>
          <w:lang w:val="en-US"/>
        </w:rPr>
        <w:t xml:space="preserve"> </w:t>
      </w:r>
      <w:r>
        <w:rPr>
          <w:bCs/>
        </w:rPr>
        <w:t>that it file the final PTC 45 days in advance of the effective date</w:t>
      </w:r>
      <w:r>
        <w:rPr>
          <w:bCs/>
          <w:lang w:val="en-US"/>
        </w:rPr>
        <w:t xml:space="preserve"> – because </w:t>
      </w:r>
      <w:r>
        <w:rPr>
          <w:bCs/>
        </w:rPr>
        <w:t>(1) i</w:t>
      </w:r>
      <w:r>
        <w:rPr>
          <w:rFonts w:eastAsia="Calibri"/>
        </w:rPr>
        <w:t xml:space="preserve">t posts an </w:t>
      </w:r>
      <w:r>
        <w:rPr>
          <w:rFonts w:eastAsia="Calibri"/>
          <w:i/>
          <w:iCs/>
        </w:rPr>
        <w:t>estimated</w:t>
      </w:r>
      <w:r>
        <w:rPr>
          <w:rFonts w:eastAsia="Calibri"/>
        </w:rPr>
        <w:t xml:space="preserve"> PTC within </w:t>
      </w:r>
      <w:r>
        <w:rPr>
          <w:rFonts w:eastAsia="Calibri"/>
          <w:lang w:val="en-US"/>
        </w:rPr>
        <w:t>seven</w:t>
      </w:r>
      <w:r>
        <w:rPr>
          <w:rFonts w:eastAsia="Calibri"/>
        </w:rPr>
        <w:t xml:space="preserve"> days of the RFP, and (2) it posts the </w:t>
      </w:r>
      <w:r>
        <w:rPr>
          <w:rFonts w:eastAsia="Calibri"/>
          <w:i/>
          <w:iCs/>
        </w:rPr>
        <w:t>final</w:t>
      </w:r>
      <w:r>
        <w:rPr>
          <w:rFonts w:eastAsia="Calibri"/>
        </w:rPr>
        <w:t xml:space="preserve"> PTC 15 days before the effective date.</w:t>
      </w:r>
      <w:r>
        <w:rPr>
          <w:rStyle w:val="FootnoteReference"/>
          <w:rFonts w:eastAsia="Calibri"/>
        </w:rPr>
        <w:footnoteReference w:id="209"/>
      </w:r>
      <w:r>
        <w:rPr>
          <w:rFonts w:eastAsia="Calibri"/>
        </w:rPr>
        <w:t xml:space="preserve">  Duquesne states the estimated PTC is within +/- 0.03 cents/kWh of the final PTC, which it argues is “very close” to the final PTC.</w:t>
      </w:r>
      <w:r>
        <w:rPr>
          <w:rStyle w:val="FootnoteReference"/>
          <w:rFonts w:eastAsia="Calibri"/>
        </w:rPr>
        <w:footnoteReference w:id="210"/>
      </w:r>
      <w:r>
        <w:rPr>
          <w:rFonts w:eastAsia="Calibri"/>
        </w:rPr>
        <w:t>  Duquesne contends it cannot post its final PTC sooner than 15 days because (1)</w:t>
      </w:r>
      <w:r>
        <w:rPr>
          <w:rFonts w:eastAsia="Calibri"/>
          <w:lang w:val="en-US"/>
        </w:rPr>
        <w:t> </w:t>
      </w:r>
      <w:r>
        <w:rPr>
          <w:rFonts w:eastAsia="Calibri"/>
        </w:rPr>
        <w:t xml:space="preserve">it closes its books on the </w:t>
      </w:r>
      <w:r>
        <w:rPr>
          <w:rFonts w:eastAsia="Calibri"/>
          <w:lang w:val="en-US"/>
        </w:rPr>
        <w:t xml:space="preserve">tenth </w:t>
      </w:r>
      <w:r>
        <w:rPr>
          <w:rFonts w:eastAsia="Calibri"/>
        </w:rPr>
        <w:t xml:space="preserve">day of the month, and it needs another </w:t>
      </w:r>
      <w:r>
        <w:rPr>
          <w:rFonts w:eastAsia="Calibri"/>
          <w:lang w:val="en-US"/>
        </w:rPr>
        <w:t>five</w:t>
      </w:r>
      <w:r>
        <w:rPr>
          <w:rFonts w:eastAsia="Calibri"/>
        </w:rPr>
        <w:t xml:space="preserve"> days to finalize and file the final PTC, and (2) Duquesne submits its FERC formula filing on May 15 to establish a new formula revenue requirement and NITS effective </w:t>
      </w:r>
      <w:r>
        <w:rPr>
          <w:rFonts w:eastAsia="Calibri"/>
          <w:lang w:val="en-US"/>
        </w:rPr>
        <w:t xml:space="preserve">on </w:t>
      </w:r>
      <w:r>
        <w:rPr>
          <w:rFonts w:eastAsia="Calibri"/>
        </w:rPr>
        <w:t>June 1</w:t>
      </w:r>
      <w:r w:rsidRPr="006B2979">
        <w:rPr>
          <w:rFonts w:eastAsia="Calibri"/>
          <w:vertAlign w:val="superscript"/>
          <w:lang w:val="en-US"/>
        </w:rPr>
        <w:t>st</w:t>
      </w:r>
      <w:r>
        <w:rPr>
          <w:rFonts w:eastAsia="Calibri"/>
        </w:rPr>
        <w:t>.</w:t>
      </w:r>
      <w:r>
        <w:rPr>
          <w:rStyle w:val="FootnoteReference"/>
          <w:rFonts w:eastAsia="Calibri"/>
        </w:rPr>
        <w:footnoteReference w:id="211"/>
      </w:r>
      <w:r>
        <w:rPr>
          <w:rFonts w:eastAsia="Calibri"/>
        </w:rPr>
        <w:t xml:space="preserve">  </w:t>
      </w:r>
      <w:r>
        <w:rPr>
          <w:rFonts w:eastAsia="Calibri"/>
          <w:lang w:val="en-US"/>
        </w:rPr>
        <w:t>In addition,</w:t>
      </w:r>
      <w:r>
        <w:rPr>
          <w:rFonts w:eastAsia="Calibri"/>
        </w:rPr>
        <w:t xml:space="preserve"> on May 15</w:t>
      </w:r>
      <w:r>
        <w:rPr>
          <w:rFonts w:eastAsia="Calibri"/>
          <w:lang w:val="en-US"/>
        </w:rPr>
        <w:t xml:space="preserve">, </w:t>
      </w:r>
      <w:r>
        <w:rPr>
          <w:rFonts w:eastAsia="Calibri"/>
        </w:rPr>
        <w:t>Duquesne files for new retail transmission rates at the Commission effective June 1</w:t>
      </w:r>
      <w:r w:rsidRPr="009F09FD">
        <w:rPr>
          <w:rFonts w:eastAsia="Calibri"/>
          <w:vertAlign w:val="superscript"/>
          <w:lang w:val="en-US"/>
        </w:rPr>
        <w:t>st</w:t>
      </w:r>
      <w:r>
        <w:rPr>
          <w:rFonts w:eastAsia="Calibri"/>
        </w:rPr>
        <w:t xml:space="preserve">.  Duquesne </w:t>
      </w:r>
      <w:r>
        <w:rPr>
          <w:rFonts w:eastAsia="Calibri"/>
          <w:lang w:val="en-US"/>
        </w:rPr>
        <w:t xml:space="preserve">contends it cannot submit new transmission rates sooner than May 15, and transmission is a component of the PTC.  </w:t>
      </w:r>
    </w:p>
    <w:p w:rsidR="006D47C0" w:rsidRDefault="006D47C0" w:rsidP="006D47C0">
      <w:pPr>
        <w:pStyle w:val="BodyText2"/>
        <w:spacing w:line="360" w:lineRule="auto"/>
        <w:rPr>
          <w:lang w:val="en-US"/>
        </w:rPr>
      </w:pPr>
    </w:p>
    <w:p w:rsidR="006D47C0" w:rsidRDefault="006D47C0" w:rsidP="006D47C0">
      <w:pPr>
        <w:pStyle w:val="BodyText2"/>
        <w:spacing w:line="360" w:lineRule="auto"/>
      </w:pPr>
      <w:r>
        <w:rPr>
          <w:lang w:val="en-US"/>
        </w:rPr>
        <w:tab/>
      </w:r>
      <w:r>
        <w:rPr>
          <w:lang w:val="en-US"/>
        </w:rPr>
        <w:tab/>
        <w:t>T</w:t>
      </w:r>
      <w:r>
        <w:t>he Company</w:t>
      </w:r>
      <w:r>
        <w:rPr>
          <w:lang w:val="en-US"/>
        </w:rPr>
        <w:t xml:space="preserve"> points out it</w:t>
      </w:r>
      <w:r>
        <w:t xml:space="preserve"> is following Commission approved practice and procedure when posting its PTC.  Duquesne Light St. No. 4-R, pp. 12-13.  For these reasons, </w:t>
      </w:r>
      <w:r>
        <w:rPr>
          <w:lang w:val="en-US"/>
        </w:rPr>
        <w:t xml:space="preserve">the Company argues </w:t>
      </w:r>
      <w:r>
        <w:t>RESA’s proposal to require Duquesne Light to post a final PTC 45 days in advance should be denied.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c.</w:t>
      </w:r>
      <w:r>
        <w:rPr>
          <w:b/>
          <w:szCs w:val="24"/>
        </w:rPr>
        <w:tab/>
        <w:t>OCA’s Position</w:t>
      </w:r>
    </w:p>
    <w:p w:rsidR="006D47C0" w:rsidRDefault="006D47C0" w:rsidP="006D47C0">
      <w:pPr>
        <w:pStyle w:val="BodyText"/>
        <w:spacing w:after="0" w:line="360" w:lineRule="auto"/>
        <w:ind w:left="0" w:firstLine="0"/>
        <w:rPr>
          <w:szCs w:val="24"/>
          <w:lang w:val="en-US"/>
        </w:rPr>
      </w:pPr>
    </w:p>
    <w:p w:rsidR="006D47C0" w:rsidRPr="002415BA" w:rsidRDefault="006D47C0" w:rsidP="006D47C0">
      <w:pPr>
        <w:pStyle w:val="BodyText2"/>
        <w:spacing w:after="0" w:line="360" w:lineRule="auto"/>
        <w:rPr>
          <w:lang w:val="en-US"/>
        </w:rPr>
      </w:pPr>
      <w:r>
        <w:rPr>
          <w:lang w:val="en-US"/>
        </w:rPr>
        <w:tab/>
      </w:r>
      <w:r>
        <w:rPr>
          <w:lang w:val="en-US"/>
        </w:rPr>
        <w:tab/>
      </w:r>
      <w:r>
        <w:t>OCA takes no position on this issue.</w:t>
      </w:r>
    </w:p>
    <w:p w:rsidR="006D47C0" w:rsidRPr="00012AEE" w:rsidRDefault="006D47C0" w:rsidP="006D47C0">
      <w:pPr>
        <w:pStyle w:val="BriefL3"/>
        <w:numPr>
          <w:ilvl w:val="0"/>
          <w:numId w:val="0"/>
        </w:numPr>
        <w:spacing w:after="0" w:line="360" w:lineRule="auto"/>
        <w:ind w:left="2880"/>
        <w:rPr>
          <w:b/>
          <w:szCs w:val="24"/>
        </w:rPr>
      </w:pPr>
    </w:p>
    <w:p w:rsidR="006D47C0" w:rsidRPr="00012AEE" w:rsidRDefault="006D47C0" w:rsidP="006D47C0">
      <w:pPr>
        <w:pStyle w:val="BriefL3"/>
        <w:numPr>
          <w:ilvl w:val="0"/>
          <w:numId w:val="0"/>
        </w:numPr>
        <w:spacing w:after="0" w:line="360" w:lineRule="auto"/>
        <w:ind w:left="1440" w:hanging="720"/>
        <w:rPr>
          <w:b/>
          <w:szCs w:val="24"/>
        </w:rPr>
      </w:pPr>
      <w:r>
        <w:rPr>
          <w:b/>
          <w:szCs w:val="24"/>
        </w:rPr>
        <w:tab/>
        <w:t>d</w:t>
      </w:r>
      <w:r w:rsidRPr="00012AEE">
        <w:rPr>
          <w:b/>
          <w:szCs w:val="24"/>
        </w:rPr>
        <w:t>.</w:t>
      </w:r>
      <w:r w:rsidRPr="00012AEE">
        <w:rPr>
          <w:b/>
          <w:szCs w:val="24"/>
        </w:rPr>
        <w:tab/>
        <w:t>RESA’s Position</w:t>
      </w:r>
    </w:p>
    <w:p w:rsidR="006D47C0" w:rsidRPr="00012AEE" w:rsidRDefault="006D47C0" w:rsidP="006D47C0">
      <w:pPr>
        <w:pStyle w:val="BodyText"/>
        <w:spacing w:after="0" w:line="360" w:lineRule="auto"/>
        <w:ind w:left="0" w:firstLine="0"/>
        <w:rPr>
          <w:szCs w:val="24"/>
          <w:lang w:val="en-US"/>
        </w:rPr>
      </w:pPr>
    </w:p>
    <w:p w:rsidR="006D47C0" w:rsidRPr="00012AEE" w:rsidRDefault="006D47C0" w:rsidP="006D47C0">
      <w:pPr>
        <w:pStyle w:val="Normal1"/>
        <w:spacing w:line="360" w:lineRule="auto"/>
      </w:pPr>
      <w:r w:rsidRPr="00012AEE">
        <w:tab/>
        <w:t>RESA recommends that the PTC and its various components be calculated as soon as possible in order to provide customers with accurate information needed to make informed shopping decisions.</w:t>
      </w:r>
      <w:r w:rsidRPr="00012AEE">
        <w:rPr>
          <w:rStyle w:val="FootnoteReference"/>
          <w:bCs/>
          <w:szCs w:val="26"/>
        </w:rPr>
        <w:footnoteReference w:id="212"/>
      </w:r>
      <w:r w:rsidRPr="00012AEE">
        <w:t xml:space="preserve">  Under RESA’s proposed procurement structure, the default service RFPs would take place approximately 60 days in advance of the applicable effective periods, which permits Duquesne to calculate the new PTC and file it with the Commission 45</w:t>
      </w:r>
      <w:r>
        <w:t> </w:t>
      </w:r>
      <w:r w:rsidRPr="00012AEE">
        <w:t xml:space="preserve">days in advance. </w:t>
      </w:r>
      <w:r w:rsidRPr="00012AEE">
        <w:rPr>
          <w:rStyle w:val="FootnoteReference"/>
          <w:bCs/>
          <w:szCs w:val="26"/>
        </w:rPr>
        <w:footnoteReference w:id="213"/>
      </w:r>
    </w:p>
    <w:p w:rsidR="006D47C0" w:rsidRPr="00012AEE" w:rsidRDefault="006D47C0" w:rsidP="006D47C0">
      <w:pPr>
        <w:pStyle w:val="BodyText2"/>
        <w:spacing w:after="0" w:line="360" w:lineRule="auto"/>
        <w:rPr>
          <w:lang w:val="en-US"/>
        </w:rPr>
      </w:pPr>
    </w:p>
    <w:p w:rsidR="006D47C0" w:rsidRDefault="006D47C0" w:rsidP="006D47C0">
      <w:pPr>
        <w:pStyle w:val="BodyText2"/>
        <w:spacing w:after="0" w:line="360" w:lineRule="auto"/>
        <w:rPr>
          <w:bCs/>
        </w:rPr>
      </w:pPr>
      <w:r w:rsidRPr="00012AEE">
        <w:rPr>
          <w:lang w:val="en-US"/>
        </w:rPr>
        <w:tab/>
      </w:r>
      <w:r w:rsidRPr="00012AEE">
        <w:rPr>
          <w:lang w:val="en-US"/>
        </w:rPr>
        <w:tab/>
      </w:r>
      <w:r>
        <w:t>Publishing the PTC only 15 days before the start of the effective period means that both customers and EGSs have very little time to react to the new PTC price signal.</w:t>
      </w:r>
      <w:r>
        <w:rPr>
          <w:rStyle w:val="FootnoteReference"/>
        </w:rPr>
        <w:footnoteReference w:id="214"/>
      </w:r>
      <w:r>
        <w:t xml:space="preserve">  Although RESA would much prefer a default service model that placed less emphasis on the EDC’s default service product and its associated price, the fact is that under the current paradigm, the PTC is widely used as a benchmark for price comparisons by customers.</w:t>
      </w:r>
      <w:r>
        <w:rPr>
          <w:rStyle w:val="FootnoteReference"/>
        </w:rPr>
        <w:footnoteReference w:id="215"/>
      </w:r>
      <w:r>
        <w:t xml:space="preserve">  Publishing the PTC with more advance notice will better allow EGSs to educate customers about upcoming changes in the PTC and will allow customers to make better informed shopping decisions.</w:t>
      </w:r>
      <w:r>
        <w:rPr>
          <w:rStyle w:val="FootnoteReference"/>
        </w:rPr>
        <w:footnoteReference w:id="216"/>
      </w:r>
    </w:p>
    <w:p w:rsidR="006D47C0" w:rsidRDefault="006D47C0" w:rsidP="006D47C0">
      <w:pPr>
        <w:pStyle w:val="BodyText2"/>
        <w:spacing w:after="0" w:line="360" w:lineRule="auto"/>
        <w:rPr>
          <w:bCs/>
          <w:lang w:val="en-US"/>
        </w:rPr>
      </w:pPr>
    </w:p>
    <w:p w:rsidR="006D47C0" w:rsidRDefault="006D47C0" w:rsidP="006D47C0">
      <w:pPr>
        <w:pStyle w:val="BodyText2"/>
        <w:spacing w:after="0" w:line="360" w:lineRule="auto"/>
      </w:pPr>
      <w:r>
        <w:rPr>
          <w:rFonts w:eastAsia="Calibri"/>
          <w:lang w:val="en-US"/>
        </w:rPr>
        <w:tab/>
      </w:r>
      <w:r>
        <w:rPr>
          <w:rFonts w:eastAsia="Calibri"/>
          <w:lang w:val="en-US"/>
        </w:rPr>
        <w:tab/>
        <w:t>RESA contends</w:t>
      </w:r>
      <w:r>
        <w:rPr>
          <w:rFonts w:eastAsia="Calibri"/>
        </w:rPr>
        <w:t xml:space="preserve"> Duquesne has not indicated that any barriers exist to modifying the existing PTC filing schedule.</w:t>
      </w:r>
      <w:r>
        <w:rPr>
          <w:rStyle w:val="FootnoteReference"/>
          <w:rFonts w:eastAsia="Calibri"/>
        </w:rPr>
        <w:footnoteReference w:id="217"/>
      </w:r>
      <w:r>
        <w:rPr>
          <w:rFonts w:eastAsia="Calibri"/>
        </w:rPr>
        <w:t xml:space="preserve">  Furthermore, whether the estimated PTC is “very close” to the final PTC is </w:t>
      </w:r>
      <w:r>
        <w:rPr>
          <w:rFonts w:eastAsia="Calibri"/>
          <w:lang w:val="en-US"/>
        </w:rPr>
        <w:t>irrelevant</w:t>
      </w:r>
      <w:r>
        <w:rPr>
          <w:rFonts w:eastAsia="Calibri"/>
        </w:rPr>
        <w:t xml:space="preserve"> considering that it remains only an estimated PTC that can change.   Given the importance of the PTC to EGSs and customers, it is necessary to file an accurate PTC as far in advance of the effective period as possible.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d.</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Pr="002415BA" w:rsidRDefault="006D47C0" w:rsidP="006D47C0">
      <w:pPr>
        <w:pStyle w:val="BodyText2"/>
        <w:spacing w:after="0" w:line="360" w:lineRule="auto"/>
        <w:rPr>
          <w:lang w:val="en-US"/>
        </w:rPr>
      </w:pPr>
      <w:r>
        <w:rPr>
          <w:lang w:val="en-US"/>
        </w:rPr>
        <w:tab/>
      </w:r>
      <w:r>
        <w:rPr>
          <w:lang w:val="en-US"/>
        </w:rPr>
        <w:tab/>
      </w:r>
      <w:r>
        <w:t>O</w:t>
      </w:r>
      <w:r>
        <w:rPr>
          <w:lang w:val="en-US"/>
        </w:rPr>
        <w:t>SB</w:t>
      </w:r>
      <w:r>
        <w:t>A takes no position on this issue</w:t>
      </w:r>
      <w:r>
        <w:rPr>
          <w:lang w:val="en-US"/>
        </w:rPr>
        <w:t xml:space="preserve"> of the Calculation Date but its response to RESA’s proposal for a $0.005/kWh adder to the Price-to-Compare is stated previously</w:t>
      </w:r>
      <w:r>
        <w:t>.</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tabs>
          <w:tab w:val="left" w:pos="720"/>
        </w:tabs>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DE5741" w:rsidRDefault="006D47C0" w:rsidP="006D47C0">
      <w:pPr>
        <w:pStyle w:val="BriefL3"/>
        <w:numPr>
          <w:ilvl w:val="0"/>
          <w:numId w:val="0"/>
        </w:numPr>
        <w:spacing w:after="0" w:line="360" w:lineRule="auto"/>
        <w:ind w:firstLine="720"/>
        <w:rPr>
          <w:b/>
          <w:szCs w:val="24"/>
        </w:rPr>
      </w:pPr>
      <w:r>
        <w:rPr>
          <w:b/>
          <w:szCs w:val="24"/>
        </w:rPr>
        <w:tab/>
      </w:r>
    </w:p>
    <w:p w:rsidR="006D47C0" w:rsidRDefault="00DE5741" w:rsidP="006D47C0">
      <w:pPr>
        <w:pStyle w:val="BriefL3"/>
        <w:numPr>
          <w:ilvl w:val="0"/>
          <w:numId w:val="0"/>
        </w:numPr>
        <w:spacing w:after="0" w:line="360" w:lineRule="auto"/>
        <w:ind w:firstLine="720"/>
        <w:rPr>
          <w:b/>
          <w:szCs w:val="24"/>
        </w:rPr>
      </w:pPr>
      <w:r>
        <w:rPr>
          <w:b/>
          <w:szCs w:val="24"/>
        </w:rPr>
        <w:tab/>
      </w:r>
      <w:r w:rsidR="006D47C0">
        <w:rPr>
          <w:b/>
          <w:szCs w:val="24"/>
        </w:rPr>
        <w:t>h.</w:t>
      </w:r>
      <w:r w:rsidR="006D47C0">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r>
        <w:rPr>
          <w:szCs w:val="24"/>
          <w:lang w:val="en-US"/>
        </w:rPr>
        <w:tab/>
      </w: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Joint Suppliers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Pr="004E7112" w:rsidRDefault="006D47C0" w:rsidP="006D47C0">
      <w:pPr>
        <w:spacing w:line="360" w:lineRule="auto"/>
        <w:rPr>
          <w:b/>
          <w:color w:val="000000" w:themeColor="text1"/>
        </w:rPr>
      </w:pPr>
      <w:r w:rsidRPr="00662572">
        <w:rPr>
          <w:b/>
        </w:rPr>
        <w:t xml:space="preserve">Disposition </w:t>
      </w:r>
      <w:r w:rsidRPr="002730D4">
        <w:t>-</w:t>
      </w:r>
      <w:r>
        <w:rPr>
          <w:b/>
        </w:rPr>
        <w:t xml:space="preserve"> </w:t>
      </w:r>
      <w:r w:rsidRPr="004E7112">
        <w:rPr>
          <w:b/>
          <w:color w:val="000000" w:themeColor="text1"/>
        </w:rPr>
        <w:t xml:space="preserve">Rate Design – Price to Compare </w:t>
      </w:r>
    </w:p>
    <w:p w:rsidR="006D47C0" w:rsidRPr="004E7112" w:rsidRDefault="006D47C0" w:rsidP="006D47C0">
      <w:pPr>
        <w:spacing w:line="360" w:lineRule="auto"/>
        <w:rPr>
          <w:color w:val="000000" w:themeColor="text1"/>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r w:rsidRPr="004E7112">
        <w:rPr>
          <w:color w:val="000000" w:themeColor="text1"/>
          <w:szCs w:val="24"/>
        </w:rPr>
        <w:tab/>
      </w:r>
      <w:r w:rsidRPr="004E7112">
        <w:rPr>
          <w:color w:val="000000" w:themeColor="text1"/>
          <w:szCs w:val="24"/>
          <w:lang w:val="en-US"/>
        </w:rPr>
        <w:t>I agree with Duquesne Light that it timely informs customers and EGSs with PTC information when it posts the estimated PTC 7 day</w:t>
      </w:r>
      <w:r>
        <w:rPr>
          <w:color w:val="000000" w:themeColor="text1"/>
          <w:szCs w:val="24"/>
          <w:lang w:val="en-US"/>
        </w:rPr>
        <w:t>s</w:t>
      </w:r>
      <w:r w:rsidRPr="004E7112">
        <w:rPr>
          <w:color w:val="000000" w:themeColor="text1"/>
          <w:szCs w:val="24"/>
          <w:lang w:val="en-US"/>
        </w:rPr>
        <w:t xml:space="preserve"> after it determines the winning bids in the RFP and then posts the final PTC 15 days before the rates go into effect.  The Company explained it cannot post the final PTC 45 days in advance of the date when rates go into effect, as proposed by RESA.  The residential PTC should be changed on an annual basis and the </w:t>
      </w:r>
      <w:r>
        <w:rPr>
          <w:color w:val="000000" w:themeColor="text1"/>
          <w:szCs w:val="24"/>
          <w:lang w:val="en-US"/>
        </w:rPr>
        <w:t>S</w:t>
      </w:r>
      <w:r w:rsidRPr="004E7112">
        <w:rPr>
          <w:color w:val="000000" w:themeColor="text1"/>
          <w:szCs w:val="24"/>
          <w:lang w:val="en-US"/>
        </w:rPr>
        <w:t>mall C&amp;I PTC should be updated semi-annually to more closely follow the procurement structure.  I recommend approval of Duquesne Light’s proposal as consistent with Commission procedure.</w:t>
      </w:r>
    </w:p>
    <w:p w:rsidR="006D47C0" w:rsidRDefault="006D47C0" w:rsidP="006D47C0">
      <w:pPr>
        <w:pStyle w:val="BodyText"/>
        <w:spacing w:after="0" w:line="360" w:lineRule="auto"/>
        <w:ind w:left="0" w:firstLine="0"/>
        <w:rPr>
          <w:szCs w:val="24"/>
          <w:lang w:val="en-US"/>
        </w:rPr>
      </w:pPr>
    </w:p>
    <w:p w:rsidR="006D47C0" w:rsidRPr="00765153" w:rsidRDefault="006D47C0" w:rsidP="006D47C0">
      <w:pPr>
        <w:pStyle w:val="BodyText"/>
        <w:spacing w:after="0" w:line="360" w:lineRule="auto"/>
        <w:ind w:left="0" w:firstLine="0"/>
        <w:rPr>
          <w:b/>
          <w:szCs w:val="24"/>
          <w:lang w:val="en-US"/>
        </w:rPr>
      </w:pPr>
      <w:r>
        <w:rPr>
          <w:szCs w:val="24"/>
          <w:lang w:val="en-US"/>
        </w:rPr>
        <w:tab/>
      </w:r>
      <w:r w:rsidRPr="00765153">
        <w:rPr>
          <w:b/>
          <w:szCs w:val="24"/>
          <w:lang w:val="en-US"/>
        </w:rPr>
        <w:t>3.</w:t>
      </w:r>
      <w:r w:rsidRPr="00765153">
        <w:rPr>
          <w:b/>
          <w:szCs w:val="24"/>
          <w:lang w:val="en-US"/>
        </w:rPr>
        <w:tab/>
        <w:t>Non-Bypassable Charge to Recover PJM Charges</w:t>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firstLine="720"/>
        <w:rPr>
          <w:b/>
          <w:szCs w:val="24"/>
        </w:rPr>
      </w:pPr>
      <w:r>
        <w:rPr>
          <w:b/>
          <w:szCs w:val="24"/>
        </w:rPr>
        <w:t>a.</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 xml:space="preserve">Various parties proposed that Duquesne Light recover transmission and transmission-related charges for all customers, including shopping customers, through a non-bypassable charge.  </w:t>
      </w:r>
    </w:p>
    <w:p w:rsidR="006D47C0" w:rsidRPr="00645854"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Duquesne Light recovers distribution charges from all customers.  However, both generation </w:t>
      </w:r>
      <w:r>
        <w:rPr>
          <w:u w:val="single"/>
        </w:rPr>
        <w:t>and</w:t>
      </w:r>
      <w:r>
        <w:t xml:space="preserve"> transmission charges are recovered by the entity providing the </w:t>
      </w:r>
      <w:r>
        <w:rPr>
          <w:u w:val="single"/>
        </w:rPr>
        <w:t>generation</w:t>
      </w:r>
      <w:r>
        <w:t xml:space="preserve"> service.  Duquesne Light St. No. 4-RJ, p. 4.  Consistent with the Commission’s recent order in the FE Companies default service proceeding and in the </w:t>
      </w:r>
      <w:r w:rsidRPr="0028280D">
        <w:rPr>
          <w:i/>
        </w:rPr>
        <w:t xml:space="preserve">PECO </w:t>
      </w:r>
      <w:r>
        <w:rPr>
          <w:i/>
          <w:lang w:val="en-US"/>
        </w:rPr>
        <w:t>B</w:t>
      </w:r>
      <w:r w:rsidRPr="0028280D">
        <w:rPr>
          <w:i/>
        </w:rPr>
        <w:t xml:space="preserve">inding </w:t>
      </w:r>
      <w:r>
        <w:rPr>
          <w:i/>
          <w:lang w:val="en-US"/>
        </w:rPr>
        <w:t>P</w:t>
      </w:r>
      <w:r w:rsidRPr="0028280D">
        <w:rPr>
          <w:i/>
        </w:rPr>
        <w:t>oll</w:t>
      </w:r>
      <w:r>
        <w:t xml:space="preserve">, </w:t>
      </w:r>
      <w:r>
        <w:rPr>
          <w:lang w:val="en-US"/>
        </w:rPr>
        <w:t xml:space="preserve">Duquesne Light argues </w:t>
      </w:r>
      <w:r>
        <w:t>the Commission should deny the parties’ attempts to have Duquesne Light recover transmission</w:t>
      </w:r>
      <w:r>
        <w:rPr>
          <w:lang w:val="en-US"/>
        </w:rPr>
        <w:t>-</w:t>
      </w:r>
      <w:r>
        <w:t xml:space="preserve">related costs for shopping customers.  </w:t>
      </w:r>
    </w:p>
    <w:p w:rsidR="006D47C0" w:rsidRDefault="006D47C0" w:rsidP="006D47C0">
      <w:pPr>
        <w:pStyle w:val="BodyText2"/>
        <w:spacing w:after="0" w:line="360" w:lineRule="auto"/>
        <w:rPr>
          <w:lang w:val="en-US"/>
        </w:rPr>
      </w:pPr>
    </w:p>
    <w:p w:rsidR="006D47C0" w:rsidRPr="00D5711E" w:rsidRDefault="006D47C0" w:rsidP="006D47C0">
      <w:pPr>
        <w:pStyle w:val="BodyText2"/>
        <w:spacing w:after="0" w:line="360" w:lineRule="auto"/>
        <w:rPr>
          <w:lang w:val="en-US"/>
        </w:rPr>
      </w:pPr>
      <w:r>
        <w:rPr>
          <w:lang w:val="en-US"/>
        </w:rPr>
        <w:tab/>
      </w:r>
      <w:r>
        <w:rPr>
          <w:lang w:val="en-US"/>
        </w:rPr>
        <w:tab/>
        <w:t xml:space="preserve">The Company argues </w:t>
      </w:r>
      <w:r>
        <w:t>Constellation’s proposal is contrary to Commission precedent and should be denied</w:t>
      </w:r>
      <w:r>
        <w:rPr>
          <w:lang w:val="en-US"/>
        </w:rPr>
        <w:t xml:space="preserve"> because “</w:t>
      </w:r>
      <w:r>
        <w:t>NITS costs are directly related to the transmission service offered to customers and should continue to be collected by the EGS instead of being collected for all customers through the DSS Rider, as proposed by the Companies.</w:t>
      </w:r>
      <w:r>
        <w:rPr>
          <w:lang w:val="en-US"/>
        </w:rPr>
        <w:t>”</w:t>
      </w:r>
    </w:p>
    <w:p w:rsidR="006D47C0" w:rsidRDefault="006D47C0" w:rsidP="006D47C0">
      <w:pPr>
        <w:pStyle w:val="BodyText2"/>
        <w:spacing w:after="0" w:line="360" w:lineRule="auto"/>
        <w:rPr>
          <w:lang w:val="en-US"/>
        </w:rPr>
      </w:pPr>
      <w:r>
        <w:rPr>
          <w:i/>
        </w:rPr>
        <w:t>FE Order</w:t>
      </w:r>
      <w:r>
        <w:t xml:space="preserve"> at 83.</w:t>
      </w:r>
      <w:r>
        <w:rPr>
          <w:lang w:val="en-US"/>
        </w:rPr>
        <w:t xml:space="preserve">  Similarly, Duquesne Light points out that, </w:t>
      </w:r>
      <w:r>
        <w:t xml:space="preserve">in the </w:t>
      </w:r>
      <w:r>
        <w:rPr>
          <w:i/>
        </w:rPr>
        <w:t>PECO Binding Poll</w:t>
      </w:r>
      <w:r>
        <w:t xml:space="preserve">, the Commission rejected parties’ arguments that PECO should recover NITS charges for shopping customers.  </w:t>
      </w:r>
      <w:r>
        <w:rPr>
          <w:i/>
        </w:rPr>
        <w:t>PECO Binding Poll</w:t>
      </w:r>
      <w:r>
        <w:t xml:space="preserve">, Issue </w:t>
      </w:r>
      <w:r>
        <w:rPr>
          <w:lang w:val="en-US"/>
        </w:rPr>
        <w:t xml:space="preserve">No. </w:t>
      </w:r>
      <w:r>
        <w:t>7.</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Duquesne Light contends </w:t>
      </w:r>
      <w:r>
        <w:t>whether a charge is regulated or administratively determined or whether the charge is competitively determined</w:t>
      </w:r>
      <w:r>
        <w:rPr>
          <w:lang w:val="en-US"/>
        </w:rPr>
        <w:t xml:space="preserve"> is irrelevant</w:t>
      </w:r>
      <w:r>
        <w:t>.  The relevant distinction is whether the charge is a distribution charge, a generation charge or a transmission charge.  If the charge is a generation or transmission charge, it is recovered by the entity providing the electricity supply service.  Duquesne Light St. No. 4-RJ at p. 5.  All of the charges in question</w:t>
      </w:r>
      <w:r>
        <w:rPr>
          <w:lang w:val="en-US"/>
        </w:rPr>
        <w:t xml:space="preserve"> (</w:t>
      </w:r>
      <w:r>
        <w:t>PJM RTEP, expansion costs, generation deactivation and ELR costs</w:t>
      </w:r>
      <w:r>
        <w:rPr>
          <w:lang w:val="en-US"/>
        </w:rPr>
        <w:t>)</w:t>
      </w:r>
      <w:r>
        <w:t xml:space="preserve"> are generation or transmission charges.  Therefore, Duquesne Light </w:t>
      </w:r>
      <w:r>
        <w:rPr>
          <w:lang w:val="en-US"/>
        </w:rPr>
        <w:t>appropriately</w:t>
      </w:r>
      <w:r>
        <w:t xml:space="preserve"> recover</w:t>
      </w:r>
      <w:r>
        <w:rPr>
          <w:lang w:val="en-US"/>
        </w:rPr>
        <w:t>s</w:t>
      </w:r>
      <w:r>
        <w:t xml:space="preserve"> these costs only from default service customers, and for EGSs to recover these costs from shopping customers.</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Moreover, Duquesne Light</w:t>
      </w:r>
      <w:r>
        <w:rPr>
          <w:lang w:val="en-US"/>
        </w:rPr>
        <w:t xml:space="preserve"> contends it</w:t>
      </w:r>
      <w:r>
        <w:t xml:space="preserve">s position is fully consistent with the Commission’s holdings in the </w:t>
      </w:r>
      <w:r>
        <w:rPr>
          <w:i/>
        </w:rPr>
        <w:t>FE Order</w:t>
      </w:r>
      <w:r>
        <w:t xml:space="preserve"> and the </w:t>
      </w:r>
      <w:r>
        <w:rPr>
          <w:i/>
        </w:rPr>
        <w:t>PECO Binding Poll</w:t>
      </w:r>
      <w:r>
        <w:t xml:space="preserve">.  See </w:t>
      </w:r>
      <w:r>
        <w:rPr>
          <w:i/>
        </w:rPr>
        <w:t>FE Order</w:t>
      </w:r>
      <w:r>
        <w:t xml:space="preserve"> at 81; </w:t>
      </w:r>
      <w:r>
        <w:rPr>
          <w:i/>
        </w:rPr>
        <w:t>PECO Binding Poll</w:t>
      </w:r>
      <w:r>
        <w:t xml:space="preserve">, Issue </w:t>
      </w:r>
      <w:r>
        <w:rPr>
          <w:lang w:val="en-US"/>
        </w:rPr>
        <w:t xml:space="preserve">No. </w:t>
      </w:r>
      <w:r>
        <w:t xml:space="preserve">7.  For these reasons, the </w:t>
      </w:r>
      <w:r>
        <w:rPr>
          <w:lang w:val="en-US"/>
        </w:rPr>
        <w:t xml:space="preserve">Company argues the </w:t>
      </w:r>
      <w:r>
        <w:t>parties’ proposals</w:t>
      </w:r>
      <w:r>
        <w:rPr>
          <w:lang w:val="en-US"/>
        </w:rPr>
        <w:t xml:space="preserve"> – </w:t>
      </w:r>
      <w:r>
        <w:t>to require Duquesne Light to recover PJM charges for shopping customers through a non-bypassable charge –</w:t>
      </w:r>
      <w:r>
        <w:rPr>
          <w:lang w:val="en-US"/>
        </w:rPr>
        <w:t xml:space="preserve"> </w:t>
      </w:r>
      <w:r>
        <w:t>should be denied.</w:t>
      </w:r>
    </w:p>
    <w:p w:rsidR="006D47C0" w:rsidRDefault="006D47C0" w:rsidP="006D47C0">
      <w:pPr>
        <w:pStyle w:val="BodyText"/>
        <w:spacing w:after="0" w:line="360" w:lineRule="auto"/>
        <w:ind w:left="0" w:firstLine="0"/>
        <w:rPr>
          <w:szCs w:val="24"/>
          <w:lang w:val="en-US"/>
        </w:rPr>
      </w:pPr>
    </w:p>
    <w:p w:rsidR="002429BF" w:rsidRDefault="002429BF"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ab/>
        <w:t>b.</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riefL3"/>
        <w:numPr>
          <w:ilvl w:val="0"/>
          <w:numId w:val="0"/>
        </w:numPr>
        <w:spacing w:after="0" w:line="360" w:lineRule="auto"/>
        <w:ind w:left="1440" w:hanging="720"/>
        <w:rPr>
          <w:b/>
          <w:szCs w:val="24"/>
        </w:rPr>
      </w:pPr>
      <w:r>
        <w:rPr>
          <w:b/>
          <w:szCs w:val="24"/>
        </w:rPr>
        <w:tab/>
        <w:t>c.</w:t>
      </w:r>
      <w:r>
        <w:rPr>
          <w:b/>
          <w:szCs w:val="24"/>
        </w:rPr>
        <w:tab/>
        <w:t>RESA’s Position</w:t>
      </w:r>
    </w:p>
    <w:p w:rsidR="006D47C0" w:rsidRDefault="006D47C0" w:rsidP="006D47C0">
      <w:pPr>
        <w:pStyle w:val="BodyText"/>
        <w:spacing w:after="0" w:line="360" w:lineRule="auto"/>
        <w:ind w:left="0" w:firstLine="0"/>
        <w:rPr>
          <w:szCs w:val="24"/>
          <w:lang w:val="en-US"/>
        </w:rPr>
      </w:pPr>
    </w:p>
    <w:p w:rsidR="0020000E" w:rsidRDefault="006D47C0" w:rsidP="006D47C0">
      <w:pPr>
        <w:pStyle w:val="BodyText2"/>
        <w:spacing w:after="0" w:line="360" w:lineRule="auto"/>
        <w:rPr>
          <w:bCs/>
          <w:lang w:val="en-US"/>
        </w:rPr>
      </w:pPr>
      <w:r>
        <w:rPr>
          <w:lang w:val="en-US"/>
        </w:rPr>
        <w:tab/>
      </w:r>
      <w:r>
        <w:rPr>
          <w:lang w:val="en-US"/>
        </w:rPr>
        <w:tab/>
      </w:r>
      <w:r>
        <w:t xml:space="preserve">RESA recommends that Duquesne recover the following transmission related charges from all customers via a </w:t>
      </w:r>
      <w:r>
        <w:rPr>
          <w:bCs/>
        </w:rPr>
        <w:t>competitively-neutral, non-bypassable charge:</w:t>
      </w:r>
    </w:p>
    <w:p w:rsidR="006D47C0" w:rsidRDefault="006D47C0" w:rsidP="0020000E">
      <w:pPr>
        <w:pStyle w:val="BodyText2"/>
        <w:spacing w:after="0" w:line="240" w:lineRule="auto"/>
        <w:rPr>
          <w:bCs/>
        </w:rPr>
      </w:pPr>
      <w:r>
        <w:rPr>
          <w:bCs/>
        </w:rPr>
        <w:t xml:space="preserve"> </w:t>
      </w:r>
    </w:p>
    <w:p w:rsidR="006D47C0" w:rsidRDefault="006D47C0" w:rsidP="0020000E">
      <w:pPr>
        <w:numPr>
          <w:ilvl w:val="0"/>
          <w:numId w:val="11"/>
        </w:numPr>
        <w:adjustRightInd w:val="0"/>
        <w:ind w:left="2160" w:hanging="720"/>
      </w:pPr>
      <w:r>
        <w:t>Network Integration Transmission Services (“NITS”);</w:t>
      </w:r>
    </w:p>
    <w:p w:rsidR="006D47C0" w:rsidRDefault="006D47C0" w:rsidP="006D47C0">
      <w:pPr>
        <w:adjustRightInd w:val="0"/>
        <w:ind w:left="2160"/>
      </w:pPr>
    </w:p>
    <w:p w:rsidR="006D47C0" w:rsidRDefault="006D47C0" w:rsidP="006D47C0">
      <w:pPr>
        <w:numPr>
          <w:ilvl w:val="0"/>
          <w:numId w:val="11"/>
        </w:numPr>
        <w:adjustRightInd w:val="0"/>
        <w:ind w:left="2160" w:hanging="720"/>
      </w:pPr>
      <w:r>
        <w:t>Regional Transmission Expansion Plan costs (“RTEP”);</w:t>
      </w:r>
    </w:p>
    <w:p w:rsidR="006D47C0" w:rsidRDefault="006D47C0" w:rsidP="006D47C0">
      <w:pPr>
        <w:adjustRightInd w:val="0"/>
        <w:ind w:left="2160"/>
      </w:pPr>
    </w:p>
    <w:p w:rsidR="006D47C0" w:rsidRDefault="006D47C0" w:rsidP="006D47C0">
      <w:pPr>
        <w:numPr>
          <w:ilvl w:val="0"/>
          <w:numId w:val="11"/>
        </w:numPr>
        <w:adjustRightInd w:val="0"/>
        <w:ind w:left="2160" w:hanging="720"/>
      </w:pPr>
      <w:r>
        <w:t xml:space="preserve">Expansion costs; </w:t>
      </w:r>
    </w:p>
    <w:p w:rsidR="006D47C0" w:rsidRDefault="006D47C0" w:rsidP="006D47C0">
      <w:pPr>
        <w:adjustRightInd w:val="0"/>
        <w:ind w:left="2160"/>
      </w:pPr>
    </w:p>
    <w:p w:rsidR="006D47C0" w:rsidRDefault="006D47C0" w:rsidP="006D47C0">
      <w:pPr>
        <w:numPr>
          <w:ilvl w:val="0"/>
          <w:numId w:val="11"/>
        </w:numPr>
        <w:adjustRightInd w:val="0"/>
        <w:ind w:left="2160" w:hanging="720"/>
      </w:pPr>
      <w:r>
        <w:t>Generation Deactivation charges; and</w:t>
      </w:r>
    </w:p>
    <w:p w:rsidR="006D47C0" w:rsidRDefault="006D47C0" w:rsidP="006D47C0">
      <w:pPr>
        <w:adjustRightInd w:val="0"/>
        <w:ind w:left="2160"/>
      </w:pPr>
    </w:p>
    <w:p w:rsidR="006D47C0" w:rsidRDefault="006D47C0" w:rsidP="006D47C0">
      <w:pPr>
        <w:numPr>
          <w:ilvl w:val="0"/>
          <w:numId w:val="11"/>
        </w:numPr>
        <w:tabs>
          <w:tab w:val="left" w:pos="2160"/>
        </w:tabs>
        <w:adjustRightInd w:val="0"/>
        <w:ind w:left="2160" w:hanging="720"/>
        <w:rPr>
          <w:bCs/>
        </w:rPr>
      </w:pPr>
      <w:r>
        <w:t>All charges that result from PJM' s implementation of its revised Economic Load Response program in compliance with FERC Order No. 745 (“New ELR Charges”).</w:t>
      </w:r>
      <w:r>
        <w:rPr>
          <w:rStyle w:val="FootnoteReference"/>
        </w:rPr>
        <w:footnoteReference w:id="218"/>
      </w:r>
    </w:p>
    <w:p w:rsidR="006D47C0" w:rsidRDefault="006D47C0" w:rsidP="006D47C0">
      <w:pPr>
        <w:tabs>
          <w:tab w:val="left" w:pos="1620"/>
        </w:tabs>
        <w:adjustRightInd w:val="0"/>
        <w:ind w:left="1080"/>
        <w:rPr>
          <w:bCs/>
        </w:rPr>
      </w:pPr>
      <w:r>
        <w:rPr>
          <w:bCs/>
        </w:rPr>
        <w:tab/>
      </w:r>
    </w:p>
    <w:p w:rsidR="006D47C0" w:rsidRDefault="006D47C0" w:rsidP="006D47C0">
      <w:pPr>
        <w:pStyle w:val="BodyText2"/>
        <w:tabs>
          <w:tab w:val="left" w:pos="1620"/>
        </w:tabs>
        <w:spacing w:after="0" w:line="360" w:lineRule="auto"/>
        <w:rPr>
          <w:bCs/>
          <w:lang w:val="en-US"/>
        </w:rPr>
      </w:pPr>
    </w:p>
    <w:p w:rsidR="006D47C0" w:rsidRDefault="006D47C0" w:rsidP="006D47C0">
      <w:pPr>
        <w:pStyle w:val="BodyText2"/>
        <w:tabs>
          <w:tab w:val="left" w:pos="1440"/>
        </w:tabs>
        <w:spacing w:after="0" w:line="360" w:lineRule="auto"/>
        <w:rPr>
          <w:lang w:val="en-US"/>
        </w:rPr>
      </w:pPr>
      <w:r>
        <w:rPr>
          <w:bCs/>
          <w:lang w:val="en-US"/>
        </w:rPr>
        <w:tab/>
        <w:t xml:space="preserve">RESA argues that </w:t>
      </w:r>
      <w:r>
        <w:rPr>
          <w:bCs/>
        </w:rPr>
        <w:t>NITS, RTEP, and Expansion costs (collectively, “Transmission Service Charges”) are essentially embedded, cost-of-service rates that are imposed based on an EDC’s total native load, regardless of the source of the generation used to service that load.</w:t>
      </w:r>
      <w:r>
        <w:rPr>
          <w:rStyle w:val="FootnoteReference"/>
          <w:bCs/>
        </w:rPr>
        <w:footnoteReference w:id="219"/>
      </w:r>
      <w:r>
        <w:rPr>
          <w:bCs/>
        </w:rPr>
        <w:t xml:space="preserve">  </w:t>
      </w:r>
      <w:r>
        <w:rPr>
          <w:lang w:val="en-US"/>
        </w:rPr>
        <w:t>It contends that</w:t>
      </w:r>
      <w:r>
        <w:t xml:space="preserve"> Duquesne’s recovery of these costs exclusively for default service customers creates a competitive advantage for default service over EGS-provided generation service and distorts the ability of consumers to compare the default service rate with prices offered by EGSs.</w:t>
      </w:r>
    </w:p>
    <w:p w:rsidR="006D47C0" w:rsidRPr="00287174" w:rsidRDefault="006D47C0" w:rsidP="006D47C0">
      <w:pPr>
        <w:pStyle w:val="BodyText2"/>
        <w:tabs>
          <w:tab w:val="left" w:pos="1440"/>
        </w:tabs>
        <w:spacing w:after="0" w:line="360" w:lineRule="auto"/>
        <w:rPr>
          <w:lang w:val="en-US"/>
        </w:rPr>
      </w:pPr>
    </w:p>
    <w:p w:rsidR="006D47C0" w:rsidRDefault="006D47C0" w:rsidP="006D47C0">
      <w:pPr>
        <w:pStyle w:val="BodyText2"/>
        <w:tabs>
          <w:tab w:val="left" w:pos="1620"/>
        </w:tabs>
        <w:spacing w:after="0" w:line="360" w:lineRule="auto"/>
        <w:rPr>
          <w:bCs/>
        </w:rPr>
      </w:pPr>
      <w:r>
        <w:rPr>
          <w:bCs/>
          <w:lang w:val="en-US"/>
        </w:rPr>
        <w:tab/>
      </w:r>
      <w:r>
        <w:rPr>
          <w:bCs/>
        </w:rPr>
        <w:t>While Duquesne assumes responsibility for these costs for default service customers and recovers them through its TSC, EGSs are left to bear the risks of these unpredictable costs for their customers.</w:t>
      </w:r>
      <w:r>
        <w:rPr>
          <w:rStyle w:val="FootnoteReference"/>
          <w:bCs/>
        </w:rPr>
        <w:footnoteReference w:id="220"/>
      </w:r>
      <w:r>
        <w:rPr>
          <w:bCs/>
        </w:rPr>
        <w:t xml:space="preserve">  Furthermore, these charges are assessed based on the </w:t>
      </w:r>
      <w:r>
        <w:rPr>
          <w:bCs/>
          <w:i/>
        </w:rPr>
        <w:t>total</w:t>
      </w:r>
      <w:r>
        <w:rPr>
          <w:bCs/>
        </w:rPr>
        <w:t xml:space="preserve"> EDC load.</w:t>
      </w:r>
      <w:r>
        <w:rPr>
          <w:rStyle w:val="FootnoteReference"/>
          <w:bCs/>
        </w:rPr>
        <w:footnoteReference w:id="221"/>
      </w:r>
      <w:r>
        <w:rPr>
          <w:bCs/>
        </w:rPr>
        <w:t xml:space="preserve">  Implementing RESA’s proposal to require Duquesne to assume these costs and recover them through a competitively-neutral, non-bypassable charge will assure a level playing field for all suppliers and provide appropriate price signals for customers.</w:t>
      </w:r>
      <w:r>
        <w:rPr>
          <w:rStyle w:val="FootnoteReference"/>
          <w:bCs/>
        </w:rPr>
        <w:footnoteReference w:id="222"/>
      </w:r>
    </w:p>
    <w:p w:rsidR="006D47C0" w:rsidRDefault="006D47C0" w:rsidP="006D47C0">
      <w:pPr>
        <w:pStyle w:val="BodyText2"/>
        <w:tabs>
          <w:tab w:val="left" w:pos="1620"/>
        </w:tabs>
        <w:spacing w:after="0" w:line="360" w:lineRule="auto"/>
        <w:rPr>
          <w:lang w:val="en-US"/>
        </w:rPr>
      </w:pPr>
    </w:p>
    <w:p w:rsidR="006D47C0" w:rsidRDefault="006D47C0" w:rsidP="006D47C0">
      <w:pPr>
        <w:pStyle w:val="BodyText2"/>
        <w:tabs>
          <w:tab w:val="left" w:pos="1620"/>
        </w:tabs>
        <w:spacing w:after="0" w:line="360" w:lineRule="auto"/>
        <w:rPr>
          <w:lang w:val="en-US"/>
        </w:rPr>
      </w:pPr>
      <w:r>
        <w:rPr>
          <w:lang w:val="en-US"/>
        </w:rPr>
        <w:tab/>
      </w:r>
      <w:r>
        <w:t>To remedy the negative effects of these situations, RESA recommends that Duquesne assume responsibility for all of these charges for all customers (as opposed to merely for default service customers) and recover the costs through a competitively-neutral, non-bypassable charge to assure a level playing field for all suppliers and provide appropriate price signals for customers.  This could be accomplished through the creation of a non-market based charges rider (“NMB Rider”).</w:t>
      </w:r>
      <w:r>
        <w:rPr>
          <w:rStyle w:val="FootnoteReference"/>
        </w:rPr>
        <w:footnoteReference w:id="223"/>
      </w:r>
      <w:r>
        <w:t xml:space="preserve">  RESA recognizes that a transitional period may be appropriate to ensure that customers are not subject to a “double payment.”</w:t>
      </w:r>
      <w:r>
        <w:rPr>
          <w:rStyle w:val="FootnoteReference"/>
        </w:rPr>
        <w:footnoteReference w:id="224"/>
      </w:r>
      <w:r>
        <w:t xml:space="preserve">  Potential one-time transitional issues that may arise should not be used to reject RESA’s proposal, especially since such situations (to the extent they even exist) could be easily addressed on a case-by-case basis.</w:t>
      </w:r>
    </w:p>
    <w:p w:rsidR="006D47C0" w:rsidRDefault="006D47C0" w:rsidP="006D47C0">
      <w:pPr>
        <w:pStyle w:val="BodyText2"/>
        <w:tabs>
          <w:tab w:val="left" w:pos="1620"/>
        </w:tabs>
        <w:spacing w:after="0" w:line="360" w:lineRule="auto"/>
      </w:pPr>
      <w:r>
        <w:rPr>
          <w:lang w:val="en-US"/>
        </w:rPr>
        <w:tab/>
      </w:r>
      <w:r>
        <w:rPr>
          <w:lang w:val="en-US"/>
        </w:rPr>
        <w:tab/>
      </w:r>
      <w:r>
        <w:rPr>
          <w:lang w:val="en-US"/>
        </w:rPr>
        <w:tab/>
      </w:r>
    </w:p>
    <w:p w:rsidR="006D47C0" w:rsidRDefault="006D47C0" w:rsidP="006D47C0">
      <w:pPr>
        <w:adjustRightInd w:val="0"/>
        <w:spacing w:line="360" w:lineRule="auto"/>
        <w:ind w:firstLine="720"/>
        <w:rPr>
          <w:sz w:val="23"/>
          <w:szCs w:val="23"/>
        </w:rPr>
      </w:pPr>
      <w:r>
        <w:tab/>
        <w:t>Accordingly, because the PJM charges specifically related to FERC Order 745 are non-market based, they should be recovered from all load on a competitively neutral basis for the same reason RTEP, Expansion and Generation Deactivation costs should.  RESA requests that the Commission adopt its proposal and require Duquesne to implement an NMB Rider as explained above.</w:t>
      </w:r>
    </w:p>
    <w:p w:rsidR="006D47C0" w:rsidRDefault="006D47C0" w:rsidP="006D47C0">
      <w:pPr>
        <w:pStyle w:val="BodyText"/>
        <w:spacing w:after="0" w:line="360" w:lineRule="auto"/>
        <w:ind w:left="0" w:firstLine="0"/>
        <w:rPr>
          <w:szCs w:val="24"/>
          <w:lang w:val="en-US"/>
        </w:rPr>
      </w:pPr>
    </w:p>
    <w:p w:rsidR="006D2651" w:rsidRDefault="006D2651" w:rsidP="006D47C0">
      <w:pPr>
        <w:pStyle w:val="BodyText"/>
        <w:spacing w:after="0" w:line="360" w:lineRule="auto"/>
        <w:ind w:left="0" w:firstLine="0"/>
        <w:rPr>
          <w:szCs w:val="24"/>
          <w:lang w:val="en-US"/>
        </w:rPr>
      </w:pPr>
    </w:p>
    <w:p w:rsidR="006D2651" w:rsidRDefault="006D2651" w:rsidP="006D47C0">
      <w:pPr>
        <w:pStyle w:val="BodyText"/>
        <w:spacing w:after="0" w:line="360" w:lineRule="auto"/>
        <w:ind w:left="0" w:firstLine="0"/>
        <w:rPr>
          <w:szCs w:val="24"/>
          <w:lang w:val="en-US"/>
        </w:rPr>
      </w:pPr>
    </w:p>
    <w:p w:rsidR="006D2651" w:rsidRDefault="006D2651"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d.</w:t>
      </w:r>
      <w:r>
        <w:rPr>
          <w:b/>
          <w:szCs w:val="24"/>
        </w:rPr>
        <w:tab/>
        <w:t>OSBA’s Position</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OSBA does not oppose recovering non-market based transmission costs such as Generation Deactivation charges for </w:t>
      </w:r>
      <w:r w:rsidRPr="00661BBE">
        <w:t>all</w:t>
      </w:r>
      <w:r>
        <w:t xml:space="preserve"> customers in a non-market based (“NMB”) rider.  However, the NMB Rider could effectively end up “double billing” current shopping customers for non-market based transmission costs (until their existing contracts expire).  Therefore, OSBA recommends that any implementation of the NMB Rider be delayed for a period of time, perhaps one year, in order to minimize the possibility that current shopping customers are double billed.</w:t>
      </w:r>
      <w:r>
        <w:rPr>
          <w:rStyle w:val="FootnoteReference"/>
        </w:rPr>
        <w:footnoteReference w:id="225"/>
      </w:r>
    </w:p>
    <w:p w:rsidR="006D47C0" w:rsidRDefault="006D47C0" w:rsidP="006D47C0">
      <w:pPr>
        <w:pStyle w:val="BodyText2"/>
        <w:spacing w:after="0" w:line="360" w:lineRule="auto"/>
        <w:rPr>
          <w:lang w:val="en-US"/>
        </w:rPr>
      </w:pPr>
    </w:p>
    <w:p w:rsidR="006D47C0" w:rsidRPr="008B295E" w:rsidRDefault="006D47C0" w:rsidP="006D47C0">
      <w:pPr>
        <w:pStyle w:val="BodyText2"/>
        <w:spacing w:after="0" w:line="360" w:lineRule="auto"/>
      </w:pPr>
      <w:r>
        <w:rPr>
          <w:lang w:val="en-US"/>
        </w:rPr>
        <w:tab/>
      </w:r>
      <w:r>
        <w:rPr>
          <w:lang w:val="en-US"/>
        </w:rPr>
        <w:tab/>
      </w:r>
      <w:r w:rsidRPr="008B295E">
        <w:t xml:space="preserve">OSBA opposes Constellation’s proposal to remove the TSC from the PTC.  Constellation’s proposal </w:t>
      </w:r>
      <w:r w:rsidRPr="00D937B7">
        <w:t xml:space="preserve">would relieve retail suppliers of responsibility for known transmission costs (e.g., NITS service).  Relieving retail suppliers of such cost responsibility will not produce any commensurate supply price benefits for consumers (since no risk premiums should be attached to such costs).  Furthermore, removing all transmission costs from the </w:t>
      </w:r>
      <w:r>
        <w:t>PTC</w:t>
      </w:r>
      <w:r w:rsidRPr="00D937B7">
        <w:t xml:space="preserve"> would deprive shopping customers of the opportunity to save money on the transmission portion of their bills.</w:t>
      </w:r>
      <w:r>
        <w:rPr>
          <w:rStyle w:val="FootnoteReference"/>
        </w:rPr>
        <w:footnoteReference w:id="226"/>
      </w:r>
    </w:p>
    <w:p w:rsidR="006D47C0" w:rsidRDefault="006D47C0" w:rsidP="006D47C0">
      <w:pPr>
        <w:pStyle w:val="BodyText"/>
        <w:spacing w:after="0" w:line="360" w:lineRule="auto"/>
        <w:ind w:left="0" w:firstLine="0"/>
        <w:rPr>
          <w:szCs w:val="24"/>
          <w:lang w:val="en-US"/>
        </w:rPr>
      </w:pPr>
      <w:r>
        <w:rPr>
          <w:szCs w:val="24"/>
          <w:lang w:val="en-US"/>
        </w:rPr>
        <w:tab/>
      </w:r>
    </w:p>
    <w:p w:rsidR="006D47C0" w:rsidRDefault="006D47C0" w:rsidP="006D47C0">
      <w:pPr>
        <w:pStyle w:val="BriefL3"/>
        <w:numPr>
          <w:ilvl w:val="0"/>
          <w:numId w:val="0"/>
        </w:numPr>
        <w:spacing w:after="0" w:line="360" w:lineRule="auto"/>
        <w:ind w:firstLine="720"/>
        <w:rPr>
          <w:b/>
          <w:szCs w:val="24"/>
        </w:rPr>
      </w:pPr>
      <w:r>
        <w:rPr>
          <w:b/>
          <w:szCs w:val="24"/>
        </w:rPr>
        <w:tab/>
        <w:t>e.</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f.</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riefL3"/>
        <w:numPr>
          <w:ilvl w:val="0"/>
          <w:numId w:val="0"/>
        </w:numPr>
        <w:spacing w:after="0" w:line="360" w:lineRule="auto"/>
        <w:ind w:firstLine="2880"/>
        <w:rPr>
          <w:b/>
          <w:szCs w:val="24"/>
        </w:rPr>
      </w:pPr>
    </w:p>
    <w:p w:rsidR="00383E42" w:rsidRDefault="00383E42" w:rsidP="006D47C0">
      <w:pPr>
        <w:pStyle w:val="BriefL3"/>
        <w:numPr>
          <w:ilvl w:val="0"/>
          <w:numId w:val="0"/>
        </w:numPr>
        <w:spacing w:after="0" w:line="360" w:lineRule="auto"/>
        <w:ind w:firstLine="2880"/>
        <w:rPr>
          <w:b/>
          <w:szCs w:val="24"/>
        </w:rPr>
      </w:pPr>
    </w:p>
    <w:p w:rsidR="006D47C0" w:rsidRDefault="006D47C0" w:rsidP="006D47C0">
      <w:pPr>
        <w:pStyle w:val="BriefL3"/>
        <w:numPr>
          <w:ilvl w:val="0"/>
          <w:numId w:val="0"/>
        </w:numPr>
        <w:spacing w:after="0" w:line="360" w:lineRule="auto"/>
        <w:ind w:firstLine="720"/>
        <w:rPr>
          <w:b/>
          <w:szCs w:val="24"/>
        </w:rPr>
      </w:pPr>
      <w:r>
        <w:rPr>
          <w:b/>
          <w:szCs w:val="24"/>
        </w:rPr>
        <w:tab/>
        <w:t>g.</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Duquesne’s Large C&amp;I default service customers pay for generation and transmission-related services through the Day-Ahead Hourly Priced Service and Transmission Service Charge (“TSC”) riders, respectively.  Supplement No. 10 to Tariff – Electric Pa. P.U.C. No. 24, pp. 89, 113.  Duquesne does not offer a fixed-price rate to Large C&amp;I customers for generation or transmission-related service.  While Duquesne is not proposing any modifications to this current methodology, CNE proposes to significantly alter the market developments that have occurred since the passage of the Competition Act.  Contrary to the load-following structure developed through the Competition Act and the Commission’s regulations, DII argues CNE inappropriately requests that Duquesne be required to convert its TSC into a non-bypassable rider through which all customers, both shopping and non-shopping, would collect the following charges:  Network Integration Transmission Service (“NITS”) costs, Regional Transmission Expansion Plan (“RTEP”) costs, Transmission Expansion costs, Generation Deactivation costs, and Economic Load Response (“ELR”) costs.  Direct Testimony of Stephen E. Bennett on behalf of CNE (hereinafter “CNE St. No. 1”), p. 30.  In addition, DII notes RESA similarly proposed such a non-bypassable collection of transmission costs, excluding NITS costs.</w:t>
      </w:r>
      <w:r>
        <w:rPr>
          <w:rStyle w:val="FootnoteReference"/>
        </w:rPr>
        <w:footnoteReference w:id="227"/>
      </w:r>
      <w:r>
        <w:t xml:space="preserve">  Direct Testimony of Aundrea Williams on behalf of RESA (hereinafter, “RESA St. No. 1, p. 4”).</w:t>
      </w:r>
    </w:p>
    <w:p w:rsidR="006D47C0" w:rsidRDefault="006D47C0" w:rsidP="006D47C0">
      <w:pPr>
        <w:spacing w:line="360" w:lineRule="auto"/>
        <w:ind w:firstLine="720"/>
      </w:pPr>
      <w:bookmarkStart w:id="20" w:name="_Toc327770538"/>
    </w:p>
    <w:p w:rsidR="006D47C0" w:rsidRDefault="006D47C0" w:rsidP="006D47C0">
      <w:pPr>
        <w:spacing w:line="360" w:lineRule="auto"/>
        <w:ind w:firstLine="720"/>
      </w:pPr>
      <w:r>
        <w:tab/>
        <w:t>Because Duquesne rejects the adoption of a non-bypassable rider for NMB Transmission costs, CNE and RESA, as the proponents of this proposal, have the burden of proof in this proceeding.  As a result, CNE/RESA have the obligation of showing, by a preponderance of evidence, that these proposed modifications are just, reasonable, and in the public interest.  DII contends CNE/RESA fail to meet this burden, and for the reasons discussed herein, CNE/RESA’s proposal must be denied.</w:t>
      </w:r>
      <w:bookmarkStart w:id="21" w:name="_Toc327770540"/>
      <w:bookmarkEnd w:id="20"/>
      <w:r>
        <w:t xml:space="preserve"> </w:t>
      </w:r>
    </w:p>
    <w:p w:rsidR="00046207" w:rsidRDefault="00046207" w:rsidP="006D47C0">
      <w:pPr>
        <w:keepLines/>
        <w:spacing w:line="360" w:lineRule="auto"/>
        <w:ind w:firstLine="720"/>
      </w:pPr>
    </w:p>
    <w:p w:rsidR="006D47C0" w:rsidRDefault="006D47C0" w:rsidP="006D47C0">
      <w:pPr>
        <w:keepLines/>
        <w:spacing w:line="360" w:lineRule="auto"/>
        <w:ind w:firstLine="720"/>
      </w:pPr>
      <w:r>
        <w:tab/>
        <w:t>First, DII points out that both the Commission and Duquesne reject the collection of NMB Transmission costs via a non-bypassable rider, and CNE/RESA failed to provide sufficient justification to overcome this opposition.  As a result, the NMB Transmission proposal should be rejected.</w:t>
      </w:r>
    </w:p>
    <w:p w:rsidR="006D47C0" w:rsidRDefault="006D47C0" w:rsidP="006D47C0">
      <w:pPr>
        <w:spacing w:line="360" w:lineRule="auto"/>
        <w:ind w:firstLine="720"/>
      </w:pPr>
    </w:p>
    <w:p w:rsidR="006D47C0" w:rsidRDefault="006D47C0" w:rsidP="006D47C0">
      <w:pPr>
        <w:spacing w:line="360" w:lineRule="auto"/>
        <w:ind w:firstLine="720"/>
      </w:pPr>
      <w:r>
        <w:tab/>
        <w:t>Standing alone, the recent Commission Orders in the FirstEnergy proceeding warrant the rejection of the NMB Transmission proposal.  Combined with Duquesne’s opposition to the proposal, there is simply no legal or evidentiary justification for adoption of a non-bypassable rider.  As discussed further herein, this CNE/RESA proposal must be rejected.</w:t>
      </w:r>
    </w:p>
    <w:p w:rsidR="006D47C0" w:rsidRDefault="006D47C0" w:rsidP="006D47C0">
      <w:pPr>
        <w:spacing w:line="360" w:lineRule="auto"/>
        <w:ind w:firstLine="720"/>
      </w:pPr>
    </w:p>
    <w:bookmarkEnd w:id="21"/>
    <w:p w:rsidR="006D47C0" w:rsidRDefault="006D47C0" w:rsidP="006D47C0">
      <w:pPr>
        <w:spacing w:line="360" w:lineRule="auto"/>
        <w:ind w:left="144" w:firstLine="720"/>
        <w:rPr>
          <w:szCs w:val="22"/>
        </w:rPr>
      </w:pPr>
      <w:r>
        <w:tab/>
        <w:t>Second, CNE/RESA’s proposed NMB Transmission collection would limit the competitive options available to Duquesne’s shopping customers in the currently unbundled retail electricity market.  CNE/RESA undertakes the remarkable step of proposing to re-bundle transmission and distribution.  The proposed re-bundling of distribution and transmission is contrary to the Competition Act, harmful to Large C&amp;I customers, and must be rejected.</w:t>
      </w:r>
    </w:p>
    <w:p w:rsidR="006D47C0" w:rsidRDefault="006D47C0" w:rsidP="006D47C0">
      <w:pPr>
        <w:spacing w:line="360" w:lineRule="auto"/>
        <w:ind w:left="144" w:firstLine="720"/>
      </w:pPr>
    </w:p>
    <w:p w:rsidR="006D47C0" w:rsidRDefault="006D47C0" w:rsidP="006D47C0">
      <w:pPr>
        <w:spacing w:line="360" w:lineRule="auto"/>
        <w:ind w:left="144" w:firstLine="720"/>
      </w:pPr>
      <w:r>
        <w:tab/>
        <w:t xml:space="preserve">Third, CNE/RESA’s NMB Transmission proposal raises fundamental transitional issues for numerous customers that have competitive supply contracts, which include a transmission component, extending beyond the June 1, 2013, the effective date of Duquesne’s proposed DSP.  If CNE/RESA’s proposal were adopted, all such customers would be at risk of being overcharged for transmission-related services and would thus need to negotiate with their EGSs so that they would be charged NMB Transmission costs only once.  </w:t>
      </w:r>
    </w:p>
    <w:p w:rsidR="006D47C0" w:rsidRDefault="006D47C0" w:rsidP="006D47C0">
      <w:pPr>
        <w:spacing w:line="360" w:lineRule="auto"/>
        <w:ind w:firstLine="720"/>
      </w:pPr>
    </w:p>
    <w:p w:rsidR="006D47C0" w:rsidRDefault="006D47C0" w:rsidP="006D47C0">
      <w:pPr>
        <w:spacing w:line="360" w:lineRule="auto"/>
        <w:ind w:firstLine="720"/>
      </w:pPr>
      <w:r>
        <w:tab/>
        <w:t>Any implementation of CNE/RESA’s proposed collection of NMB Transmission costs would risk overcharging Large C&amp;I customers for NMB Transmission costs.  Both customers under pass-through and fixed-price arrangements with EGSs would be subject to transitional difficulties if Duquesne begins collecting these costs.  Considering the potential for double charging and increasing risk for current shopping customers, CNE/RESA’s NMB Transmission proposal should be denied.</w:t>
      </w:r>
    </w:p>
    <w:p w:rsidR="006D47C0" w:rsidRDefault="006D47C0" w:rsidP="006D47C0">
      <w:pPr>
        <w:spacing w:line="360" w:lineRule="auto"/>
        <w:ind w:firstLine="720"/>
      </w:pPr>
    </w:p>
    <w:p w:rsidR="006D47C0" w:rsidRDefault="006D47C0" w:rsidP="006D47C0">
      <w:pPr>
        <w:spacing w:line="360" w:lineRule="auto"/>
      </w:pPr>
      <w:r>
        <w:tab/>
      </w:r>
      <w:r>
        <w:tab/>
        <w:t>Fourth, each of the arguments presented in favor of this proposal fail to establish that the proposed NMB Transmission collection is just, reasonable, or in the public interest.  CNE’s argument, however, amounts to a proverbial “apples to oranges” comparison.</w:t>
      </w:r>
    </w:p>
    <w:p w:rsidR="006D47C0" w:rsidRDefault="006D47C0" w:rsidP="006D47C0">
      <w:pPr>
        <w:spacing w:line="360" w:lineRule="auto"/>
        <w:ind w:firstLine="720"/>
      </w:pPr>
    </w:p>
    <w:p w:rsidR="006D47C0" w:rsidRDefault="006D47C0" w:rsidP="006D47C0">
      <w:pPr>
        <w:spacing w:line="360" w:lineRule="auto"/>
        <w:ind w:firstLine="720"/>
      </w:pPr>
      <w:r>
        <w:tab/>
        <w:t xml:space="preserve">Similarly, each of CNE’s arguments in surrebuttal testimony arguing for the inclusion of NITS, generation deactivation, and ELR costs within a non-bypassable rider have been refuted by the Commission in the FirstEnergy proceeding.  CNE St. No. 1-SR, pp. 5-13.  As explained by the Commission in its Sept. 27., 2012, Order, “[c]onsistent with the Commonwealth’s continued migration to a more competitive retail market, we believe that these supply-related costs should remain with the EGSs.”  Sept. 27, 2012, Order, p. 10.  Although this principle specifically applied to generation deactivation costs, it is equally applicable to NITS and ELR costs.  </w:t>
      </w:r>
      <w:r>
        <w:rPr>
          <w:i/>
        </w:rPr>
        <w:t xml:space="preserve">See </w:t>
      </w:r>
      <w:r>
        <w:t>Aug. 16, 2012, Order, pp. 82, 85.  As a result, it is improper for these costs to be collected by Duquesne from shopping customers.</w:t>
      </w:r>
    </w:p>
    <w:p w:rsidR="006D47C0" w:rsidRDefault="006D47C0" w:rsidP="006D47C0">
      <w:pPr>
        <w:spacing w:line="360" w:lineRule="auto"/>
        <w:ind w:firstLine="720"/>
      </w:pPr>
    </w:p>
    <w:p w:rsidR="006D47C0" w:rsidRDefault="006D47C0" w:rsidP="006D47C0">
      <w:pPr>
        <w:spacing w:line="360" w:lineRule="auto"/>
        <w:ind w:firstLine="720"/>
        <w:rPr>
          <w:i/>
        </w:rPr>
      </w:pPr>
      <w:r>
        <w:tab/>
        <w:t>Fifth, RESA proposes a modified version of the NMB Transmission proposal, which would require Duquesne to collect all costs other than NITS via a non-bypassable rider.  RESA St. No. 1, p. 4.</w:t>
      </w:r>
      <w:r>
        <w:rPr>
          <w:rStyle w:val="FootnoteReference"/>
        </w:rPr>
        <w:footnoteReference w:id="228"/>
      </w:r>
      <w:r>
        <w:t xml:space="preserve">  Duquesne correctly explains that NMB Transmission costs are appropriately recovered by EGSs, because they are the load serving entities (“LSEs”) billed for these costs by PJM:  “This is a fair and reasonable methodology because it creates the proper incentives for all LSEs to respond to PJM rules and reduce their respective transmission obligations in response to market conditions.”  Surrebuttal Testimony of William V. Pfrommer on behalf of Duquesne, pp. 2-3.  Because this proposal would still require Duquesne to collect transmission-related costs from shopping customers, this modified NMB Transmission proposal must be denied.</w:t>
      </w:r>
    </w:p>
    <w:p w:rsidR="006D47C0" w:rsidRDefault="006D47C0" w:rsidP="006D47C0">
      <w:pPr>
        <w:spacing w:line="360" w:lineRule="auto"/>
        <w:ind w:firstLine="720"/>
      </w:pPr>
    </w:p>
    <w:p w:rsidR="006D47C0" w:rsidRDefault="006D47C0" w:rsidP="006D47C0">
      <w:pPr>
        <w:spacing w:line="360" w:lineRule="auto"/>
        <w:ind w:firstLine="720"/>
      </w:pPr>
      <w:r>
        <w:tab/>
        <w:t>In conclusion, CNE’s proposal to implement a non-bypassable rider to collect NMB Transmission costs from all customers, regardless of their shopping status, must be denied by the Commission.  As the party bearing the burden of proof, CNE has failed to produce evidence supporting its proposal.  CNE’s proposal is unjust, unreasonable and in violation of the Competition Act, the Commission’s default service regulations, and recent Commission precedent in the FirstEnergy proceeding.  The proposed NMB Transmission collection would re-bundle transmission and distribution services, while eliminating competitive transmission products.  Further, the proposal imposes risks for Large C&amp;I customers with competitive supply agreements, particularly fixed-price arrangements, which extend beyond the effective date of the DSP.  CNE’s proffered evidence to support its proposal does not satisfy its burden of proof in this proceeding.  Accordingly, CNE’s proposal to implement a non-bypassable rider for collection of NMB Transmission costs should be rejected.</w:t>
      </w:r>
    </w:p>
    <w:p w:rsidR="00A54B57" w:rsidRDefault="00A54B57"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h.</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i.</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ab/>
        <w:t>j.</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Constellation initially proposed in this proceeding that Duquesne Light revise its Transmission Service Charge (“TSC”) Rider to include certain new charges, and that Duquesne Light assume responsibility for all TSC Rider charges for all distribution customers on a non-bypassable basis (i.e., from shopping and non-shopping customers alike).  While the Joint Suppliers continue to support such changes for the reasons presented throughout the Constellation Testimony, based on the Commission’s recent August 16, 2012 </w:t>
      </w:r>
      <w:r>
        <w:rPr>
          <w:i/>
        </w:rPr>
        <w:t>Opinion and Order</w:t>
      </w:r>
      <w:r>
        <w:t xml:space="preserve"> and September 27, 2012 </w:t>
      </w:r>
      <w:r>
        <w:rPr>
          <w:i/>
        </w:rPr>
        <w:t>Opinion and Order</w:t>
      </w:r>
      <w:r>
        <w:t xml:space="preserve"> in Docket Nos. P-2011-2273650, P-2011-2273668, P-2011-2273669, P-2011-2273670 (“FirstEnergy DSP Orders”) – regarding the </w:t>
      </w:r>
      <w:r>
        <w:rPr>
          <w:i/>
        </w:rPr>
        <w:t>Joint Petition of Metropolitan Edison Company, Pennsylvania Electric Company, Pennsylvania Power Company and West Penn Power Company For Approval of Their Default Service Programs</w:t>
      </w:r>
      <w:r>
        <w:t xml:space="preserve"> – the Joint Suppliers will not pursue any such changes to the TSC Rider at this time.</w:t>
      </w:r>
    </w:p>
    <w:p w:rsidR="006D47C0" w:rsidRPr="004E7112" w:rsidRDefault="006D47C0" w:rsidP="006D47C0">
      <w:pPr>
        <w:spacing w:line="360" w:lineRule="auto"/>
        <w:rPr>
          <w:b/>
          <w:color w:val="000000" w:themeColor="text1"/>
        </w:rPr>
      </w:pPr>
      <w:r w:rsidRPr="00CA3940">
        <w:rPr>
          <w:b/>
        </w:rPr>
        <w:t>Disposition</w:t>
      </w:r>
      <w:r w:rsidRPr="00DF00F3">
        <w:rPr>
          <w:b/>
        </w:rPr>
        <w:t xml:space="preserve"> </w:t>
      </w:r>
      <w:r w:rsidRPr="00DF00F3">
        <w:t xml:space="preserve">- </w:t>
      </w:r>
      <w:r w:rsidRPr="004E7112">
        <w:rPr>
          <w:b/>
          <w:color w:val="000000" w:themeColor="text1"/>
        </w:rPr>
        <w:t>Rate Design – Non-Bypassable Charge to Recover PJM Charges</w:t>
      </w:r>
    </w:p>
    <w:p w:rsidR="006D47C0" w:rsidRPr="004E7112" w:rsidRDefault="006D47C0" w:rsidP="006D47C0">
      <w:pPr>
        <w:spacing w:line="360" w:lineRule="auto"/>
        <w:rPr>
          <w:color w:val="000000" w:themeColor="text1"/>
        </w:rPr>
      </w:pPr>
    </w:p>
    <w:p w:rsidR="006D47C0" w:rsidRPr="001F49F6" w:rsidRDefault="006D47C0" w:rsidP="006D47C0">
      <w:pPr>
        <w:pStyle w:val="ListParagraph"/>
        <w:autoSpaceDE/>
        <w:autoSpaceDN/>
        <w:spacing w:line="360" w:lineRule="auto"/>
        <w:ind w:left="0"/>
        <w:rPr>
          <w:b/>
          <w:u w:val="single"/>
        </w:rPr>
      </w:pPr>
      <w:r w:rsidRPr="004E7112">
        <w:rPr>
          <w:color w:val="000000" w:themeColor="text1"/>
        </w:rPr>
        <w:tab/>
      </w:r>
      <w:r w:rsidRPr="004E7112">
        <w:rPr>
          <w:color w:val="000000" w:themeColor="text1"/>
        </w:rPr>
        <w:tab/>
        <w:t>I recommend the Commission approve the Company’s proposal that EGSs should continue to recover PJM’s Regional Transmission Enhancement Plan costs, Network Integration Transmission Services, expansion costs, generation deactivation costs and Economic Load Response costs as transmission and transmission-related costs.  The Commission and the Competition Act consistently and clearly intend for generation and transmission charges to be borne by the EGS if the EGS supplies that service or product.  RESA’s proposal is contrary to the Competition Act and, as stated by DII, is a step backwards in attaining the goal of improving competition within Pennsylvania.</w:t>
      </w:r>
    </w:p>
    <w:p w:rsidR="006D47C0" w:rsidRDefault="006D47C0" w:rsidP="006D47C0">
      <w:pPr>
        <w:pStyle w:val="BodyText"/>
        <w:spacing w:after="0" w:line="360" w:lineRule="auto"/>
        <w:ind w:left="0" w:firstLine="0"/>
        <w:rPr>
          <w:szCs w:val="24"/>
          <w:lang w:val="en-US"/>
        </w:rPr>
      </w:pPr>
      <w:r>
        <w:rPr>
          <w:szCs w:val="24"/>
          <w:lang w:val="en-US"/>
        </w:rPr>
        <w:tab/>
      </w:r>
    </w:p>
    <w:p w:rsidR="006D47C0" w:rsidRPr="00265AAB" w:rsidRDefault="006D47C0" w:rsidP="006D47C0">
      <w:pPr>
        <w:pStyle w:val="BriefL1"/>
        <w:numPr>
          <w:ilvl w:val="0"/>
          <w:numId w:val="0"/>
        </w:numPr>
        <w:spacing w:after="0" w:line="360" w:lineRule="auto"/>
        <w:jc w:val="left"/>
        <w:rPr>
          <w:szCs w:val="24"/>
        </w:rPr>
      </w:pPr>
      <w:r>
        <w:rPr>
          <w:szCs w:val="24"/>
        </w:rPr>
        <w:t>e</w:t>
      </w:r>
      <w:r w:rsidRPr="00265AAB">
        <w:rPr>
          <w:szCs w:val="24"/>
        </w:rPr>
        <w:t>.</w:t>
      </w:r>
      <w:r w:rsidRPr="00265AAB">
        <w:rPr>
          <w:szCs w:val="24"/>
        </w:rPr>
        <w:tab/>
      </w:r>
      <w:r w:rsidR="00611ED6">
        <w:rPr>
          <w:caps w:val="0"/>
          <w:szCs w:val="24"/>
        </w:rPr>
        <w:t>Time-Of-Use Program</w:t>
      </w:r>
      <w:r>
        <w:rPr>
          <w:caps w:val="0"/>
          <w:szCs w:val="24"/>
        </w:rPr>
        <w:fldChar w:fldCharType="begin"/>
      </w:r>
      <w:r>
        <w:instrText xml:space="preserve"> TC "</w:instrText>
      </w:r>
      <w:r w:rsidRPr="002A1620">
        <w:rPr>
          <w:szCs w:val="24"/>
        </w:rPr>
        <w:instrText>A.</w:instrText>
      </w:r>
      <w:r w:rsidRPr="002A1620">
        <w:rPr>
          <w:szCs w:val="24"/>
        </w:rPr>
        <w:tab/>
        <w:instrText>D</w:instrText>
      </w:r>
      <w:r w:rsidRPr="002A1620">
        <w:rPr>
          <w:caps w:val="0"/>
          <w:szCs w:val="24"/>
        </w:rPr>
        <w:instrText>efault Service Procurement and Implementation Plans</w:instrText>
      </w:r>
      <w:r>
        <w:instrText xml:space="preserve">" \f C \l "2" </w:instrText>
      </w:r>
      <w:r>
        <w:rPr>
          <w:caps w:val="0"/>
          <w:szCs w:val="24"/>
        </w:rPr>
        <w:fldChar w:fldCharType="end"/>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rPr>
          <w:b/>
          <w:szCs w:val="24"/>
        </w:rPr>
      </w:pPr>
      <w:r>
        <w:rPr>
          <w:b/>
          <w:szCs w:val="24"/>
        </w:rPr>
        <w:t>1.</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pPr>
      <w:r>
        <w:rPr>
          <w:lang w:val="en-US"/>
        </w:rPr>
        <w:tab/>
      </w:r>
      <w:r>
        <w:rPr>
          <w:lang w:val="en-US"/>
        </w:rPr>
        <w:tab/>
      </w:r>
      <w:r>
        <w:t xml:space="preserve">Under Act 129, Duquesne Light, as the DSP, is obligated to provide Time-of-Use (“TOU”) and/or real time rates to customers </w:t>
      </w:r>
      <w:r>
        <w:rPr>
          <w:lang w:val="en-US"/>
        </w:rPr>
        <w:t>who</w:t>
      </w:r>
      <w:r>
        <w:t xml:space="preserve"> have smart meters.  66 Pa. C.S.</w:t>
      </w:r>
      <w:r>
        <w:rPr>
          <w:lang w:val="en-US"/>
        </w:rPr>
        <w:t>A.</w:t>
      </w:r>
      <w:r>
        <w:t xml:space="preserve"> §2807(f)(5).  </w:t>
      </w:r>
      <w:r>
        <w:rPr>
          <w:lang w:val="en-US"/>
        </w:rPr>
        <w:t>Currently</w:t>
      </w:r>
      <w:r>
        <w:t xml:space="preserve">, the Company has very few customers with smart meters.  The Company </w:t>
      </w:r>
      <w:r>
        <w:rPr>
          <w:lang w:val="en-US"/>
        </w:rPr>
        <w:t>notes it</w:t>
      </w:r>
      <w:r>
        <w:t xml:space="preserve"> filed its Final Smart Meter Plan with the Commission, and </w:t>
      </w:r>
      <w:r>
        <w:rPr>
          <w:lang w:val="en-US"/>
        </w:rPr>
        <w:t>that</w:t>
      </w:r>
      <w:r>
        <w:t xml:space="preserve"> Plan is currently pending Commission approval</w:t>
      </w:r>
      <w:r>
        <w:rPr>
          <w:lang w:val="en-US"/>
        </w:rPr>
        <w:t xml:space="preserve"> at Docket No. M-2009-2123948</w:t>
      </w:r>
      <w:r>
        <w:t>.  Duquesne Light St. No. 4-R, p. 4.  Under the implementation schedule set forth in the Smart Meter Plan, the Company will have installed approximately 2,000 smart meters by June 2014 and approximately 35,000 smart meters by June 2015.</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In this proceeding, the Company propos</w:t>
      </w:r>
      <w:r>
        <w:rPr>
          <w:lang w:val="en-US"/>
        </w:rPr>
        <w:t>es</w:t>
      </w:r>
      <w:r>
        <w:t xml:space="preserve"> to bid out TOU load to EGSs after more of its customers have smart meters, after its current TOU pilot programs are completed</w:t>
      </w:r>
      <w:r>
        <w:rPr>
          <w:lang w:val="en-US"/>
        </w:rPr>
        <w:t>,</w:t>
      </w:r>
      <w:r>
        <w:t xml:space="preserve"> and after the Company has had </w:t>
      </w:r>
      <w:r>
        <w:rPr>
          <w:lang w:val="en-US"/>
        </w:rPr>
        <w:t>time</w:t>
      </w:r>
      <w:r>
        <w:t xml:space="preserve"> to review the results of those pilot programs and develop a long-term TOU plan.  The Company anticipates an EGS will bid to provide TOU supply.  However, if there are no bids or if the bids do not meet Commission approval, the Company proposes to require wholesale default service suppliers to provide TOU supply.  Duquesne Light St. No. 4-R, p. 5.  In such circumstances, Duquesne Light proposes to pay wholesale suppliers the actual TOU revenues received for the TOU portion of the load based on the TOU program on-peak and off-peak rates.</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In the event default service suppliers must supply TOU load, it is important they be paid the actual amounts that Duquesne Light receives for TOU service.  Under the Commission’s interpretation of Section 2807(f)(4) of the Public Utility Code, Duquesne Light is not permitted to reconcile TOU revenues against fixed supply costs paid to wholesale suppliers under full-requirements contracts.</w:t>
      </w:r>
      <w:r>
        <w:rPr>
          <w:rStyle w:val="FootnoteReference"/>
        </w:rPr>
        <w:footnoteReference w:id="229"/>
      </w:r>
      <w:r>
        <w:t xml:space="preserve">  Without reconciliation, Duquesne Light may not be able to fully recover its default service costs in violation of Section 2807(e)(3.9).  Accordingly, </w:t>
      </w:r>
      <w:r>
        <w:rPr>
          <w:lang w:val="en-US"/>
        </w:rPr>
        <w:t xml:space="preserve">the Company contends </w:t>
      </w:r>
      <w:r>
        <w:t xml:space="preserve">default service suppliers should bear this risk.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Duquesne Light </w:t>
      </w:r>
      <w:r>
        <w:rPr>
          <w:lang w:val="en-US"/>
        </w:rPr>
        <w:t xml:space="preserve">notes it </w:t>
      </w:r>
      <w:r>
        <w:t xml:space="preserve">would agree with </w:t>
      </w:r>
      <w:r>
        <w:rPr>
          <w:lang w:val="en-US"/>
        </w:rPr>
        <w:t>Constellation’s</w:t>
      </w:r>
      <w:r>
        <w:t xml:space="preserve"> approach</w:t>
      </w:r>
      <w:r>
        <w:rPr>
          <w:rStyle w:val="FootnoteReference"/>
        </w:rPr>
        <w:footnoteReference w:id="230"/>
      </w:r>
      <w:r>
        <w:t xml:space="preserve"> if it were allowed to reconcile the difference between the price paid to wholesale suppliers and the TOU rates, but Duquesne Light is not permitted by the Commission’s ruling to reconcile the TOU costs and recoveries.  Therefore, payment of the fixed contract prices to wholesale suppliers would prevent the Company from fully recovering its TOU costs.  Moreover, Duquesne Light’s approach is reasonable because default service suppliers are bearing all of the other supply risks under the full requirements contracts.  Duquesne Light St. No. 4-R, p. 7.</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The Company points out RESA’s proposal</w:t>
      </w:r>
      <w:r>
        <w:rPr>
          <w:rStyle w:val="FootnoteReference"/>
          <w:lang w:val="en-US"/>
        </w:rPr>
        <w:footnoteReference w:id="231"/>
      </w:r>
      <w:r>
        <w:t xml:space="preserve"> does not comply with Act 129</w:t>
      </w:r>
      <w:r>
        <w:rPr>
          <w:lang w:val="en-US"/>
        </w:rPr>
        <w:t>, if RESA is intending to mean that Du</w:t>
      </w:r>
      <w:r>
        <w:t xml:space="preserve">quesne Light is relieved of TOU responsibility when there is no EGS bid, </w:t>
      </w:r>
      <w:r>
        <w:rPr>
          <w:lang w:val="en-US"/>
        </w:rPr>
        <w:t>then</w:t>
      </w:r>
      <w:r>
        <w:t>, the DSP is required to offer TOU rates to customers with smart meters.</w:t>
      </w:r>
      <w:r>
        <w:rPr>
          <w:rStyle w:val="FootnoteReference"/>
        </w:rPr>
        <w:footnoteReference w:id="232"/>
      </w:r>
      <w:r>
        <w:t xml:space="preserve">  Act 129 specifically requires the </w:t>
      </w:r>
      <w:r>
        <w:rPr>
          <w:lang w:val="en-US"/>
        </w:rPr>
        <w:t>DSP</w:t>
      </w:r>
      <w:r>
        <w:t xml:space="preserve"> to offer TOU rates and real-time rate plans to customers.  Therefore, RESA’s proposal is contrary to Act 129 and </w:t>
      </w:r>
      <w:r>
        <w:rPr>
          <w:lang w:val="en-US"/>
        </w:rPr>
        <w:t>should not</w:t>
      </w:r>
      <w:r>
        <w:t xml:space="preserve"> be accepted.</w:t>
      </w:r>
    </w:p>
    <w:p w:rsidR="006D47C0" w:rsidRDefault="006D47C0" w:rsidP="006D47C0">
      <w:pPr>
        <w:pStyle w:val="BodyText2"/>
        <w:spacing w:after="0" w:line="360" w:lineRule="auto"/>
      </w:pPr>
      <w:r>
        <w:rPr>
          <w:lang w:val="en-US"/>
        </w:rPr>
        <w:tab/>
      </w:r>
      <w:r>
        <w:rPr>
          <w:lang w:val="en-US"/>
        </w:rPr>
        <w:tab/>
        <w:t>Pursuant to FES’ proposal,</w:t>
      </w:r>
      <w:r>
        <w:rPr>
          <w:rStyle w:val="FootnoteReference"/>
          <w:lang w:val="en-US"/>
        </w:rPr>
        <w:footnoteReference w:id="233"/>
      </w:r>
      <w:r>
        <w:rPr>
          <w:lang w:val="en-US"/>
        </w:rPr>
        <w:t xml:space="preserve"> Duquesne Light argues</w:t>
      </w:r>
      <w:r>
        <w:t xml:space="preserve"> the TOU provisions of the </w:t>
      </w:r>
      <w:r>
        <w:rPr>
          <w:lang w:val="en-US"/>
        </w:rPr>
        <w:t>Supply Master Agreement</w:t>
      </w:r>
      <w:r>
        <w:t xml:space="preserve"> should not be deleted.  The TOU provisions allow Duquesne Light to separately bid out TOU service to an EGS or wholesale supplier.  In addition, the TOU provisions of the SMA allow Duquesne Light to acquire TOU supplies from the default service suppliers in the event that an EGS does not separately bid to provide TOU service or the Commission rejects the bid.  Therefore, the TOU provisions of the SMA are necessary and reasonable and should not be revised.</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2.</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3.</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WBBodyText1"/>
        <w:spacing w:line="360" w:lineRule="auto"/>
        <w:rPr>
          <w:bCs/>
          <w:szCs w:val="26"/>
        </w:rPr>
      </w:pPr>
      <w:r>
        <w:tab/>
        <w:t xml:space="preserve">In RESA’s view, </w:t>
      </w:r>
      <w:r>
        <w:rPr>
          <w:bCs/>
          <w:szCs w:val="26"/>
        </w:rPr>
        <w:t xml:space="preserve">rather than having an EDC-based TOU program, the EDC should be required to certify that one or more EGSs have agreed to offer a TOU rate to residential customers in its service territory.  RESA contends this method would satisfy the requirements of Act 129 that a TOU product be available to customers in a utility service territory.  This approach would obviate the need to address TOU load through wholesale default service procurements.  Alternatively, if that proposal is not accepted by the Commission, then RESA supports bidding out the TOU program consistent with the Commission’s determination in the December 16, 2011 </w:t>
      </w:r>
      <w:r>
        <w:rPr>
          <w:bCs/>
          <w:i/>
          <w:szCs w:val="26"/>
        </w:rPr>
        <w:t>RMI</w:t>
      </w:r>
      <w:r>
        <w:rPr>
          <w:bCs/>
          <w:szCs w:val="26"/>
        </w:rPr>
        <w:t xml:space="preserve"> </w:t>
      </w:r>
      <w:r>
        <w:rPr>
          <w:bCs/>
          <w:i/>
          <w:szCs w:val="26"/>
        </w:rPr>
        <w:t xml:space="preserve">Final Order </w:t>
      </w:r>
      <w:r>
        <w:rPr>
          <w:bCs/>
          <w:szCs w:val="26"/>
        </w:rPr>
        <w:t>issued in the RMI Investigation</w:t>
      </w:r>
      <w:r>
        <w:rPr>
          <w:bCs/>
          <w:i/>
          <w:szCs w:val="26"/>
        </w:rPr>
        <w:t>.</w:t>
      </w:r>
      <w:r>
        <w:rPr>
          <w:bCs/>
          <w:szCs w:val="26"/>
          <w:vertAlign w:val="superscript"/>
        </w:rPr>
        <w:footnoteReference w:id="234"/>
      </w:r>
      <w:r>
        <w:rPr>
          <w:bCs/>
          <w:szCs w:val="26"/>
        </w:rPr>
        <w:t xml:space="preserve"> </w:t>
      </w:r>
    </w:p>
    <w:p w:rsidR="006D47C0" w:rsidRDefault="006D47C0" w:rsidP="006D47C0">
      <w:pPr>
        <w:pStyle w:val="WBBodyText1"/>
        <w:spacing w:line="360" w:lineRule="auto"/>
      </w:pPr>
    </w:p>
    <w:p w:rsidR="006D47C0" w:rsidRDefault="006D47C0" w:rsidP="006D47C0">
      <w:pPr>
        <w:pStyle w:val="WBBodyText1"/>
        <w:spacing w:line="360" w:lineRule="auto"/>
      </w:pPr>
      <w:r>
        <w:tab/>
        <w:t>RESA’s primary recommendation is that Duquesne be required to certify that one or more EGSs have agreed to offer a TOU rate to residential customers in its service territories.  To comply with the Act 129 requirement that the “default service provider shall submit to the Commission one or more proposed time-of-use rates and real-time price plans,”</w:t>
      </w:r>
      <w:r>
        <w:rPr>
          <w:rStyle w:val="FootnoteReference"/>
        </w:rPr>
        <w:footnoteReference w:id="235"/>
      </w:r>
      <w:r>
        <w:t xml:space="preserve"> the Commission could require Duquesne to do the following every year:  (1) survey EGSs and determine whether they are or intend to offer a time-differentiated rate and whether the EGS intends to offer the product for at least 12-months; and (2) if Duquesne found one or more EGSs offering such rates, it would post that information on a clearinghouse website (and refer customers to the information upon inquiry) and certify this information to the Commission.  After the end of the year, Duquesne would submit a report on the number of EGSs actually providing the service.  Act 129 also provides that the default service supplier should prepare a report [presumably to the Commission] detailing “the efficacy of the programs in affecting energy demand and consumption and the effect on wholesale market prices.”</w:t>
      </w:r>
      <w:r>
        <w:rPr>
          <w:rStyle w:val="FootnoteReference"/>
        </w:rPr>
        <w:footnoteReference w:id="236"/>
      </w:r>
      <w:r>
        <w:t xml:space="preserve">  Rather than have Duquesne compile these data and provide these opinions (which could require Duquesne to review competitively sensitive information), this data could be compiled and analyzed by either the Commission’s Bureau of Conservation, Economics and Energy Planning (“CEEP”) or by a consultant hired by Duquesne. </w:t>
      </w:r>
    </w:p>
    <w:p w:rsidR="006D47C0" w:rsidRDefault="006D47C0" w:rsidP="006D47C0">
      <w:pPr>
        <w:pStyle w:val="WBBodyText1"/>
        <w:spacing w:line="360" w:lineRule="auto"/>
      </w:pPr>
    </w:p>
    <w:p w:rsidR="006D47C0" w:rsidRDefault="006D47C0" w:rsidP="006D47C0">
      <w:pPr>
        <w:pStyle w:val="WBBodyText1"/>
        <w:spacing w:line="360" w:lineRule="auto"/>
      </w:pPr>
      <w:r>
        <w:tab/>
        <w:t xml:space="preserve">However, nothing in Act 129 would prohibit RESA’s recommended approach to TOU service.  As it stands, Act 129 imposes the obligation to ensure the TOU rates are </w:t>
      </w:r>
    </w:p>
    <w:p w:rsidR="006D47C0" w:rsidRDefault="006D47C0" w:rsidP="006D47C0">
      <w:pPr>
        <w:pStyle w:val="WBBodyText1"/>
        <w:spacing w:line="360" w:lineRule="auto"/>
      </w:pPr>
    </w:p>
    <w:p w:rsidR="006D47C0" w:rsidRDefault="006D47C0" w:rsidP="006D47C0">
      <w:pPr>
        <w:pStyle w:val="WBBodyText1"/>
        <w:spacing w:line="360" w:lineRule="auto"/>
        <w:ind w:firstLine="0"/>
      </w:pPr>
      <w:r>
        <w:t>available.</w:t>
      </w:r>
      <w:r>
        <w:rPr>
          <w:rStyle w:val="FootnoteReference"/>
        </w:rPr>
        <w:footnoteReference w:id="237"/>
      </w:r>
      <w:r>
        <w:t xml:space="preserve">  As such, it can be fulfilled by the default service provide bidding out the service (as was proposed by PECO in its default service proceeding)</w:t>
      </w:r>
      <w:r>
        <w:rPr>
          <w:rStyle w:val="FootnoteReference"/>
        </w:rPr>
        <w:footnoteReference w:id="238"/>
      </w:r>
      <w:r>
        <w:t xml:space="preserve"> or by certifying that such services are being provided by EGSs (as is proposed by RESA in this proceeding).  The intent behind this section of Act 129 was to ensure that such options were available to customers with smart meters to ensure that this substantial upgrade in infrastructure would be used and useful.  Both the spirit and letter of the law are met where Duquesne’s plan demonstrates that such rate options are available while relying on EGSs to provide TOU rate options.  Since these rates would only be available through the efforts of Duquesne, they are being “provided” by Duquesne, in any reasonable interpretation of that term.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4.</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5.</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6.</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7.</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8.</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9.</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Section 2807(f)(5) of the Competition Act requires a default service provider to establish and provide TOU rates to customers with smart meters.  66 Pa. C.S.A. §2807(f)(5).  Duquesne Light proposes to include TOU default service load in its wholesale fixed-price full requirements products.  In discovery, Duquesne Light clarified that it is proposing first that EGSs bid to supply its TOU default service program, and that its proposal to require fixed price suppliers to serve TOU load is a “fallback” in the event no EGSs bid to supply Duquesne Light's TOU program.  FES Ex. TCB-1 (FES (Duquesne Light) Set II-4).  This clarification is helpful, but does not fully resolve FES’s concern with Duquesne Light's proposal.</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 xml:space="preserve">FES remains troubled by Section 4.3 of Duquesne Light's Supplier Master Agreement (“SMA”). Section 4.3 of the SMA is very vague, stating that “[Duquesne Light] </w:t>
      </w:r>
      <w:r>
        <w:rPr>
          <w:b/>
          <w:i/>
        </w:rPr>
        <w:t>may</w:t>
      </w:r>
      <w:r>
        <w:t xml:space="preserve"> request TOU supply from Seller.”  (Emphasis added).  Under this provision wholesale suppliers would still be required to agree to provide TOU load as a portion of full requirements load.  TOU load and full requirements load are completely different products, with different risk profiles.  As a result, including the TOU product with a fixed price default service product could limit supplier participation and/or unnecessarily increase default service prices.  While it is understandable for Duquesne Light to try to plan for multiple scenarios and contingencies, its contingency plan as currently reflected in the SMA may compromise its procurements for its standard default service.</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 xml:space="preserve">FES proposes that SMA Section 4.3 be deleted.  Alternatively, at the very least, this section should be revised to address the possibility of obtaining TOU from wholesale suppliers through an Addendum to the SMA, rather than combining the TOU load with suppliers' full requirements load. </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 xml:space="preserve">FES recognizes that Duquesne Light’s TOU program is still in the early “pilot” stages of development, but while the current usage is small it may become more robust during the POLR VI time period.  FES believes that Duquesne Light’s TOU load should be served by an EGS either through a bid separate from its full requirements products, or as RESA suggests through an EGS solicitation on a less formal basis, after which Duquesne Light would post the information to a clearing house website, and certify the information to the Commission.  RESA St. No. 2-R at 21.  </w:t>
      </w:r>
    </w:p>
    <w:p w:rsidR="006D47C0" w:rsidRDefault="006D47C0" w:rsidP="006D47C0">
      <w:pPr>
        <w:pStyle w:val="BodyTextFirstLine5DS"/>
        <w:spacing w:line="360" w:lineRule="auto"/>
        <w:jc w:val="left"/>
      </w:pPr>
    </w:p>
    <w:p w:rsidR="006D47C0" w:rsidRDefault="006D47C0" w:rsidP="006D47C0">
      <w:pPr>
        <w:pStyle w:val="BodyTextFirstLine5DS"/>
        <w:spacing w:line="360" w:lineRule="auto"/>
        <w:jc w:val="left"/>
      </w:pPr>
      <w:r>
        <w:tab/>
        <w:t>Constellation suggests an alternative methodology by which Duquesne Light could obtain TOU load from its default service suppliers, in order to obviate the risks of both customer shopping for EGS service and that customers will choose the TOU offering from Duquesne Light.  Constellation’s proposal is that Duquesne Light allocate a pro-rata percentage share of TOU load to each tranche (including those awarded in the DSP RFP’s) and not revise the price paid to default service suppliers under their contracts.  Duquesne Light would establish the TOU price through a “retail pricing matrix,” and differences between the payments to wholesale suppliers and amounts paid by TOU customers could be dealt with through the reconciliation process.  Constellation St. No. 1 at 41-42.  While FES’s preference is for TOU load to be separately bid to EGSs, FES believes Constellation’s proposal to be a reasonable resolution of the TOU load problem.  If this proposal is adopted, Duquesne Light’s proposed SMA should be revised accordingly.</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10.</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pPr>
      <w:r>
        <w:rPr>
          <w:lang w:val="en-US"/>
        </w:rPr>
        <w:tab/>
      </w:r>
      <w:r>
        <w:rPr>
          <w:lang w:val="en-US"/>
        </w:rPr>
        <w:tab/>
        <w:t>Joint Suppliers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Pr="004E7112" w:rsidRDefault="006D47C0" w:rsidP="006D47C0">
      <w:pPr>
        <w:spacing w:line="360" w:lineRule="auto"/>
        <w:rPr>
          <w:b/>
          <w:color w:val="000000" w:themeColor="text1"/>
        </w:rPr>
      </w:pPr>
      <w:r w:rsidRPr="00050094">
        <w:rPr>
          <w:b/>
        </w:rPr>
        <w:t xml:space="preserve">Disposition </w:t>
      </w:r>
      <w:r w:rsidRPr="00FC563E">
        <w:t>-</w:t>
      </w:r>
      <w:r>
        <w:rPr>
          <w:b/>
        </w:rPr>
        <w:t xml:space="preserve"> </w:t>
      </w:r>
      <w:r w:rsidRPr="004E7112">
        <w:rPr>
          <w:b/>
          <w:color w:val="000000" w:themeColor="text1"/>
        </w:rPr>
        <w:t>Time of Use Program</w:t>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r w:rsidRPr="004E7112">
        <w:rPr>
          <w:color w:val="000000" w:themeColor="text1"/>
          <w:szCs w:val="24"/>
        </w:rPr>
        <w:tab/>
      </w: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sidRPr="004E7112">
        <w:rPr>
          <w:color w:val="000000" w:themeColor="text1"/>
          <w:szCs w:val="24"/>
          <w:lang w:val="en-US"/>
        </w:rPr>
        <w:tab/>
        <w:t xml:space="preserve">I recommend approval of Duquesne Light’s proposal to bid out TOU load to all EGSs after more customers obtain smart meters and to use wholesale default service suppliers </w:t>
      </w:r>
      <w:r w:rsidRPr="004E7112">
        <w:rPr>
          <w:color w:val="000000" w:themeColor="text1"/>
          <w:szCs w:val="24"/>
          <w:u w:val="single"/>
          <w:lang w:val="en-US"/>
        </w:rPr>
        <w:t>if</w:t>
      </w:r>
      <w:r w:rsidRPr="004E7112">
        <w:rPr>
          <w:color w:val="000000" w:themeColor="text1"/>
          <w:szCs w:val="24"/>
          <w:lang w:val="en-US"/>
        </w:rPr>
        <w:t xml:space="preserve"> no Commission-approved bids are received.  Act 129 requires the Company to provide TOU to customers with smart meters, yet to date Duquesne Light has almost no customers using smart meters.  However, in the context of its Final Smart Meter Plan (pending with the Commission currently) the Company projects to have 2,000 smart meters installed by June 2014 and hopes to have 35,000 smart meters installed by the end of this default service term in June 2015.  The Company proposes to pay wholesale suppliers the actual TOU revenues received for the TOU portion of the load based on the TOU program on-peak and off-peak rates.  I agree with this proposal because it is unlikely wholesale suppliers will be called upon to provide the TOU service and only a relatively small number of smart meters will be installed prior to the end of this default service plan.</w:t>
      </w:r>
    </w:p>
    <w:p w:rsidR="006D47C0" w:rsidRPr="00265AAB" w:rsidRDefault="006D47C0" w:rsidP="006D47C0">
      <w:pPr>
        <w:pStyle w:val="BriefL1"/>
        <w:numPr>
          <w:ilvl w:val="0"/>
          <w:numId w:val="0"/>
        </w:numPr>
        <w:spacing w:after="0" w:line="360" w:lineRule="auto"/>
        <w:jc w:val="left"/>
        <w:rPr>
          <w:szCs w:val="24"/>
        </w:rPr>
      </w:pPr>
      <w:r>
        <w:rPr>
          <w:szCs w:val="24"/>
        </w:rPr>
        <w:t>F</w:t>
      </w:r>
      <w:r w:rsidRPr="00265AAB">
        <w:rPr>
          <w:szCs w:val="24"/>
        </w:rPr>
        <w:t>.</w:t>
      </w:r>
      <w:r w:rsidRPr="00265AAB">
        <w:rPr>
          <w:szCs w:val="24"/>
        </w:rPr>
        <w:tab/>
      </w:r>
      <w:r>
        <w:rPr>
          <w:caps w:val="0"/>
          <w:szCs w:val="24"/>
        </w:rPr>
        <w:t>Supply Master Agreement Issues</w:t>
      </w:r>
      <w:r>
        <w:rPr>
          <w:caps w:val="0"/>
          <w:szCs w:val="24"/>
        </w:rPr>
        <w:fldChar w:fldCharType="begin"/>
      </w:r>
      <w:r>
        <w:instrText xml:space="preserve"> TC "</w:instrText>
      </w:r>
      <w:r w:rsidRPr="002A1620">
        <w:rPr>
          <w:szCs w:val="24"/>
        </w:rPr>
        <w:instrText>A.</w:instrText>
      </w:r>
      <w:r w:rsidRPr="002A1620">
        <w:rPr>
          <w:szCs w:val="24"/>
        </w:rPr>
        <w:tab/>
        <w:instrText>D</w:instrText>
      </w:r>
      <w:r w:rsidRPr="002A1620">
        <w:rPr>
          <w:caps w:val="0"/>
          <w:szCs w:val="24"/>
        </w:rPr>
        <w:instrText>efault Service Procurement and Implementation Plans</w:instrText>
      </w:r>
      <w:r>
        <w:instrText xml:space="preserve">" \f C \l "2" </w:instrText>
      </w:r>
      <w:r>
        <w:rPr>
          <w:caps w:val="0"/>
          <w:szCs w:val="24"/>
        </w:rPr>
        <w:fldChar w:fldCharType="end"/>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rPr>
          <w:b/>
          <w:szCs w:val="24"/>
        </w:rPr>
      </w:pPr>
      <w:r>
        <w:rPr>
          <w:b/>
          <w:szCs w:val="24"/>
        </w:rPr>
        <w:t>1.</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In its testimony, Constellation provided a list of default service plan revisions that it propos</w:t>
      </w:r>
      <w:r>
        <w:rPr>
          <w:lang w:val="en-US"/>
        </w:rPr>
        <w:t>ed</w:t>
      </w:r>
      <w:r>
        <w:t xml:space="preserve"> in this proceeding.  Constellation St. No. 1, Attachment 1.  Many of these proposals include revisions to the Company’s proposed SMA addressed </w:t>
      </w:r>
      <w:r>
        <w:rPr>
          <w:lang w:val="en-US"/>
        </w:rPr>
        <w:t>elsewhere</w:t>
      </w:r>
      <w:r>
        <w:t>.</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Duquesne Light points out that</w:t>
      </w:r>
      <w:r>
        <w:t xml:space="preserve"> Constellation argued </w:t>
      </w:r>
      <w:r>
        <w:rPr>
          <w:lang w:val="en-US"/>
        </w:rPr>
        <w:t>the Company</w:t>
      </w:r>
      <w:r>
        <w:t xml:space="preserve"> should revise its unsecured credit thresholds to give unsecured credit to non-investment grade entities.  Constellation St. No. 1, p. 36; Duquesne Light St. No. 9-R, p. 5.  Duquesne Light disagrees because it require</w:t>
      </w:r>
      <w:r>
        <w:rPr>
          <w:lang w:val="en-US"/>
        </w:rPr>
        <w:t>s</w:t>
      </w:r>
      <w:r>
        <w:t xml:space="preserve"> the Company to provide unsecured credit to wholesale suppliers that do not have an investment grade credit rating</w:t>
      </w:r>
      <w:r>
        <w:rPr>
          <w:lang w:val="en-US"/>
        </w:rPr>
        <w:t xml:space="preserve">.  The Company contends it must </w:t>
      </w:r>
      <w:r>
        <w:t>limit the amount of unsecured credit provided to default service suppliers in order to protect customers in the event of supplier default.  Higher amounts of unsecured credit reduce, or even eliminate, the collateral that suppliers must post.  Therefore, higher amounts of unsecured credit provide less protection for default service customers against financial damage in the event of supplier default.  Duquesne Light St. No. 9-R, p. 6.</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Duquesne Light disagrees with Constellation’s argument that the pool of wholesale suppliers available to bid in default service RFPs may shrink if Duquesne Light does not revise its unsecured credit limits.  Duquesne Light St. No. 9-R, p. 7.  </w:t>
      </w:r>
      <w:r>
        <w:rPr>
          <w:lang w:val="en-US"/>
        </w:rPr>
        <w:t>The Company</w:t>
      </w:r>
      <w:r>
        <w:t xml:space="preserve"> explained there have been many solicitations for competitive supply in recent years, and it has been repeatedly confirmed that it is not necessary to provide unsecured credit to sub-investment grade entities in order to have robust participation.  Duquesne Light St. No. 9-R, pp. 7-8.  </w:t>
      </w:r>
      <w:r>
        <w:rPr>
          <w:lang w:val="en-US"/>
        </w:rPr>
        <w:t xml:space="preserve">Therefore, the Company argues </w:t>
      </w:r>
      <w:r>
        <w:t>Constellation’s proposal should not be adopted.</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 xml:space="preserve">Constellation argues it is not appropriate for Duquesne Light to include an “evergreen” clause in the “Definitions” section of the SMA for its Letter of Credit.  </w:t>
      </w:r>
    </w:p>
    <w:p w:rsidR="006D47C0" w:rsidRPr="00273026"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Duquesne Light </w:t>
      </w:r>
      <w:r>
        <w:rPr>
          <w:lang w:val="en-US"/>
        </w:rPr>
        <w:t>contends</w:t>
      </w:r>
      <w:r>
        <w:t xml:space="preserve"> Constellation’s argument may be a distinction without a difference in this proceeding</w:t>
      </w:r>
      <w:r>
        <w:rPr>
          <w:lang w:val="en-US"/>
        </w:rPr>
        <w:t>, as explained below</w:t>
      </w:r>
      <w:r>
        <w:t>:</w:t>
      </w:r>
    </w:p>
    <w:p w:rsidR="006D47C0" w:rsidRDefault="006D47C0" w:rsidP="00373E1F">
      <w:pPr>
        <w:pStyle w:val="BlockText"/>
        <w:spacing w:before="240" w:after="0"/>
        <w:jc w:val="left"/>
      </w:pPr>
      <w:r>
        <w:t xml:space="preserve">The term “evergreen” means that the Letter of Credit has an expiration date but automatically rolls over for indefinite periods until the issuing bank notifies the Company as the beneficiary of the Letter of Credit’s final expiration. The use of the term cements the issuing bank's obligation to keep the Letter of Credit in place so long as necessary to secure damages in the event that the EGS defaults at any point during the term of the contract and ensures also that the Letter of Credit cannot be canceled without notice to the Company.  </w:t>
      </w:r>
    </w:p>
    <w:p w:rsidR="006D47C0" w:rsidRDefault="006D47C0" w:rsidP="006D47C0">
      <w:pPr>
        <w:pStyle w:val="BlockText"/>
        <w:jc w:val="left"/>
      </w:pPr>
      <w:r>
        <w:t xml:space="preserve">The characterization “evergreen” in the “Definitions” section of the SMA of the Letter of Credit requires that the amounts authorized under the Letter of Credit remain continuously available up to the Aggregate Amount.  The issuing bank is required to maintain the available funds until notified by Duquesne Light that the Letter of Credit need not be extended even if that date would be 2015 or thereafter.  This also is consistent with the express terms of the Letter of Credit itself. </w:t>
      </w:r>
    </w:p>
    <w:p w:rsidR="00124745" w:rsidRDefault="00124745" w:rsidP="0009238E">
      <w:pPr>
        <w:pStyle w:val="BodyText2"/>
        <w:spacing w:after="0" w:line="240" w:lineRule="auto"/>
        <w:rPr>
          <w:lang w:val="en-US"/>
        </w:rPr>
      </w:pPr>
    </w:p>
    <w:p w:rsidR="006D47C0" w:rsidRDefault="006D47C0" w:rsidP="006D47C0">
      <w:pPr>
        <w:pStyle w:val="BodyText2"/>
        <w:spacing w:after="0" w:line="360" w:lineRule="auto"/>
        <w:rPr>
          <w:lang w:val="en-US"/>
        </w:rPr>
      </w:pPr>
      <w:r>
        <w:t xml:space="preserve">Duquesne Light St. No. 9-R, pp. 9-10.  </w:t>
      </w:r>
      <w:r>
        <w:rPr>
          <w:lang w:val="en-US"/>
        </w:rPr>
        <w:t>The</w:t>
      </w:r>
      <w:r>
        <w:t xml:space="preserve"> term “evergreen” in the definitions section of the SMA is consistent with the Letter of Credit itself.  For these reasons, Constellation’s proposal to remove the term “evergreen” from the SMA should be denied.</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In the SMA, Duquesne Light desig</w:t>
      </w:r>
      <w:r>
        <w:rPr>
          <w:lang w:val="en-US"/>
        </w:rPr>
        <w:t>nated</w:t>
      </w:r>
      <w:r>
        <w:t xml:space="preserve"> Pittsburgh as the appropriate venue for disputes arising under the contract.  </w:t>
      </w:r>
      <w:r>
        <w:rPr>
          <w:lang w:val="en-US"/>
        </w:rPr>
        <w:t>The Company contends its</w:t>
      </w:r>
      <w:r>
        <w:t xml:space="preserve"> territory is solely in and around Pittsburgh, Pennsylvania.  Suppliers that bid on RFPs for the default supply in the Company’s territory are choosing to do business with the customers in Pittsburgh, and to engage in commerce in Pittsburgh.  A venue designation of the city where the services are performed is reasonable and will allow Duquesne Light to minimize litigation fees in the event there is a dispute regarding the SMA.</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Constellation proposes Duquesne Light add language to its SMA addressing new PJM charges.  Constellation St. No. 1, p. 39.  </w:t>
      </w:r>
      <w:r>
        <w:rPr>
          <w:lang w:val="en-US"/>
        </w:rPr>
        <w:t>Duquesne Light</w:t>
      </w:r>
      <w:r>
        <w:t xml:space="preserve"> explained this language is unnecessary because Section 2.3 of the SMA clearly states the Buyer is responsible for future PJM charges assessed to network transmission customers, and Section 2.5 clearly states the Seller is responsible for any other changes in PJM products and pricing during the term of the SMA.  Duquesne Light St. No. 4-R, p. 32.</w:t>
      </w:r>
      <w:r>
        <w:rPr>
          <w:lang w:val="en-US"/>
        </w:rPr>
        <w:t xml:space="preserve">  Duquesne Light explains</w:t>
      </w:r>
      <w:r>
        <w:t xml:space="preserve"> it would be unwise to adopt this language</w:t>
      </w:r>
      <w:r>
        <w:rPr>
          <w:lang w:val="en-US"/>
        </w:rPr>
        <w:t xml:space="preserve"> because “[i</w:t>
      </w:r>
      <w:r>
        <w:t xml:space="preserve">t] would open the door for protracted litigation any time that PJM established a new charge, or any time that a PJM charge is changed enough to possibly be considered to be “new.”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2.</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8C513E">
      <w:pPr>
        <w:pStyle w:val="BodyText2"/>
        <w:spacing w:line="360" w:lineRule="auto"/>
        <w:ind w:left="1440"/>
      </w:pPr>
      <w:r>
        <w:t>OCA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3.</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firstLine="0"/>
        <w:rPr>
          <w:szCs w:val="24"/>
          <w:lang w:val="en-US"/>
        </w:rPr>
      </w:pPr>
      <w:r>
        <w:rPr>
          <w:szCs w:val="24"/>
          <w:lang w:val="en-US"/>
        </w:rPr>
        <w:tab/>
      </w:r>
      <w:r>
        <w:rPr>
          <w:szCs w:val="24"/>
          <w:lang w:val="en-US"/>
        </w:rPr>
        <w:tab/>
        <w:t>RESA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4.</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5.</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6.</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7.</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line="360" w:lineRule="auto"/>
        <w:rPr>
          <w:lang w:val="en-US"/>
        </w:rPr>
      </w:pPr>
      <w:r>
        <w:rPr>
          <w:lang w:val="en-US"/>
        </w:rPr>
        <w:tab/>
      </w:r>
      <w:r>
        <w:rPr>
          <w:lang w:val="en-US"/>
        </w:rPr>
        <w:tab/>
        <w:t>DII</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8.</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9.</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FirstLine5DS"/>
        <w:spacing w:line="360" w:lineRule="auto"/>
        <w:jc w:val="left"/>
      </w:pPr>
      <w:r>
        <w:tab/>
        <w:t xml:space="preserve">FES initially had concerns with Section 12.1(h) of Duquesne Light’s initially proposed SMA, which contained a cross default provision under which an event of default would occur with a supplier’s default on unrelated debt in the aggregate amount of $50,000,000.  FES strongly urged that the provision be deleted altogether, or at the very least the threshold be revised from $50,000,000 to 5% of TNW, which is in line with the industry standard for these provisions and still provides Duquesne Light the ability to measure counterparty creditworthiness.  In response, Duquesne Light proposed that the Section 12.1(h) cross default threshold be set at the lower of $100,000,000 or 5% TNW.  </w:t>
      </w:r>
      <w:r>
        <w:rPr>
          <w:bCs/>
        </w:rPr>
        <w:t>Duquesne Light St. No. 9-R at 2-4.  While FES continues to believe that the fixed $100,000,000 threshold is unnecessary, it can accept Duquesne Light’s proposed revision to Section 12.1(h) of the SMA.</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10.</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tabs>
          <w:tab w:val="left" w:pos="720"/>
        </w:tabs>
        <w:spacing w:line="360" w:lineRule="auto"/>
      </w:pPr>
      <w:r>
        <w:tab/>
      </w:r>
      <w:r>
        <w:tab/>
        <w:t>The Joint Suppliers herein argue for three particular items proposed by Constellation, “in order to encourage the most robust participation in the DSP’s [requests for proposals (“RFPs”)].”</w:t>
      </w:r>
      <w:r>
        <w:rPr>
          <w:rStyle w:val="FootnoteReference"/>
        </w:rPr>
        <w:footnoteReference w:id="239"/>
      </w:r>
      <w:r>
        <w:t xml:space="preserve">  Specifically, the Joint Suppliers ask that the Commission order Duquesne Light to revise the SMA to:  (1) include other EDCs’ more appropriate unsecured credit thresholds or, at a minimum, the thresholds used in the SMA approved for use by Duquesne Light in its previous Default Service Plan (the “Prior SMA”); and (2) as agreed to by Duquesne Light, and as included in the Prior SMA, reinsert the terms, “, if any” after “with respect to Seller’s Guarantor” in SMA Section 12.1(j).  In addition, the Commission should note Duquesne Light’s clarification regarding the allocation of “PJM Customer Payment Defaults” between the EDC and the DS Supplier, as noted in the SMA’s Sample PJM Invoice.  </w:t>
      </w:r>
    </w:p>
    <w:p w:rsidR="006D47C0" w:rsidRDefault="006D47C0" w:rsidP="006D47C0">
      <w:pPr>
        <w:tabs>
          <w:tab w:val="left" w:pos="720"/>
        </w:tabs>
        <w:spacing w:line="360" w:lineRule="auto"/>
      </w:pPr>
      <w:r>
        <w:tab/>
      </w:r>
      <w:r>
        <w:tab/>
        <w:t>The Joint Suppliers argue their suggested improvements to the wholesale supply documents will ensure that Duquesne Light’s DSP meets the requirements of Act 129, allowing the DSP to solicit and obtain contracts for the least cost generation supply on a long-term, short-term and spot market basis.  The Joint Suppliers point out that Requirement 3 of Act 129 requires that the “prudent mix” of supply contracts in a Default Service Plan “shall be designed to ensure” (a) “adequate and reliable service,” (b) “the least cost to customers over time,” and (c) “compliance with the requirements of Paragraph (3.1)”</w:t>
      </w:r>
      <w:r>
        <w:rPr>
          <w:rStyle w:val="FootnoteReference"/>
        </w:rPr>
        <w:footnoteReference w:id="240"/>
      </w:r>
      <w:r>
        <w:t xml:space="preserve">  Moreover, with respect to Requirement 3(b), Act 129 lays out that “</w:t>
      </w:r>
      <w:r>
        <w:rPr>
          <w:i/>
        </w:rPr>
        <w:t>in determining if the [DSP] obtains generation supply at the least cost</w:t>
      </w:r>
      <w:r>
        <w:t>,” the Commission must make three specific findings, including that the Default Service Plan includes “prudent steps” necessary to (i) “negotiate favorable generation supply contracts,” and (ii) “obtain least cost generation supply contracts on a long-term, short-term and spot market basis.”</w:t>
      </w:r>
      <w:r>
        <w:rPr>
          <w:rStyle w:val="FootnoteReference"/>
        </w:rPr>
        <w:footnoteReference w:id="241"/>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In order to evaluate whether the procurement methods in the DSP will result in least cost generation supply on a long-term, short-term and spot market basis, the competitive structure provides appropriate answers.  In each case Duquesne Light has designed the competitive bid procurement structure such that winning bidders are able to be determined on the basis of “least cost” alone, eliminating the need to make determinations regarding bids based on other less objective criteria.</w:t>
      </w:r>
      <w:r>
        <w:rPr>
          <w:lang w:val="en-US"/>
        </w:rPr>
        <w:t xml:space="preserve">  </w:t>
      </w:r>
      <w:r>
        <w:t>When properly structured to allow for a broad potential pool of bidders, competitive procurements will allow Duquesne Light to obtain competitively-priced, favorable generation contracts.  The record is clear that the greater the competition in Duquesne Light’s procurements, the more likely it is that such procurements will result in the “least cost” to Duquesne Light’s consumers.</w:t>
      </w:r>
      <w:r>
        <w:rPr>
          <w:rStyle w:val="FootnoteReference"/>
        </w:rPr>
        <w:footnoteReference w:id="242"/>
      </w:r>
      <w:r>
        <w:t xml:space="preserve">  In this way, in making its Act 129-mandated specific findings under Requirement 3(b), the Commission must also make a finding that the DSP will encourage greater competition.</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The Joint Suppliers contend t</w:t>
      </w:r>
      <w:r>
        <w:t>he Commission</w:t>
      </w:r>
      <w:r>
        <w:rPr>
          <w:lang w:val="en-US"/>
        </w:rPr>
        <w:t xml:space="preserve"> </w:t>
      </w:r>
      <w:r>
        <w:t>confirmed this requirement in its June 2009 Order regarding PPL Electric’s Default Service Plan</w:t>
      </w:r>
      <w:r>
        <w:rPr>
          <w:lang w:val="en-US"/>
        </w:rPr>
        <w:t>, when it st</w:t>
      </w:r>
      <w:r>
        <w:t>ated specifically that: “provisions that enhance competitive bidding provide tangible and current benefits to Pennsylvania electricity customers,”</w:t>
      </w:r>
      <w:r>
        <w:rPr>
          <w:rStyle w:val="FootnoteReference"/>
        </w:rPr>
        <w:footnoteReference w:id="243"/>
      </w:r>
      <w:r>
        <w:t xml:space="preserve"> “a DSP must include prudent steps necessary to obtain ‘least cost generation supply contracts,’” and provisions of a DSP “must be structured so as to encourage greater competition.”</w:t>
      </w:r>
      <w:r>
        <w:rPr>
          <w:rStyle w:val="FootnoteReference"/>
        </w:rPr>
        <w:footnoteReference w:id="244"/>
      </w:r>
      <w:r>
        <w:rPr>
          <w:lang w:val="en-US"/>
        </w:rPr>
        <w:t xml:space="preserve">  </w:t>
      </w:r>
      <w:r>
        <w:t>Failure to adopt the Joint Suppliers’ proposed improvements to the SMA will cause harm to consumers by impairing the DSP’s ability to obtain generation supply at the least cost.  Therefore, adopting Joint Suppliers’ proposed improvements to the DSP will be in the public interest.</w:t>
      </w:r>
    </w:p>
    <w:p w:rsidR="006D47C0" w:rsidRDefault="006D47C0" w:rsidP="006D47C0">
      <w:pPr>
        <w:pStyle w:val="BodyText2"/>
        <w:spacing w:after="0" w:line="360" w:lineRule="auto"/>
      </w:pPr>
    </w:p>
    <w:p w:rsidR="006D47C0" w:rsidRDefault="006D47C0" w:rsidP="006D47C0">
      <w:pPr>
        <w:tabs>
          <w:tab w:val="left" w:pos="720"/>
        </w:tabs>
        <w:spacing w:line="360" w:lineRule="auto"/>
      </w:pPr>
      <w:r>
        <w:tab/>
      </w:r>
      <w:r>
        <w:tab/>
        <w:t>As offered in Constellation’s testimony in this proceeding, the Joint Suppliers support a clarification by Duquesne Light regarding the allocation of “PJM Customer Payment Defaults” between the EDC and the DS Supplier, as noted in the SMA’s Sample PJM Invoice.</w:t>
      </w:r>
      <w:r>
        <w:rPr>
          <w:rStyle w:val="FootnoteReference"/>
        </w:rPr>
        <w:footnoteReference w:id="245"/>
      </w:r>
      <w:r>
        <w:t xml:space="preserve">  Duquesne Light provided such a clarification, explaining that:</w:t>
      </w:r>
    </w:p>
    <w:p w:rsidR="006D47C0" w:rsidRDefault="006D47C0" w:rsidP="006D47C0">
      <w:pPr>
        <w:spacing w:after="240"/>
        <w:ind w:left="1080" w:right="1080"/>
      </w:pPr>
      <w:r>
        <w:t>[S]ince Customer Payment Default charges allocated by PJM to the DS Supplier subaccount will be based on transmission charges, it is logical that these charges be the responsibility of the Buyer and will continue to be recovered through the TSC . . . . In addition, DS Suppliers have their own account with PJM in which they incur other charges as an LSE . . . . Therefore, both the Buyer and Seller are responsible for a share of the Customer Payment Default charges as stated in Exhibit D of the SMA.</w:t>
      </w:r>
      <w:r>
        <w:rPr>
          <w:rStyle w:val="FootnoteReference"/>
        </w:rPr>
        <w:footnoteReference w:id="246"/>
      </w:r>
      <w:r>
        <w:t xml:space="preserve">  </w:t>
      </w:r>
    </w:p>
    <w:p w:rsidR="006D47C0" w:rsidRDefault="006D47C0" w:rsidP="006D47C0">
      <w:pPr>
        <w:tabs>
          <w:tab w:val="left" w:pos="720"/>
        </w:tabs>
        <w:spacing w:line="360" w:lineRule="auto"/>
      </w:pPr>
      <w:r>
        <w:t>The Joint Suppliers are generally satisfied with Duquesne Light’s response on this item and ask that the Commission take note of Duquesne Light’ clarification.</w:t>
      </w:r>
    </w:p>
    <w:p w:rsidR="006D47C0" w:rsidRDefault="006D47C0" w:rsidP="006D47C0">
      <w:pPr>
        <w:pStyle w:val="BodyText"/>
        <w:spacing w:after="0" w:line="360" w:lineRule="auto"/>
        <w:ind w:left="0" w:firstLine="0"/>
        <w:rPr>
          <w:szCs w:val="24"/>
          <w:lang w:val="en-US"/>
        </w:rPr>
      </w:pPr>
    </w:p>
    <w:p w:rsidR="006D47C0" w:rsidRPr="004E7112" w:rsidRDefault="006D47C0" w:rsidP="006D47C0">
      <w:pPr>
        <w:spacing w:line="360" w:lineRule="auto"/>
        <w:rPr>
          <w:b/>
          <w:color w:val="000000" w:themeColor="text1"/>
        </w:rPr>
      </w:pPr>
      <w:r w:rsidRPr="008F3889">
        <w:rPr>
          <w:b/>
        </w:rPr>
        <w:t>Disposition</w:t>
      </w:r>
      <w:r w:rsidRPr="00254738">
        <w:rPr>
          <w:b/>
        </w:rPr>
        <w:t xml:space="preserve"> </w:t>
      </w:r>
      <w:r w:rsidRPr="00254738">
        <w:t xml:space="preserve">- </w:t>
      </w:r>
      <w:r w:rsidRPr="004E7112">
        <w:rPr>
          <w:b/>
          <w:color w:val="000000" w:themeColor="text1"/>
        </w:rPr>
        <w:t>Supply Master Agreement Issues</w:t>
      </w:r>
    </w:p>
    <w:p w:rsidR="006D47C0" w:rsidRPr="004E7112" w:rsidRDefault="006D47C0" w:rsidP="006D47C0">
      <w:pPr>
        <w:spacing w:line="360" w:lineRule="auto"/>
        <w:rPr>
          <w:color w:val="000000" w:themeColor="text1"/>
        </w:rPr>
      </w:pPr>
    </w:p>
    <w:p w:rsidR="006D47C0" w:rsidRPr="004E7112" w:rsidRDefault="006D47C0" w:rsidP="006D47C0">
      <w:pPr>
        <w:spacing w:line="360" w:lineRule="auto"/>
        <w:rPr>
          <w:color w:val="000000" w:themeColor="text1"/>
        </w:rPr>
      </w:pPr>
      <w:r w:rsidRPr="004E7112">
        <w:rPr>
          <w:color w:val="000000" w:themeColor="text1"/>
        </w:rPr>
        <w:tab/>
      </w:r>
      <w:r w:rsidRPr="004E7112">
        <w:rPr>
          <w:color w:val="000000" w:themeColor="text1"/>
        </w:rPr>
        <w:tab/>
        <w:t xml:space="preserve">I recommend approval of Duquesne Light’s proposal to leave the SMA unchanged, however, I agree with the Joint Suppliers that the SMA should be modified at Section 12.1(j) to reinsert the terms, “,if any” after “with respect to Seller’s Guarantor.”  Duquesne Light agreed to reinsert this language in its Rebuttal testimony at Duquesne Light Statement 9-R.  I disagree with the Joint Suppliers’ proposal to include other EDCs’ unsecured credit threshold or to return to the threshold used in the Company’s previous default service plan.  </w:t>
      </w:r>
    </w:p>
    <w:p w:rsidR="006D47C0" w:rsidRDefault="006D47C0" w:rsidP="006D47C0">
      <w:pPr>
        <w:pStyle w:val="BodyText"/>
        <w:spacing w:after="0" w:line="360" w:lineRule="auto"/>
        <w:ind w:left="0" w:firstLine="0"/>
        <w:rPr>
          <w:szCs w:val="24"/>
          <w:lang w:val="en-US"/>
        </w:rPr>
      </w:pPr>
      <w:r>
        <w:rPr>
          <w:szCs w:val="24"/>
          <w:lang w:val="en-US"/>
        </w:rPr>
        <w:tab/>
      </w:r>
      <w:r>
        <w:rPr>
          <w:szCs w:val="24"/>
          <w:lang w:val="en-US"/>
        </w:rPr>
        <w:tab/>
      </w:r>
    </w:p>
    <w:p w:rsidR="006D47C0" w:rsidRPr="008F3889" w:rsidRDefault="006D47C0" w:rsidP="006D47C0">
      <w:pPr>
        <w:pStyle w:val="BriefL1"/>
        <w:numPr>
          <w:ilvl w:val="0"/>
          <w:numId w:val="0"/>
        </w:numPr>
        <w:spacing w:after="0" w:line="360" w:lineRule="auto"/>
        <w:jc w:val="left"/>
        <w:rPr>
          <w:szCs w:val="24"/>
        </w:rPr>
      </w:pPr>
      <w:r>
        <w:rPr>
          <w:szCs w:val="24"/>
        </w:rPr>
        <w:t>G</w:t>
      </w:r>
      <w:r w:rsidRPr="00265AAB">
        <w:rPr>
          <w:szCs w:val="24"/>
        </w:rPr>
        <w:t>.</w:t>
      </w:r>
      <w:r w:rsidRPr="00265AAB">
        <w:rPr>
          <w:szCs w:val="24"/>
        </w:rPr>
        <w:tab/>
      </w:r>
      <w:r w:rsidRPr="008F3889">
        <w:rPr>
          <w:caps w:val="0"/>
          <w:szCs w:val="24"/>
        </w:rPr>
        <w:t>Data/Electric Generation Supply Coordination Issues</w:t>
      </w:r>
      <w:r w:rsidRPr="008F3889">
        <w:rPr>
          <w:caps w:val="0"/>
          <w:szCs w:val="24"/>
        </w:rPr>
        <w:fldChar w:fldCharType="begin"/>
      </w:r>
      <w:r w:rsidRPr="008F3889">
        <w:rPr>
          <w:szCs w:val="24"/>
        </w:rPr>
        <w:instrText xml:space="preserve"> TC "A.</w:instrText>
      </w:r>
      <w:r w:rsidRPr="008F3889">
        <w:rPr>
          <w:szCs w:val="24"/>
        </w:rPr>
        <w:tab/>
        <w:instrText>D</w:instrText>
      </w:r>
      <w:r w:rsidRPr="008F3889">
        <w:rPr>
          <w:caps w:val="0"/>
          <w:szCs w:val="24"/>
        </w:rPr>
        <w:instrText>efault Service Procurement and Implementation Plans</w:instrText>
      </w:r>
      <w:r w:rsidRPr="008F3889">
        <w:rPr>
          <w:szCs w:val="24"/>
        </w:rPr>
        <w:instrText xml:space="preserve">" \f C \l "2" </w:instrText>
      </w:r>
      <w:r w:rsidRPr="008F3889">
        <w:rPr>
          <w:caps w:val="0"/>
          <w:szCs w:val="24"/>
        </w:rPr>
        <w:fldChar w:fldCharType="end"/>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rPr>
          <w:b/>
          <w:szCs w:val="24"/>
        </w:rPr>
      </w:pPr>
      <w:r>
        <w:rPr>
          <w:b/>
          <w:szCs w:val="24"/>
        </w:rPr>
        <w:t>1.</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In direct testimony, Constellation argued that Duquesne Light should make certain data and EGS coordination changes in this proceeding.  Constellation St. No. 1, Attachment 1.  These changes included:</w:t>
      </w:r>
    </w:p>
    <w:p w:rsidR="00684EEC" w:rsidRPr="00684EEC" w:rsidRDefault="00684EEC" w:rsidP="00684EEC">
      <w:pPr>
        <w:pStyle w:val="BodyText2"/>
        <w:spacing w:after="0" w:line="240" w:lineRule="auto"/>
        <w:rPr>
          <w:lang w:val="en-US"/>
        </w:rPr>
      </w:pPr>
    </w:p>
    <w:p w:rsidR="006D47C0" w:rsidRDefault="006D47C0" w:rsidP="006D47C0">
      <w:pPr>
        <w:pStyle w:val="BodyText2"/>
        <w:numPr>
          <w:ilvl w:val="0"/>
          <w:numId w:val="18"/>
        </w:numPr>
        <w:spacing w:after="0" w:line="240" w:lineRule="auto"/>
        <w:ind w:left="2160" w:hanging="720"/>
        <w:rPr>
          <w:lang w:val="en-US"/>
        </w:rPr>
      </w:pPr>
      <w:r>
        <w:t>Discontinuing the practice of requiring EGSs to send signed copies of Letters of Authority prior to receiving access to customer data;</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Implementing EDI capabilities for EGS requests for access to customer data;</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Adopting an EDI process for notifying an EGS that a net meter is present;</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Refraining from collecting PJM residual charges through EDI transactions;</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Remitting actual charges to EGSs rather than budget billing charges;</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 xml:space="preserve">Offering EGSs the option for bill ready billing; </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Building into the Company’s system the ability to accept and manage multiple EGS scheduling coordinators and DUNS numbers, without charging EGSs’ administrative fees; and</w:t>
      </w:r>
    </w:p>
    <w:p w:rsidR="006D47C0" w:rsidRPr="00190C50" w:rsidRDefault="006D47C0" w:rsidP="006D47C0">
      <w:pPr>
        <w:pStyle w:val="BodyText2"/>
        <w:spacing w:after="0" w:line="240" w:lineRule="auto"/>
        <w:ind w:left="1800"/>
        <w:rPr>
          <w:lang w:val="en-US"/>
        </w:rPr>
      </w:pPr>
    </w:p>
    <w:p w:rsidR="006D47C0" w:rsidRDefault="006D47C0" w:rsidP="006D47C0">
      <w:pPr>
        <w:pStyle w:val="BodyText2"/>
        <w:numPr>
          <w:ilvl w:val="0"/>
          <w:numId w:val="18"/>
        </w:numPr>
        <w:spacing w:after="0" w:line="240" w:lineRule="auto"/>
        <w:ind w:left="2160" w:hanging="720"/>
        <w:rPr>
          <w:lang w:val="en-US"/>
        </w:rPr>
      </w:pPr>
      <w:r>
        <w:t>Providing customer sync lists to all customers at no charge.</w:t>
      </w:r>
    </w:p>
    <w:p w:rsidR="006D47C0" w:rsidRDefault="006D47C0" w:rsidP="006D47C0">
      <w:pPr>
        <w:pStyle w:val="ListParagraph"/>
      </w:pPr>
    </w:p>
    <w:p w:rsidR="006D47C0" w:rsidRDefault="006D47C0" w:rsidP="006D47C0">
      <w:pPr>
        <w:pStyle w:val="BodyText2"/>
        <w:spacing w:after="0" w:line="240" w:lineRule="auto"/>
        <w:rPr>
          <w:lang w:val="en-US"/>
        </w:rPr>
      </w:pPr>
      <w:r>
        <w:t xml:space="preserve">See Constellation St. No. 1, Attachment 1.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rPr>
          <w:lang w:val="en-US"/>
        </w:rPr>
      </w:pPr>
      <w:r>
        <w:rPr>
          <w:lang w:val="en-US"/>
        </w:rPr>
        <w:tab/>
      </w:r>
      <w:r>
        <w:rPr>
          <w:lang w:val="en-US"/>
        </w:rPr>
        <w:tab/>
      </w:r>
      <w:r>
        <w:t>In Rebuttal Testimony, Duquesne Light offered clarification and additional explanation regarding these issues.  Based upon Constellation’s Surrebuttal Testimony, Constellation accepts Duquesne Light’s clarification or explanation with respect to Issues</w:t>
      </w:r>
      <w:r>
        <w:rPr>
          <w:lang w:val="en-US"/>
        </w:rPr>
        <w:t> </w:t>
      </w:r>
      <w:r>
        <w:t>1,</w:t>
      </w:r>
      <w:r>
        <w:rPr>
          <w:lang w:val="en-US"/>
        </w:rPr>
        <w:t> </w:t>
      </w:r>
      <w:r>
        <w:t>7</w:t>
      </w:r>
      <w:r>
        <w:rPr>
          <w:lang w:val="en-US"/>
        </w:rPr>
        <w:t> </w:t>
      </w:r>
      <w:r>
        <w:t xml:space="preserve">and 8.  However, Constellation argues Duquesne Light should commit to adopt Constellation’s other proposals when the Company implements its new billing system.  Constellation St. No. 1-SR, p. 15.  </w:t>
      </w:r>
      <w:r>
        <w:rPr>
          <w:lang w:val="en-US"/>
        </w:rPr>
        <w:t>The C</w:t>
      </w:r>
      <w:r>
        <w:t xml:space="preserve">ompany disagrees with Constellation’s argument </w:t>
      </w:r>
      <w:r>
        <w:rPr>
          <w:lang w:val="en-US"/>
        </w:rPr>
        <w:t>concerning</w:t>
      </w:r>
      <w:r>
        <w:t xml:space="preserve"> the outstanding Issues 2-6.</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t xml:space="preserve">Duquesne Light contends </w:t>
      </w:r>
      <w:r>
        <w:t xml:space="preserve">Issue </w:t>
      </w:r>
      <w:r>
        <w:rPr>
          <w:lang w:val="en-US"/>
        </w:rPr>
        <w:t xml:space="preserve">Nos. </w:t>
      </w:r>
      <w:r>
        <w:t xml:space="preserve">2 and 3 involve Electronic Data Interchange (“EDI”) issues.  </w:t>
      </w:r>
      <w:r>
        <w:rPr>
          <w:lang w:val="en-US"/>
        </w:rPr>
        <w:t>Duquesne Light explains</w:t>
      </w:r>
      <w:r>
        <w:t xml:space="preserve"> the Company works with the Commission EDEWG leadership team to address EDI issues.  Duquesne Light St. No. 6-R, p. 8.  EDI issues raised by Constellation are better addressed through the specialized EDEWG team than in this proceeding because any related issues or problems can be addressed by a team with specialized knowledge.</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With respect to </w:t>
      </w:r>
      <w:r>
        <w:rPr>
          <w:lang w:val="en-US"/>
        </w:rPr>
        <w:t>I</w:t>
      </w:r>
      <w:r>
        <w:t xml:space="preserve">ssue </w:t>
      </w:r>
      <w:r>
        <w:rPr>
          <w:lang w:val="en-US"/>
        </w:rPr>
        <w:t xml:space="preserve">No. </w:t>
      </w:r>
      <w:r>
        <w:t xml:space="preserve">4, </w:t>
      </w:r>
      <w:r>
        <w:rPr>
          <w:lang w:val="en-US"/>
        </w:rPr>
        <w:t>the Company</w:t>
      </w:r>
      <w:r>
        <w:t xml:space="preserve"> explained </w:t>
      </w:r>
      <w:r>
        <w:rPr>
          <w:lang w:val="en-US"/>
        </w:rPr>
        <w:t>its</w:t>
      </w:r>
      <w:r>
        <w:t xml:space="preserve"> new CIS system eliminates the collection of PJM residual amounts through EDI transactions and this </w:t>
      </w:r>
      <w:r>
        <w:rPr>
          <w:lang w:val="en-US"/>
        </w:rPr>
        <w:t xml:space="preserve">system </w:t>
      </w:r>
      <w:r>
        <w:t>will be implemented prior to June 1, 2013.  Duquesne Light St. No. 6-R, p. 9.</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With respect to Issue </w:t>
      </w:r>
      <w:r>
        <w:rPr>
          <w:lang w:val="en-US"/>
        </w:rPr>
        <w:t xml:space="preserve">No. </w:t>
      </w:r>
      <w:r>
        <w:t xml:space="preserve">5, </w:t>
      </w:r>
      <w:r>
        <w:rPr>
          <w:lang w:val="en-US"/>
        </w:rPr>
        <w:t>Duquesne Light</w:t>
      </w:r>
      <w:r>
        <w:t xml:space="preserve"> explained </w:t>
      </w:r>
      <w:r>
        <w:rPr>
          <w:lang w:val="en-US"/>
        </w:rPr>
        <w:t>its</w:t>
      </w:r>
      <w:r>
        <w:t xml:space="preserve"> plans to replace its existing CIS and CC&amp;B system during the second quarter of 2013.  The new CIS </w:t>
      </w:r>
      <w:r>
        <w:rPr>
          <w:lang w:val="en-US"/>
        </w:rPr>
        <w:t xml:space="preserve">system will </w:t>
      </w:r>
      <w:r>
        <w:t>provide enhanced functionality where customers will affirmatively elect to join the budget billing program, and once they elect, they will only have the option to pay the budget bill every month.  Duquesne Light St. No. 6-R, p. 10.  This change in policy should alleviate the problems the suppliers are facing with this issue.</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 xml:space="preserve">With respect to Issue </w:t>
      </w:r>
      <w:r>
        <w:rPr>
          <w:lang w:val="en-US"/>
        </w:rPr>
        <w:t xml:space="preserve">No. </w:t>
      </w:r>
      <w:r>
        <w:t xml:space="preserve">6, Duquesne Light would incur substantial costs to implement Bill Ready functionality in its existing CIS.  This new CC&amp;B system will be Bill </w:t>
      </w:r>
      <w:r>
        <w:rPr>
          <w:lang w:val="en-US"/>
        </w:rPr>
        <w:t>R</w:t>
      </w:r>
      <w:r>
        <w:t>eady capable but the functionality will not be available upon implementation because it was not part of the scope of the initial project.  Additional system development work cannot begin until the new CIS is implemented and operating seamlessly.  Therefore, this functionality</w:t>
      </w:r>
      <w:r>
        <w:rPr>
          <w:lang w:val="en-US"/>
        </w:rPr>
        <w:t xml:space="preserve"> – </w:t>
      </w:r>
      <w:r>
        <w:t>which requires significant EDI mapping and COS integration work –</w:t>
      </w:r>
      <w:r>
        <w:rPr>
          <w:lang w:val="en-US"/>
        </w:rPr>
        <w:t xml:space="preserve"> </w:t>
      </w:r>
      <w:r>
        <w:t>cannot be implemented until 2014.  Duquesne Light St. No. 6-R, p. 11.  Given the substantial costs and work involved in this project, it is premature for Duquesne Light to commit to it at this time.</w:t>
      </w:r>
    </w:p>
    <w:p w:rsidR="006D47C0" w:rsidRDefault="006D47C0" w:rsidP="006D47C0">
      <w:pPr>
        <w:pStyle w:val="BodyText"/>
        <w:spacing w:after="0" w:line="360" w:lineRule="auto"/>
        <w:ind w:left="0" w:firstLine="0"/>
        <w:rPr>
          <w:szCs w:val="24"/>
          <w:lang w:val="en-US"/>
        </w:rPr>
      </w:pPr>
    </w:p>
    <w:p w:rsidR="00592916" w:rsidRDefault="00592916"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2.</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3.</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
        <w:spacing w:after="0" w:line="360" w:lineRule="auto"/>
        <w:ind w:left="0" w:firstLine="0"/>
        <w:rPr>
          <w:szCs w:val="24"/>
          <w:lang w:val="en-US"/>
        </w:rPr>
      </w:pPr>
      <w:r>
        <w:rPr>
          <w:szCs w:val="24"/>
          <w:lang w:val="en-US"/>
        </w:rPr>
        <w:tab/>
      </w:r>
      <w:r>
        <w:rPr>
          <w:szCs w:val="24"/>
          <w:lang w:val="en-US"/>
        </w:rPr>
        <w:tab/>
        <w:t>RESA takes no position on this issue.</w:t>
      </w:r>
    </w:p>
    <w:p w:rsidR="006D47C0" w:rsidRDefault="006D47C0" w:rsidP="006D47C0">
      <w:pPr>
        <w:pStyle w:val="ListParagraph"/>
        <w:autoSpaceDE/>
        <w:autoSpaceDN/>
        <w:spacing w:line="360" w:lineRule="auto"/>
        <w:ind w:left="0"/>
      </w:pP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4.</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5.</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rPr>
          <w:b/>
          <w:szCs w:val="24"/>
        </w:rPr>
      </w:pPr>
    </w:p>
    <w:p w:rsidR="006D47C0" w:rsidRDefault="006D47C0" w:rsidP="006D47C0">
      <w:pPr>
        <w:pStyle w:val="BriefL3"/>
        <w:numPr>
          <w:ilvl w:val="0"/>
          <w:numId w:val="0"/>
        </w:numPr>
        <w:spacing w:after="0" w:line="360" w:lineRule="auto"/>
        <w:ind w:firstLine="720"/>
        <w:rPr>
          <w:b/>
          <w:szCs w:val="24"/>
        </w:rPr>
      </w:pPr>
      <w:r>
        <w:rPr>
          <w:b/>
          <w:szCs w:val="24"/>
        </w:rPr>
        <w:t>6.</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7.</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8.</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rPr>
          <w:lang w:val="en-US"/>
        </w:rPr>
      </w:pPr>
      <w:r>
        <w:rPr>
          <w:lang w:val="en-US"/>
        </w:rPr>
        <w:tab/>
      </w:r>
      <w:r>
        <w:rPr>
          <w:lang w:val="en-US"/>
        </w:rPr>
        <w:tab/>
        <w:t>EGS Parties take</w:t>
      </w:r>
      <w:r>
        <w:t xml:space="preserve"> no position on this issue.</w:t>
      </w:r>
    </w:p>
    <w:p w:rsidR="006D47C0" w:rsidRDefault="006D47C0" w:rsidP="006D47C0">
      <w:pPr>
        <w:pStyle w:val="BriefL3"/>
        <w:numPr>
          <w:ilvl w:val="0"/>
          <w:numId w:val="0"/>
        </w:numPr>
        <w:spacing w:after="0" w:line="360" w:lineRule="auto"/>
        <w:ind w:firstLine="720"/>
        <w:rPr>
          <w:b/>
          <w:szCs w:val="24"/>
        </w:rPr>
      </w:pPr>
      <w:r>
        <w:rPr>
          <w:b/>
          <w:szCs w:val="24"/>
        </w:rPr>
        <w:t>9.</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10.</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tabs>
          <w:tab w:val="left" w:pos="720"/>
        </w:tabs>
        <w:spacing w:line="360" w:lineRule="auto"/>
      </w:pPr>
      <w:r>
        <w:tab/>
      </w:r>
      <w:r>
        <w:tab/>
        <w:t>The Joint Suppliers contend Duquesne Light must address questions/concerns regarding EGS coordination, and EGS data and customer access, because “[b]y addressing these types of concerns, customers who wish to shop will have a more seamless and less burdensome path to enrolling with an EGS, “EGSs will have greater certainty regarding the EDC’s processes, as well as the data and information that will be made available,” and “EGSs will be better able to provide services to prospective customers, meet the needs of existing customers, and manage their businesses.”</w:t>
      </w:r>
      <w:r>
        <w:rPr>
          <w:rStyle w:val="FootnoteReference"/>
        </w:rPr>
        <w:footnoteReference w:id="247"/>
      </w:r>
      <w:r>
        <w:t xml:space="preserve">  </w:t>
      </w:r>
    </w:p>
    <w:p w:rsidR="006D47C0" w:rsidRDefault="006D47C0" w:rsidP="006D47C0">
      <w:pPr>
        <w:tabs>
          <w:tab w:val="left" w:pos="720"/>
        </w:tabs>
        <w:spacing w:line="360" w:lineRule="auto"/>
      </w:pPr>
      <w:r>
        <w:tab/>
      </w:r>
    </w:p>
    <w:p w:rsidR="006D47C0" w:rsidRDefault="006D47C0" w:rsidP="006D47C0">
      <w:pPr>
        <w:tabs>
          <w:tab w:val="left" w:pos="720"/>
        </w:tabs>
        <w:spacing w:line="360" w:lineRule="auto"/>
      </w:pPr>
      <w:r>
        <w:tab/>
      </w:r>
      <w:r>
        <w:tab/>
        <w:t xml:space="preserve">Specifically, the Joint Suppliers ask the Commission to order Duquesne Light to:  (1) as required by the Commission on August 20, 2010, discontinue the practice of requiring EGSs to send to the EDC copies of signed Letters of Authority (“LOAs”) prior to providing access to necessary customer data; (2) remit to EGSs </w:t>
      </w:r>
      <w:r>
        <w:rPr>
          <w:i/>
        </w:rPr>
        <w:t xml:space="preserve">actual </w:t>
      </w:r>
      <w:r>
        <w:t xml:space="preserve">dollars charged to a customer, rather than only budget billing charges that a customer elects to pay to the EDC; (3) as agreed to by Duquesne Light, order the EDC to build into its new system the capability to accept and manage up to five EGS Scheduling Coordinators and DUNS numbers per EGS, without charging the EGS additional administrative fees for such functionality; and (4) given that the DSP being considered in this proceeding has a term that runs through 2015, order Duquesne Light to commit to certain proposals that Duquense Light states cannot be implemented prior to 2014.  </w:t>
      </w:r>
    </w:p>
    <w:p w:rsidR="006D47C0" w:rsidRDefault="006D47C0" w:rsidP="006D47C0">
      <w:pPr>
        <w:tabs>
          <w:tab w:val="left" w:pos="720"/>
        </w:tabs>
        <w:spacing w:line="360" w:lineRule="auto"/>
      </w:pPr>
    </w:p>
    <w:p w:rsidR="006D47C0" w:rsidRDefault="006D47C0" w:rsidP="006D47C0">
      <w:pPr>
        <w:tabs>
          <w:tab w:val="left" w:pos="720"/>
        </w:tabs>
        <w:spacing w:line="360" w:lineRule="auto"/>
      </w:pPr>
      <w:r>
        <w:tab/>
      </w:r>
      <w:r>
        <w:tab/>
        <w:t>In addition, the Joint Suppliers ask that the Commission note Duquesne Light’s clarifications/explanations regarding several additional EGS coordination and data access issues raised by Constellation in its testimony.  Addressing these concerns will assist in allowing an EGS to provide a prospective customer with a competitive offer for electric service, check the enrollment status of a new customer, and perform other functions designed to better serve potential and existing customers.</w:t>
      </w:r>
      <w:r>
        <w:rPr>
          <w:rStyle w:val="FootnoteReference"/>
        </w:rPr>
        <w:footnoteReference w:id="248"/>
      </w:r>
    </w:p>
    <w:p w:rsidR="006D47C0" w:rsidRDefault="006D47C0" w:rsidP="006D47C0">
      <w:pPr>
        <w:tabs>
          <w:tab w:val="left" w:pos="720"/>
        </w:tabs>
        <w:spacing w:line="360" w:lineRule="auto"/>
      </w:pPr>
    </w:p>
    <w:p w:rsidR="006D47C0" w:rsidRDefault="006D47C0" w:rsidP="006D47C0">
      <w:pPr>
        <w:tabs>
          <w:tab w:val="left" w:pos="720"/>
        </w:tabs>
        <w:spacing w:line="360" w:lineRule="auto"/>
      </w:pPr>
      <w:r>
        <w:tab/>
      </w:r>
      <w:r>
        <w:tab/>
        <w:t>Failure to address such issues, however, will cause unnecessary delays and overly burdensome administrative costs and processes that can affect an EGS’s ability to contract with customers, render invoices, and provide other services to consumers.</w:t>
      </w:r>
      <w:r>
        <w:rPr>
          <w:rStyle w:val="FootnoteReference"/>
        </w:rPr>
        <w:footnoteReference w:id="249"/>
      </w:r>
      <w:r>
        <w:t xml:space="preserve">  Therefore, addressing the Joint Suppliers’ concerns regarding EGS data/access improvements will be in the public interest.</w:t>
      </w:r>
    </w:p>
    <w:p w:rsidR="006D47C0" w:rsidRPr="009B2349" w:rsidRDefault="006D47C0" w:rsidP="006D47C0">
      <w:pPr>
        <w:pStyle w:val="BodyText2"/>
        <w:spacing w:line="240" w:lineRule="auto"/>
      </w:pPr>
    </w:p>
    <w:p w:rsidR="006D47C0" w:rsidRPr="004E7112" w:rsidRDefault="006D47C0" w:rsidP="006D47C0">
      <w:pPr>
        <w:spacing w:line="360" w:lineRule="auto"/>
        <w:rPr>
          <w:b/>
          <w:color w:val="000000" w:themeColor="text1"/>
        </w:rPr>
      </w:pPr>
      <w:r w:rsidRPr="00774983">
        <w:rPr>
          <w:b/>
        </w:rPr>
        <w:t>Disposition</w:t>
      </w:r>
      <w:r w:rsidRPr="004D4363">
        <w:rPr>
          <w:b/>
          <w:color w:val="000000" w:themeColor="text1"/>
        </w:rPr>
        <w:t xml:space="preserve"> </w:t>
      </w:r>
      <w:r w:rsidRPr="004D4363">
        <w:rPr>
          <w:color w:val="000000" w:themeColor="text1"/>
        </w:rPr>
        <w:t>-</w:t>
      </w:r>
      <w:r>
        <w:rPr>
          <w:b/>
          <w:color w:val="000000" w:themeColor="text1"/>
        </w:rPr>
        <w:t xml:space="preserve"> </w:t>
      </w:r>
      <w:r w:rsidRPr="004E7112">
        <w:rPr>
          <w:b/>
          <w:color w:val="000000" w:themeColor="text1"/>
        </w:rPr>
        <w:t>Data/Electric Generation Supply Coordination Issue</w:t>
      </w:r>
    </w:p>
    <w:p w:rsidR="006D47C0" w:rsidRPr="004E7112" w:rsidRDefault="006D47C0" w:rsidP="006D47C0">
      <w:pPr>
        <w:spacing w:line="360" w:lineRule="auto"/>
        <w:rPr>
          <w:color w:val="000000" w:themeColor="text1"/>
        </w:rPr>
      </w:pPr>
    </w:p>
    <w:p w:rsidR="006D47C0" w:rsidRPr="004E7112" w:rsidRDefault="006D47C0" w:rsidP="006D47C0">
      <w:pPr>
        <w:tabs>
          <w:tab w:val="left" w:pos="720"/>
        </w:tabs>
        <w:spacing w:line="360" w:lineRule="auto"/>
        <w:rPr>
          <w:color w:val="000000" w:themeColor="text1"/>
        </w:rPr>
      </w:pPr>
      <w:r w:rsidRPr="004E7112">
        <w:rPr>
          <w:color w:val="000000" w:themeColor="text1"/>
        </w:rPr>
        <w:tab/>
      </w:r>
      <w:r w:rsidRPr="004E7112">
        <w:rPr>
          <w:color w:val="000000" w:themeColor="text1"/>
        </w:rPr>
        <w:tab/>
        <w:t xml:space="preserve">I recommend approving Duquesne Light’s proposal as altered and clarified.  Duquesne Light made a series of changes and/or clarifications concerning proposals from Constellation about data and EGS coordination changes.  Both Constellation and the Company agreed on those changes but Constellation continued to argue for the Company to accept </w:t>
      </w:r>
      <w:r w:rsidRPr="004E7112">
        <w:rPr>
          <w:color w:val="000000" w:themeColor="text1"/>
          <w:u w:val="single"/>
        </w:rPr>
        <w:t>all</w:t>
      </w:r>
      <w:r w:rsidRPr="004E7112">
        <w:rPr>
          <w:color w:val="000000" w:themeColor="text1"/>
        </w:rPr>
        <w:t xml:space="preserve"> of the proposals.  I agree that Duquesne Light’s proposal is consistent with prior Commission action, especially for those proposals which are connected to the Company’s changing IT environment over the next two years.  I agree that Duquesne Light should:</w:t>
      </w:r>
      <w:r>
        <w:rPr>
          <w:color w:val="000000" w:themeColor="text1"/>
        </w:rPr>
        <w:t xml:space="preserve"> </w:t>
      </w:r>
      <w:r w:rsidRPr="004E7112">
        <w:rPr>
          <w:color w:val="000000" w:themeColor="text1"/>
        </w:rPr>
        <w:t xml:space="preserve"> (1) refrain from collecting PJM residual charges via EDI 820 transactions and instead send EGSs separate paper bills to recover these amounts starting in June 2013; and (2) provide customer sync lists to all requesting EGSs at no charge.  In addition, I note the Company provided explanations or clarifications addressing these items in that Duquesne Light’s new CIS will eliminate the collection of PJM residual invoice amounts through EDI 820 transactions, and Duquesne Light does not currently charge for customer sync lists.</w:t>
      </w:r>
    </w:p>
    <w:p w:rsidR="006D47C0" w:rsidRPr="004E7112" w:rsidRDefault="006D47C0" w:rsidP="006D47C0">
      <w:pPr>
        <w:tabs>
          <w:tab w:val="left" w:pos="720"/>
        </w:tabs>
        <w:spacing w:line="360" w:lineRule="auto"/>
        <w:rPr>
          <w:color w:val="000000" w:themeColor="text1"/>
        </w:rPr>
      </w:pPr>
    </w:p>
    <w:p w:rsidR="006D47C0" w:rsidRPr="004E7112" w:rsidRDefault="006D47C0" w:rsidP="006D47C0">
      <w:pPr>
        <w:pStyle w:val="PlainText"/>
        <w:spacing w:line="360" w:lineRule="auto"/>
        <w:rPr>
          <w:rFonts w:ascii="Times New Roman" w:hAnsi="Times New Roman"/>
          <w:color w:val="000000" w:themeColor="text1"/>
          <w:sz w:val="24"/>
          <w:szCs w:val="24"/>
        </w:rPr>
      </w:pPr>
      <w:r w:rsidRPr="004E7112">
        <w:rPr>
          <w:rFonts w:ascii="Times New Roman" w:hAnsi="Times New Roman"/>
          <w:color w:val="000000" w:themeColor="text1"/>
          <w:sz w:val="24"/>
          <w:szCs w:val="24"/>
        </w:rPr>
        <w:tab/>
      </w:r>
      <w:r w:rsidRPr="004E7112">
        <w:rPr>
          <w:rFonts w:ascii="Times New Roman" w:hAnsi="Times New Roman"/>
          <w:color w:val="000000" w:themeColor="text1"/>
          <w:sz w:val="24"/>
          <w:szCs w:val="24"/>
        </w:rPr>
        <w:tab/>
        <w:t xml:space="preserve">Further, I recommend that Duquesne Light revise its budget billing revenue remittance protocols, as proposed by Constellation.   Specifically, I recommend that Duquesne Light begin to remit actual charges to EGSs whether or not the EGS's customer is on a budget bill.  I recommend that Duquesne Light roll this revision into the implementation of its new CIS system.  </w:t>
      </w:r>
    </w:p>
    <w:p w:rsidR="006D47C0" w:rsidRPr="004E7112" w:rsidRDefault="006D47C0" w:rsidP="006D47C0">
      <w:pPr>
        <w:pStyle w:val="PlainText"/>
        <w:spacing w:line="360" w:lineRule="auto"/>
        <w:rPr>
          <w:rFonts w:ascii="Times New Roman" w:hAnsi="Times New Roman"/>
          <w:color w:val="000000" w:themeColor="text1"/>
          <w:sz w:val="24"/>
          <w:szCs w:val="24"/>
        </w:rPr>
      </w:pPr>
    </w:p>
    <w:p w:rsidR="006D47C0" w:rsidRPr="00265AAB" w:rsidRDefault="006D47C0" w:rsidP="006D47C0">
      <w:pPr>
        <w:pStyle w:val="BriefL1"/>
        <w:numPr>
          <w:ilvl w:val="0"/>
          <w:numId w:val="0"/>
        </w:numPr>
        <w:spacing w:after="0" w:line="360" w:lineRule="auto"/>
        <w:jc w:val="left"/>
        <w:rPr>
          <w:szCs w:val="24"/>
        </w:rPr>
      </w:pPr>
      <w:r>
        <w:rPr>
          <w:szCs w:val="24"/>
        </w:rPr>
        <w:t>h</w:t>
      </w:r>
      <w:r w:rsidRPr="00265AAB">
        <w:rPr>
          <w:szCs w:val="24"/>
        </w:rPr>
        <w:t>.</w:t>
      </w:r>
      <w:r w:rsidRPr="00265AAB">
        <w:rPr>
          <w:szCs w:val="24"/>
        </w:rPr>
        <w:tab/>
      </w:r>
      <w:r w:rsidR="005A5B03">
        <w:rPr>
          <w:caps w:val="0"/>
          <w:szCs w:val="24"/>
        </w:rPr>
        <w:t>General Miscellaneous Issues</w:t>
      </w:r>
      <w:r>
        <w:rPr>
          <w:caps w:val="0"/>
          <w:szCs w:val="24"/>
        </w:rPr>
        <w:fldChar w:fldCharType="begin"/>
      </w:r>
      <w:r>
        <w:instrText xml:space="preserve"> TC "</w:instrText>
      </w:r>
      <w:r w:rsidRPr="002A1620">
        <w:rPr>
          <w:szCs w:val="24"/>
        </w:rPr>
        <w:instrText>A.</w:instrText>
      </w:r>
      <w:r w:rsidRPr="002A1620">
        <w:rPr>
          <w:szCs w:val="24"/>
        </w:rPr>
        <w:tab/>
        <w:instrText>D</w:instrText>
      </w:r>
      <w:r w:rsidRPr="002A1620">
        <w:rPr>
          <w:caps w:val="0"/>
          <w:szCs w:val="24"/>
        </w:rPr>
        <w:instrText>efault Service Procurement and Implementation Plans</w:instrText>
      </w:r>
      <w:r>
        <w:instrText xml:space="preserve">" \f C \l "2" </w:instrText>
      </w:r>
      <w:r>
        <w:rPr>
          <w:caps w:val="0"/>
          <w:szCs w:val="24"/>
        </w:rPr>
        <w:fldChar w:fldCharType="end"/>
      </w:r>
    </w:p>
    <w:p w:rsidR="006D47C0" w:rsidRDefault="006D47C0" w:rsidP="006D47C0">
      <w:pPr>
        <w:pStyle w:val="BriefL3"/>
        <w:numPr>
          <w:ilvl w:val="0"/>
          <w:numId w:val="0"/>
        </w:numPr>
        <w:spacing w:after="0" w:line="360" w:lineRule="auto"/>
        <w:ind w:left="720" w:firstLine="720"/>
        <w:rPr>
          <w:b/>
          <w:szCs w:val="24"/>
        </w:rPr>
      </w:pPr>
    </w:p>
    <w:p w:rsidR="006D47C0" w:rsidRDefault="006D47C0" w:rsidP="006D47C0">
      <w:pPr>
        <w:pStyle w:val="BriefL3"/>
        <w:numPr>
          <w:ilvl w:val="0"/>
          <w:numId w:val="0"/>
        </w:numPr>
        <w:spacing w:after="0" w:line="360" w:lineRule="auto"/>
        <w:ind w:left="720"/>
        <w:rPr>
          <w:b/>
          <w:szCs w:val="24"/>
        </w:rPr>
      </w:pPr>
      <w:r>
        <w:rPr>
          <w:b/>
          <w:szCs w:val="24"/>
        </w:rPr>
        <w:t>1.</w:t>
      </w:r>
      <w:r>
        <w:rPr>
          <w:b/>
          <w:szCs w:val="24"/>
        </w:rPr>
        <w:tab/>
        <w:t>DLC’s Proposal</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spacing w:after="0" w:line="360" w:lineRule="auto"/>
        <w:rPr>
          <w:lang w:val="en-US"/>
        </w:rPr>
      </w:pPr>
      <w:r>
        <w:rPr>
          <w:lang w:val="en-US"/>
        </w:rPr>
        <w:tab/>
      </w:r>
      <w:r>
        <w:rPr>
          <w:lang w:val="en-US"/>
        </w:rPr>
        <w:tab/>
      </w:r>
      <w:r>
        <w:t>Under the Default Service Plan, Duquesne Light propos</w:t>
      </w:r>
      <w:r>
        <w:rPr>
          <w:lang w:val="en-US"/>
        </w:rPr>
        <w:t>es</w:t>
      </w:r>
      <w:r>
        <w:t xml:space="preserve"> to change rates on an annual basis for Residential customers and to change rates every six months for Small C&amp;I and Medium C&amp;I customers.  Duquesne Light notes the Commission’s regulation at 52 Pa. Code §54.187 requires quarterly or more frequent changes for customers up to 500 kW</w:t>
      </w:r>
      <w:r>
        <w:rPr>
          <w:lang w:val="en-US"/>
        </w:rPr>
        <w:t>h</w:t>
      </w:r>
      <w:r>
        <w:t xml:space="preserve">.  However, this regulation was adopted prior to the passage of Act 129.  Act 129 </w:t>
      </w:r>
      <w:r>
        <w:rPr>
          <w:lang w:val="en-US"/>
        </w:rPr>
        <w:t>requires</w:t>
      </w:r>
      <w:r>
        <w:t xml:space="preserve"> default service providers </w:t>
      </w:r>
      <w:r>
        <w:rPr>
          <w:lang w:val="en-US"/>
        </w:rPr>
        <w:t>to</w:t>
      </w:r>
      <w:r>
        <w:t xml:space="preserve"> offer residential and small business customers a default service rate that changes no more frequently than quarterly.  66 Pa.</w:t>
      </w:r>
      <w:r>
        <w:rPr>
          <w:lang w:val="en-US"/>
        </w:rPr>
        <w:t xml:space="preserve"> </w:t>
      </w:r>
      <w:r>
        <w:t>C.S.</w:t>
      </w:r>
      <w:r>
        <w:rPr>
          <w:lang w:val="en-US"/>
        </w:rPr>
        <w:t>A.</w:t>
      </w:r>
      <w:r>
        <w:t xml:space="preserve"> § 2807(e)(7).  Therefore, Duquesne Light believes that its proposal for changes in rates on an annual basis for Residential customers and on a semi-annual basis for Small C&amp;I and Medium C&amp;I customers complies with Act 129.  </w:t>
      </w:r>
    </w:p>
    <w:p w:rsidR="006D47C0" w:rsidRDefault="006D47C0" w:rsidP="006D47C0">
      <w:pPr>
        <w:pStyle w:val="BodyText2"/>
        <w:spacing w:after="0" w:line="360" w:lineRule="auto"/>
        <w:rPr>
          <w:lang w:val="en-US"/>
        </w:rPr>
      </w:pPr>
    </w:p>
    <w:p w:rsidR="006D47C0" w:rsidRDefault="006D47C0" w:rsidP="006D47C0">
      <w:pPr>
        <w:pStyle w:val="BodyText2"/>
        <w:spacing w:after="0" w:line="360" w:lineRule="auto"/>
      </w:pPr>
      <w:r>
        <w:rPr>
          <w:lang w:val="en-US"/>
        </w:rPr>
        <w:tab/>
      </w:r>
      <w:r>
        <w:rPr>
          <w:lang w:val="en-US"/>
        </w:rPr>
        <w:tab/>
      </w:r>
      <w:r>
        <w:t>Duquesne Light request</w:t>
      </w:r>
      <w:r>
        <w:rPr>
          <w:lang w:val="en-US"/>
        </w:rPr>
        <w:t>s</w:t>
      </w:r>
      <w:r>
        <w:t xml:space="preserve"> </w:t>
      </w:r>
      <w:r>
        <w:rPr>
          <w:lang w:val="en-US"/>
        </w:rPr>
        <w:t xml:space="preserve">the Commission grant </w:t>
      </w:r>
      <w:r>
        <w:t xml:space="preserve">a waiver of 52 Pa. Code §54.187 </w:t>
      </w:r>
      <w:r>
        <w:rPr>
          <w:lang w:val="en-US"/>
        </w:rPr>
        <w:t xml:space="preserve">in order </w:t>
      </w:r>
      <w:r>
        <w:t>to allow annual rate changes for Residential customers and 6-month rate changes for Small C&amp;I and Medium C&amp;I customers to the extent deemed necessary by the Commission.  See Duquesne Light Exh. No. 1, ¶80.  Duquesne Light request</w:t>
      </w:r>
      <w:r>
        <w:rPr>
          <w:lang w:val="en-US"/>
        </w:rPr>
        <w:t>s</w:t>
      </w:r>
      <w:r>
        <w:t xml:space="preserve"> additional waivers, if necessary, of the Commission’s Orders or Regulations to allow Duquesne Light to implement its Default Service Plan as described in the Petition and in the Testimony and Exhibits.  No party commented on Duquesne Light’s request for waivers in this proceeding.  Duquesne Light requests that the Commission grant the Company’s requested waivers to the extent necessary.</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left="1440" w:hanging="720"/>
        <w:rPr>
          <w:b/>
          <w:szCs w:val="24"/>
        </w:rPr>
      </w:pPr>
      <w:r>
        <w:rPr>
          <w:b/>
          <w:szCs w:val="24"/>
        </w:rPr>
        <w:t>2.</w:t>
      </w:r>
      <w:r>
        <w:rPr>
          <w:b/>
          <w:szCs w:val="24"/>
        </w:rPr>
        <w:tab/>
        <w:t>OCA’s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ind w:left="1440"/>
      </w:pPr>
      <w:r>
        <w:t>OCA takes no position on this issue.</w:t>
      </w:r>
    </w:p>
    <w:p w:rsidR="006D47C0" w:rsidRDefault="006D47C0" w:rsidP="006D47C0">
      <w:pPr>
        <w:pStyle w:val="BriefL3"/>
        <w:numPr>
          <w:ilvl w:val="0"/>
          <w:numId w:val="0"/>
        </w:numPr>
        <w:spacing w:after="0" w:line="360" w:lineRule="auto"/>
        <w:ind w:left="2880"/>
        <w:rPr>
          <w:b/>
          <w:szCs w:val="24"/>
        </w:rPr>
      </w:pPr>
    </w:p>
    <w:p w:rsidR="003B4C83" w:rsidRDefault="003B4C83" w:rsidP="006D47C0">
      <w:pPr>
        <w:pStyle w:val="BriefL3"/>
        <w:numPr>
          <w:ilvl w:val="0"/>
          <w:numId w:val="0"/>
        </w:numPr>
        <w:spacing w:after="0" w:line="360" w:lineRule="auto"/>
        <w:ind w:left="2880"/>
        <w:rPr>
          <w:b/>
          <w:szCs w:val="24"/>
        </w:rPr>
      </w:pPr>
    </w:p>
    <w:p w:rsidR="006D47C0" w:rsidRDefault="006D47C0" w:rsidP="006D47C0">
      <w:pPr>
        <w:pStyle w:val="BriefL3"/>
        <w:numPr>
          <w:ilvl w:val="0"/>
          <w:numId w:val="0"/>
        </w:numPr>
        <w:spacing w:after="0" w:line="360" w:lineRule="auto"/>
        <w:ind w:left="1440" w:hanging="720"/>
        <w:rPr>
          <w:b/>
          <w:szCs w:val="24"/>
        </w:rPr>
      </w:pPr>
      <w:r>
        <w:rPr>
          <w:b/>
          <w:szCs w:val="24"/>
        </w:rPr>
        <w:t>3.</w:t>
      </w:r>
      <w:r>
        <w:rPr>
          <w:b/>
          <w:szCs w:val="24"/>
        </w:rPr>
        <w:tab/>
        <w:t>RESA’s Position</w:t>
      </w:r>
    </w:p>
    <w:p w:rsidR="006D47C0" w:rsidRDefault="006D47C0" w:rsidP="006D47C0">
      <w:pPr>
        <w:pStyle w:val="BodyText"/>
        <w:spacing w:after="0" w:line="360" w:lineRule="auto"/>
        <w:ind w:left="0" w:firstLine="0"/>
        <w:rPr>
          <w:szCs w:val="24"/>
          <w:lang w:val="en-US"/>
        </w:rPr>
      </w:pPr>
    </w:p>
    <w:p w:rsidR="006D47C0" w:rsidRDefault="006D47C0" w:rsidP="006D47C0">
      <w:pPr>
        <w:spacing w:line="360" w:lineRule="auto"/>
        <w:ind w:firstLine="720"/>
      </w:pPr>
      <w:r>
        <w:tab/>
        <w:t xml:space="preserve">RESA takes no position on DLC’s request for waivers.  </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4.</w:t>
      </w:r>
      <w:r>
        <w:rPr>
          <w:b/>
          <w:szCs w:val="24"/>
        </w:rPr>
        <w:tab/>
        <w:t>OSBA’s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r>
      <w:r>
        <w:t>O</w:t>
      </w:r>
      <w:r>
        <w:rPr>
          <w:lang w:val="en-US"/>
        </w:rPr>
        <w:t>SB</w:t>
      </w:r>
      <w:r>
        <w:t>A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5.</w:t>
      </w:r>
      <w:r>
        <w:rPr>
          <w:b/>
          <w:szCs w:val="24"/>
        </w:rPr>
        <w:tab/>
        <w:t>CAUSE’s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CAUSE</w:t>
      </w:r>
      <w:r>
        <w:t xml:space="preserve"> takes no position on this issue.</w:t>
      </w:r>
    </w:p>
    <w:p w:rsidR="006D47C0" w:rsidRDefault="006D47C0" w:rsidP="006D47C0">
      <w:pPr>
        <w:pStyle w:val="BriefL3"/>
        <w:numPr>
          <w:ilvl w:val="0"/>
          <w:numId w:val="0"/>
        </w:numPr>
        <w:spacing w:after="0" w:line="360" w:lineRule="auto"/>
        <w:ind w:firstLine="720"/>
        <w:rPr>
          <w:b/>
          <w:szCs w:val="24"/>
        </w:rPr>
      </w:pPr>
      <w:r>
        <w:rPr>
          <w:b/>
          <w:szCs w:val="24"/>
        </w:rPr>
        <w:t>6.</w:t>
      </w:r>
      <w:r>
        <w:rPr>
          <w:b/>
          <w:szCs w:val="24"/>
        </w:rPr>
        <w:tab/>
        <w:t>Citizen Power’s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Citizen Power</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7.</w:t>
      </w:r>
      <w:r>
        <w:rPr>
          <w:b/>
          <w:szCs w:val="24"/>
        </w:rPr>
        <w:tab/>
        <w:t>Duquesne Industrial Intervenors’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DII</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8.</w:t>
      </w:r>
      <w:r>
        <w:rPr>
          <w:b/>
          <w:szCs w:val="24"/>
        </w:rPr>
        <w:tab/>
        <w:t>EGS Parties’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EGS Parties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9.</w:t>
      </w:r>
      <w:r>
        <w:rPr>
          <w:b/>
          <w:szCs w:val="24"/>
        </w:rPr>
        <w:tab/>
        <w:t>FirstEnergy Solutions’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FES</w:t>
      </w:r>
      <w:r>
        <w:t xml:space="preserve"> takes no position on this issue.</w:t>
      </w:r>
    </w:p>
    <w:p w:rsidR="006D47C0" w:rsidRDefault="006D47C0" w:rsidP="006D47C0">
      <w:pPr>
        <w:pStyle w:val="BodyText"/>
        <w:spacing w:after="0" w:line="360" w:lineRule="auto"/>
        <w:ind w:left="0" w:firstLine="0"/>
        <w:rPr>
          <w:szCs w:val="24"/>
          <w:lang w:val="en-US"/>
        </w:rPr>
      </w:pPr>
    </w:p>
    <w:p w:rsidR="006D47C0" w:rsidRDefault="006D47C0" w:rsidP="006D47C0">
      <w:pPr>
        <w:pStyle w:val="BriefL3"/>
        <w:numPr>
          <w:ilvl w:val="0"/>
          <w:numId w:val="0"/>
        </w:numPr>
        <w:spacing w:after="0" w:line="360" w:lineRule="auto"/>
        <w:ind w:firstLine="720"/>
        <w:rPr>
          <w:b/>
          <w:szCs w:val="24"/>
        </w:rPr>
      </w:pPr>
      <w:r>
        <w:rPr>
          <w:b/>
          <w:szCs w:val="24"/>
        </w:rPr>
        <w:t>10.</w:t>
      </w:r>
      <w:r>
        <w:rPr>
          <w:b/>
          <w:szCs w:val="24"/>
        </w:rPr>
        <w:tab/>
        <w:t>Joint Suppliers’ Position</w:t>
      </w:r>
    </w:p>
    <w:p w:rsidR="006D47C0" w:rsidRDefault="006D47C0" w:rsidP="006D47C0">
      <w:pPr>
        <w:pStyle w:val="BodyText"/>
        <w:spacing w:after="0" w:line="360" w:lineRule="auto"/>
        <w:ind w:left="0" w:firstLine="0"/>
        <w:rPr>
          <w:szCs w:val="24"/>
          <w:lang w:val="en-US"/>
        </w:rPr>
      </w:pPr>
    </w:p>
    <w:p w:rsidR="006D47C0" w:rsidRDefault="006D47C0" w:rsidP="006D47C0">
      <w:pPr>
        <w:pStyle w:val="BodyText2"/>
      </w:pPr>
      <w:r>
        <w:rPr>
          <w:lang w:val="en-US"/>
        </w:rPr>
        <w:tab/>
      </w:r>
      <w:r>
        <w:rPr>
          <w:lang w:val="en-US"/>
        </w:rPr>
        <w:tab/>
        <w:t>Joint Suppliers take</w:t>
      </w:r>
      <w:r>
        <w:t xml:space="preserve"> no position on this issue.</w:t>
      </w:r>
    </w:p>
    <w:p w:rsidR="006D47C0" w:rsidRDefault="006D47C0" w:rsidP="006D47C0">
      <w:pPr>
        <w:pStyle w:val="BodyText"/>
        <w:spacing w:after="0" w:line="360" w:lineRule="auto"/>
        <w:ind w:left="0" w:firstLine="0"/>
        <w:rPr>
          <w:szCs w:val="24"/>
          <w:lang w:val="en-US"/>
        </w:rPr>
      </w:pPr>
    </w:p>
    <w:p w:rsidR="006D47C0" w:rsidRPr="004E7112" w:rsidRDefault="006D47C0" w:rsidP="006D47C0">
      <w:pPr>
        <w:spacing w:line="360" w:lineRule="auto"/>
        <w:rPr>
          <w:b/>
          <w:color w:val="000000" w:themeColor="text1"/>
        </w:rPr>
      </w:pPr>
      <w:r w:rsidRPr="00D64769">
        <w:rPr>
          <w:b/>
        </w:rPr>
        <w:t>Disposition</w:t>
      </w:r>
      <w:r w:rsidRPr="002213A3">
        <w:rPr>
          <w:b/>
        </w:rPr>
        <w:t xml:space="preserve"> </w:t>
      </w:r>
      <w:r w:rsidRPr="002213A3">
        <w:t>-</w:t>
      </w:r>
      <w:r>
        <w:rPr>
          <w:b/>
        </w:rPr>
        <w:t xml:space="preserve"> </w:t>
      </w:r>
      <w:r w:rsidRPr="004E7112">
        <w:rPr>
          <w:b/>
          <w:color w:val="000000" w:themeColor="text1"/>
        </w:rPr>
        <w:t>General Miscellaneous Issues</w:t>
      </w:r>
    </w:p>
    <w:p w:rsidR="006D47C0" w:rsidRPr="004E7112" w:rsidRDefault="006D47C0" w:rsidP="006D47C0">
      <w:pPr>
        <w:spacing w:line="360" w:lineRule="auto"/>
        <w:rPr>
          <w:color w:val="000000" w:themeColor="text1"/>
        </w:rPr>
      </w:pPr>
    </w:p>
    <w:p w:rsidR="006D47C0" w:rsidRPr="004E7112" w:rsidRDefault="006D47C0" w:rsidP="006D47C0">
      <w:pPr>
        <w:pStyle w:val="BodyText2"/>
        <w:spacing w:after="0" w:line="360" w:lineRule="auto"/>
        <w:rPr>
          <w:color w:val="000000" w:themeColor="text1"/>
          <w:lang w:val="en-US"/>
        </w:rPr>
      </w:pPr>
      <w:r w:rsidRPr="004E7112">
        <w:rPr>
          <w:color w:val="000000" w:themeColor="text1"/>
        </w:rPr>
        <w:tab/>
      </w:r>
      <w:r w:rsidRPr="004E7112">
        <w:rPr>
          <w:color w:val="000000" w:themeColor="text1"/>
        </w:rPr>
        <w:tab/>
        <w:t>I recommend approving Duquesne Light’s request</w:t>
      </w:r>
      <w:r w:rsidRPr="004E7112">
        <w:rPr>
          <w:color w:val="000000" w:themeColor="text1"/>
          <w:lang w:val="en-US"/>
        </w:rPr>
        <w:t xml:space="preserve"> for </w:t>
      </w:r>
      <w:r w:rsidRPr="004E7112">
        <w:rPr>
          <w:color w:val="000000" w:themeColor="text1"/>
        </w:rPr>
        <w:t xml:space="preserve">a waiver </w:t>
      </w:r>
      <w:r w:rsidRPr="004E7112">
        <w:rPr>
          <w:color w:val="000000" w:themeColor="text1"/>
          <w:lang w:val="en-US"/>
        </w:rPr>
        <w:t xml:space="preserve">from the requirements </w:t>
      </w:r>
      <w:r w:rsidRPr="004E7112">
        <w:rPr>
          <w:color w:val="000000" w:themeColor="text1"/>
        </w:rPr>
        <w:t xml:space="preserve">of 52 Pa. Code §54.187 </w:t>
      </w:r>
      <w:r w:rsidRPr="004E7112">
        <w:rPr>
          <w:color w:val="000000" w:themeColor="text1"/>
          <w:lang w:val="en-US"/>
        </w:rPr>
        <w:t xml:space="preserve">in order </w:t>
      </w:r>
      <w:r w:rsidRPr="004E7112">
        <w:rPr>
          <w:color w:val="000000" w:themeColor="text1"/>
        </w:rPr>
        <w:t xml:space="preserve">to allow annual rate changes for </w:t>
      </w:r>
      <w:r>
        <w:rPr>
          <w:color w:val="000000" w:themeColor="text1"/>
          <w:lang w:val="en-US"/>
        </w:rPr>
        <w:t>r</w:t>
      </w:r>
      <w:r w:rsidRPr="004E7112">
        <w:rPr>
          <w:color w:val="000000" w:themeColor="text1"/>
        </w:rPr>
        <w:t>esidential customers and 6-month rate changes for Small C&amp;I and Medium C&amp;I customers to the extent deemed necessary by the Commission</w:t>
      </w:r>
      <w:r w:rsidRPr="004E7112">
        <w:rPr>
          <w:color w:val="000000" w:themeColor="text1"/>
          <w:lang w:val="en-US"/>
        </w:rPr>
        <w:t xml:space="preserve">.  The Company procurement proposals would </w:t>
      </w:r>
      <w:r w:rsidRPr="004E7112">
        <w:rPr>
          <w:color w:val="000000" w:themeColor="text1"/>
        </w:rPr>
        <w:t xml:space="preserve">change rates on an annual basis for </w:t>
      </w:r>
      <w:r>
        <w:rPr>
          <w:color w:val="000000" w:themeColor="text1"/>
          <w:lang w:val="en-US"/>
        </w:rPr>
        <w:t>r</w:t>
      </w:r>
      <w:r w:rsidRPr="004E7112">
        <w:rPr>
          <w:color w:val="000000" w:themeColor="text1"/>
        </w:rPr>
        <w:t xml:space="preserve">esidential customers and change rates every six months for Small C&amp;I and Medium C&amp;I customers.  </w:t>
      </w:r>
      <w:r w:rsidRPr="004E7112">
        <w:rPr>
          <w:color w:val="000000" w:themeColor="text1"/>
          <w:lang w:val="en-US"/>
        </w:rPr>
        <w:t>Th</w:t>
      </w:r>
      <w:r w:rsidRPr="004E7112">
        <w:rPr>
          <w:color w:val="000000" w:themeColor="text1"/>
        </w:rPr>
        <w:t>e Commission’s regulation requires quarterly or more frequent changes for customers up to 500 kW</w:t>
      </w:r>
      <w:r>
        <w:rPr>
          <w:color w:val="000000" w:themeColor="text1"/>
          <w:lang w:val="en-US"/>
        </w:rPr>
        <w:t>h</w:t>
      </w:r>
      <w:r w:rsidRPr="004E7112">
        <w:rPr>
          <w:color w:val="000000" w:themeColor="text1"/>
        </w:rPr>
        <w:t>.  However, this regulation was adopted prior to the passage of Act 129</w:t>
      </w:r>
      <w:r w:rsidRPr="004E7112">
        <w:rPr>
          <w:color w:val="000000" w:themeColor="text1"/>
          <w:lang w:val="en-US"/>
        </w:rPr>
        <w:t>, which requires</w:t>
      </w:r>
      <w:r w:rsidRPr="004E7112">
        <w:rPr>
          <w:color w:val="000000" w:themeColor="text1"/>
        </w:rPr>
        <w:t xml:space="preserve"> default service providers </w:t>
      </w:r>
      <w:r w:rsidRPr="004E7112">
        <w:rPr>
          <w:color w:val="000000" w:themeColor="text1"/>
          <w:lang w:val="en-US"/>
        </w:rPr>
        <w:t>to</w:t>
      </w:r>
      <w:r w:rsidRPr="004E7112">
        <w:rPr>
          <w:color w:val="000000" w:themeColor="text1"/>
        </w:rPr>
        <w:t xml:space="preserve"> offer residential and small business customers a default service rate that changes no more frequently than quarterly.  </w:t>
      </w:r>
      <w:r w:rsidRPr="004E7112">
        <w:rPr>
          <w:color w:val="000000" w:themeColor="text1"/>
          <w:lang w:val="en-US"/>
        </w:rPr>
        <w:t>I agree that this request for a waiver is consistent with prior Commission action and c</w:t>
      </w:r>
      <w:r w:rsidRPr="004E7112">
        <w:rPr>
          <w:color w:val="000000" w:themeColor="text1"/>
        </w:rPr>
        <w:t xml:space="preserve">omplies with Act 129.  </w:t>
      </w:r>
      <w:r w:rsidRPr="004E7112">
        <w:rPr>
          <w:color w:val="000000" w:themeColor="text1"/>
          <w:lang w:val="en-US"/>
        </w:rPr>
        <w:t>No party objected to this request and I agree with the Company that granting the waiver will permit this default service provider to implement the rest of its plan as discussed above.</w:t>
      </w:r>
    </w:p>
    <w:p w:rsidR="006D47C0" w:rsidRDefault="006D47C0" w:rsidP="006D47C0">
      <w:pPr>
        <w:spacing w:line="360" w:lineRule="auto"/>
        <w:jc w:val="center"/>
        <w:rPr>
          <w:color w:val="000000" w:themeColor="text1"/>
          <w:lang w:eastAsia="x-none"/>
        </w:rPr>
      </w:pPr>
    </w:p>
    <w:p w:rsidR="006D47C0" w:rsidRDefault="006D47C0" w:rsidP="006D47C0">
      <w:pPr>
        <w:spacing w:line="360" w:lineRule="auto"/>
        <w:jc w:val="center"/>
        <w:rPr>
          <w:b/>
          <w:color w:val="000000" w:themeColor="text1"/>
          <w:u w:val="single"/>
        </w:rPr>
      </w:pPr>
      <w:r w:rsidRPr="00DD1DC0">
        <w:rPr>
          <w:b/>
          <w:color w:val="000000" w:themeColor="text1"/>
        </w:rPr>
        <w:t>V.</w:t>
      </w:r>
      <w:r>
        <w:rPr>
          <w:b/>
          <w:color w:val="000000" w:themeColor="text1"/>
        </w:rPr>
        <w:tab/>
      </w:r>
      <w:r w:rsidRPr="00DD1DC0">
        <w:rPr>
          <w:b/>
          <w:color w:val="000000" w:themeColor="text1"/>
          <w:u w:val="single"/>
        </w:rPr>
        <w:t>CONCLUSION</w:t>
      </w:r>
    </w:p>
    <w:p w:rsidR="006D47C0" w:rsidRPr="00DD1DC0" w:rsidRDefault="006D47C0" w:rsidP="006D47C0">
      <w:pPr>
        <w:spacing w:line="360" w:lineRule="auto"/>
        <w:jc w:val="center"/>
        <w:rPr>
          <w:b/>
          <w:color w:val="000000" w:themeColor="text1"/>
        </w:rPr>
      </w:pPr>
    </w:p>
    <w:p w:rsidR="006D47C0" w:rsidRPr="004E7112"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rPr>
        <w:tab/>
      </w:r>
      <w:r w:rsidRPr="004E7112">
        <w:rPr>
          <w:color w:val="000000" w:themeColor="text1"/>
          <w:szCs w:val="24"/>
          <w:lang w:val="en-US"/>
        </w:rPr>
        <w:tab/>
      </w:r>
      <w:r w:rsidRPr="004E7112">
        <w:rPr>
          <w:color w:val="000000" w:themeColor="text1"/>
          <w:szCs w:val="24"/>
        </w:rPr>
        <w:t xml:space="preserve">This proceeding transpired during a time of flux and change in the default service provider arena.  This Recommended Decision differs slightly in the recommended dispositions from recent Commission decisions and actions due to two well-proven facts herein.  First, Duquesne Light’s service territory experienced a significant response to competitive shopping opportunities with 44% of the residential load participating in competitive shopping.  However the residential class needs to be encouraged to participate in greater numbers and with greater frequency.  Second, Duquesne Light has no Smart Meters in place within its territory, thus making the addition of significant changes to its Time of Use program ill-advised at this time.  </w:t>
      </w:r>
      <w:r w:rsidRPr="004E7112">
        <w:rPr>
          <w:color w:val="000000" w:themeColor="text1"/>
          <w:szCs w:val="24"/>
          <w:lang w:val="en-US"/>
        </w:rPr>
        <w:tab/>
      </w:r>
    </w:p>
    <w:p w:rsidR="006D47C0" w:rsidRPr="004E7112" w:rsidRDefault="006D47C0" w:rsidP="006D47C0">
      <w:pPr>
        <w:pStyle w:val="BodyText"/>
        <w:spacing w:after="0" w:line="360" w:lineRule="auto"/>
        <w:ind w:left="0" w:firstLine="0"/>
        <w:rPr>
          <w:color w:val="000000" w:themeColor="text1"/>
          <w:szCs w:val="24"/>
          <w:lang w:val="en-US"/>
        </w:rPr>
      </w:pPr>
    </w:p>
    <w:p w:rsidR="001E10E9" w:rsidRDefault="006D47C0" w:rsidP="006D47C0">
      <w:pPr>
        <w:pStyle w:val="BodyText"/>
        <w:spacing w:after="0" w:line="360" w:lineRule="auto"/>
        <w:ind w:left="0" w:firstLine="0"/>
        <w:rPr>
          <w:color w:val="000000" w:themeColor="text1"/>
          <w:szCs w:val="24"/>
          <w:lang w:val="en-US"/>
        </w:rPr>
      </w:pPr>
      <w:r w:rsidRPr="004E7112">
        <w:rPr>
          <w:color w:val="000000" w:themeColor="text1"/>
          <w:szCs w:val="24"/>
          <w:lang w:val="en-US"/>
        </w:rPr>
        <w:tab/>
      </w:r>
      <w:r>
        <w:rPr>
          <w:color w:val="000000" w:themeColor="text1"/>
          <w:szCs w:val="24"/>
          <w:lang w:val="en-US"/>
        </w:rPr>
        <w:tab/>
      </w:r>
    </w:p>
    <w:p w:rsidR="006D47C0" w:rsidRPr="004E7112" w:rsidRDefault="001E10E9" w:rsidP="006D47C0">
      <w:pPr>
        <w:pStyle w:val="BodyText"/>
        <w:spacing w:after="0" w:line="360" w:lineRule="auto"/>
        <w:ind w:left="0" w:firstLine="0"/>
        <w:rPr>
          <w:color w:val="000000" w:themeColor="text1"/>
          <w:szCs w:val="24"/>
          <w:lang w:val="en-US"/>
        </w:rPr>
      </w:pPr>
      <w:r>
        <w:rPr>
          <w:color w:val="000000" w:themeColor="text1"/>
          <w:szCs w:val="24"/>
          <w:lang w:val="en-US"/>
        </w:rPr>
        <w:tab/>
      </w:r>
      <w:r>
        <w:rPr>
          <w:color w:val="000000" w:themeColor="text1"/>
          <w:szCs w:val="24"/>
          <w:lang w:val="en-US"/>
        </w:rPr>
        <w:tab/>
      </w:r>
      <w:r w:rsidR="006D47C0" w:rsidRPr="004E7112">
        <w:rPr>
          <w:color w:val="000000" w:themeColor="text1"/>
          <w:szCs w:val="24"/>
          <w:lang w:val="en-US"/>
        </w:rPr>
        <w:t xml:space="preserve">The </w:t>
      </w:r>
      <w:r w:rsidR="006D47C0" w:rsidRPr="004E7112">
        <w:rPr>
          <w:b/>
          <w:color w:val="000000" w:themeColor="text1"/>
          <w:szCs w:val="24"/>
          <w:lang w:val="en-US"/>
        </w:rPr>
        <w:t>primary</w:t>
      </w:r>
      <w:r w:rsidR="006D47C0" w:rsidRPr="004E7112">
        <w:rPr>
          <w:color w:val="000000" w:themeColor="text1"/>
          <w:szCs w:val="24"/>
          <w:lang w:val="en-US"/>
        </w:rPr>
        <w:t xml:space="preserve"> goal of Default Service Plans now, especially for a Default Service Provider experiencing a healthy level of shopping, is to increase shopping levels among consumers.  Although Duquesne Light has relatively high levels of competitive shopping among all classes including Residential, there is a continuing need to attract more consumers away from default service and into selecting an EGS which is not the Default Service Provider.  Increasing the number of competitors and easing the burdens on those EGS competitors – when there are already a healthy number and variety of generation suppliers - is a </w:t>
      </w:r>
      <w:r w:rsidR="006D47C0" w:rsidRPr="004E7112">
        <w:rPr>
          <w:b/>
          <w:color w:val="000000" w:themeColor="text1"/>
          <w:szCs w:val="24"/>
          <w:lang w:val="en-US"/>
        </w:rPr>
        <w:t>secondary</w:t>
      </w:r>
      <w:r w:rsidR="006D47C0" w:rsidRPr="004E7112">
        <w:rPr>
          <w:color w:val="000000" w:themeColor="text1"/>
          <w:szCs w:val="24"/>
          <w:lang w:val="en-US"/>
        </w:rPr>
        <w:t xml:space="preserve"> goal at this time.  As the DSP process progresses and more Default Service consumers select an EGS to supply electricity over DLC, that goal will become more critical, esp. as DLC initiates its Smart Meter Plan into a larger segment of its territory, which expansion will occur presumably by the end of this Default Service Plan term.  Until that time, the </w:t>
      </w:r>
      <w:r w:rsidR="006D47C0" w:rsidRPr="004E7112">
        <w:rPr>
          <w:color w:val="000000" w:themeColor="text1"/>
          <w:szCs w:val="24"/>
          <w:u w:val="single"/>
          <w:lang w:val="en-US"/>
        </w:rPr>
        <w:t>primary</w:t>
      </w:r>
      <w:r w:rsidR="006D47C0" w:rsidRPr="004E7112">
        <w:rPr>
          <w:color w:val="000000" w:themeColor="text1"/>
          <w:szCs w:val="24"/>
          <w:lang w:val="en-US"/>
        </w:rPr>
        <w:t xml:space="preserve"> focus must remain on making it easier and more understandable for DSP customers to make the leap into using another EGS through shopping and through the enhancement programs, without including features that subject consumers to insecurity or instability.  </w:t>
      </w:r>
    </w:p>
    <w:p w:rsidR="002C0414" w:rsidRDefault="002C0414" w:rsidP="002C0414">
      <w:pPr>
        <w:pStyle w:val="BriefL1"/>
        <w:numPr>
          <w:ilvl w:val="0"/>
          <w:numId w:val="0"/>
        </w:numPr>
        <w:spacing w:after="0" w:line="360" w:lineRule="auto"/>
        <w:jc w:val="left"/>
        <w:rPr>
          <w:szCs w:val="24"/>
        </w:rPr>
      </w:pPr>
      <w:bookmarkStart w:id="22" w:name="_Toc323736774"/>
    </w:p>
    <w:p w:rsidR="001C6238" w:rsidRPr="00E646EE" w:rsidRDefault="001C6238" w:rsidP="001C6238">
      <w:pPr>
        <w:pStyle w:val="BriefL1"/>
        <w:numPr>
          <w:ilvl w:val="0"/>
          <w:numId w:val="0"/>
        </w:numPr>
        <w:spacing w:after="0" w:line="360" w:lineRule="auto"/>
        <w:rPr>
          <w:szCs w:val="24"/>
          <w:u w:val="single"/>
        </w:rPr>
      </w:pPr>
      <w:bookmarkStart w:id="23" w:name="_Toc323736779"/>
      <w:r w:rsidRPr="00E646EE">
        <w:rPr>
          <w:szCs w:val="24"/>
        </w:rPr>
        <w:t>VI.</w:t>
      </w:r>
      <w:r w:rsidRPr="00E646EE">
        <w:rPr>
          <w:szCs w:val="24"/>
        </w:rPr>
        <w:tab/>
      </w:r>
      <w:r w:rsidRPr="00E646EE">
        <w:rPr>
          <w:szCs w:val="24"/>
          <w:u w:val="single"/>
        </w:rPr>
        <w:t>conclusion</w:t>
      </w:r>
      <w:bookmarkEnd w:id="23"/>
      <w:r w:rsidRPr="00E646EE">
        <w:rPr>
          <w:szCs w:val="24"/>
          <w:u w:val="single"/>
        </w:rPr>
        <w:t>s of LaW</w:t>
      </w:r>
      <w:r w:rsidRPr="00E646EE">
        <w:rPr>
          <w:szCs w:val="24"/>
          <w:u w:val="single"/>
        </w:rPr>
        <w:fldChar w:fldCharType="begin"/>
      </w:r>
      <w:r w:rsidRPr="00E646EE">
        <w:rPr>
          <w:szCs w:val="24"/>
        </w:rPr>
        <w:instrText xml:space="preserve"> TC "</w:instrText>
      </w:r>
      <w:bookmarkStart w:id="24" w:name="_Toc327430252"/>
      <w:bookmarkStart w:id="25" w:name="_Toc327438721"/>
      <w:bookmarkStart w:id="26" w:name="_Toc327439189"/>
      <w:r w:rsidRPr="00E646EE">
        <w:rPr>
          <w:szCs w:val="24"/>
        </w:rPr>
        <w:instrText>V.</w:instrText>
      </w:r>
      <w:r w:rsidRPr="00E646EE">
        <w:rPr>
          <w:szCs w:val="24"/>
        </w:rPr>
        <w:tab/>
      </w:r>
      <w:r w:rsidRPr="00E646EE">
        <w:rPr>
          <w:szCs w:val="24"/>
          <w:u w:val="single"/>
        </w:rPr>
        <w:instrText>conclusions of LaW</w:instrText>
      </w:r>
      <w:bookmarkEnd w:id="24"/>
      <w:bookmarkEnd w:id="25"/>
      <w:bookmarkEnd w:id="26"/>
      <w:r w:rsidRPr="00E646EE">
        <w:rPr>
          <w:szCs w:val="24"/>
        </w:rPr>
        <w:instrText xml:space="preserve">" \f C \l "1" </w:instrText>
      </w:r>
      <w:r w:rsidRPr="00E646EE">
        <w:rPr>
          <w:szCs w:val="24"/>
          <w:u w:val="single"/>
        </w:rPr>
        <w:fldChar w:fldCharType="end"/>
      </w:r>
    </w:p>
    <w:p w:rsidR="001C6238" w:rsidRPr="00E646EE" w:rsidRDefault="001C6238" w:rsidP="001C6238">
      <w:pPr>
        <w:pStyle w:val="BodyText"/>
        <w:spacing w:after="0" w:line="360" w:lineRule="auto"/>
        <w:ind w:firstLine="0"/>
        <w:rPr>
          <w:szCs w:val="24"/>
        </w:rPr>
      </w:pPr>
    </w:p>
    <w:p w:rsidR="001C6238" w:rsidRPr="00E646EE" w:rsidRDefault="001C6238" w:rsidP="001C6238">
      <w:pPr>
        <w:pStyle w:val="BodyText2"/>
        <w:spacing w:after="0" w:line="360" w:lineRule="auto"/>
        <w:ind w:firstLine="1440"/>
      </w:pPr>
      <w:r w:rsidRPr="00E646EE">
        <w:t>1.</w:t>
      </w:r>
      <w:r w:rsidRPr="00E646EE">
        <w:tab/>
        <w:t>The Commission has jurisdiction over the subject matter of and the parties to this proceeding.</w:t>
      </w:r>
    </w:p>
    <w:p w:rsidR="001C6238" w:rsidRPr="00E646EE" w:rsidRDefault="001C6238" w:rsidP="001C6238">
      <w:pPr>
        <w:pStyle w:val="BodyText2"/>
        <w:spacing w:after="0" w:line="360" w:lineRule="auto"/>
        <w:ind w:firstLine="1440"/>
      </w:pPr>
    </w:p>
    <w:p w:rsidR="001C6238" w:rsidRPr="00E646EE" w:rsidRDefault="001C6238" w:rsidP="001C6238">
      <w:pPr>
        <w:pStyle w:val="BodyText2"/>
        <w:spacing w:after="0" w:line="360" w:lineRule="auto"/>
        <w:ind w:firstLine="1440"/>
      </w:pPr>
      <w:r w:rsidRPr="00E646EE">
        <w:t>2.</w:t>
      </w:r>
      <w:r w:rsidRPr="00E646EE">
        <w:tab/>
        <w:t xml:space="preserve">The burden of proof is upon </w:t>
      </w:r>
      <w:r w:rsidRPr="00E646EE">
        <w:rPr>
          <w:lang w:val="en-US"/>
        </w:rPr>
        <w:t>Duquesne Light Company</w:t>
      </w:r>
      <w:r>
        <w:rPr>
          <w:lang w:val="en-US"/>
        </w:rPr>
        <w:t xml:space="preserve"> and the</w:t>
      </w:r>
      <w:r w:rsidRPr="00E646EE">
        <w:t xml:space="preserve"> degree of proof required to establish a case before the Commission is by a preponderance of evidence.</w:t>
      </w:r>
      <w:r w:rsidRPr="00E646EE">
        <w:tab/>
      </w:r>
    </w:p>
    <w:p w:rsidR="001C6238" w:rsidRPr="00E646EE" w:rsidRDefault="001C6238" w:rsidP="001C6238">
      <w:pPr>
        <w:pStyle w:val="BodyText2"/>
        <w:spacing w:after="0" w:line="360" w:lineRule="auto"/>
        <w:ind w:firstLine="1440"/>
      </w:pPr>
    </w:p>
    <w:p w:rsidR="001C6238" w:rsidRPr="00E646EE" w:rsidRDefault="002144C0" w:rsidP="001C6238">
      <w:pPr>
        <w:pStyle w:val="BodyText2"/>
        <w:spacing w:after="0" w:line="360" w:lineRule="auto"/>
        <w:ind w:firstLine="1440"/>
      </w:pPr>
      <w:r>
        <w:rPr>
          <w:lang w:val="en-US"/>
        </w:rPr>
        <w:t>3</w:t>
      </w:r>
      <w:r w:rsidR="001C6238" w:rsidRPr="00E646EE">
        <w:t>.</w:t>
      </w:r>
      <w:r w:rsidR="001C6238" w:rsidRPr="00E646EE">
        <w:tab/>
        <w:t xml:space="preserve">The Petition of </w:t>
      </w:r>
      <w:r w:rsidR="001C6238" w:rsidRPr="00E646EE">
        <w:rPr>
          <w:lang w:val="en-US"/>
        </w:rPr>
        <w:t>Duquesne Light</w:t>
      </w:r>
      <w:r w:rsidR="001C6238" w:rsidRPr="00E646EE">
        <w:t xml:space="preserve"> Company for approval of </w:t>
      </w:r>
      <w:r w:rsidR="001C6238" w:rsidRPr="00E646EE">
        <w:rPr>
          <w:lang w:val="en-US"/>
        </w:rPr>
        <w:t>its</w:t>
      </w:r>
      <w:r w:rsidR="001C6238" w:rsidRPr="00E646EE">
        <w:t xml:space="preserve"> default service programs</w:t>
      </w:r>
      <w:r w:rsidR="001C6238">
        <w:rPr>
          <w:lang w:val="en-US"/>
        </w:rPr>
        <w:t xml:space="preserve">, as modified herein, includes prudent steps necessary to negotiate favorable generation supply contracts, </w:t>
      </w:r>
      <w:r w:rsidR="001C6238" w:rsidRPr="00E646EE">
        <w:t>to obtain least cost generation supply contracts on a long-term</w:t>
      </w:r>
      <w:r w:rsidR="001C6238" w:rsidRPr="00E646EE">
        <w:rPr>
          <w:lang w:val="en-US"/>
        </w:rPr>
        <w:t xml:space="preserve"> and </w:t>
      </w:r>
      <w:r w:rsidR="001C6238" w:rsidRPr="00E646EE">
        <w:t>short-term basis</w:t>
      </w:r>
      <w:r w:rsidR="001C6238">
        <w:rPr>
          <w:lang w:val="en-US"/>
        </w:rPr>
        <w:t>, and</w:t>
      </w:r>
      <w:r w:rsidR="001C6238" w:rsidRPr="00E646EE">
        <w:t xml:space="preserve"> is generally in the public interest</w:t>
      </w:r>
      <w:r w:rsidR="001C6238" w:rsidRPr="008A28F0">
        <w:rPr>
          <w:lang w:val="en-US"/>
        </w:rPr>
        <w:t xml:space="preserve"> </w:t>
      </w:r>
      <w:r w:rsidR="001C6238">
        <w:rPr>
          <w:lang w:val="en-US"/>
        </w:rPr>
        <w:t>as required under 66 Pa. C.S.A. §2807(e)(3.7)</w:t>
      </w:r>
      <w:r w:rsidR="001C6238" w:rsidRPr="00E646EE">
        <w:t xml:space="preserve">. </w:t>
      </w:r>
    </w:p>
    <w:p w:rsidR="001C6238" w:rsidRPr="00E646EE" w:rsidRDefault="001C6238" w:rsidP="001C6238">
      <w:pPr>
        <w:pStyle w:val="BodyText2"/>
        <w:spacing w:after="0" w:line="360" w:lineRule="auto"/>
        <w:ind w:firstLine="1440"/>
      </w:pPr>
    </w:p>
    <w:p w:rsidR="001C6238" w:rsidRPr="00E646EE" w:rsidRDefault="00870CDB" w:rsidP="001C6238">
      <w:pPr>
        <w:pStyle w:val="BodyText2"/>
        <w:spacing w:after="0" w:line="360" w:lineRule="auto"/>
        <w:ind w:firstLine="1440"/>
      </w:pPr>
      <w:r>
        <w:rPr>
          <w:lang w:val="en-US"/>
        </w:rPr>
        <w:t>4</w:t>
      </w:r>
      <w:r w:rsidR="001C6238" w:rsidRPr="00E646EE">
        <w:t>.</w:t>
      </w:r>
      <w:r w:rsidR="001C6238" w:rsidRPr="00E646EE">
        <w:tab/>
        <w:t>The addition of the Market Adjustment Charge to the Price to Compare Default Service Rate Rider should be precluded because a Market Adjustment Charge is an impermissible return and the Companies are afforded</w:t>
      </w:r>
      <w:r w:rsidR="001C6238">
        <w:rPr>
          <w:lang w:val="en-US"/>
        </w:rPr>
        <w:t xml:space="preserve"> a</w:t>
      </w:r>
      <w:r w:rsidR="001C6238" w:rsidRPr="00E646EE">
        <w:t xml:space="preserve"> reconciliation process to recover their costs.  66 Pa. C.S. § 2807(e).</w:t>
      </w:r>
    </w:p>
    <w:p w:rsidR="001C6238" w:rsidRPr="00E646EE" w:rsidRDefault="001C6238" w:rsidP="001C6238">
      <w:pPr>
        <w:pStyle w:val="ListParagraph"/>
        <w:autoSpaceDE/>
        <w:autoSpaceDN/>
        <w:spacing w:line="360" w:lineRule="auto"/>
        <w:ind w:left="0" w:firstLine="1440"/>
      </w:pPr>
    </w:p>
    <w:p w:rsidR="001C6238" w:rsidRPr="00E646EE" w:rsidRDefault="00EE75E0" w:rsidP="001C6238">
      <w:pPr>
        <w:pStyle w:val="ListParagraph"/>
        <w:autoSpaceDE/>
        <w:autoSpaceDN/>
        <w:spacing w:line="360" w:lineRule="auto"/>
        <w:ind w:left="0" w:firstLine="1440"/>
      </w:pPr>
      <w:r>
        <w:t>5</w:t>
      </w:r>
      <w:r w:rsidR="001C6238" w:rsidRPr="00E646EE">
        <w:t>.</w:t>
      </w:r>
      <w:r w:rsidR="001C6238" w:rsidRPr="00E646EE">
        <w:tab/>
        <w:t xml:space="preserve">Customer Assistance Program customer participation should be precluded </w:t>
      </w:r>
      <w:r w:rsidR="001C6238">
        <w:t>from Opt-In</w:t>
      </w:r>
      <w:r w:rsidR="001C6238" w:rsidRPr="00E646EE">
        <w:t xml:space="preserve"> auctions at this time as this issue is currently under investigation through a collaborative working group regarding Universal Service.</w:t>
      </w:r>
    </w:p>
    <w:p w:rsidR="001C6238" w:rsidRPr="00E646EE" w:rsidRDefault="001C6238" w:rsidP="001C6238">
      <w:pPr>
        <w:pStyle w:val="ListParagraph"/>
        <w:autoSpaceDE/>
        <w:autoSpaceDN/>
        <w:spacing w:line="360" w:lineRule="auto"/>
        <w:ind w:left="0" w:firstLine="1440"/>
      </w:pPr>
    </w:p>
    <w:p w:rsidR="001C6238" w:rsidRPr="00E646EE" w:rsidRDefault="00EE75E0" w:rsidP="001C6238">
      <w:pPr>
        <w:pStyle w:val="BodyText2"/>
        <w:spacing w:after="0" w:line="360" w:lineRule="auto"/>
        <w:ind w:firstLine="1440"/>
      </w:pPr>
      <w:r>
        <w:rPr>
          <w:lang w:val="en-US"/>
        </w:rPr>
        <w:t>6</w:t>
      </w:r>
      <w:r w:rsidR="001C6238" w:rsidRPr="00E646EE">
        <w:t>.</w:t>
      </w:r>
      <w:r w:rsidR="001C6238" w:rsidRPr="00E646EE">
        <w:tab/>
        <w:t xml:space="preserve">The Petition of </w:t>
      </w:r>
      <w:r w:rsidR="001C6238" w:rsidRPr="00E646EE">
        <w:rPr>
          <w:lang w:val="en-US"/>
        </w:rPr>
        <w:t>Duquesne Light</w:t>
      </w:r>
      <w:r w:rsidR="001C6238" w:rsidRPr="00E646EE">
        <w:t xml:space="preserve"> Company is generally in compliance with 66 Pa. C.S.</w:t>
      </w:r>
      <w:r>
        <w:rPr>
          <w:lang w:val="en-US"/>
        </w:rPr>
        <w:t>A.</w:t>
      </w:r>
      <w:r w:rsidR="001C6238" w:rsidRPr="00E646EE">
        <w:t xml:space="preserve"> §2807(e)(3.7) in that it includes prudent steps necessary: 1) to negotiate favorable generation supply contracts; 2) to obtain least cost generation supply contracts on a long-term</w:t>
      </w:r>
      <w:r w:rsidR="001C6238" w:rsidRPr="00E646EE">
        <w:rPr>
          <w:lang w:val="en-US"/>
        </w:rPr>
        <w:t xml:space="preserve"> and </w:t>
      </w:r>
      <w:r w:rsidR="001C6238" w:rsidRPr="00E646EE">
        <w:t xml:space="preserve">short-term basis; and 3) because the Default Service Provider </w:t>
      </w:r>
      <w:r w:rsidR="001C6238" w:rsidRPr="00E646EE">
        <w:rPr>
          <w:lang w:val="en-US"/>
        </w:rPr>
        <w:t>has not</w:t>
      </w:r>
      <w:r w:rsidR="001C6238" w:rsidRPr="00E646EE">
        <w:t xml:space="preserve"> withheld from the market any generation supply in a manner that violates federal law.</w:t>
      </w:r>
    </w:p>
    <w:p w:rsidR="001C6238" w:rsidRPr="00E646EE" w:rsidRDefault="001C6238" w:rsidP="001C6238">
      <w:pPr>
        <w:pStyle w:val="BodyText2"/>
        <w:spacing w:after="0" w:line="360" w:lineRule="auto"/>
        <w:ind w:firstLine="1440"/>
      </w:pPr>
    </w:p>
    <w:p w:rsidR="001C6238" w:rsidRPr="00E646EE" w:rsidRDefault="00EE75E0" w:rsidP="001C6238">
      <w:pPr>
        <w:pStyle w:val="BodyText2"/>
        <w:spacing w:after="0" w:line="360" w:lineRule="auto"/>
        <w:ind w:firstLine="1440"/>
      </w:pPr>
      <w:r>
        <w:rPr>
          <w:lang w:val="en-US"/>
        </w:rPr>
        <w:t>7</w:t>
      </w:r>
      <w:r w:rsidR="001C6238" w:rsidRPr="00E646EE">
        <w:t>.</w:t>
      </w:r>
      <w:r w:rsidR="001C6238" w:rsidRPr="00E646EE">
        <w:tab/>
        <w:t xml:space="preserve">The Supply Master Agreement provisions requested in the Petition of </w:t>
      </w:r>
      <w:r w:rsidR="001C6238" w:rsidRPr="00E646EE">
        <w:rPr>
          <w:lang w:val="en-US"/>
        </w:rPr>
        <w:t>Duquesne Light</w:t>
      </w:r>
      <w:r w:rsidR="001C6238" w:rsidRPr="00E646EE">
        <w:t xml:space="preserve"> Company should be granted.</w:t>
      </w:r>
    </w:p>
    <w:p w:rsidR="001C6238" w:rsidRPr="00E646EE" w:rsidRDefault="001C6238" w:rsidP="001C6238">
      <w:pPr>
        <w:pStyle w:val="BodyText2"/>
        <w:spacing w:after="0" w:line="360" w:lineRule="auto"/>
        <w:ind w:firstLine="1440"/>
      </w:pPr>
    </w:p>
    <w:p w:rsidR="001C6238" w:rsidRPr="00E646EE" w:rsidRDefault="00EE75E0" w:rsidP="001C6238">
      <w:pPr>
        <w:pStyle w:val="BodyText2"/>
        <w:spacing w:after="0" w:line="360" w:lineRule="auto"/>
        <w:ind w:firstLine="1440"/>
      </w:pPr>
      <w:r>
        <w:rPr>
          <w:lang w:val="en-US"/>
        </w:rPr>
        <w:t>8</w:t>
      </w:r>
      <w:r w:rsidR="001C6238" w:rsidRPr="00E646EE">
        <w:t>.</w:t>
      </w:r>
      <w:r w:rsidR="001C6238" w:rsidRPr="00E646EE">
        <w:tab/>
        <w:t xml:space="preserve">The competitive market enhancements set forth in the Petition of </w:t>
      </w:r>
      <w:r w:rsidR="001C6238" w:rsidRPr="00E646EE">
        <w:rPr>
          <w:lang w:val="en-US"/>
        </w:rPr>
        <w:t>Duquesne Light</w:t>
      </w:r>
      <w:r w:rsidR="001C6238" w:rsidRPr="00E646EE">
        <w:t xml:space="preserve"> Company and modified by the recommendations in this Recommended Decision should be approved as reasonable.</w:t>
      </w:r>
    </w:p>
    <w:p w:rsidR="001C6238" w:rsidRPr="00E646EE" w:rsidRDefault="001C6238" w:rsidP="001C6238">
      <w:pPr>
        <w:pStyle w:val="BodyText2"/>
        <w:spacing w:after="0" w:line="360" w:lineRule="auto"/>
      </w:pPr>
    </w:p>
    <w:p w:rsidR="001C6238" w:rsidRPr="00E646EE" w:rsidRDefault="001C6238" w:rsidP="001C6238">
      <w:pPr>
        <w:pStyle w:val="BodyText2"/>
        <w:spacing w:after="0" w:line="360" w:lineRule="auto"/>
        <w:jc w:val="center"/>
        <w:rPr>
          <w:b/>
          <w:u w:val="single"/>
        </w:rPr>
      </w:pPr>
      <w:r w:rsidRPr="00E646EE">
        <w:rPr>
          <w:b/>
        </w:rPr>
        <w:t>VI</w:t>
      </w:r>
      <w:r w:rsidRPr="00E646EE">
        <w:rPr>
          <w:b/>
          <w:lang w:val="en-US"/>
        </w:rPr>
        <w:t>I</w:t>
      </w:r>
      <w:r w:rsidRPr="00E646EE">
        <w:rPr>
          <w:b/>
        </w:rPr>
        <w:t>.</w:t>
      </w:r>
      <w:r w:rsidRPr="00E646EE">
        <w:rPr>
          <w:b/>
        </w:rPr>
        <w:tab/>
      </w:r>
      <w:r w:rsidRPr="00E646EE">
        <w:rPr>
          <w:b/>
          <w:u w:val="single"/>
        </w:rPr>
        <w:t>ORDER</w:t>
      </w:r>
      <w:r w:rsidRPr="00E646EE">
        <w:rPr>
          <w:b/>
          <w:u w:val="single"/>
        </w:rPr>
        <w:fldChar w:fldCharType="begin"/>
      </w:r>
      <w:r w:rsidRPr="00E646EE">
        <w:instrText xml:space="preserve"> TC "</w:instrText>
      </w:r>
      <w:bookmarkStart w:id="27" w:name="_Toc327430253"/>
      <w:bookmarkStart w:id="28" w:name="_Toc327438722"/>
      <w:bookmarkStart w:id="29" w:name="_Toc327439190"/>
      <w:r w:rsidRPr="00E646EE">
        <w:rPr>
          <w:b/>
        </w:rPr>
        <w:instrText>VI.</w:instrText>
      </w:r>
      <w:r w:rsidRPr="00E646EE">
        <w:rPr>
          <w:b/>
        </w:rPr>
        <w:tab/>
      </w:r>
      <w:r w:rsidRPr="00E646EE">
        <w:rPr>
          <w:b/>
          <w:u w:val="single"/>
        </w:rPr>
        <w:instrText>ORDER</w:instrText>
      </w:r>
      <w:bookmarkEnd w:id="27"/>
      <w:bookmarkEnd w:id="28"/>
      <w:bookmarkEnd w:id="29"/>
      <w:r w:rsidRPr="00E646EE">
        <w:instrText xml:space="preserve">" \f C \l "1" </w:instrText>
      </w:r>
      <w:r w:rsidRPr="00E646EE">
        <w:rPr>
          <w:b/>
          <w:u w:val="single"/>
        </w:rPr>
        <w:fldChar w:fldCharType="end"/>
      </w:r>
    </w:p>
    <w:p w:rsidR="001C6238" w:rsidRPr="00E646EE" w:rsidRDefault="001C6238" w:rsidP="001C6238">
      <w:pPr>
        <w:pStyle w:val="BodyText2"/>
        <w:spacing w:after="0" w:line="360" w:lineRule="auto"/>
        <w:jc w:val="center"/>
        <w:rPr>
          <w:u w:val="single"/>
        </w:rPr>
      </w:pPr>
    </w:p>
    <w:p w:rsidR="001C6238" w:rsidRPr="00E646EE" w:rsidRDefault="001C6238" w:rsidP="001C6238">
      <w:pPr>
        <w:pStyle w:val="BodyText2"/>
        <w:spacing w:after="0" w:line="360" w:lineRule="auto"/>
        <w:jc w:val="center"/>
      </w:pPr>
    </w:p>
    <w:p w:rsidR="001C6238" w:rsidRPr="00E646EE" w:rsidRDefault="001C6238" w:rsidP="001C6238">
      <w:pPr>
        <w:pStyle w:val="BodyText2"/>
        <w:spacing w:after="0" w:line="360" w:lineRule="auto"/>
      </w:pPr>
      <w:r w:rsidRPr="00E646EE">
        <w:tab/>
      </w:r>
      <w:r w:rsidR="00C20313">
        <w:rPr>
          <w:lang w:val="en-US"/>
        </w:rPr>
        <w:tab/>
      </w:r>
      <w:r w:rsidRPr="00E646EE">
        <w:t>THEREFORE,</w:t>
      </w:r>
    </w:p>
    <w:p w:rsidR="001C6238" w:rsidRPr="00E646EE" w:rsidRDefault="001C6238" w:rsidP="001C6238">
      <w:pPr>
        <w:pStyle w:val="BodyText2"/>
        <w:spacing w:after="0" w:line="360" w:lineRule="auto"/>
      </w:pPr>
    </w:p>
    <w:p w:rsidR="001C6238" w:rsidRPr="00E646EE" w:rsidRDefault="00C20313" w:rsidP="001C6238">
      <w:pPr>
        <w:pStyle w:val="BodyText2"/>
        <w:spacing w:after="0" w:line="360" w:lineRule="auto"/>
      </w:pPr>
      <w:r>
        <w:rPr>
          <w:lang w:val="en-US"/>
        </w:rPr>
        <w:tab/>
      </w:r>
      <w:r w:rsidR="001C6238" w:rsidRPr="00E646EE">
        <w:tab/>
        <w:t>IT IS RECOMMENDED:</w:t>
      </w:r>
    </w:p>
    <w:p w:rsidR="001C6238" w:rsidRPr="00E646EE" w:rsidRDefault="001C6238" w:rsidP="001C6238">
      <w:pPr>
        <w:pStyle w:val="BodyText2"/>
        <w:spacing w:after="0" w:line="360" w:lineRule="auto"/>
      </w:pPr>
    </w:p>
    <w:p w:rsidR="001C6238" w:rsidRPr="00E646EE" w:rsidRDefault="001C6238" w:rsidP="001C6238">
      <w:pPr>
        <w:pStyle w:val="BodyText2"/>
        <w:spacing w:after="0" w:line="360" w:lineRule="auto"/>
        <w:ind w:firstLine="1440"/>
      </w:pPr>
      <w:r w:rsidRPr="00E646EE">
        <w:t>1.</w:t>
      </w:r>
      <w:r w:rsidRPr="00E646EE">
        <w:tab/>
        <w:t xml:space="preserve">That the Petition of </w:t>
      </w:r>
      <w:r w:rsidRPr="00E646EE">
        <w:rPr>
          <w:lang w:val="en-US"/>
        </w:rPr>
        <w:t>Duquesne Light</w:t>
      </w:r>
      <w:r w:rsidRPr="00E646EE">
        <w:t xml:space="preserve"> Company for approval of </w:t>
      </w:r>
      <w:r>
        <w:rPr>
          <w:lang w:val="en-US"/>
        </w:rPr>
        <w:t>its</w:t>
      </w:r>
      <w:r w:rsidRPr="00E646EE">
        <w:t xml:space="preserve"> default service programs is hereby approved</w:t>
      </w:r>
      <w:r>
        <w:rPr>
          <w:lang w:val="en-US"/>
        </w:rPr>
        <w:t>, except as modified by this Recommended Decision herei</w:t>
      </w:r>
      <w:r w:rsidRPr="00E646EE">
        <w:t>n.</w:t>
      </w:r>
    </w:p>
    <w:p w:rsidR="001C6238" w:rsidRPr="00E646EE" w:rsidRDefault="001C6238" w:rsidP="001C6238">
      <w:pPr>
        <w:pStyle w:val="BodyText2"/>
        <w:spacing w:after="0" w:line="360" w:lineRule="auto"/>
        <w:ind w:firstLine="1440"/>
      </w:pPr>
    </w:p>
    <w:p w:rsidR="001C6238" w:rsidRDefault="001C6238" w:rsidP="001C6238">
      <w:pPr>
        <w:pStyle w:val="BodyText2"/>
        <w:spacing w:after="0" w:line="360" w:lineRule="auto"/>
        <w:ind w:firstLine="1440"/>
        <w:rPr>
          <w:lang w:val="en-US"/>
        </w:rPr>
      </w:pPr>
      <w:r>
        <w:rPr>
          <w:lang w:val="en-US"/>
        </w:rPr>
        <w:t>2</w:t>
      </w:r>
      <w:r w:rsidRPr="00E646EE">
        <w:t>.</w:t>
      </w:r>
      <w:r w:rsidRPr="00E646EE">
        <w:tab/>
        <w:t xml:space="preserve">That </w:t>
      </w:r>
      <w:r w:rsidRPr="00E646EE">
        <w:rPr>
          <w:lang w:val="en-US"/>
        </w:rPr>
        <w:t xml:space="preserve">the </w:t>
      </w:r>
      <w:r w:rsidRPr="00E646EE">
        <w:t xml:space="preserve">Petition of </w:t>
      </w:r>
      <w:r w:rsidRPr="00E646EE">
        <w:rPr>
          <w:lang w:val="en-US"/>
        </w:rPr>
        <w:t>Duquesne Light</w:t>
      </w:r>
      <w:r w:rsidRPr="00E646EE">
        <w:t xml:space="preserve"> Company </w:t>
      </w:r>
      <w:r w:rsidRPr="00E646EE">
        <w:rPr>
          <w:lang w:val="en-US"/>
        </w:rPr>
        <w:t xml:space="preserve">for its </w:t>
      </w:r>
      <w:r w:rsidRPr="00E646EE">
        <w:t xml:space="preserve">default service plan </w:t>
      </w:r>
      <w:r>
        <w:rPr>
          <w:lang w:val="en-US"/>
        </w:rPr>
        <w:t xml:space="preserve">(to be known as “DSP VI”) </w:t>
      </w:r>
      <w:r w:rsidRPr="00E646EE">
        <w:t>shall become effective after entry of the final Commission order regarding this matter.</w:t>
      </w:r>
    </w:p>
    <w:p w:rsidR="001C6238" w:rsidRDefault="001C6238" w:rsidP="001C6238">
      <w:pPr>
        <w:pStyle w:val="BodyText2"/>
        <w:spacing w:after="0" w:line="360" w:lineRule="auto"/>
        <w:ind w:firstLine="1440"/>
        <w:rPr>
          <w:lang w:val="en-US"/>
        </w:rPr>
      </w:pPr>
    </w:p>
    <w:p w:rsidR="001C6238" w:rsidRPr="0016343D" w:rsidRDefault="001C6238" w:rsidP="001C6238">
      <w:pPr>
        <w:pStyle w:val="BodyText2"/>
        <w:spacing w:after="0" w:line="360" w:lineRule="auto"/>
        <w:ind w:firstLine="1440"/>
        <w:rPr>
          <w:lang w:val="en-US"/>
        </w:rPr>
      </w:pPr>
      <w:r>
        <w:rPr>
          <w:lang w:val="en-US"/>
        </w:rPr>
        <w:t>3.</w:t>
      </w:r>
      <w:r>
        <w:rPr>
          <w:lang w:val="en-US"/>
        </w:rPr>
        <w:tab/>
        <w:t>That Duquesne Light</w:t>
      </w:r>
      <w:r w:rsidR="00D445D0">
        <w:rPr>
          <w:lang w:val="en-US"/>
        </w:rPr>
        <w:t xml:space="preserve"> Company’s</w:t>
      </w:r>
      <w:r>
        <w:rPr>
          <w:lang w:val="en-US"/>
        </w:rPr>
        <w:t xml:space="preserve"> proposal for Residential procurement is hereby approved.</w:t>
      </w:r>
    </w:p>
    <w:p w:rsidR="001C6238" w:rsidRPr="00A33CBA" w:rsidRDefault="001C6238" w:rsidP="001C6238">
      <w:pPr>
        <w:pStyle w:val="BodyText2"/>
        <w:spacing w:after="0" w:line="360" w:lineRule="auto"/>
        <w:ind w:firstLine="1440"/>
      </w:pPr>
    </w:p>
    <w:p w:rsidR="001C6238" w:rsidRDefault="001C6238" w:rsidP="001C6238">
      <w:pPr>
        <w:pStyle w:val="BodyText2"/>
        <w:spacing w:after="0" w:line="360" w:lineRule="auto"/>
        <w:ind w:firstLine="1440"/>
        <w:rPr>
          <w:lang w:val="en-US"/>
        </w:rPr>
      </w:pPr>
      <w:r>
        <w:rPr>
          <w:lang w:val="en-US"/>
        </w:rPr>
        <w:t>4</w:t>
      </w:r>
      <w:r w:rsidRPr="00A33CBA">
        <w:t>.</w:t>
      </w:r>
      <w:r w:rsidRPr="00A33CBA">
        <w:tab/>
        <w:t>That</w:t>
      </w:r>
      <w:r w:rsidRPr="00A33CBA">
        <w:rPr>
          <w:lang w:val="en-US"/>
        </w:rPr>
        <w:t xml:space="preserve"> Duquesne Light</w:t>
      </w:r>
      <w:r w:rsidR="00C16803">
        <w:rPr>
          <w:lang w:val="en-US"/>
        </w:rPr>
        <w:t xml:space="preserve"> Company</w:t>
      </w:r>
      <w:r w:rsidRPr="00A33CBA">
        <w:rPr>
          <w:lang w:val="en-US"/>
        </w:rPr>
        <w:t>’s plan to ladder one-year contracts after one 6-month contract for its Small Commercial and Industrial procurement is hereby approved.</w:t>
      </w:r>
    </w:p>
    <w:p w:rsidR="001C6238" w:rsidRDefault="001C6238" w:rsidP="001C6238">
      <w:pPr>
        <w:pStyle w:val="BodyText2"/>
        <w:spacing w:after="0" w:line="360" w:lineRule="auto"/>
        <w:ind w:firstLine="1440"/>
        <w:rPr>
          <w:lang w:val="en-US"/>
        </w:rPr>
      </w:pPr>
    </w:p>
    <w:p w:rsidR="001C6238" w:rsidRPr="00A33CBA" w:rsidRDefault="001C6238" w:rsidP="001C6238">
      <w:pPr>
        <w:pStyle w:val="BodyText2"/>
        <w:spacing w:after="0" w:line="360" w:lineRule="auto"/>
        <w:ind w:firstLine="1440"/>
        <w:rPr>
          <w:lang w:val="en-US"/>
        </w:rPr>
      </w:pPr>
      <w:r>
        <w:rPr>
          <w:lang w:val="en-US"/>
        </w:rPr>
        <w:t>5.</w:t>
      </w:r>
      <w:r>
        <w:rPr>
          <w:lang w:val="en-US"/>
        </w:rPr>
        <w:tab/>
      </w:r>
      <w:r w:rsidRPr="00A33CBA">
        <w:t>That</w:t>
      </w:r>
      <w:r w:rsidRPr="00A33CBA">
        <w:rPr>
          <w:lang w:val="en-US"/>
        </w:rPr>
        <w:t xml:space="preserve"> Duquesne Light</w:t>
      </w:r>
      <w:r w:rsidR="00102809">
        <w:rPr>
          <w:lang w:val="en-US"/>
        </w:rPr>
        <w:t xml:space="preserve"> Company</w:t>
      </w:r>
      <w:r w:rsidRPr="00A33CBA">
        <w:rPr>
          <w:lang w:val="en-US"/>
        </w:rPr>
        <w:t xml:space="preserve">’s </w:t>
      </w:r>
      <w:r>
        <w:rPr>
          <w:lang w:val="en-US"/>
        </w:rPr>
        <w:t>proposals</w:t>
      </w:r>
      <w:r w:rsidRPr="00A33CBA">
        <w:rPr>
          <w:lang w:val="en-US"/>
        </w:rPr>
        <w:t xml:space="preserve"> for its </w:t>
      </w:r>
      <w:r>
        <w:rPr>
          <w:lang w:val="en-US"/>
        </w:rPr>
        <w:t>Medium and Large</w:t>
      </w:r>
      <w:r w:rsidRPr="00A33CBA">
        <w:rPr>
          <w:lang w:val="en-US"/>
        </w:rPr>
        <w:t xml:space="preserve"> Commercial and Industrial procurement </w:t>
      </w:r>
      <w:r>
        <w:rPr>
          <w:lang w:val="en-US"/>
        </w:rPr>
        <w:t>are</w:t>
      </w:r>
      <w:r w:rsidRPr="00A33CBA">
        <w:rPr>
          <w:lang w:val="en-US"/>
        </w:rPr>
        <w:t xml:space="preserve"> hereby approved.</w:t>
      </w:r>
    </w:p>
    <w:p w:rsidR="001C6238" w:rsidRPr="00A33CBA" w:rsidRDefault="001C6238" w:rsidP="001C6238">
      <w:pPr>
        <w:pStyle w:val="BodyText2"/>
        <w:spacing w:after="0" w:line="360" w:lineRule="auto"/>
        <w:ind w:firstLine="1440"/>
      </w:pPr>
    </w:p>
    <w:p w:rsidR="001C6238" w:rsidRPr="008014B5" w:rsidRDefault="001C6238" w:rsidP="001C6238">
      <w:pPr>
        <w:spacing w:line="360" w:lineRule="auto"/>
        <w:ind w:firstLine="1440"/>
      </w:pPr>
      <w:r w:rsidRPr="008014B5">
        <w:t>6.</w:t>
      </w:r>
      <w:r w:rsidRPr="008014B5">
        <w:tab/>
        <w:t>That Duquesne Light</w:t>
      </w:r>
      <w:r w:rsidR="00504DB7">
        <w:t xml:space="preserve"> Company</w:t>
      </w:r>
      <w:r w:rsidRPr="008014B5">
        <w:t xml:space="preserve">’s proposal for a 50% load cap on the supply contract for any supplier awarded an RFP is hereby approved.  </w:t>
      </w:r>
    </w:p>
    <w:p w:rsidR="001C6238" w:rsidRPr="008014B5" w:rsidRDefault="001C6238" w:rsidP="001C6238">
      <w:pPr>
        <w:spacing w:line="360" w:lineRule="auto"/>
        <w:ind w:firstLine="1440"/>
      </w:pPr>
    </w:p>
    <w:p w:rsidR="001C6238" w:rsidRPr="008014B5" w:rsidRDefault="001C6238" w:rsidP="001C6238">
      <w:pPr>
        <w:spacing w:line="360" w:lineRule="auto"/>
        <w:ind w:firstLine="1440"/>
      </w:pPr>
      <w:r w:rsidRPr="008014B5">
        <w:t>7.</w:t>
      </w:r>
      <w:r w:rsidRPr="008014B5">
        <w:tab/>
        <w:t>That Duquesne Light</w:t>
      </w:r>
      <w:r w:rsidR="00954275">
        <w:t xml:space="preserve"> Company</w:t>
      </w:r>
      <w:r w:rsidRPr="008014B5">
        <w:t xml:space="preserve">’s proposal for Retail Market Enhancements and the Retail Opt-In Program is hereby approved, except that Duquesne Light </w:t>
      </w:r>
      <w:r w:rsidR="00724533">
        <w:t xml:space="preserve">Company </w:t>
      </w:r>
      <w:r w:rsidRPr="008014B5">
        <w:t xml:space="preserve">shall mail an additional notice to customers prior to the end of the Retail Opt-In </w:t>
      </w:r>
      <w:r w:rsidR="001921B0">
        <w:t>P</w:t>
      </w:r>
      <w:r w:rsidRPr="008014B5">
        <w:t>rogram, as proposed by the Office of Consumer Advocate.</w:t>
      </w:r>
    </w:p>
    <w:p w:rsidR="001C6238" w:rsidRPr="008014B5" w:rsidRDefault="001C6238" w:rsidP="001C6238">
      <w:pPr>
        <w:pStyle w:val="BodyText2"/>
        <w:spacing w:after="0" w:line="360" w:lineRule="auto"/>
        <w:ind w:firstLine="1440"/>
      </w:pPr>
    </w:p>
    <w:p w:rsidR="001C6238" w:rsidRDefault="001C6238" w:rsidP="001C6238">
      <w:pPr>
        <w:pStyle w:val="BodyText2"/>
        <w:spacing w:after="0" w:line="360" w:lineRule="auto"/>
        <w:ind w:firstLine="1440"/>
        <w:rPr>
          <w:lang w:val="en-US"/>
        </w:rPr>
      </w:pPr>
      <w:r w:rsidRPr="008014B5">
        <w:t>8.</w:t>
      </w:r>
      <w:r w:rsidRPr="008014B5">
        <w:tab/>
        <w:t>That the request of Duquesne Light Company to require Electric Generation Suppliers to sign the Standard</w:t>
      </w:r>
      <w:r>
        <w:t xml:space="preserve"> Offer Supplier Agreement, which was attached to the Company’s Statement No. 3 as Exhibit NSF-3, is granted</w:t>
      </w:r>
      <w:r w:rsidRPr="00A33CBA">
        <w:t>.</w:t>
      </w:r>
    </w:p>
    <w:p w:rsidR="001C6238" w:rsidRDefault="001C6238" w:rsidP="001C6238">
      <w:pPr>
        <w:pStyle w:val="BodyText2"/>
        <w:spacing w:after="0" w:line="360" w:lineRule="auto"/>
        <w:ind w:firstLine="1440"/>
        <w:rPr>
          <w:lang w:val="en-US"/>
        </w:rPr>
      </w:pPr>
    </w:p>
    <w:p w:rsidR="001C6238" w:rsidRPr="005F4DDD" w:rsidRDefault="001C6238" w:rsidP="001C6238">
      <w:pPr>
        <w:pStyle w:val="BodyText2"/>
        <w:spacing w:after="0" w:line="360" w:lineRule="auto"/>
        <w:ind w:firstLine="1440"/>
        <w:rPr>
          <w:lang w:val="en-US"/>
        </w:rPr>
      </w:pPr>
      <w:r>
        <w:rPr>
          <w:lang w:val="en-US"/>
        </w:rPr>
        <w:t>9.</w:t>
      </w:r>
      <w:r>
        <w:rPr>
          <w:lang w:val="en-US"/>
        </w:rPr>
        <w:tab/>
      </w:r>
      <w:r>
        <w:t>That the request of Duquesne Light Company to require Retail Opt-In suppliers to sign the Opt-In E</w:t>
      </w:r>
      <w:r w:rsidR="00A80704">
        <w:rPr>
          <w:lang w:val="en-US"/>
        </w:rPr>
        <w:t xml:space="preserve">lectric </w:t>
      </w:r>
      <w:r>
        <w:t>G</w:t>
      </w:r>
      <w:r w:rsidR="00A80704">
        <w:rPr>
          <w:lang w:val="en-US"/>
        </w:rPr>
        <w:t>eneration Supplier</w:t>
      </w:r>
      <w:r>
        <w:t xml:space="preserve"> Service Program Agreement, which was attached to the Company’s Statement No. 3 as Exhibit NSF-2, is granted</w:t>
      </w:r>
      <w:r>
        <w:rPr>
          <w:lang w:val="en-US"/>
        </w:rPr>
        <w:t>.</w:t>
      </w:r>
    </w:p>
    <w:p w:rsidR="001C6238" w:rsidRDefault="001C6238" w:rsidP="001C6238">
      <w:pPr>
        <w:pStyle w:val="BodyText2"/>
        <w:spacing w:after="0" w:line="360" w:lineRule="auto"/>
        <w:ind w:firstLine="1440"/>
        <w:rPr>
          <w:lang w:val="en-US"/>
        </w:rPr>
      </w:pPr>
    </w:p>
    <w:p w:rsidR="001C6238" w:rsidRPr="001C044A" w:rsidRDefault="001C6238" w:rsidP="001C6238">
      <w:pPr>
        <w:pStyle w:val="BodyText2"/>
        <w:spacing w:after="0" w:line="360" w:lineRule="auto"/>
        <w:ind w:firstLine="1440"/>
        <w:rPr>
          <w:lang w:val="en-US"/>
        </w:rPr>
      </w:pPr>
      <w:r>
        <w:rPr>
          <w:lang w:val="en-US"/>
        </w:rPr>
        <w:t>10.</w:t>
      </w:r>
      <w:r>
        <w:rPr>
          <w:lang w:val="en-US"/>
        </w:rPr>
        <w:tab/>
      </w:r>
      <w:r>
        <w:t>That Duquesne Light</w:t>
      </w:r>
      <w:r w:rsidR="00424C47">
        <w:rPr>
          <w:lang w:val="en-US"/>
        </w:rPr>
        <w:t xml:space="preserve"> Company’</w:t>
      </w:r>
      <w:r>
        <w:t>s proposal to cap customer participation in the Retail Opt-In Program at 50% is hereby approved</w:t>
      </w:r>
      <w:r>
        <w:rPr>
          <w:lang w:val="en-US"/>
        </w:rPr>
        <w:t>.</w:t>
      </w:r>
    </w:p>
    <w:p w:rsidR="001C6238" w:rsidRPr="00050C67" w:rsidRDefault="001C6238" w:rsidP="001C6238">
      <w:pPr>
        <w:pStyle w:val="BodyText2"/>
        <w:spacing w:after="0" w:line="360" w:lineRule="auto"/>
        <w:ind w:firstLine="1440"/>
        <w:rPr>
          <w:lang w:val="en-US"/>
        </w:rPr>
      </w:pPr>
      <w:r>
        <w:rPr>
          <w:lang w:val="en-US"/>
        </w:rPr>
        <w:t>11.</w:t>
      </w:r>
      <w:r>
        <w:rPr>
          <w:lang w:val="en-US"/>
        </w:rPr>
        <w:tab/>
        <w:t>That Duquesne Light</w:t>
      </w:r>
      <w:r w:rsidR="0029563E">
        <w:rPr>
          <w:lang w:val="en-US"/>
        </w:rPr>
        <w:t xml:space="preserve"> Company</w:t>
      </w:r>
      <w:r>
        <w:rPr>
          <w:lang w:val="en-US"/>
        </w:rPr>
        <w:t xml:space="preserve">’s proposal, to leave the Supply Master Agreement unchanged, shall be approved, except that </w:t>
      </w:r>
      <w:r>
        <w:t xml:space="preserve">Duquesne Light </w:t>
      </w:r>
      <w:r w:rsidR="00A33A2A">
        <w:rPr>
          <w:lang w:val="en-US"/>
        </w:rPr>
        <w:t xml:space="preserve">Company </w:t>
      </w:r>
      <w:r>
        <w:t>shall modify Section 12.1(j)</w:t>
      </w:r>
      <w:r>
        <w:rPr>
          <w:lang w:val="en-US"/>
        </w:rPr>
        <w:t xml:space="preserve"> of the Supply Master Agreement</w:t>
      </w:r>
      <w:r>
        <w:t xml:space="preserve"> to reinsert the terms, “,if any” after “with respect to Seller’s Guarantor.”  </w:t>
      </w:r>
    </w:p>
    <w:p w:rsidR="001C6238" w:rsidRPr="00A33CBA" w:rsidRDefault="001C6238" w:rsidP="001C6238">
      <w:pPr>
        <w:pStyle w:val="BodyText2"/>
        <w:spacing w:after="0" w:line="360" w:lineRule="auto"/>
        <w:ind w:firstLine="1440"/>
      </w:pPr>
    </w:p>
    <w:p w:rsidR="001C6238" w:rsidRDefault="001C6238" w:rsidP="001C6238">
      <w:pPr>
        <w:pStyle w:val="BodyText2"/>
        <w:spacing w:after="0" w:line="360" w:lineRule="auto"/>
        <w:ind w:firstLine="1440"/>
        <w:rPr>
          <w:lang w:val="en-US"/>
        </w:rPr>
      </w:pPr>
      <w:r>
        <w:rPr>
          <w:lang w:val="en-US"/>
        </w:rPr>
        <w:t>12</w:t>
      </w:r>
      <w:r w:rsidRPr="00A33CBA">
        <w:t>.</w:t>
      </w:r>
      <w:r w:rsidRPr="00A33CBA">
        <w:tab/>
        <w:t>That</w:t>
      </w:r>
      <w:r>
        <w:rPr>
          <w:lang w:val="en-US"/>
        </w:rPr>
        <w:t xml:space="preserve"> Duquesne Light</w:t>
      </w:r>
      <w:r w:rsidR="00A15057">
        <w:rPr>
          <w:lang w:val="en-US"/>
        </w:rPr>
        <w:t xml:space="preserve"> Company</w:t>
      </w:r>
      <w:r>
        <w:rPr>
          <w:lang w:val="en-US"/>
        </w:rPr>
        <w:t xml:space="preserve">’s proposal for the Standard Offer program, which will start on June 1, 2014 and be in effect through the term of this Default Service Plan, is hereby approved except that: </w:t>
      </w:r>
      <w:r w:rsidRPr="00C2654E">
        <w:t>Duquesne Light</w:t>
      </w:r>
      <w:r w:rsidR="00320759">
        <w:rPr>
          <w:lang w:val="en-US"/>
        </w:rPr>
        <w:t xml:space="preserve"> Company</w:t>
      </w:r>
      <w:r w:rsidRPr="00C2654E">
        <w:t xml:space="preserve"> </w:t>
      </w:r>
      <w:r>
        <w:rPr>
          <w:lang w:val="en-US"/>
        </w:rPr>
        <w:t>shall not</w:t>
      </w:r>
      <w:r w:rsidRPr="00C2654E">
        <w:t xml:space="preserve"> suspend the program earlier than May 31, 2015 if residential shopping loads reach 67%</w:t>
      </w:r>
      <w:r>
        <w:t xml:space="preserve"> before that dat</w:t>
      </w:r>
      <w:r>
        <w:rPr>
          <w:lang w:val="en-US"/>
        </w:rPr>
        <w:t xml:space="preserve">e; and Duquesne Light shall not </w:t>
      </w:r>
      <w:r w:rsidRPr="00C2654E">
        <w:t>create a Choice Referral Team to discuss the S</w:t>
      </w:r>
      <w:r w:rsidR="00320759">
        <w:rPr>
          <w:lang w:val="en-US"/>
        </w:rPr>
        <w:t xml:space="preserve">tandard </w:t>
      </w:r>
      <w:r w:rsidRPr="00C2654E">
        <w:t>O</w:t>
      </w:r>
      <w:r w:rsidR="00320759">
        <w:rPr>
          <w:lang w:val="en-US"/>
        </w:rPr>
        <w:t>ffer</w:t>
      </w:r>
      <w:r w:rsidRPr="00C2654E">
        <w:t xml:space="preserve"> Program with customers</w:t>
      </w:r>
      <w:r>
        <w:rPr>
          <w:lang w:val="en-US"/>
        </w:rPr>
        <w:t>.</w:t>
      </w:r>
    </w:p>
    <w:p w:rsidR="001C6238" w:rsidRDefault="001C6238" w:rsidP="001C6238">
      <w:pPr>
        <w:pStyle w:val="BodyText2"/>
        <w:spacing w:after="0" w:line="360" w:lineRule="auto"/>
        <w:ind w:firstLine="1440"/>
        <w:rPr>
          <w:lang w:val="en-US"/>
        </w:rPr>
      </w:pPr>
    </w:p>
    <w:p w:rsidR="001C6238" w:rsidRDefault="001C6238" w:rsidP="001C6238">
      <w:pPr>
        <w:pStyle w:val="BodyText2"/>
        <w:spacing w:after="0" w:line="360" w:lineRule="auto"/>
        <w:ind w:firstLine="1440"/>
        <w:rPr>
          <w:lang w:val="en-US"/>
        </w:rPr>
      </w:pPr>
      <w:r>
        <w:rPr>
          <w:lang w:val="en-US"/>
        </w:rPr>
        <w:t>13.</w:t>
      </w:r>
      <w:r>
        <w:rPr>
          <w:lang w:val="en-US"/>
        </w:rPr>
        <w:tab/>
        <w:t>That Duquesne Light</w:t>
      </w:r>
      <w:r w:rsidR="00617FF6">
        <w:rPr>
          <w:lang w:val="en-US"/>
        </w:rPr>
        <w:t xml:space="preserve"> Company</w:t>
      </w:r>
      <w:r>
        <w:rPr>
          <w:lang w:val="en-US"/>
        </w:rPr>
        <w:t>’s proposal to recover the cost of the R</w:t>
      </w:r>
      <w:r w:rsidR="00617FF6">
        <w:rPr>
          <w:lang w:val="en-US"/>
        </w:rPr>
        <w:t xml:space="preserve">etail </w:t>
      </w:r>
      <w:r>
        <w:rPr>
          <w:lang w:val="en-US"/>
        </w:rPr>
        <w:t>O</w:t>
      </w:r>
      <w:r w:rsidR="00617FF6">
        <w:rPr>
          <w:lang w:val="en-US"/>
        </w:rPr>
        <w:t xml:space="preserve">pt-In </w:t>
      </w:r>
      <w:r>
        <w:rPr>
          <w:lang w:val="en-US"/>
        </w:rPr>
        <w:t>Program from participating suppliers is hereby approved.</w:t>
      </w:r>
    </w:p>
    <w:p w:rsidR="001C6238" w:rsidRDefault="001C6238" w:rsidP="001C6238">
      <w:pPr>
        <w:pStyle w:val="BodyText2"/>
        <w:spacing w:after="0" w:line="360" w:lineRule="auto"/>
        <w:ind w:firstLine="1440"/>
        <w:rPr>
          <w:lang w:val="en-US"/>
        </w:rPr>
      </w:pPr>
    </w:p>
    <w:p w:rsidR="001C6238" w:rsidRPr="007D7B8B" w:rsidRDefault="001C6238" w:rsidP="001C6238">
      <w:pPr>
        <w:pStyle w:val="BodyText2"/>
        <w:spacing w:after="0" w:line="360" w:lineRule="auto"/>
        <w:ind w:firstLine="1440"/>
        <w:rPr>
          <w:lang w:val="en-US"/>
        </w:rPr>
      </w:pPr>
      <w:r>
        <w:rPr>
          <w:lang w:val="en-US"/>
        </w:rPr>
        <w:t>14.</w:t>
      </w:r>
      <w:r>
        <w:rPr>
          <w:lang w:val="en-US"/>
        </w:rPr>
        <w:tab/>
        <w:t>That Duquesne Light</w:t>
      </w:r>
      <w:r w:rsidR="00067108">
        <w:rPr>
          <w:lang w:val="en-US"/>
        </w:rPr>
        <w:t xml:space="preserve"> Company</w:t>
      </w:r>
      <w:r>
        <w:rPr>
          <w:lang w:val="en-US"/>
        </w:rPr>
        <w:t>’s proposal to preclude participation by</w:t>
      </w:r>
      <w:r w:rsidRPr="00E646EE">
        <w:t xml:space="preserve"> Customer Assistance Program customers</w:t>
      </w:r>
      <w:r>
        <w:rPr>
          <w:lang w:val="en-US"/>
        </w:rPr>
        <w:t xml:space="preserve"> in the Retail Market Enhancement program, including the O</w:t>
      </w:r>
      <w:r w:rsidRPr="00E646EE">
        <w:t>pt-</w:t>
      </w:r>
      <w:r>
        <w:rPr>
          <w:lang w:val="en-US"/>
        </w:rPr>
        <w:t>I</w:t>
      </w:r>
      <w:r w:rsidRPr="00E646EE">
        <w:t xml:space="preserve">n </w:t>
      </w:r>
      <w:r w:rsidR="00A60F4C">
        <w:rPr>
          <w:lang w:val="en-US"/>
        </w:rPr>
        <w:t>P</w:t>
      </w:r>
      <w:r>
        <w:rPr>
          <w:lang w:val="en-US"/>
        </w:rPr>
        <w:t>rogram, is hereby approved.</w:t>
      </w:r>
    </w:p>
    <w:p w:rsidR="001C6238" w:rsidRPr="00E646EE" w:rsidRDefault="001C6238" w:rsidP="001C6238">
      <w:pPr>
        <w:pStyle w:val="BodyText2"/>
        <w:spacing w:after="0" w:line="360" w:lineRule="auto"/>
        <w:ind w:firstLine="1440"/>
        <w:rPr>
          <w:lang w:val="en-US"/>
        </w:rPr>
      </w:pPr>
    </w:p>
    <w:p w:rsidR="001C6238" w:rsidRPr="00E646EE" w:rsidRDefault="001C6238" w:rsidP="001C6238">
      <w:pPr>
        <w:pStyle w:val="BodyText2"/>
        <w:spacing w:after="0" w:line="360" w:lineRule="auto"/>
        <w:ind w:firstLine="1440"/>
      </w:pPr>
      <w:r>
        <w:rPr>
          <w:lang w:val="en-US"/>
        </w:rPr>
        <w:t>15</w:t>
      </w:r>
      <w:r w:rsidRPr="00E646EE">
        <w:t>.</w:t>
      </w:r>
      <w:r w:rsidRPr="00E646EE">
        <w:tab/>
        <w:t xml:space="preserve">That </w:t>
      </w:r>
      <w:r>
        <w:rPr>
          <w:lang w:val="en-US"/>
        </w:rPr>
        <w:t>R</w:t>
      </w:r>
      <w:r w:rsidR="0001542F">
        <w:rPr>
          <w:lang w:val="en-US"/>
        </w:rPr>
        <w:t>etail Energy Supply Assocation</w:t>
      </w:r>
      <w:r>
        <w:rPr>
          <w:lang w:val="en-US"/>
        </w:rPr>
        <w:t xml:space="preserve">’s proposal to include a </w:t>
      </w:r>
      <w:r w:rsidRPr="008B51C4">
        <w:rPr>
          <w:lang w:val="en-US"/>
        </w:rPr>
        <w:t xml:space="preserve">5 mil/kwh adder to </w:t>
      </w:r>
      <w:r>
        <w:rPr>
          <w:lang w:val="en-US"/>
        </w:rPr>
        <w:t xml:space="preserve">the </w:t>
      </w:r>
      <w:r w:rsidRPr="00E646EE">
        <w:t xml:space="preserve">Default Service Rate Rider </w:t>
      </w:r>
      <w:r>
        <w:rPr>
          <w:lang w:val="en-US"/>
        </w:rPr>
        <w:t xml:space="preserve">is hereby denied and is </w:t>
      </w:r>
      <w:r w:rsidRPr="00E646EE">
        <w:t xml:space="preserve">precluded </w:t>
      </w:r>
      <w:r>
        <w:rPr>
          <w:lang w:val="en-US"/>
        </w:rPr>
        <w:t>as</w:t>
      </w:r>
      <w:r w:rsidRPr="00E646EE">
        <w:t xml:space="preserve"> an impermissible return </w:t>
      </w:r>
      <w:r>
        <w:rPr>
          <w:lang w:val="en-US"/>
        </w:rPr>
        <w:t>as</w:t>
      </w:r>
      <w:r w:rsidRPr="00E646EE">
        <w:t xml:space="preserve"> the Compan</w:t>
      </w:r>
      <w:r>
        <w:rPr>
          <w:lang w:val="en-US"/>
        </w:rPr>
        <w:t>y is</w:t>
      </w:r>
      <w:r w:rsidRPr="00E646EE">
        <w:t xml:space="preserve"> afforded reconciliation to cover their costs.  </w:t>
      </w:r>
    </w:p>
    <w:p w:rsidR="001C6238" w:rsidRDefault="001C6238" w:rsidP="001C6238">
      <w:pPr>
        <w:pStyle w:val="BodyText2"/>
        <w:spacing w:after="0" w:line="360" w:lineRule="auto"/>
        <w:ind w:firstLine="1440"/>
        <w:rPr>
          <w:lang w:val="en-US"/>
        </w:rPr>
      </w:pPr>
    </w:p>
    <w:p w:rsidR="001C6238" w:rsidRDefault="001C6238" w:rsidP="001C6238">
      <w:pPr>
        <w:pStyle w:val="BodyText2"/>
        <w:spacing w:after="0" w:line="360" w:lineRule="auto"/>
        <w:ind w:firstLine="1440"/>
        <w:rPr>
          <w:lang w:val="en-US"/>
        </w:rPr>
      </w:pPr>
      <w:r>
        <w:rPr>
          <w:lang w:val="en-US"/>
        </w:rPr>
        <w:t>16.</w:t>
      </w:r>
      <w:r>
        <w:rPr>
          <w:lang w:val="en-US"/>
        </w:rPr>
        <w:tab/>
        <w:t>That Duquesne Light</w:t>
      </w:r>
      <w:r w:rsidR="00464395">
        <w:rPr>
          <w:lang w:val="en-US"/>
        </w:rPr>
        <w:t xml:space="preserve"> Company</w:t>
      </w:r>
      <w:r>
        <w:rPr>
          <w:lang w:val="en-US"/>
        </w:rPr>
        <w:t>’s proposals concerning Rate Design are hereby approved.</w:t>
      </w:r>
    </w:p>
    <w:p w:rsidR="001C6238" w:rsidRDefault="001C6238" w:rsidP="001C6238">
      <w:pPr>
        <w:pStyle w:val="BodyText2"/>
        <w:spacing w:after="0" w:line="360" w:lineRule="auto"/>
        <w:ind w:firstLine="1440"/>
        <w:rPr>
          <w:lang w:val="en-US"/>
        </w:rPr>
      </w:pPr>
    </w:p>
    <w:p w:rsidR="001C6238" w:rsidRDefault="001C6238" w:rsidP="001C6238">
      <w:pPr>
        <w:pStyle w:val="BodyText2"/>
        <w:spacing w:after="0" w:line="360" w:lineRule="auto"/>
        <w:ind w:firstLine="1440"/>
        <w:rPr>
          <w:lang w:val="en-US"/>
        </w:rPr>
      </w:pPr>
      <w:r>
        <w:rPr>
          <w:lang w:val="en-US"/>
        </w:rPr>
        <w:t>17.</w:t>
      </w:r>
      <w:r>
        <w:rPr>
          <w:lang w:val="en-US"/>
        </w:rPr>
        <w:tab/>
        <w:t>That Duquesne Light</w:t>
      </w:r>
      <w:r w:rsidR="002F0FFA">
        <w:rPr>
          <w:lang w:val="en-US"/>
        </w:rPr>
        <w:t xml:space="preserve"> Company</w:t>
      </w:r>
      <w:r>
        <w:rPr>
          <w:lang w:val="en-US"/>
        </w:rPr>
        <w:t xml:space="preserve">’s proposals concerning the Time of Use program: to bid out Time of Use load to all Electric Generation Suppliers after more customers obtain smart meters and to use wholesale default service suppliers </w:t>
      </w:r>
      <w:r w:rsidRPr="00050C67">
        <w:rPr>
          <w:lang w:val="en-US"/>
        </w:rPr>
        <w:t>if</w:t>
      </w:r>
      <w:r>
        <w:rPr>
          <w:lang w:val="en-US"/>
        </w:rPr>
        <w:t xml:space="preserve"> no Commission-approved bids are received; and to defer the full implementation of the Time of Use program until June 1, 2015, are hereby approved.</w:t>
      </w:r>
    </w:p>
    <w:p w:rsidR="001C6238" w:rsidRDefault="001C6238" w:rsidP="001C6238">
      <w:pPr>
        <w:pStyle w:val="BodyText2"/>
        <w:spacing w:after="0" w:line="360" w:lineRule="auto"/>
        <w:ind w:firstLine="1440"/>
        <w:rPr>
          <w:lang w:val="en-US"/>
        </w:rPr>
      </w:pPr>
      <w:r>
        <w:rPr>
          <w:lang w:val="en-US"/>
        </w:rPr>
        <w:t>18.</w:t>
      </w:r>
      <w:r>
        <w:rPr>
          <w:lang w:val="en-US"/>
        </w:rPr>
        <w:tab/>
        <w:t>That Duquesne Light</w:t>
      </w:r>
      <w:r w:rsidR="00173E92">
        <w:rPr>
          <w:lang w:val="en-US"/>
        </w:rPr>
        <w:t xml:space="preserve"> Company</w:t>
      </w:r>
      <w:r>
        <w:rPr>
          <w:lang w:val="en-US"/>
        </w:rPr>
        <w:t xml:space="preserve">’s proposal to make Data and Electric Generation Suppliers coordination changes or clarifications is hereby approved and Duquesne Light: shall </w:t>
      </w:r>
      <w:r w:rsidRPr="00EC04BF">
        <w:t xml:space="preserve">refrain from collecting PJM residual charges via </w:t>
      </w:r>
      <w:r w:rsidR="00F44689">
        <w:rPr>
          <w:lang w:val="en-US"/>
        </w:rPr>
        <w:t>“</w:t>
      </w:r>
      <w:r w:rsidRPr="00EC04BF">
        <w:t>EDI 820 transactions</w:t>
      </w:r>
      <w:r w:rsidR="00F44689">
        <w:rPr>
          <w:lang w:val="en-US"/>
        </w:rPr>
        <w:t>”</w:t>
      </w:r>
      <w:r>
        <w:rPr>
          <w:lang w:val="en-US"/>
        </w:rPr>
        <w:t>; shall</w:t>
      </w:r>
      <w:r w:rsidRPr="00EC04BF">
        <w:t xml:space="preserve"> send separate paper bills to </w:t>
      </w:r>
      <w:r>
        <w:rPr>
          <w:lang w:val="en-US"/>
        </w:rPr>
        <w:t xml:space="preserve">Electric Generation Suppliers to </w:t>
      </w:r>
      <w:r w:rsidRPr="00EC04BF">
        <w:t>recover these amounts</w:t>
      </w:r>
      <w:r>
        <w:t xml:space="preserve"> starting in June 2013</w:t>
      </w:r>
      <w:r w:rsidRPr="00EC04BF">
        <w:t xml:space="preserve">; </w:t>
      </w:r>
      <w:r>
        <w:rPr>
          <w:lang w:val="en-US"/>
        </w:rPr>
        <w:t>and shall</w:t>
      </w:r>
      <w:r w:rsidRPr="00EC04BF">
        <w:t xml:space="preserve"> provide customer sync lists to a</w:t>
      </w:r>
      <w:r>
        <w:t xml:space="preserve">ll requesting </w:t>
      </w:r>
      <w:r>
        <w:rPr>
          <w:lang w:val="en-US"/>
        </w:rPr>
        <w:t xml:space="preserve">Electric Generation Suppliers </w:t>
      </w:r>
      <w:r>
        <w:t>at no charge</w:t>
      </w:r>
      <w:r>
        <w:rPr>
          <w:lang w:val="en-US"/>
        </w:rPr>
        <w:t>.</w:t>
      </w:r>
    </w:p>
    <w:p w:rsidR="001C6238" w:rsidRPr="00E646EE" w:rsidRDefault="001C6238" w:rsidP="001C6238">
      <w:pPr>
        <w:pStyle w:val="BodyText2"/>
        <w:spacing w:after="0" w:line="360" w:lineRule="auto"/>
        <w:ind w:firstLine="1440"/>
      </w:pPr>
    </w:p>
    <w:p w:rsidR="001C6238" w:rsidRDefault="001C6238" w:rsidP="001C6238">
      <w:pPr>
        <w:pStyle w:val="BodyText2"/>
        <w:spacing w:after="0" w:line="360" w:lineRule="auto"/>
        <w:ind w:firstLine="1440"/>
        <w:rPr>
          <w:lang w:val="en-US"/>
        </w:rPr>
      </w:pPr>
      <w:r>
        <w:rPr>
          <w:lang w:val="en-US"/>
        </w:rPr>
        <w:t>19.</w:t>
      </w:r>
      <w:r w:rsidRPr="00E646EE">
        <w:tab/>
      </w:r>
      <w:r w:rsidRPr="0082480D">
        <w:t>That</w:t>
      </w:r>
      <w:r w:rsidRPr="0082480D">
        <w:rPr>
          <w:lang w:val="en-US"/>
        </w:rPr>
        <w:t xml:space="preserve"> </w:t>
      </w:r>
      <w:r w:rsidRPr="0082480D">
        <w:t>Duquesne</w:t>
      </w:r>
      <w:r>
        <w:t xml:space="preserve"> Light</w:t>
      </w:r>
      <w:r w:rsidR="00235F16">
        <w:rPr>
          <w:lang w:val="en-US"/>
        </w:rPr>
        <w:t xml:space="preserve"> Company</w:t>
      </w:r>
      <w:r>
        <w:t xml:space="preserve"> is ordered to remit to </w:t>
      </w:r>
      <w:r>
        <w:rPr>
          <w:lang w:val="en-US"/>
        </w:rPr>
        <w:t>Electric Generation Suppliers the</w:t>
      </w:r>
      <w:r>
        <w:t xml:space="preserve"> actual dollars </w:t>
      </w:r>
      <w:r>
        <w:rPr>
          <w:lang w:val="en-US"/>
        </w:rPr>
        <w:t>the Electric Generation Suppliers</w:t>
      </w:r>
      <w:r>
        <w:t xml:space="preserve"> charge to a customer, rather than only budget billing charges that a customer pays to Duquesne Light</w:t>
      </w:r>
      <w:r w:rsidR="001D5CAE">
        <w:rPr>
          <w:lang w:val="en-US"/>
        </w:rPr>
        <w:t xml:space="preserve"> Company</w:t>
      </w:r>
      <w:r>
        <w:t>.</w:t>
      </w:r>
      <w:r>
        <w:rPr>
          <w:lang w:val="en-US"/>
        </w:rPr>
        <w:t xml:space="preserve"> </w:t>
      </w:r>
    </w:p>
    <w:p w:rsidR="001C6238" w:rsidRDefault="001C6238" w:rsidP="001C6238">
      <w:pPr>
        <w:pStyle w:val="BodyText2"/>
        <w:spacing w:after="0" w:line="360" w:lineRule="auto"/>
        <w:ind w:firstLine="1440"/>
        <w:rPr>
          <w:lang w:val="en-US"/>
        </w:rPr>
      </w:pPr>
    </w:p>
    <w:p w:rsidR="001C6238" w:rsidRPr="00050C67" w:rsidRDefault="001C6238" w:rsidP="001C6238">
      <w:pPr>
        <w:pStyle w:val="BodyText2"/>
        <w:spacing w:after="0" w:line="360" w:lineRule="auto"/>
        <w:ind w:firstLine="1440"/>
        <w:rPr>
          <w:lang w:val="en-US"/>
        </w:rPr>
      </w:pPr>
      <w:r>
        <w:rPr>
          <w:lang w:val="en-US"/>
        </w:rPr>
        <w:t>20.</w:t>
      </w:r>
      <w:r>
        <w:rPr>
          <w:lang w:val="en-US"/>
        </w:rPr>
        <w:tab/>
        <w:t xml:space="preserve">That </w:t>
      </w:r>
      <w:r>
        <w:t>Duquesne Light</w:t>
      </w:r>
      <w:r w:rsidR="001D5CAE">
        <w:rPr>
          <w:lang w:val="en-US"/>
        </w:rPr>
        <w:t xml:space="preserve"> Company</w:t>
      </w:r>
      <w:r>
        <w:t xml:space="preserve">’s </w:t>
      </w:r>
      <w:r w:rsidRPr="001315EC">
        <w:t>request</w:t>
      </w:r>
      <w:r>
        <w:rPr>
          <w:lang w:val="en-US"/>
        </w:rPr>
        <w:t xml:space="preserve"> for </w:t>
      </w:r>
      <w:r w:rsidRPr="001315EC">
        <w:t xml:space="preserve">a waiver </w:t>
      </w:r>
      <w:r>
        <w:rPr>
          <w:lang w:val="en-US"/>
        </w:rPr>
        <w:t xml:space="preserve">from the requirements </w:t>
      </w:r>
      <w:r w:rsidRPr="001315EC">
        <w:t>of 52</w:t>
      </w:r>
      <w:r w:rsidR="001D5CAE">
        <w:rPr>
          <w:lang w:val="en-US"/>
        </w:rPr>
        <w:t> </w:t>
      </w:r>
      <w:r w:rsidRPr="001315EC">
        <w:t>Pa. Code § 54.187</w:t>
      </w:r>
      <w:r>
        <w:rPr>
          <w:lang w:val="en-US"/>
        </w:rPr>
        <w:t>,</w:t>
      </w:r>
      <w:r w:rsidRPr="001315EC">
        <w:t xml:space="preserve"> </w:t>
      </w:r>
      <w:r w:rsidRPr="001315EC">
        <w:rPr>
          <w:lang w:val="en-US"/>
        </w:rPr>
        <w:t xml:space="preserve">in order </w:t>
      </w:r>
      <w:r w:rsidRPr="001315EC">
        <w:t xml:space="preserve">to allow annual rate changes for </w:t>
      </w:r>
      <w:r w:rsidR="00D37787">
        <w:rPr>
          <w:lang w:val="en-US"/>
        </w:rPr>
        <w:t>r</w:t>
      </w:r>
      <w:r w:rsidRPr="001315EC">
        <w:t>esidential customers and 6-month rate changes for Small C</w:t>
      </w:r>
      <w:r w:rsidR="009F6E21">
        <w:rPr>
          <w:lang w:val="en-US"/>
        </w:rPr>
        <w:t xml:space="preserve">ommercial </w:t>
      </w:r>
      <w:r w:rsidRPr="001315EC">
        <w:t>&amp;</w:t>
      </w:r>
      <w:r w:rsidR="009F6E21">
        <w:rPr>
          <w:lang w:val="en-US"/>
        </w:rPr>
        <w:t xml:space="preserve"> </w:t>
      </w:r>
      <w:r w:rsidRPr="001315EC">
        <w:t>I</w:t>
      </w:r>
      <w:r w:rsidR="009F6E21">
        <w:rPr>
          <w:lang w:val="en-US"/>
        </w:rPr>
        <w:t>ndustrial</w:t>
      </w:r>
      <w:r w:rsidRPr="001315EC">
        <w:t xml:space="preserve"> and Medium C</w:t>
      </w:r>
      <w:r w:rsidR="009F6E21">
        <w:rPr>
          <w:lang w:val="en-US"/>
        </w:rPr>
        <w:t xml:space="preserve">ommercial </w:t>
      </w:r>
      <w:r w:rsidRPr="001315EC">
        <w:t>&amp;</w:t>
      </w:r>
      <w:r w:rsidR="009F6E21">
        <w:rPr>
          <w:lang w:val="en-US"/>
        </w:rPr>
        <w:t xml:space="preserve"> </w:t>
      </w:r>
      <w:r w:rsidRPr="001315EC">
        <w:t>I</w:t>
      </w:r>
      <w:r w:rsidR="009F6E21">
        <w:rPr>
          <w:lang w:val="en-US"/>
        </w:rPr>
        <w:t>ndustrial</w:t>
      </w:r>
      <w:r w:rsidRPr="001315EC">
        <w:t xml:space="preserve"> customers to the extent deemed necessary by the Commission</w:t>
      </w:r>
      <w:r>
        <w:rPr>
          <w:lang w:val="en-US"/>
        </w:rPr>
        <w:t>, is hereby approved.</w:t>
      </w:r>
    </w:p>
    <w:p w:rsidR="001C6238" w:rsidRPr="00050C67" w:rsidRDefault="001C6238" w:rsidP="001C6238">
      <w:pPr>
        <w:pStyle w:val="BodyText2"/>
        <w:spacing w:after="0" w:line="360" w:lineRule="auto"/>
        <w:ind w:firstLine="1440"/>
        <w:rPr>
          <w:lang w:val="en-US"/>
        </w:rPr>
      </w:pPr>
    </w:p>
    <w:p w:rsidR="001C6238" w:rsidRPr="00A33CBA" w:rsidRDefault="001C6238" w:rsidP="001C6238">
      <w:pPr>
        <w:pStyle w:val="BodyText2"/>
        <w:spacing w:after="0" w:line="360" w:lineRule="auto"/>
        <w:ind w:firstLine="1440"/>
        <w:rPr>
          <w:lang w:val="en-US"/>
        </w:rPr>
      </w:pPr>
      <w:r>
        <w:rPr>
          <w:lang w:val="en-US"/>
        </w:rPr>
        <w:t>21</w:t>
      </w:r>
      <w:r w:rsidRPr="00A33CBA">
        <w:t>.</w:t>
      </w:r>
      <w:r w:rsidRPr="00A33CBA">
        <w:tab/>
        <w:t xml:space="preserve">That </w:t>
      </w:r>
      <w:r w:rsidRPr="00A33CBA">
        <w:rPr>
          <w:lang w:val="en-US"/>
        </w:rPr>
        <w:t>Duquesne Light</w:t>
      </w:r>
      <w:r w:rsidRPr="00A33CBA">
        <w:t xml:space="preserve"> Company shall file appropriate tariff supplements in accordance with </w:t>
      </w:r>
      <w:r w:rsidRPr="00A33CBA">
        <w:rPr>
          <w:lang w:val="en-US"/>
        </w:rPr>
        <w:t>the</w:t>
      </w:r>
      <w:r w:rsidRPr="00A33CBA">
        <w:t xml:space="preserve"> Commission-approved default service plans.</w:t>
      </w:r>
    </w:p>
    <w:p w:rsidR="001C6238" w:rsidRPr="00A33CBA" w:rsidRDefault="001C6238" w:rsidP="001C6238">
      <w:pPr>
        <w:pStyle w:val="BodyText2"/>
        <w:spacing w:after="0" w:line="360" w:lineRule="auto"/>
        <w:ind w:firstLine="1440"/>
        <w:rPr>
          <w:lang w:val="en-US"/>
        </w:rPr>
      </w:pPr>
    </w:p>
    <w:p w:rsidR="001C6238" w:rsidRPr="008A28F0" w:rsidRDefault="001C6238" w:rsidP="001C6238">
      <w:pPr>
        <w:pStyle w:val="BodyText2"/>
        <w:spacing w:after="0" w:line="360" w:lineRule="auto"/>
        <w:ind w:firstLine="1440"/>
        <w:rPr>
          <w:lang w:val="en-US"/>
        </w:rPr>
      </w:pPr>
      <w:r>
        <w:rPr>
          <w:lang w:val="en-US"/>
        </w:rPr>
        <w:t>22</w:t>
      </w:r>
      <w:r w:rsidRPr="00A33CBA">
        <w:rPr>
          <w:lang w:val="en-US"/>
        </w:rPr>
        <w:t>.</w:t>
      </w:r>
      <w:r w:rsidRPr="00A33CBA">
        <w:rPr>
          <w:lang w:val="en-US"/>
        </w:rPr>
        <w:tab/>
        <w:t>That upon final order by the Commission, the case at Docket No. P-2012-</w:t>
      </w:r>
      <w:r>
        <w:rPr>
          <w:lang w:val="en-US"/>
        </w:rPr>
        <w:t>2301664 shall be terminated and the docket marked closed.</w:t>
      </w:r>
    </w:p>
    <w:p w:rsidR="001C6238" w:rsidRPr="00E646EE" w:rsidRDefault="001C6238" w:rsidP="001C6238">
      <w:pPr>
        <w:pStyle w:val="BodyText2"/>
        <w:spacing w:after="0" w:line="360" w:lineRule="auto"/>
      </w:pPr>
    </w:p>
    <w:p w:rsidR="001C6238" w:rsidRPr="00E646EE" w:rsidRDefault="001C6238" w:rsidP="001C6238">
      <w:pPr>
        <w:spacing w:line="360" w:lineRule="auto"/>
      </w:pPr>
    </w:p>
    <w:p w:rsidR="001C6238" w:rsidRDefault="001C6238" w:rsidP="001C6238">
      <w:r>
        <w:t xml:space="preserve">Date:  </w:t>
      </w:r>
      <w:r w:rsidRPr="001C6238">
        <w:rPr>
          <w:u w:val="single"/>
        </w:rPr>
        <w:t>November 9, 2012</w:t>
      </w:r>
      <w:r>
        <w:tab/>
      </w:r>
      <w:r>
        <w:tab/>
      </w:r>
      <w:r>
        <w:tab/>
      </w:r>
      <w:r>
        <w:tab/>
      </w:r>
      <w:r>
        <w:tab/>
        <w:t>_________________________</w:t>
      </w:r>
    </w:p>
    <w:p w:rsidR="001C6238" w:rsidRDefault="001C6238" w:rsidP="001C6238">
      <w:r>
        <w:tab/>
      </w:r>
      <w:r>
        <w:tab/>
      </w:r>
      <w:r>
        <w:tab/>
      </w:r>
      <w:r>
        <w:tab/>
      </w:r>
      <w:r>
        <w:tab/>
      </w:r>
      <w:r>
        <w:tab/>
      </w:r>
      <w:r>
        <w:tab/>
      </w:r>
      <w:r>
        <w:tab/>
        <w:t>Katrina L. Dunderdale</w:t>
      </w:r>
    </w:p>
    <w:p w:rsidR="001C6238" w:rsidRPr="001C6238" w:rsidRDefault="001C6238" w:rsidP="001C6238">
      <w:r>
        <w:tab/>
      </w:r>
      <w:r>
        <w:tab/>
      </w:r>
      <w:r>
        <w:tab/>
      </w:r>
      <w:r>
        <w:tab/>
      </w:r>
      <w:r>
        <w:tab/>
      </w:r>
      <w:r>
        <w:tab/>
      </w:r>
      <w:r>
        <w:tab/>
      </w:r>
      <w:r>
        <w:tab/>
        <w:t>Administrative Law Judge</w:t>
      </w:r>
      <w:bookmarkEnd w:id="22"/>
    </w:p>
    <w:sectPr w:rsidR="001C6238" w:rsidRPr="001C6238" w:rsidSect="006C6975">
      <w:footerReference w:type="first" r:id="rId10"/>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34" w:rsidRDefault="00615534">
      <w:r>
        <w:separator/>
      </w:r>
    </w:p>
  </w:endnote>
  <w:endnote w:type="continuationSeparator" w:id="0">
    <w:p w:rsidR="00615534" w:rsidRDefault="0061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3009"/>
      <w:docPartObj>
        <w:docPartGallery w:val="Page Numbers (Bottom of Page)"/>
        <w:docPartUnique/>
      </w:docPartObj>
    </w:sdtPr>
    <w:sdtEndPr>
      <w:rPr>
        <w:noProof/>
        <w:sz w:val="20"/>
        <w:szCs w:val="20"/>
      </w:rPr>
    </w:sdtEndPr>
    <w:sdtContent>
      <w:p w:rsidR="0084672B" w:rsidRPr="003C38EE" w:rsidRDefault="0084672B">
        <w:pPr>
          <w:pStyle w:val="Footer"/>
          <w:jc w:val="center"/>
          <w:rPr>
            <w:sz w:val="20"/>
            <w:szCs w:val="20"/>
          </w:rPr>
        </w:pPr>
        <w:r w:rsidRPr="003C38EE">
          <w:rPr>
            <w:sz w:val="20"/>
            <w:szCs w:val="20"/>
          </w:rPr>
          <w:fldChar w:fldCharType="begin"/>
        </w:r>
        <w:r w:rsidRPr="003C38EE">
          <w:rPr>
            <w:sz w:val="20"/>
            <w:szCs w:val="20"/>
          </w:rPr>
          <w:instrText xml:space="preserve"> PAGE   \* MERGEFORMAT </w:instrText>
        </w:r>
        <w:r w:rsidRPr="003C38EE">
          <w:rPr>
            <w:sz w:val="20"/>
            <w:szCs w:val="20"/>
          </w:rPr>
          <w:fldChar w:fldCharType="separate"/>
        </w:r>
        <w:r w:rsidR="00AF333F">
          <w:rPr>
            <w:noProof/>
            <w:sz w:val="20"/>
            <w:szCs w:val="20"/>
          </w:rPr>
          <w:t>159</w:t>
        </w:r>
        <w:r w:rsidRPr="003C38EE">
          <w:rPr>
            <w:noProof/>
            <w:sz w:val="20"/>
            <w:szCs w:val="20"/>
          </w:rPr>
          <w:fldChar w:fldCharType="end"/>
        </w:r>
      </w:p>
    </w:sdtContent>
  </w:sdt>
  <w:p w:rsidR="0084672B" w:rsidRPr="00154532" w:rsidRDefault="0084672B" w:rsidP="00154532">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2B" w:rsidRPr="00392F4E" w:rsidRDefault="0084672B" w:rsidP="0039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34" w:rsidRDefault="00615534">
      <w:r>
        <w:separator/>
      </w:r>
    </w:p>
  </w:footnote>
  <w:footnote w:type="continuationSeparator" w:id="0">
    <w:p w:rsidR="00615534" w:rsidRDefault="00615534">
      <w:r>
        <w:continuationSeparator/>
      </w:r>
    </w:p>
  </w:footnote>
  <w:footnote w:id="1">
    <w:p w:rsidR="0084672B" w:rsidRDefault="0084672B" w:rsidP="00347C26">
      <w:pPr>
        <w:pStyle w:val="FootnoteText"/>
        <w:ind w:firstLine="720"/>
      </w:pPr>
      <w:r>
        <w:rPr>
          <w:rStyle w:val="FootnoteReference"/>
        </w:rPr>
        <w:footnoteRef/>
      </w:r>
      <w:r>
        <w:t xml:space="preserve"> </w:t>
      </w:r>
      <w:r>
        <w:tab/>
      </w:r>
      <w:r w:rsidRPr="00347C26">
        <w:t>See</w:t>
      </w:r>
      <w:r w:rsidRPr="00244823">
        <w:t xml:space="preserve"> Amended Scheduling Order </w:t>
      </w:r>
      <w:r>
        <w:t>dated June 11, 2012</w:t>
      </w:r>
      <w:r w:rsidRPr="00244823">
        <w:t xml:space="preserve">.  </w:t>
      </w:r>
    </w:p>
  </w:footnote>
  <w:footnote w:id="2">
    <w:p w:rsidR="0084672B" w:rsidRDefault="0084672B">
      <w:pPr>
        <w:pStyle w:val="FootnoteText"/>
      </w:pPr>
    </w:p>
    <w:p w:rsidR="0084672B" w:rsidRDefault="0084672B">
      <w:pPr>
        <w:pStyle w:val="FootnoteText"/>
      </w:pPr>
      <w:r>
        <w:tab/>
      </w:r>
      <w:r>
        <w:rPr>
          <w:rStyle w:val="FootnoteReference"/>
        </w:rPr>
        <w:footnoteRef/>
      </w:r>
      <w:r>
        <w:t xml:space="preserve"> </w:t>
      </w:r>
      <w:r>
        <w:tab/>
        <w:t>Briefs were not filed by BIE, NextEra, or Noble Americas.</w:t>
      </w:r>
    </w:p>
  </w:footnote>
  <w:footnote w:id="3">
    <w:p w:rsidR="0084672B" w:rsidRDefault="0084672B" w:rsidP="007A18C9">
      <w:pPr>
        <w:pStyle w:val="FootnoteText"/>
      </w:pPr>
      <w:r>
        <w:tab/>
      </w:r>
      <w:r>
        <w:rPr>
          <w:rStyle w:val="FootnoteReference"/>
        </w:rPr>
        <w:footnoteRef/>
      </w:r>
      <w:r>
        <w:t xml:space="preserve"> </w:t>
      </w:r>
      <w:r>
        <w:tab/>
        <w:t>66 Pa. C.S.A. §2803.</w:t>
      </w:r>
    </w:p>
    <w:p w:rsidR="0084672B" w:rsidRDefault="0084672B" w:rsidP="007A18C9">
      <w:pPr>
        <w:pStyle w:val="FootnoteText"/>
      </w:pPr>
    </w:p>
  </w:footnote>
  <w:footnote w:id="4">
    <w:p w:rsidR="0084672B" w:rsidRDefault="0084672B" w:rsidP="00CC60E7">
      <w:pPr>
        <w:pStyle w:val="FootnoteText"/>
        <w:ind w:firstLine="720"/>
      </w:pPr>
      <w:r>
        <w:rPr>
          <w:rStyle w:val="FootnoteReference"/>
        </w:rPr>
        <w:footnoteRef/>
      </w:r>
      <w:r>
        <w:t xml:space="preserve"> </w:t>
      </w:r>
      <w:r>
        <w:tab/>
      </w:r>
      <w:r w:rsidRPr="00244823">
        <w:rPr>
          <w:color w:val="000000"/>
        </w:rPr>
        <w:t>66 Pa. C.S.</w:t>
      </w:r>
      <w:r>
        <w:rPr>
          <w:color w:val="000000"/>
        </w:rPr>
        <w:t xml:space="preserve">A. </w:t>
      </w:r>
      <w:r w:rsidRPr="00244823">
        <w:rPr>
          <w:color w:val="000000"/>
        </w:rPr>
        <w:t>§332(a)</w:t>
      </w:r>
      <w:r>
        <w:rPr>
          <w:color w:val="000000"/>
        </w:rPr>
        <w:t xml:space="preserve">; and </w:t>
      </w:r>
      <w:r w:rsidRPr="00244823">
        <w:rPr>
          <w:color w:val="000000"/>
          <w:u w:val="single"/>
        </w:rPr>
        <w:t>Samuel J. Lansberry, Inc. v. Pennsylvania Pub. Util. Comm’n</w:t>
      </w:r>
      <w:r w:rsidRPr="00244823">
        <w:rPr>
          <w:color w:val="000000"/>
        </w:rPr>
        <w:t xml:space="preserve">, 578 A.2d 600 (Pa. Cmwlth. 1990), </w:t>
      </w:r>
      <w:r w:rsidRPr="00244823">
        <w:rPr>
          <w:color w:val="000000"/>
          <w:u w:val="single"/>
        </w:rPr>
        <w:t>alloc. den.</w:t>
      </w:r>
      <w:r w:rsidRPr="00244823">
        <w:rPr>
          <w:color w:val="000000"/>
        </w:rPr>
        <w:t>, 602 A.2d 863 (Pa. 1992)</w:t>
      </w:r>
      <w:r>
        <w:rPr>
          <w:color w:val="000000"/>
        </w:rPr>
        <w:t>.</w:t>
      </w:r>
    </w:p>
  </w:footnote>
  <w:footnote w:id="5">
    <w:p w:rsidR="0084672B" w:rsidRDefault="0084672B">
      <w:pPr>
        <w:pStyle w:val="FootnoteText"/>
      </w:pPr>
    </w:p>
    <w:p w:rsidR="0084672B" w:rsidRDefault="0084672B">
      <w:pPr>
        <w:pStyle w:val="FootnoteText"/>
      </w:pPr>
      <w:r>
        <w:tab/>
      </w:r>
      <w:r>
        <w:rPr>
          <w:rStyle w:val="FootnoteReference"/>
        </w:rPr>
        <w:footnoteRef/>
      </w:r>
      <w:r>
        <w:t xml:space="preserve"> </w:t>
      </w:r>
      <w:r>
        <w:tab/>
      </w:r>
      <w:r>
        <w:rPr>
          <w:u w:val="single"/>
        </w:rPr>
        <w:t xml:space="preserve">Pa. Public Utility </w:t>
      </w:r>
      <w:r w:rsidRPr="007A18C9">
        <w:rPr>
          <w:u w:val="single"/>
        </w:rPr>
        <w:t>Code v. Metropolitan Edison Company, et al.</w:t>
      </w:r>
      <w:r>
        <w:t xml:space="preserve">, Docket Nos. R-00061366, </w:t>
      </w:r>
      <w:r>
        <w:rPr>
          <w:i/>
        </w:rPr>
        <w:t>et al.</w:t>
      </w:r>
      <w:r>
        <w:t>, 2007 Pa. PUC LEXIS 5 (January 11, 2007).</w:t>
      </w:r>
    </w:p>
  </w:footnote>
  <w:footnote w:id="6">
    <w:p w:rsidR="0084672B" w:rsidRDefault="0084672B">
      <w:pPr>
        <w:pStyle w:val="FootnoteText"/>
      </w:pPr>
    </w:p>
    <w:p w:rsidR="0084672B" w:rsidRDefault="0084672B">
      <w:pPr>
        <w:pStyle w:val="FootnoteText"/>
      </w:pPr>
      <w:r>
        <w:tab/>
      </w:r>
      <w:r>
        <w:rPr>
          <w:rStyle w:val="FootnoteReference"/>
        </w:rPr>
        <w:footnoteRef/>
      </w:r>
      <w:r>
        <w:t xml:space="preserve"> </w:t>
      </w:r>
      <w:r>
        <w:tab/>
      </w:r>
      <w:r w:rsidRPr="007A18C9">
        <w:t xml:space="preserve">See </w:t>
      </w:r>
      <w:r w:rsidRPr="007A18C9">
        <w:rPr>
          <w:u w:val="single"/>
        </w:rPr>
        <w:t>Joint Default Service Plan for Citizens’ Electric Company of Lewisburg, PA and Wellsboro Electric Company for the Period of June 1, 2010 through May 31, 2013</w:t>
      </w:r>
      <w:r w:rsidRPr="007A18C9">
        <w:t>,</w:t>
      </w:r>
      <w:r>
        <w:t xml:space="preserve"> Docket Nos. P-2009-2110798, et al., 2010 WL 1259684 at 2, 19-20 (February 25, 2010).</w:t>
      </w:r>
    </w:p>
    <w:p w:rsidR="0084672B" w:rsidRDefault="0084672B">
      <w:pPr>
        <w:pStyle w:val="FootnoteText"/>
      </w:pPr>
    </w:p>
  </w:footnote>
  <w:footnote w:id="7">
    <w:p w:rsidR="0084672B" w:rsidRPr="00244823" w:rsidRDefault="0084672B" w:rsidP="00CE2910">
      <w:pPr>
        <w:pStyle w:val="FootnoteText"/>
        <w:ind w:firstLine="720"/>
      </w:pPr>
      <w:r w:rsidRPr="00244823">
        <w:rPr>
          <w:rStyle w:val="FootnoteReference"/>
        </w:rPr>
        <w:footnoteRef/>
      </w:r>
      <w:r w:rsidRPr="00244823">
        <w:tab/>
        <w:t>Electricity Generation Customer Choice and Competition Act, Act 138 of 1996, as amended by Act 129 of 2008 (Act 129), codified at 66 Pa. C.S.</w:t>
      </w:r>
      <w:r>
        <w:t>A.</w:t>
      </w:r>
      <w:r w:rsidRPr="00244823">
        <w:t xml:space="preserve"> §§2801 </w:t>
      </w:r>
      <w:r w:rsidRPr="00244823">
        <w:rPr>
          <w:i/>
        </w:rPr>
        <w:t>et seq</w:t>
      </w:r>
      <w:r w:rsidRPr="00244823">
        <w:t xml:space="preserve">. </w:t>
      </w:r>
    </w:p>
  </w:footnote>
  <w:footnote w:id="8">
    <w:p w:rsidR="0084672B" w:rsidRDefault="0084672B">
      <w:pPr>
        <w:pStyle w:val="FootnoteText"/>
      </w:pPr>
    </w:p>
    <w:p w:rsidR="0084672B" w:rsidRDefault="0084672B" w:rsidP="00CE2910">
      <w:pPr>
        <w:pStyle w:val="FootnoteText"/>
        <w:ind w:firstLine="720"/>
      </w:pPr>
      <w:r>
        <w:rPr>
          <w:rStyle w:val="FootnoteReference"/>
        </w:rPr>
        <w:footnoteRef/>
      </w:r>
      <w:r>
        <w:t xml:space="preserve"> </w:t>
      </w:r>
      <w:r>
        <w:tab/>
      </w:r>
      <w:r w:rsidRPr="00244823">
        <w:t>66 Pa</w:t>
      </w:r>
      <w:r>
        <w:t>. C.S.A. §§2807(e)(3.1) and 2807</w:t>
      </w:r>
      <w:r w:rsidRPr="00244823">
        <w:t>(e)(3.4).</w:t>
      </w:r>
    </w:p>
  </w:footnote>
  <w:footnote w:id="9">
    <w:p w:rsidR="0084672B" w:rsidRDefault="0084672B" w:rsidP="00CE2910">
      <w:pPr>
        <w:pStyle w:val="FootnoteText"/>
        <w:ind w:firstLine="720"/>
      </w:pPr>
      <w:r>
        <w:rPr>
          <w:rStyle w:val="FootnoteReference"/>
        </w:rPr>
        <w:footnoteRef/>
      </w:r>
      <w:r>
        <w:t xml:space="preserve"> </w:t>
      </w:r>
      <w:r>
        <w:tab/>
      </w:r>
      <w:r w:rsidRPr="00244823">
        <w:t>66 Pa. C.S.</w:t>
      </w:r>
      <w:r>
        <w:t>A.</w:t>
      </w:r>
      <w:r w:rsidRPr="00244823">
        <w:t xml:space="preserve"> §2802(5).</w:t>
      </w:r>
      <w:r>
        <w:t xml:space="preserve">  </w:t>
      </w:r>
      <w:r w:rsidRPr="00CE2910">
        <w:t xml:space="preserve">See, </w:t>
      </w:r>
      <w:r w:rsidRPr="00CE2910">
        <w:rPr>
          <w:u w:val="single"/>
        </w:rPr>
        <w:t>Green Mountain Energy Company v. Pa. P</w:t>
      </w:r>
      <w:r>
        <w:rPr>
          <w:u w:val="single"/>
        </w:rPr>
        <w:t>ublic Utility Commission</w:t>
      </w:r>
      <w:r w:rsidRPr="00244823">
        <w:rPr>
          <w:i/>
        </w:rPr>
        <w:t>,</w:t>
      </w:r>
      <w:r w:rsidRPr="00244823">
        <w:t xml:space="preserve"> 812 A.2d 740, 742 (Pa. Cmwlth. 2002).</w:t>
      </w:r>
    </w:p>
  </w:footnote>
  <w:footnote w:id="10">
    <w:p w:rsidR="0084672B" w:rsidRDefault="0084672B">
      <w:pPr>
        <w:pStyle w:val="FootnoteText"/>
      </w:pPr>
    </w:p>
    <w:p w:rsidR="0084672B" w:rsidRDefault="0084672B" w:rsidP="00CE2910">
      <w:pPr>
        <w:pStyle w:val="FootnoteText"/>
        <w:ind w:firstLine="720"/>
      </w:pPr>
      <w:r>
        <w:rPr>
          <w:rStyle w:val="FootnoteReference"/>
        </w:rPr>
        <w:footnoteRef/>
      </w:r>
      <w:r>
        <w:t xml:space="preserve"> </w:t>
      </w:r>
      <w:r>
        <w:tab/>
      </w:r>
      <w:r w:rsidRPr="00244823">
        <w:t>66 Pa. C.S.</w:t>
      </w:r>
      <w:r>
        <w:t>A.</w:t>
      </w:r>
      <w:r w:rsidRPr="00244823">
        <w:t xml:space="preserve"> § 2802(3).</w:t>
      </w:r>
    </w:p>
  </w:footnote>
  <w:footnote w:id="11">
    <w:p w:rsidR="0084672B" w:rsidRDefault="0084672B">
      <w:pPr>
        <w:pStyle w:val="FootnoteText"/>
      </w:pPr>
    </w:p>
    <w:p w:rsidR="0084672B" w:rsidRDefault="0084672B">
      <w:pPr>
        <w:pStyle w:val="FootnoteText"/>
      </w:pPr>
      <w:r>
        <w:tab/>
      </w:r>
      <w:r>
        <w:rPr>
          <w:rStyle w:val="FootnoteReference"/>
        </w:rPr>
        <w:footnoteRef/>
      </w:r>
      <w:r>
        <w:t xml:space="preserve"> </w:t>
      </w:r>
      <w:r>
        <w:tab/>
      </w:r>
      <w:r w:rsidRPr="00244823">
        <w:t>Act 129 of 2008 (Act 129), codified at 66 Pa. C.S.</w:t>
      </w:r>
      <w:r>
        <w:t>A.</w:t>
      </w:r>
      <w:r w:rsidRPr="00244823">
        <w:t xml:space="preserve"> §§ 2801 </w:t>
      </w:r>
      <w:r w:rsidRPr="00244823">
        <w:rPr>
          <w:i/>
        </w:rPr>
        <w:t>et seq</w:t>
      </w:r>
      <w:r w:rsidRPr="00244823">
        <w:t>.</w:t>
      </w:r>
    </w:p>
  </w:footnote>
  <w:footnote w:id="12">
    <w:p w:rsidR="0084672B" w:rsidRDefault="0084672B">
      <w:pPr>
        <w:pStyle w:val="FootnoteText"/>
      </w:pPr>
    </w:p>
    <w:p w:rsidR="0084672B" w:rsidRDefault="0084672B" w:rsidP="000B25FF">
      <w:pPr>
        <w:pStyle w:val="FootnoteText"/>
        <w:ind w:firstLine="720"/>
      </w:pPr>
      <w:r>
        <w:rPr>
          <w:rStyle w:val="FootnoteReference"/>
        </w:rPr>
        <w:footnoteRef/>
      </w:r>
      <w:r>
        <w:t xml:space="preserve"> </w:t>
      </w:r>
      <w:r>
        <w:tab/>
      </w:r>
      <w:r w:rsidRPr="00210F1C">
        <w:rPr>
          <w:u w:val="single"/>
        </w:rPr>
        <w:t>Implementation of Act 129 of October 15, 2008; Default Service And Retail Electric Markets</w:t>
      </w:r>
      <w:r w:rsidRPr="00244823">
        <w:t>, Docket No. L 2009</w:t>
      </w:r>
      <w:r w:rsidRPr="00244823">
        <w:noBreakHyphen/>
        <w:t>2095604 (Final Rulemaking Order entered October 4, 2011) (</w:t>
      </w:r>
      <w:r>
        <w:t>“</w:t>
      </w:r>
      <w:r w:rsidRPr="00210F1C">
        <w:t>Act 129 Final Rulemaking Order</w:t>
      </w:r>
      <w:r>
        <w:t>”</w:t>
      </w:r>
      <w:r w:rsidRPr="00244823">
        <w:t>).</w:t>
      </w:r>
    </w:p>
  </w:footnote>
  <w:footnote w:id="13">
    <w:p w:rsidR="0084672B" w:rsidRPr="008E242A" w:rsidRDefault="0084672B">
      <w:pPr>
        <w:pStyle w:val="FootnoteText"/>
      </w:pPr>
    </w:p>
    <w:p w:rsidR="0084672B" w:rsidRPr="008E242A" w:rsidRDefault="0084672B" w:rsidP="008E242A">
      <w:pPr>
        <w:pStyle w:val="BodyText2"/>
        <w:spacing w:after="0" w:line="360" w:lineRule="auto"/>
        <w:rPr>
          <w:sz w:val="20"/>
          <w:szCs w:val="20"/>
          <w:lang w:val="en-US"/>
        </w:rPr>
      </w:pPr>
      <w:r w:rsidRPr="008E242A">
        <w:rPr>
          <w:sz w:val="20"/>
          <w:szCs w:val="20"/>
        </w:rPr>
        <w:tab/>
      </w:r>
      <w:r w:rsidRPr="008E242A">
        <w:rPr>
          <w:rStyle w:val="FootnoteReference"/>
          <w:sz w:val="20"/>
          <w:szCs w:val="20"/>
        </w:rPr>
        <w:footnoteRef/>
      </w:r>
      <w:r w:rsidRPr="008E242A">
        <w:rPr>
          <w:sz w:val="20"/>
          <w:szCs w:val="20"/>
        </w:rPr>
        <w:t xml:space="preserve"> </w:t>
      </w:r>
      <w:r w:rsidRPr="008E242A">
        <w:rPr>
          <w:sz w:val="20"/>
          <w:szCs w:val="20"/>
        </w:rPr>
        <w:tab/>
        <w:t>66 Pa. C.S.</w:t>
      </w:r>
      <w:r>
        <w:rPr>
          <w:sz w:val="20"/>
          <w:szCs w:val="20"/>
          <w:lang w:val="en-US"/>
        </w:rPr>
        <w:t>A.</w:t>
      </w:r>
      <w:r w:rsidRPr="008E242A">
        <w:rPr>
          <w:sz w:val="20"/>
          <w:szCs w:val="20"/>
        </w:rPr>
        <w:t xml:space="preserve"> §2807(e)(3.1).</w:t>
      </w:r>
    </w:p>
  </w:footnote>
  <w:footnote w:id="14">
    <w:p w:rsidR="0084672B" w:rsidRPr="008E242A" w:rsidRDefault="0084672B">
      <w:pPr>
        <w:pStyle w:val="FootnoteText"/>
      </w:pPr>
    </w:p>
    <w:p w:rsidR="0084672B" w:rsidRDefault="0084672B" w:rsidP="000B25FF">
      <w:pPr>
        <w:pStyle w:val="FootnoteText"/>
        <w:ind w:firstLine="720"/>
      </w:pPr>
      <w:r>
        <w:rPr>
          <w:rStyle w:val="FootnoteReference"/>
        </w:rPr>
        <w:footnoteRef/>
      </w:r>
      <w:r>
        <w:t xml:space="preserve"> </w:t>
      </w:r>
      <w:r>
        <w:tab/>
      </w:r>
      <w:r w:rsidRPr="00244823">
        <w:t>Preamble to Act 129, 20</w:t>
      </w:r>
      <w:r>
        <w:t>08 Pa. Laws 129</w:t>
      </w:r>
      <w:r w:rsidRPr="00244823">
        <w:t>.</w:t>
      </w:r>
    </w:p>
  </w:footnote>
  <w:footnote w:id="15">
    <w:p w:rsidR="0084672B" w:rsidRDefault="0084672B">
      <w:pPr>
        <w:pStyle w:val="FootnoteText"/>
      </w:pPr>
      <w:r>
        <w:tab/>
      </w:r>
      <w:r>
        <w:rPr>
          <w:rStyle w:val="FootnoteReference"/>
        </w:rPr>
        <w:footnoteRef/>
      </w:r>
      <w:r>
        <w:t xml:space="preserve"> </w:t>
      </w:r>
      <w:r>
        <w:tab/>
      </w:r>
      <w:r w:rsidRPr="00244823">
        <w:t>Preamble to Act 129, 2008 Pa. Laws 129 (Emphasis added).</w:t>
      </w:r>
    </w:p>
  </w:footnote>
  <w:footnote w:id="16">
    <w:p w:rsidR="0084672B" w:rsidRDefault="0084672B">
      <w:pPr>
        <w:pStyle w:val="FootnoteText"/>
      </w:pPr>
    </w:p>
    <w:p w:rsidR="0084672B" w:rsidRDefault="0084672B" w:rsidP="00AB3DBD">
      <w:pPr>
        <w:pStyle w:val="FootnoteText"/>
        <w:ind w:firstLine="720"/>
      </w:pPr>
      <w:r>
        <w:rPr>
          <w:rStyle w:val="FootnoteReference"/>
        </w:rPr>
        <w:footnoteRef/>
      </w:r>
      <w:r>
        <w:t xml:space="preserve"> </w:t>
      </w:r>
      <w:r>
        <w:tab/>
      </w:r>
      <w:r w:rsidRPr="00244823">
        <w:t>66 Pa. C.S.</w:t>
      </w:r>
      <w:r>
        <w:t>A.</w:t>
      </w:r>
      <w:r w:rsidRPr="00244823">
        <w:t xml:space="preserve"> §2807(e)(3.1).</w:t>
      </w:r>
    </w:p>
  </w:footnote>
  <w:footnote w:id="17">
    <w:p w:rsidR="0084672B" w:rsidRDefault="0084672B">
      <w:pPr>
        <w:pStyle w:val="FootnoteText"/>
      </w:pPr>
    </w:p>
    <w:p w:rsidR="0084672B" w:rsidRDefault="0084672B" w:rsidP="00AB3DBD">
      <w:pPr>
        <w:pStyle w:val="FootnoteText"/>
        <w:ind w:firstLine="720"/>
      </w:pPr>
      <w:r>
        <w:rPr>
          <w:rStyle w:val="FootnoteReference"/>
        </w:rPr>
        <w:footnoteRef/>
      </w:r>
      <w:r>
        <w:t xml:space="preserve"> </w:t>
      </w:r>
      <w:r>
        <w:tab/>
      </w:r>
      <w:r w:rsidRPr="00244823">
        <w:t>66 Pa. C.S.</w:t>
      </w:r>
      <w:r>
        <w:t>A.</w:t>
      </w:r>
      <w:r w:rsidRPr="00244823">
        <w:t xml:space="preserve"> §2807(e)(3.1).</w:t>
      </w:r>
    </w:p>
  </w:footnote>
  <w:footnote w:id="18">
    <w:p w:rsidR="0084672B" w:rsidRDefault="0084672B">
      <w:pPr>
        <w:pStyle w:val="FootnoteText"/>
      </w:pPr>
    </w:p>
    <w:p w:rsidR="0084672B" w:rsidRDefault="0084672B" w:rsidP="0052367C">
      <w:pPr>
        <w:ind w:firstLine="720"/>
      </w:pPr>
      <w:r w:rsidRPr="00AB3DBD">
        <w:rPr>
          <w:rStyle w:val="FootnoteReference"/>
          <w:sz w:val="20"/>
          <w:szCs w:val="20"/>
        </w:rPr>
        <w:footnoteRef/>
      </w:r>
      <w:r w:rsidRPr="00AB3DBD">
        <w:rPr>
          <w:sz w:val="20"/>
          <w:szCs w:val="20"/>
        </w:rPr>
        <w:t xml:space="preserve"> </w:t>
      </w:r>
      <w:r w:rsidRPr="00AB3DBD">
        <w:rPr>
          <w:sz w:val="20"/>
          <w:szCs w:val="20"/>
        </w:rPr>
        <w:tab/>
        <w:t>66 Pa. C.S.</w:t>
      </w:r>
      <w:r>
        <w:rPr>
          <w:sz w:val="20"/>
          <w:szCs w:val="20"/>
        </w:rPr>
        <w:t>A.</w:t>
      </w:r>
      <w:r w:rsidRPr="00AB3DBD">
        <w:rPr>
          <w:sz w:val="20"/>
          <w:szCs w:val="20"/>
        </w:rPr>
        <w:t xml:space="preserve"> §2807(e)(3.2). </w:t>
      </w:r>
    </w:p>
  </w:footnote>
  <w:footnote w:id="19">
    <w:p w:rsidR="0084672B" w:rsidRPr="006E7416" w:rsidRDefault="0084672B" w:rsidP="006E7416">
      <w:pPr>
        <w:ind w:right="1440" w:firstLine="720"/>
        <w:rPr>
          <w:sz w:val="20"/>
          <w:szCs w:val="20"/>
        </w:rPr>
      </w:pPr>
      <w:r w:rsidRPr="006E7416">
        <w:rPr>
          <w:rStyle w:val="FootnoteReference"/>
          <w:sz w:val="20"/>
          <w:szCs w:val="20"/>
        </w:rPr>
        <w:footnoteRef/>
      </w:r>
      <w:r w:rsidRPr="006E7416">
        <w:rPr>
          <w:sz w:val="20"/>
          <w:szCs w:val="20"/>
        </w:rPr>
        <w:t xml:space="preserve"> </w:t>
      </w:r>
      <w:r w:rsidRPr="006E7416">
        <w:rPr>
          <w:sz w:val="20"/>
          <w:szCs w:val="20"/>
        </w:rPr>
        <w:tab/>
        <w:t>66 Pa. C.S.</w:t>
      </w:r>
      <w:r>
        <w:rPr>
          <w:sz w:val="20"/>
          <w:szCs w:val="20"/>
        </w:rPr>
        <w:t>A.</w:t>
      </w:r>
      <w:r w:rsidRPr="006E7416">
        <w:rPr>
          <w:sz w:val="20"/>
          <w:szCs w:val="20"/>
        </w:rPr>
        <w:t xml:space="preserve"> §2807(e)</w:t>
      </w:r>
      <w:r>
        <w:rPr>
          <w:sz w:val="20"/>
          <w:szCs w:val="20"/>
        </w:rPr>
        <w:t xml:space="preserve">(3.1) and </w:t>
      </w:r>
      <w:r w:rsidRPr="006E7416">
        <w:rPr>
          <w:sz w:val="20"/>
          <w:szCs w:val="20"/>
        </w:rPr>
        <w:t xml:space="preserve">(3.4). </w:t>
      </w:r>
    </w:p>
    <w:p w:rsidR="0084672B" w:rsidRDefault="0084672B" w:rsidP="006E7416">
      <w:pPr>
        <w:pStyle w:val="FootnoteText"/>
        <w:ind w:firstLine="720"/>
      </w:pPr>
    </w:p>
  </w:footnote>
  <w:footnote w:id="20">
    <w:p w:rsidR="0084672B" w:rsidRDefault="0084672B" w:rsidP="006E7416">
      <w:pPr>
        <w:pStyle w:val="FootnoteText"/>
        <w:ind w:firstLine="720"/>
      </w:pPr>
      <w:r>
        <w:rPr>
          <w:rStyle w:val="FootnoteReference"/>
        </w:rPr>
        <w:footnoteRef/>
      </w:r>
      <w:r>
        <w:t xml:space="preserve"> </w:t>
      </w:r>
      <w:r>
        <w:tab/>
      </w:r>
      <w:r w:rsidRPr="00244823">
        <w:t>66 Pa. C.S</w:t>
      </w:r>
      <w:r>
        <w:t>.A.</w:t>
      </w:r>
      <w:r w:rsidRPr="00244823">
        <w:t xml:space="preserve"> §2807(e)(3.7).</w:t>
      </w:r>
    </w:p>
  </w:footnote>
  <w:footnote w:id="21">
    <w:p w:rsidR="0084672B" w:rsidRPr="00244823" w:rsidRDefault="0084672B" w:rsidP="006E7416">
      <w:pPr>
        <w:ind w:firstLine="720"/>
        <w:rPr>
          <w:sz w:val="20"/>
          <w:szCs w:val="20"/>
        </w:rPr>
      </w:pPr>
      <w:r w:rsidRPr="00244823">
        <w:rPr>
          <w:rStyle w:val="FootnoteReference"/>
          <w:sz w:val="20"/>
          <w:szCs w:val="20"/>
        </w:rPr>
        <w:footnoteRef/>
      </w:r>
      <w:r w:rsidRPr="00244823">
        <w:rPr>
          <w:sz w:val="20"/>
          <w:szCs w:val="20"/>
        </w:rPr>
        <w:tab/>
        <w:t xml:space="preserve">Although a Final Rulemaking Order was entered on October 4, 2011, the regulations have not yet been officially approved by the Independent Regulatory Review Commission and codified into law.  </w:t>
      </w:r>
    </w:p>
  </w:footnote>
  <w:footnote w:id="22">
    <w:p w:rsidR="0084672B" w:rsidRDefault="0084672B">
      <w:pPr>
        <w:pStyle w:val="FootnoteText"/>
      </w:pPr>
    </w:p>
    <w:p w:rsidR="0084672B" w:rsidRDefault="0084672B" w:rsidP="006E7416">
      <w:pPr>
        <w:pStyle w:val="FootnoteText"/>
        <w:ind w:firstLine="720"/>
      </w:pPr>
      <w:r>
        <w:rPr>
          <w:rStyle w:val="FootnoteReference"/>
        </w:rPr>
        <w:footnoteRef/>
      </w:r>
      <w:r>
        <w:t xml:space="preserve"> </w:t>
      </w:r>
      <w:r>
        <w:tab/>
      </w:r>
      <w:r w:rsidRPr="00244823">
        <w:t>Final Rulemaking Order at 20</w:t>
      </w:r>
      <w:r>
        <w:t>.</w:t>
      </w:r>
    </w:p>
  </w:footnote>
  <w:footnote w:id="23">
    <w:p w:rsidR="0084672B" w:rsidRDefault="0084672B" w:rsidP="006F70A0">
      <w:pPr>
        <w:pStyle w:val="FootnoteText"/>
        <w:ind w:firstLine="720"/>
      </w:pPr>
      <w:r>
        <w:rPr>
          <w:rStyle w:val="FootnoteReference"/>
        </w:rPr>
        <w:footnoteRef/>
      </w:r>
      <w:r>
        <w:t xml:space="preserve"> </w:t>
      </w:r>
      <w:r>
        <w:tab/>
      </w:r>
      <w:r w:rsidRPr="00244823">
        <w:t>Final Rulemaking Order at 11-12.</w:t>
      </w:r>
    </w:p>
  </w:footnote>
  <w:footnote w:id="24">
    <w:p w:rsidR="0084672B" w:rsidRPr="006F70A0" w:rsidRDefault="0084672B">
      <w:pPr>
        <w:pStyle w:val="FootnoteText"/>
      </w:pPr>
    </w:p>
    <w:p w:rsidR="0084672B" w:rsidRDefault="0084672B" w:rsidP="006F70A0">
      <w:pPr>
        <w:pStyle w:val="FootnoteText"/>
        <w:ind w:firstLine="720"/>
      </w:pPr>
      <w:r w:rsidRPr="006F70A0">
        <w:rPr>
          <w:rStyle w:val="FootnoteReference"/>
        </w:rPr>
        <w:footnoteRef/>
      </w:r>
      <w:r w:rsidRPr="006F70A0">
        <w:t xml:space="preserve"> </w:t>
      </w:r>
      <w:r w:rsidRPr="006F70A0">
        <w:tab/>
      </w:r>
      <w:r w:rsidRPr="006F70A0">
        <w:rPr>
          <w:u w:val="single"/>
        </w:rPr>
        <w:t>Petition of Pike County Light &amp; Power Company for Approval of its Default Service Implementation Plan</w:t>
      </w:r>
      <w:r w:rsidRPr="00244823">
        <w:rPr>
          <w:i/>
        </w:rPr>
        <w:t xml:space="preserve">, </w:t>
      </w:r>
      <w:r w:rsidRPr="00244823">
        <w:t>at Docket No. P-2011-2252042, Opinion and Order dated May 24, 2012.</w:t>
      </w:r>
    </w:p>
  </w:footnote>
  <w:footnote w:id="25">
    <w:p w:rsidR="0084672B" w:rsidRPr="008E242A" w:rsidRDefault="0084672B" w:rsidP="008E242A">
      <w:pPr>
        <w:spacing w:line="360" w:lineRule="auto"/>
        <w:rPr>
          <w:sz w:val="20"/>
          <w:szCs w:val="20"/>
        </w:rPr>
      </w:pPr>
      <w:r>
        <w:tab/>
      </w:r>
      <w:r w:rsidRPr="008E242A">
        <w:rPr>
          <w:rStyle w:val="FootnoteReference"/>
          <w:sz w:val="20"/>
          <w:szCs w:val="20"/>
        </w:rPr>
        <w:footnoteRef/>
      </w:r>
      <w:r w:rsidRPr="008E242A">
        <w:rPr>
          <w:sz w:val="20"/>
          <w:szCs w:val="20"/>
        </w:rPr>
        <w:t xml:space="preserve"> </w:t>
      </w:r>
      <w:r w:rsidRPr="008E242A">
        <w:rPr>
          <w:sz w:val="20"/>
          <w:szCs w:val="20"/>
        </w:rPr>
        <w:tab/>
      </w:r>
      <w:r w:rsidRPr="008E242A">
        <w:rPr>
          <w:sz w:val="20"/>
          <w:szCs w:val="20"/>
          <w:u w:val="single"/>
        </w:rPr>
        <w:t>Act 129 Final Rulemaking Order</w:t>
      </w:r>
      <w:r w:rsidRPr="008E242A" w:rsidDel="00962A21">
        <w:rPr>
          <w:sz w:val="20"/>
          <w:szCs w:val="20"/>
        </w:rPr>
        <w:t xml:space="preserve"> </w:t>
      </w:r>
      <w:r w:rsidRPr="008E242A">
        <w:rPr>
          <w:sz w:val="20"/>
          <w:szCs w:val="20"/>
        </w:rPr>
        <w:t xml:space="preserve">at 40-41 (emphasis added).  </w:t>
      </w:r>
    </w:p>
  </w:footnote>
  <w:footnote w:id="26">
    <w:p w:rsidR="0084672B" w:rsidRPr="008E242A" w:rsidRDefault="0084672B">
      <w:pPr>
        <w:pStyle w:val="FootnoteText"/>
      </w:pPr>
      <w:r w:rsidRPr="008E242A">
        <w:tab/>
      </w:r>
      <w:r w:rsidRPr="008E242A">
        <w:rPr>
          <w:rStyle w:val="FootnoteReference"/>
        </w:rPr>
        <w:footnoteRef/>
      </w:r>
      <w:r w:rsidRPr="008E242A">
        <w:t xml:space="preserve"> </w:t>
      </w:r>
      <w:r w:rsidRPr="008E242A">
        <w:tab/>
      </w:r>
      <w:r w:rsidRPr="008E242A">
        <w:rPr>
          <w:u w:val="single"/>
        </w:rPr>
        <w:t>Act 129 Final Rulemaking Order</w:t>
      </w:r>
      <w:r w:rsidRPr="008E242A">
        <w:t xml:space="preserve"> at 41 (emphasis added).</w:t>
      </w:r>
    </w:p>
  </w:footnote>
  <w:footnote w:id="27">
    <w:p w:rsidR="0084672B" w:rsidRDefault="0084672B" w:rsidP="00297E8C">
      <w:pPr>
        <w:pStyle w:val="FootnoteText"/>
        <w:jc w:val="both"/>
      </w:pPr>
      <w:r>
        <w:tab/>
      </w:r>
      <w:r w:rsidRPr="00155068">
        <w:rPr>
          <w:rStyle w:val="FootnoteReference"/>
        </w:rPr>
        <w:footnoteRef/>
      </w:r>
      <w:r w:rsidRPr="00155068">
        <w:t xml:space="preserve">  </w:t>
      </w:r>
      <w:r w:rsidRPr="00155068">
        <w:tab/>
        <w:t>Elsewhere in his Direct Testimony, Dr. Estomin states:</w:t>
      </w:r>
    </w:p>
    <w:p w:rsidR="0084672B" w:rsidRPr="00155068" w:rsidRDefault="0084672B" w:rsidP="00297E8C">
      <w:pPr>
        <w:pStyle w:val="FootnoteText"/>
        <w:jc w:val="both"/>
      </w:pPr>
    </w:p>
    <w:p w:rsidR="0084672B" w:rsidRPr="00155068" w:rsidRDefault="0084672B" w:rsidP="00155068">
      <w:pPr>
        <w:pStyle w:val="FootnoteText"/>
        <w:ind w:left="1440" w:right="720"/>
        <w:jc w:val="both"/>
      </w:pPr>
      <w:r>
        <w:t>“</w:t>
      </w:r>
      <w:r w:rsidRPr="00155068">
        <w:t>From the perspective of any particular residential customer, however, there is only one product type being used to supply the residential Default Service load, which is the one-year FRC product.  There are no long-term or spot market products explicitly included in Duquesne’s proposed Default Service supply portfolio for residential customers.</w:t>
      </w:r>
      <w:r>
        <w:t>”</w:t>
      </w:r>
      <w:r w:rsidRPr="00155068">
        <w:t xml:space="preserve">  OCA St. 1 at 14.  </w:t>
      </w:r>
    </w:p>
  </w:footnote>
  <w:footnote w:id="28">
    <w:p w:rsidR="0084672B" w:rsidRDefault="0084672B" w:rsidP="00297E8C">
      <w:pPr>
        <w:pStyle w:val="FootnoteText"/>
        <w:jc w:val="both"/>
      </w:pPr>
      <w:r>
        <w:tab/>
      </w:r>
      <w:r w:rsidRPr="009A3008">
        <w:rPr>
          <w:rStyle w:val="FootnoteReference"/>
        </w:rPr>
        <w:footnoteRef/>
      </w:r>
      <w:r w:rsidRPr="009A3008">
        <w:t xml:space="preserve">   </w:t>
      </w:r>
      <w:r w:rsidRPr="009A3008">
        <w:tab/>
      </w:r>
      <w:r w:rsidRPr="009A3008">
        <w:rPr>
          <w:u w:val="single"/>
        </w:rPr>
        <w:t>FirstEnergy DSP Order</w:t>
      </w:r>
      <w:r w:rsidRPr="009A3008">
        <w:rPr>
          <w:u w:val="single"/>
        </w:rPr>
        <w:fldChar w:fldCharType="begin"/>
      </w:r>
      <w:r w:rsidRPr="009A3008">
        <w:instrText xml:space="preserve"> TA \s "FirstEnergy DSP Order" </w:instrText>
      </w:r>
      <w:r w:rsidRPr="009A3008">
        <w:rPr>
          <w:u w:val="single"/>
        </w:rPr>
        <w:fldChar w:fldCharType="end"/>
      </w:r>
      <w:r w:rsidRPr="009A3008">
        <w:t xml:space="preserve"> at 26.  </w:t>
      </w:r>
    </w:p>
    <w:p w:rsidR="0084672B" w:rsidRPr="009A3008" w:rsidRDefault="0084672B" w:rsidP="00297E8C">
      <w:pPr>
        <w:pStyle w:val="FootnoteText"/>
        <w:jc w:val="both"/>
      </w:pPr>
    </w:p>
  </w:footnote>
  <w:footnote w:id="29">
    <w:p w:rsidR="0084672B" w:rsidRPr="009B556A" w:rsidRDefault="0084672B" w:rsidP="001C6FC2">
      <w:pPr>
        <w:pStyle w:val="FootnoteText"/>
        <w:ind w:firstLine="720"/>
      </w:pPr>
      <w:r w:rsidRPr="009B556A">
        <w:rPr>
          <w:rStyle w:val="FootnoteReference"/>
        </w:rPr>
        <w:footnoteRef/>
      </w:r>
      <w:r w:rsidRPr="009B556A">
        <w:t xml:space="preserve"> </w:t>
      </w:r>
      <w:r w:rsidRPr="009B556A">
        <w:tab/>
        <w:t>RESA St. No. 1 at 14 and RESA Exhibit AW-1.</w:t>
      </w:r>
    </w:p>
  </w:footnote>
  <w:footnote w:id="30">
    <w:p w:rsidR="0084672B" w:rsidRPr="009B556A" w:rsidRDefault="0084672B" w:rsidP="001C6FC2">
      <w:pPr>
        <w:pStyle w:val="FootnoteText"/>
        <w:ind w:firstLine="720"/>
      </w:pPr>
    </w:p>
    <w:p w:rsidR="0084672B" w:rsidRPr="009B556A" w:rsidRDefault="0084672B" w:rsidP="001C6FC2">
      <w:pPr>
        <w:pStyle w:val="FootnoteText"/>
        <w:ind w:firstLine="720"/>
      </w:pPr>
      <w:r w:rsidRPr="009B556A">
        <w:rPr>
          <w:rStyle w:val="FootnoteReference"/>
        </w:rPr>
        <w:footnoteRef/>
      </w:r>
      <w:r w:rsidRPr="009B556A">
        <w:t xml:space="preserve"> </w:t>
      </w:r>
      <w:r w:rsidRPr="009B556A">
        <w:tab/>
        <w:t>RESA St. No. 1 at 10; RESA St. No. 1-SR at 7-8.</w:t>
      </w:r>
    </w:p>
  </w:footnote>
  <w:footnote w:id="31">
    <w:p w:rsidR="0084672B" w:rsidRDefault="0084672B" w:rsidP="00DF0583">
      <w:pPr>
        <w:pStyle w:val="FootnoteText"/>
        <w:ind w:firstLine="720"/>
      </w:pPr>
      <w:r w:rsidRPr="009B556A">
        <w:rPr>
          <w:rStyle w:val="FootnoteReference"/>
        </w:rPr>
        <w:footnoteRef/>
      </w:r>
      <w:r w:rsidRPr="009B556A">
        <w:t xml:space="preserve"> </w:t>
      </w:r>
      <w:r w:rsidRPr="009B556A">
        <w:tab/>
        <w:t>RESA St. 1-R at 9.</w:t>
      </w:r>
    </w:p>
    <w:p w:rsidR="0084672B" w:rsidRPr="009B556A" w:rsidRDefault="0084672B" w:rsidP="00DF0583">
      <w:pPr>
        <w:pStyle w:val="FootnoteText"/>
        <w:ind w:firstLine="720"/>
      </w:pPr>
    </w:p>
  </w:footnote>
  <w:footnote w:id="32">
    <w:p w:rsidR="0084672B" w:rsidRPr="009B556A" w:rsidRDefault="0084672B" w:rsidP="00DF0583">
      <w:pPr>
        <w:pStyle w:val="FootnoteText"/>
        <w:ind w:firstLine="720"/>
      </w:pPr>
      <w:r w:rsidRPr="009B556A">
        <w:rPr>
          <w:rStyle w:val="FootnoteReference"/>
        </w:rPr>
        <w:footnoteRef/>
      </w:r>
      <w:r w:rsidRPr="009B556A">
        <w:t xml:space="preserve"> </w:t>
      </w:r>
      <w:r w:rsidRPr="009B556A">
        <w:tab/>
        <w:t>RESA St. No. 1-R at 3.</w:t>
      </w:r>
    </w:p>
  </w:footnote>
  <w:footnote w:id="33">
    <w:p w:rsidR="0084672B" w:rsidRPr="009B556A" w:rsidRDefault="0084672B" w:rsidP="00DF0583">
      <w:pPr>
        <w:pStyle w:val="FootnoteText"/>
        <w:ind w:firstLine="720"/>
      </w:pPr>
    </w:p>
    <w:p w:rsidR="0084672B" w:rsidRPr="009B556A" w:rsidRDefault="0084672B" w:rsidP="00DF0583">
      <w:pPr>
        <w:pStyle w:val="FootnoteText"/>
        <w:ind w:firstLine="720"/>
      </w:pPr>
      <w:r w:rsidRPr="009B556A">
        <w:rPr>
          <w:rStyle w:val="FootnoteReference"/>
        </w:rPr>
        <w:footnoteRef/>
      </w:r>
      <w:r w:rsidRPr="009B556A">
        <w:t xml:space="preserve"> </w:t>
      </w:r>
      <w:r w:rsidRPr="009B556A">
        <w:tab/>
      </w:r>
      <w:r w:rsidRPr="009B556A">
        <w:rPr>
          <w:i/>
        </w:rPr>
        <w:t>See</w:t>
      </w:r>
      <w:r w:rsidRPr="009B556A">
        <w:t xml:space="preserve"> </w:t>
      </w:r>
      <w:r w:rsidRPr="009B556A">
        <w:rPr>
          <w:bCs/>
        </w:rPr>
        <w:t>Thomas J. Butler St. No. 1 at 3:10-19.</w:t>
      </w:r>
    </w:p>
  </w:footnote>
  <w:footnote w:id="34">
    <w:p w:rsidR="0084672B" w:rsidRDefault="0084672B" w:rsidP="00C31641">
      <w:pPr>
        <w:pStyle w:val="FootnoteText"/>
        <w:rPr>
          <w:spacing w:val="-6"/>
        </w:rPr>
      </w:pPr>
      <w:r>
        <w:tab/>
      </w:r>
      <w:r>
        <w:rPr>
          <w:rStyle w:val="FootnoteReference"/>
        </w:rPr>
        <w:footnoteRef/>
      </w:r>
      <w:r>
        <w:t xml:space="preserve"> </w:t>
      </w:r>
      <w:r>
        <w:tab/>
      </w:r>
      <w:r>
        <w:rPr>
          <w:bCs/>
          <w:spacing w:val="-6"/>
        </w:rPr>
        <w:t>OCA has not consulted or prepared any studies attempting to quantify this risk, nor consulted any competitive wholesale suppliers in reaching this conclusion.  FES Ex. TCB</w:t>
      </w:r>
      <w:r>
        <w:rPr>
          <w:bCs/>
          <w:spacing w:val="-6"/>
        </w:rPr>
        <w:noBreakHyphen/>
        <w:t>3 (OCA Responses to DLC</w:t>
      </w:r>
      <w:r>
        <w:rPr>
          <w:bCs/>
          <w:spacing w:val="-6"/>
        </w:rPr>
        <w:noBreakHyphen/>
        <w:t>1</w:t>
      </w:r>
      <w:r>
        <w:rPr>
          <w:bCs/>
          <w:spacing w:val="-6"/>
        </w:rPr>
        <w:noBreakHyphen/>
        <w:t>4(a), FES</w:t>
      </w:r>
      <w:r>
        <w:rPr>
          <w:bCs/>
          <w:spacing w:val="-6"/>
        </w:rPr>
        <w:noBreakHyphen/>
        <w:t>I</w:t>
      </w:r>
      <w:r>
        <w:rPr>
          <w:bCs/>
          <w:spacing w:val="-6"/>
        </w:rPr>
        <w:noBreakHyphen/>
        <w:t>3, FES</w:t>
      </w:r>
      <w:r>
        <w:rPr>
          <w:bCs/>
          <w:spacing w:val="-6"/>
        </w:rPr>
        <w:noBreakHyphen/>
        <w:t>I</w:t>
      </w:r>
      <w:r>
        <w:rPr>
          <w:bCs/>
          <w:spacing w:val="-6"/>
        </w:rPr>
        <w:noBreakHyphen/>
        <w:t>4, FES</w:t>
      </w:r>
      <w:r>
        <w:rPr>
          <w:bCs/>
          <w:spacing w:val="-6"/>
        </w:rPr>
        <w:noBreakHyphen/>
        <w:t>I</w:t>
      </w:r>
      <w:r>
        <w:rPr>
          <w:bCs/>
          <w:spacing w:val="-6"/>
        </w:rPr>
        <w:noBreakHyphen/>
        <w:t>5 and FES</w:t>
      </w:r>
      <w:r>
        <w:rPr>
          <w:bCs/>
          <w:spacing w:val="-6"/>
        </w:rPr>
        <w:noBreakHyphen/>
        <w:t>I</w:t>
      </w:r>
      <w:r>
        <w:rPr>
          <w:bCs/>
          <w:spacing w:val="-6"/>
        </w:rPr>
        <w:noBreakHyphen/>
        <w:t>6).</w:t>
      </w:r>
    </w:p>
  </w:footnote>
  <w:footnote w:id="35">
    <w:p w:rsidR="0084672B" w:rsidRDefault="0084672B" w:rsidP="00C31641">
      <w:pPr>
        <w:pStyle w:val="FootnoteText"/>
      </w:pPr>
      <w:r>
        <w:tab/>
      </w:r>
      <w:r>
        <w:rPr>
          <w:rStyle w:val="FootnoteReference"/>
        </w:rPr>
        <w:footnoteRef/>
      </w:r>
      <w:r>
        <w:t xml:space="preserve"> </w:t>
      </w:r>
      <w:r>
        <w:tab/>
        <w:t xml:space="preserve">Under Duquesne Light's POLR V settlement, </w:t>
      </w:r>
      <w:r w:rsidR="00B61390">
        <w:t>r</w:t>
      </w:r>
      <w:r>
        <w:t>esidential rates were set at a 29-month fixed rate, and Small and Medium C&amp;I rates were set annually.</w:t>
      </w:r>
    </w:p>
  </w:footnote>
  <w:footnote w:id="36">
    <w:p w:rsidR="0084672B" w:rsidRDefault="0084672B" w:rsidP="00E91B86">
      <w:pPr>
        <w:pStyle w:val="FootnoteText"/>
        <w:ind w:firstLine="720"/>
      </w:pPr>
      <w:r w:rsidRPr="0073745A">
        <w:rPr>
          <w:rStyle w:val="FootnoteReference"/>
        </w:rPr>
        <w:footnoteRef/>
      </w:r>
      <w:r w:rsidRPr="0073745A">
        <w:t xml:space="preserve"> </w:t>
      </w:r>
      <w:r w:rsidRPr="0073745A">
        <w:tab/>
        <w:t>RESA St. No. 1 at 16, RESA Exhibit AW-1.</w:t>
      </w:r>
    </w:p>
    <w:p w:rsidR="0084672B" w:rsidRPr="0073745A" w:rsidRDefault="0084672B" w:rsidP="00E91B86">
      <w:pPr>
        <w:pStyle w:val="FootnoteText"/>
        <w:ind w:firstLine="720"/>
      </w:pPr>
    </w:p>
  </w:footnote>
  <w:footnote w:id="37">
    <w:p w:rsidR="0084672B" w:rsidRDefault="0084672B" w:rsidP="00E91B86">
      <w:pPr>
        <w:pStyle w:val="FootnoteText"/>
        <w:ind w:firstLine="720"/>
      </w:pPr>
      <w:r w:rsidRPr="0073745A">
        <w:rPr>
          <w:rStyle w:val="FootnoteReference"/>
        </w:rPr>
        <w:footnoteRef/>
      </w:r>
      <w:r w:rsidRPr="0073745A">
        <w:t xml:space="preserve"> </w:t>
      </w:r>
      <w:r w:rsidRPr="0073745A">
        <w:tab/>
        <w:t xml:space="preserve">Duquesne St. No. 8-R at 47-48. </w:t>
      </w:r>
    </w:p>
    <w:p w:rsidR="0084672B" w:rsidRPr="0073745A" w:rsidRDefault="0084672B" w:rsidP="00E91B86">
      <w:pPr>
        <w:pStyle w:val="FootnoteText"/>
        <w:ind w:firstLine="720"/>
      </w:pPr>
    </w:p>
  </w:footnote>
  <w:footnote w:id="38">
    <w:p w:rsidR="0084672B" w:rsidRDefault="0084672B" w:rsidP="00E91B86">
      <w:pPr>
        <w:pStyle w:val="FootnoteText"/>
        <w:ind w:firstLine="720"/>
      </w:pPr>
      <w:r w:rsidRPr="0073745A">
        <w:rPr>
          <w:rStyle w:val="FootnoteReference"/>
        </w:rPr>
        <w:footnoteRef/>
      </w:r>
      <w:r w:rsidRPr="0073745A">
        <w:t xml:space="preserve"> </w:t>
      </w:r>
      <w:r w:rsidRPr="0073745A">
        <w:tab/>
        <w:t>RESA St. No. 1 at 16.</w:t>
      </w:r>
    </w:p>
    <w:p w:rsidR="0084672B" w:rsidRPr="0073745A" w:rsidRDefault="0084672B" w:rsidP="00E91B86">
      <w:pPr>
        <w:pStyle w:val="FootnoteText"/>
        <w:ind w:firstLine="720"/>
      </w:pPr>
    </w:p>
  </w:footnote>
  <w:footnote w:id="39">
    <w:p w:rsidR="0084672B" w:rsidRPr="0073745A" w:rsidRDefault="0084672B" w:rsidP="00E91B86">
      <w:pPr>
        <w:pStyle w:val="FootnoteText"/>
        <w:ind w:firstLine="720"/>
      </w:pPr>
      <w:r w:rsidRPr="0073745A">
        <w:rPr>
          <w:rStyle w:val="FootnoteReference"/>
        </w:rPr>
        <w:footnoteRef/>
      </w:r>
      <w:r w:rsidRPr="0073745A">
        <w:t xml:space="preserve"> </w:t>
      </w:r>
      <w:r w:rsidRPr="0073745A">
        <w:tab/>
        <w:t>RESA St. No. 1-SR at 13.</w:t>
      </w:r>
    </w:p>
  </w:footnote>
  <w:footnote w:id="40">
    <w:p w:rsidR="0084672B" w:rsidRPr="002A28F7" w:rsidRDefault="0084672B" w:rsidP="00E90FC9">
      <w:pPr>
        <w:pStyle w:val="FootnoteText"/>
      </w:pPr>
      <w:r>
        <w:tab/>
      </w:r>
      <w:r w:rsidRPr="002A28F7">
        <w:rPr>
          <w:rStyle w:val="FootnoteReference"/>
        </w:rPr>
        <w:footnoteRef/>
      </w:r>
      <w:r w:rsidRPr="002A28F7">
        <w:t xml:space="preserve"> </w:t>
      </w:r>
      <w:r w:rsidRPr="002A28F7">
        <w:tab/>
        <w:t>OCA St. No. 1 at 19-20.</w:t>
      </w:r>
    </w:p>
  </w:footnote>
  <w:footnote w:id="41">
    <w:p w:rsidR="0084672B" w:rsidRDefault="0084672B" w:rsidP="00E90FC9">
      <w:pPr>
        <w:pStyle w:val="FootnoteText"/>
      </w:pPr>
    </w:p>
    <w:p w:rsidR="0084672B" w:rsidRPr="002A28F7" w:rsidRDefault="0084672B" w:rsidP="00E90FC9">
      <w:pPr>
        <w:pStyle w:val="FootnoteText"/>
      </w:pPr>
      <w:r>
        <w:tab/>
      </w:r>
      <w:r w:rsidRPr="002A28F7">
        <w:rPr>
          <w:rStyle w:val="FootnoteReference"/>
        </w:rPr>
        <w:footnoteRef/>
      </w:r>
      <w:r w:rsidRPr="002A28F7">
        <w:t xml:space="preserve"> </w:t>
      </w:r>
      <w:r w:rsidRPr="002A28F7">
        <w:tab/>
      </w:r>
      <w:r w:rsidRPr="002A28F7">
        <w:rPr>
          <w:bCs/>
        </w:rPr>
        <w:t>OCA St. No. 1 at 20-28.</w:t>
      </w:r>
    </w:p>
  </w:footnote>
  <w:footnote w:id="42">
    <w:p w:rsidR="0084672B" w:rsidRDefault="0084672B" w:rsidP="00E90FC9">
      <w:pPr>
        <w:pStyle w:val="FootnoteText"/>
      </w:pPr>
    </w:p>
    <w:p w:rsidR="0084672B" w:rsidRPr="002A28F7" w:rsidRDefault="0084672B" w:rsidP="00E90FC9">
      <w:pPr>
        <w:pStyle w:val="FootnoteText"/>
      </w:pPr>
      <w:r>
        <w:tab/>
      </w:r>
      <w:r w:rsidRPr="002A28F7">
        <w:rPr>
          <w:rStyle w:val="FootnoteReference"/>
        </w:rPr>
        <w:footnoteRef/>
      </w:r>
      <w:r w:rsidRPr="002A28F7">
        <w:t xml:space="preserve"> </w:t>
      </w:r>
      <w:r w:rsidRPr="002A28F7">
        <w:tab/>
        <w:t>Duquesne St. No. 8-R at 23-24.</w:t>
      </w:r>
    </w:p>
  </w:footnote>
  <w:footnote w:id="43">
    <w:p w:rsidR="0084672B" w:rsidRDefault="0084672B" w:rsidP="00E90FC9">
      <w:pPr>
        <w:pStyle w:val="FootnoteText"/>
      </w:pPr>
    </w:p>
    <w:p w:rsidR="0084672B" w:rsidRDefault="0084672B" w:rsidP="00E90FC9">
      <w:pPr>
        <w:pStyle w:val="FootnoteText"/>
      </w:pPr>
      <w:r>
        <w:tab/>
      </w:r>
      <w:r w:rsidRPr="002A28F7">
        <w:rPr>
          <w:rStyle w:val="FootnoteReference"/>
        </w:rPr>
        <w:footnoteRef/>
      </w:r>
      <w:r w:rsidRPr="002A28F7">
        <w:t xml:space="preserve"> </w:t>
      </w:r>
      <w:r w:rsidRPr="002A28F7">
        <w:tab/>
        <w:t>Duquesne St. No. 8-R at 27.</w:t>
      </w:r>
    </w:p>
    <w:p w:rsidR="0084672B" w:rsidRPr="002A28F7" w:rsidRDefault="0084672B" w:rsidP="00E90FC9">
      <w:pPr>
        <w:pStyle w:val="FootnoteText"/>
      </w:pPr>
    </w:p>
  </w:footnote>
  <w:footnote w:id="44">
    <w:p w:rsidR="0084672B" w:rsidRDefault="0084672B" w:rsidP="00E90FC9">
      <w:pPr>
        <w:pStyle w:val="FootnoteText"/>
      </w:pPr>
      <w:r>
        <w:tab/>
      </w:r>
      <w:r w:rsidRPr="002A28F7">
        <w:rPr>
          <w:rStyle w:val="FootnoteReference"/>
        </w:rPr>
        <w:footnoteRef/>
      </w:r>
      <w:r w:rsidRPr="002A28F7">
        <w:t xml:space="preserve"> </w:t>
      </w:r>
      <w:r w:rsidRPr="002A28F7">
        <w:tab/>
      </w:r>
      <w:r w:rsidRPr="002A28F7">
        <w:rPr>
          <w:i/>
        </w:rPr>
        <w:t>FirstEnergy Default Service Order</w:t>
      </w:r>
      <w:r w:rsidRPr="002A28F7">
        <w:t xml:space="preserve"> at 29</w:t>
      </w:r>
      <w:r>
        <w:t>.</w:t>
      </w:r>
    </w:p>
    <w:p w:rsidR="0084672B" w:rsidRDefault="0084672B" w:rsidP="00E90FC9">
      <w:pPr>
        <w:pStyle w:val="FootnoteText"/>
        <w:rPr>
          <w:sz w:val="22"/>
        </w:rPr>
      </w:pPr>
    </w:p>
  </w:footnote>
  <w:footnote w:id="45">
    <w:p w:rsidR="0084672B" w:rsidRPr="001939FA" w:rsidRDefault="0084672B" w:rsidP="00E90FC9">
      <w:pPr>
        <w:pStyle w:val="FootnoteText"/>
      </w:pPr>
      <w:r w:rsidRPr="001939FA">
        <w:tab/>
      </w:r>
      <w:r w:rsidRPr="001939FA">
        <w:rPr>
          <w:rStyle w:val="FootnoteReference"/>
        </w:rPr>
        <w:footnoteRef/>
      </w:r>
      <w:r w:rsidRPr="001939FA">
        <w:t xml:space="preserve"> </w:t>
      </w:r>
      <w:r w:rsidRPr="001939FA">
        <w:tab/>
      </w:r>
      <w:r w:rsidRPr="001939FA">
        <w:rPr>
          <w:i/>
        </w:rPr>
        <w:t>FirstEnergy Default Service Order</w:t>
      </w:r>
      <w:r w:rsidRPr="001939FA">
        <w:t xml:space="preserve"> at 29.</w:t>
      </w:r>
    </w:p>
  </w:footnote>
  <w:footnote w:id="46">
    <w:p w:rsidR="0084672B" w:rsidRDefault="0084672B" w:rsidP="00E90FC9">
      <w:pPr>
        <w:pStyle w:val="FootnoteText"/>
      </w:pPr>
      <w:r>
        <w:tab/>
      </w:r>
      <w:r w:rsidRPr="001939FA">
        <w:rPr>
          <w:rStyle w:val="FootnoteReference"/>
        </w:rPr>
        <w:footnoteRef/>
      </w:r>
      <w:r w:rsidRPr="001939FA">
        <w:t xml:space="preserve"> </w:t>
      </w:r>
      <w:r w:rsidRPr="001939FA">
        <w:tab/>
        <w:t>RESA St. No. 1 at 14, 22; Exh. AW-1</w:t>
      </w:r>
    </w:p>
    <w:p w:rsidR="0084672B" w:rsidRPr="001939FA" w:rsidRDefault="0084672B" w:rsidP="00E90FC9">
      <w:pPr>
        <w:pStyle w:val="FootnoteText"/>
      </w:pPr>
      <w:r w:rsidRPr="001939FA">
        <w:t>.</w:t>
      </w:r>
    </w:p>
  </w:footnote>
  <w:footnote w:id="47">
    <w:p w:rsidR="0084672B" w:rsidRPr="001939FA" w:rsidRDefault="0084672B" w:rsidP="00E90FC9">
      <w:pPr>
        <w:pStyle w:val="FootnoteText"/>
      </w:pPr>
      <w:r>
        <w:tab/>
      </w:r>
      <w:r w:rsidRPr="001939FA">
        <w:rPr>
          <w:rStyle w:val="FootnoteReference"/>
        </w:rPr>
        <w:footnoteRef/>
      </w:r>
      <w:r w:rsidRPr="001939FA">
        <w:t xml:space="preserve"> </w:t>
      </w:r>
      <w:r w:rsidRPr="001939FA">
        <w:tab/>
        <w:t>RESA St. No. 1 at 13.</w:t>
      </w:r>
    </w:p>
  </w:footnote>
  <w:footnote w:id="48">
    <w:p w:rsidR="0084672B" w:rsidRDefault="0084672B" w:rsidP="00E90FC9">
      <w:pPr>
        <w:pStyle w:val="FootnoteText"/>
      </w:pPr>
    </w:p>
    <w:p w:rsidR="0084672B" w:rsidRPr="001939FA" w:rsidRDefault="0084672B" w:rsidP="00E90FC9">
      <w:pPr>
        <w:pStyle w:val="FootnoteText"/>
      </w:pPr>
      <w:r>
        <w:tab/>
      </w:r>
      <w:r w:rsidRPr="001939FA">
        <w:rPr>
          <w:rStyle w:val="FootnoteReference"/>
        </w:rPr>
        <w:footnoteRef/>
      </w:r>
      <w:r w:rsidRPr="001939FA">
        <w:t xml:space="preserve"> </w:t>
      </w:r>
      <w:r w:rsidRPr="001939FA">
        <w:tab/>
        <w:t>RESA St. No. 1 at 13.</w:t>
      </w:r>
    </w:p>
  </w:footnote>
  <w:footnote w:id="49">
    <w:p w:rsidR="0084672B" w:rsidRDefault="0084672B" w:rsidP="00E90FC9">
      <w:pPr>
        <w:pStyle w:val="FootnoteText"/>
      </w:pPr>
    </w:p>
    <w:p w:rsidR="0084672B" w:rsidRDefault="0084672B" w:rsidP="00E90FC9">
      <w:pPr>
        <w:pStyle w:val="FootnoteText"/>
      </w:pPr>
      <w:r>
        <w:tab/>
      </w:r>
      <w:r w:rsidRPr="00A102E6">
        <w:rPr>
          <w:rStyle w:val="FootnoteReference"/>
        </w:rPr>
        <w:footnoteRef/>
      </w:r>
      <w:r w:rsidRPr="00A102E6">
        <w:t xml:space="preserve"> </w:t>
      </w:r>
      <w:r w:rsidRPr="00A102E6">
        <w:tab/>
        <w:t xml:space="preserve">RESA St. No. 1 at 18; RESA St. No. 1-R at 6.  </w:t>
      </w:r>
    </w:p>
    <w:p w:rsidR="0084672B" w:rsidRPr="00A102E6" w:rsidRDefault="0084672B" w:rsidP="00E90FC9">
      <w:pPr>
        <w:pStyle w:val="FootnoteText"/>
      </w:pPr>
    </w:p>
  </w:footnote>
  <w:footnote w:id="50">
    <w:p w:rsidR="0084672B" w:rsidRDefault="0084672B" w:rsidP="009A3008">
      <w:pPr>
        <w:pStyle w:val="FootnoteText"/>
      </w:pPr>
      <w:r>
        <w:tab/>
      </w:r>
      <w:r>
        <w:rPr>
          <w:rStyle w:val="FootnoteReference"/>
        </w:rPr>
        <w:footnoteRef/>
      </w:r>
      <w:r>
        <w:t xml:space="preserve"> </w:t>
      </w:r>
      <w:r>
        <w:tab/>
        <w:t>OSBA Statement No. 1 at 3.</w:t>
      </w:r>
    </w:p>
    <w:p w:rsidR="0084672B" w:rsidRDefault="0084672B" w:rsidP="009A3008">
      <w:pPr>
        <w:pStyle w:val="FootnoteText"/>
      </w:pPr>
    </w:p>
  </w:footnote>
  <w:footnote w:id="51">
    <w:p w:rsidR="0084672B" w:rsidRDefault="0084672B" w:rsidP="009A3008">
      <w:pPr>
        <w:pStyle w:val="FootnoteText"/>
      </w:pPr>
      <w:r>
        <w:tab/>
      </w:r>
      <w:r>
        <w:rPr>
          <w:rStyle w:val="FootnoteReference"/>
        </w:rPr>
        <w:footnoteRef/>
      </w:r>
      <w:r>
        <w:tab/>
        <w:t xml:space="preserve">OSBA Statement No. 1 at 4, </w:t>
      </w:r>
      <w:r>
        <w:rPr>
          <w:i/>
        </w:rPr>
        <w:t>citing</w:t>
      </w:r>
      <w:r>
        <w:t xml:space="preserve"> Duquesne Statement No. 2 at 13.</w:t>
      </w:r>
    </w:p>
    <w:p w:rsidR="0084672B" w:rsidRPr="009A36EA" w:rsidRDefault="0084672B" w:rsidP="009A3008">
      <w:pPr>
        <w:pStyle w:val="FootnoteText"/>
      </w:pPr>
    </w:p>
  </w:footnote>
  <w:footnote w:id="52">
    <w:p w:rsidR="0084672B" w:rsidRDefault="0084672B" w:rsidP="00E90FC9">
      <w:pPr>
        <w:pStyle w:val="FootnoteText"/>
      </w:pPr>
      <w:r>
        <w:tab/>
      </w:r>
      <w:r w:rsidRPr="00B40BC3">
        <w:rPr>
          <w:rStyle w:val="FootnoteReference"/>
        </w:rPr>
        <w:footnoteRef/>
      </w:r>
      <w:r w:rsidRPr="00B40BC3">
        <w:t xml:space="preserve"> </w:t>
      </w:r>
      <w:r w:rsidRPr="00B40BC3">
        <w:tab/>
        <w:t>RESA St. No. 1 at 19.</w:t>
      </w:r>
    </w:p>
    <w:p w:rsidR="0084672B" w:rsidRPr="00B40BC3" w:rsidRDefault="0084672B" w:rsidP="00E90FC9">
      <w:pPr>
        <w:pStyle w:val="FootnoteText"/>
      </w:pPr>
    </w:p>
  </w:footnote>
  <w:footnote w:id="53">
    <w:p w:rsidR="0084672B" w:rsidRDefault="0084672B" w:rsidP="00E90FC9">
      <w:pPr>
        <w:pStyle w:val="FootnoteText"/>
      </w:pPr>
      <w:r w:rsidRPr="006917B7">
        <w:tab/>
      </w:r>
      <w:r w:rsidRPr="006917B7">
        <w:rPr>
          <w:rStyle w:val="FootnoteReference"/>
        </w:rPr>
        <w:footnoteRef/>
      </w:r>
      <w:r w:rsidRPr="006917B7">
        <w:t xml:space="preserve"> </w:t>
      </w:r>
      <w:r w:rsidRPr="006917B7">
        <w:tab/>
        <w:t>RESA St. No. 1-R at 6-7.</w:t>
      </w:r>
    </w:p>
    <w:p w:rsidR="0084672B" w:rsidRPr="006917B7" w:rsidRDefault="0084672B" w:rsidP="00E90FC9">
      <w:pPr>
        <w:pStyle w:val="FootnoteText"/>
      </w:pPr>
    </w:p>
  </w:footnote>
  <w:footnote w:id="54">
    <w:p w:rsidR="0084672B" w:rsidRDefault="0084672B" w:rsidP="006917B7">
      <w:pPr>
        <w:pStyle w:val="FootnoteText"/>
      </w:pPr>
      <w:r>
        <w:tab/>
      </w:r>
      <w:r>
        <w:rPr>
          <w:rStyle w:val="FootnoteReference"/>
        </w:rPr>
        <w:footnoteRef/>
      </w:r>
      <w:r>
        <w:t xml:space="preserve"> </w:t>
      </w:r>
      <w:r>
        <w:tab/>
        <w:t>OSBA Statement No. 1 at 6</w:t>
      </w:r>
    </w:p>
  </w:footnote>
  <w:footnote w:id="55">
    <w:p w:rsidR="0084672B" w:rsidRPr="00B40BC3" w:rsidRDefault="0084672B" w:rsidP="00332002">
      <w:pPr>
        <w:pStyle w:val="FootnoteText"/>
      </w:pPr>
      <w:r>
        <w:tab/>
      </w:r>
      <w:r w:rsidRPr="00B40BC3">
        <w:rPr>
          <w:rStyle w:val="FootnoteReference"/>
        </w:rPr>
        <w:footnoteRef/>
      </w:r>
      <w:r w:rsidRPr="00B40BC3">
        <w:t xml:space="preserve"> </w:t>
      </w:r>
      <w:r w:rsidRPr="00B40BC3">
        <w:tab/>
        <w:t>RESA St. No. 1-R at 8.</w:t>
      </w:r>
    </w:p>
  </w:footnote>
  <w:footnote w:id="56">
    <w:p w:rsidR="0084672B" w:rsidRDefault="0084672B" w:rsidP="00332002">
      <w:pPr>
        <w:pStyle w:val="FootnoteText"/>
      </w:pPr>
    </w:p>
    <w:p w:rsidR="0084672B" w:rsidRPr="00B40BC3" w:rsidRDefault="0084672B" w:rsidP="00332002">
      <w:pPr>
        <w:pStyle w:val="FootnoteText"/>
      </w:pPr>
      <w:r>
        <w:tab/>
      </w:r>
      <w:r w:rsidRPr="00B40BC3">
        <w:rPr>
          <w:rStyle w:val="FootnoteReference"/>
        </w:rPr>
        <w:footnoteRef/>
      </w:r>
      <w:r w:rsidRPr="00B40BC3">
        <w:t xml:space="preserve"> </w:t>
      </w:r>
      <w:r w:rsidRPr="00B40BC3">
        <w:tab/>
        <w:t>RESA St. No. 1-R at 8.</w:t>
      </w:r>
    </w:p>
  </w:footnote>
  <w:footnote w:id="57">
    <w:p w:rsidR="0084672B" w:rsidRPr="006917B7" w:rsidRDefault="0084672B" w:rsidP="00332002">
      <w:pPr>
        <w:pStyle w:val="FootnoteText"/>
      </w:pPr>
      <w:r>
        <w:tab/>
      </w:r>
      <w:r w:rsidRPr="006917B7">
        <w:rPr>
          <w:rStyle w:val="FootnoteReference"/>
        </w:rPr>
        <w:footnoteRef/>
      </w:r>
      <w:r w:rsidRPr="006917B7">
        <w:t xml:space="preserve"> </w:t>
      </w:r>
      <w:r w:rsidRPr="006917B7">
        <w:tab/>
      </w:r>
      <w:r w:rsidRPr="006917B7">
        <w:rPr>
          <w:i/>
        </w:rPr>
        <w:t>FirstEnergy Default Service Order</w:t>
      </w:r>
      <w:r w:rsidRPr="006917B7">
        <w:t xml:space="preserve"> at 27-28.</w:t>
      </w:r>
    </w:p>
  </w:footnote>
  <w:footnote w:id="58">
    <w:p w:rsidR="0084672B" w:rsidRDefault="0084672B" w:rsidP="00332002">
      <w:pPr>
        <w:pStyle w:val="FootnoteText"/>
      </w:pPr>
      <w:r>
        <w:tab/>
      </w:r>
      <w:r w:rsidRPr="00257550">
        <w:rPr>
          <w:rStyle w:val="FootnoteReference"/>
        </w:rPr>
        <w:footnoteRef/>
      </w:r>
      <w:r w:rsidRPr="00257550">
        <w:t xml:space="preserve"> </w:t>
      </w:r>
      <w:r w:rsidRPr="00257550">
        <w:tab/>
        <w:t>RESA St. No. 2-SR at 19.</w:t>
      </w:r>
    </w:p>
    <w:p w:rsidR="0084672B" w:rsidRPr="00257550" w:rsidRDefault="0084672B" w:rsidP="00332002">
      <w:pPr>
        <w:pStyle w:val="FootnoteText"/>
      </w:pPr>
    </w:p>
  </w:footnote>
  <w:footnote w:id="59">
    <w:p w:rsidR="0084672B" w:rsidRPr="00257550" w:rsidRDefault="0084672B" w:rsidP="00332002">
      <w:pPr>
        <w:pStyle w:val="FootnoteText"/>
      </w:pPr>
      <w:r>
        <w:tab/>
      </w:r>
      <w:r w:rsidRPr="00257550">
        <w:rPr>
          <w:rStyle w:val="FootnoteReference"/>
        </w:rPr>
        <w:footnoteRef/>
      </w:r>
      <w:r w:rsidRPr="00257550">
        <w:t xml:space="preserve"> </w:t>
      </w:r>
      <w:r w:rsidRPr="00257550">
        <w:tab/>
        <w:t>RESA St. No. 2-SR at 19.</w:t>
      </w:r>
    </w:p>
  </w:footnote>
  <w:footnote w:id="60">
    <w:p w:rsidR="0084672B" w:rsidRDefault="0084672B" w:rsidP="00332002">
      <w:pPr>
        <w:pStyle w:val="FootnoteText"/>
      </w:pPr>
    </w:p>
    <w:p w:rsidR="0084672B" w:rsidRDefault="0084672B" w:rsidP="00332002">
      <w:pPr>
        <w:pStyle w:val="FootnoteText"/>
      </w:pPr>
      <w:r>
        <w:tab/>
      </w:r>
      <w:r w:rsidRPr="00257550">
        <w:rPr>
          <w:rStyle w:val="FootnoteReference"/>
        </w:rPr>
        <w:footnoteRef/>
      </w:r>
      <w:r w:rsidRPr="00257550">
        <w:t xml:space="preserve"> </w:t>
      </w:r>
      <w:r w:rsidRPr="00257550">
        <w:tab/>
        <w:t>RESA St. No. 2-SR at 19.</w:t>
      </w:r>
    </w:p>
    <w:p w:rsidR="0084672B" w:rsidRPr="00257550" w:rsidRDefault="0084672B" w:rsidP="00332002">
      <w:pPr>
        <w:pStyle w:val="FootnoteText"/>
      </w:pPr>
    </w:p>
  </w:footnote>
  <w:footnote w:id="61">
    <w:p w:rsidR="0084672B" w:rsidRDefault="0084672B" w:rsidP="00332002">
      <w:pPr>
        <w:pStyle w:val="FootnoteText"/>
      </w:pPr>
      <w:r>
        <w:tab/>
      </w:r>
      <w:r w:rsidRPr="00257550">
        <w:rPr>
          <w:rStyle w:val="FootnoteReference"/>
        </w:rPr>
        <w:footnoteRef/>
      </w:r>
      <w:r w:rsidRPr="00257550">
        <w:t xml:space="preserve"> </w:t>
      </w:r>
      <w:r w:rsidRPr="00257550">
        <w:tab/>
        <w:t>RESA St. No. 2-SR at 20-21.</w:t>
      </w:r>
    </w:p>
    <w:p w:rsidR="0084672B" w:rsidRPr="00257550" w:rsidRDefault="0084672B" w:rsidP="00332002">
      <w:pPr>
        <w:pStyle w:val="FootnoteText"/>
      </w:pPr>
    </w:p>
  </w:footnote>
  <w:footnote w:id="62">
    <w:p w:rsidR="0084672B" w:rsidRDefault="0084672B" w:rsidP="00332002">
      <w:pPr>
        <w:pStyle w:val="FootnoteText"/>
      </w:pPr>
      <w:r>
        <w:tab/>
      </w:r>
      <w:r w:rsidRPr="00257550">
        <w:rPr>
          <w:rStyle w:val="FootnoteReference"/>
        </w:rPr>
        <w:footnoteRef/>
      </w:r>
      <w:r w:rsidRPr="00257550">
        <w:t xml:space="preserve"> </w:t>
      </w:r>
      <w:r w:rsidRPr="00257550">
        <w:tab/>
        <w:t>RESA St. No. 2-SR at 21.</w:t>
      </w:r>
    </w:p>
    <w:p w:rsidR="0084672B" w:rsidRPr="00257550" w:rsidRDefault="0084672B" w:rsidP="00332002">
      <w:pPr>
        <w:pStyle w:val="FootnoteText"/>
      </w:pPr>
    </w:p>
  </w:footnote>
  <w:footnote w:id="63">
    <w:p w:rsidR="0084672B" w:rsidRPr="00257550" w:rsidRDefault="0084672B" w:rsidP="00332002">
      <w:pPr>
        <w:pStyle w:val="FootnoteText"/>
      </w:pPr>
      <w:r w:rsidRPr="00257550">
        <w:tab/>
      </w:r>
      <w:r w:rsidRPr="00257550">
        <w:rPr>
          <w:rStyle w:val="FootnoteReference"/>
        </w:rPr>
        <w:footnoteRef/>
      </w:r>
      <w:r w:rsidRPr="00257550">
        <w:t xml:space="preserve"> </w:t>
      </w:r>
      <w:r w:rsidRPr="00257550">
        <w:tab/>
        <w:t>RESA St. No. 2-SR at 21-22.</w:t>
      </w:r>
    </w:p>
  </w:footnote>
  <w:footnote w:id="64">
    <w:p w:rsidR="0084672B" w:rsidRDefault="0084672B" w:rsidP="00AE5B46">
      <w:pPr>
        <w:pStyle w:val="FootnoteText"/>
      </w:pPr>
    </w:p>
    <w:p w:rsidR="0084672B" w:rsidRDefault="0084672B" w:rsidP="00AE5B46">
      <w:pPr>
        <w:pStyle w:val="FootnoteText"/>
      </w:pPr>
      <w:r>
        <w:tab/>
      </w:r>
      <w:r>
        <w:rPr>
          <w:rStyle w:val="FootnoteReference"/>
        </w:rPr>
        <w:footnoteRef/>
      </w:r>
      <w:r>
        <w:t xml:space="preserve"> </w:t>
      </w:r>
      <w:r>
        <w:tab/>
        <w:t>Duquesne Statement No. 3-R at 9-10; OCA Statement No. 2 at 7.</w:t>
      </w:r>
    </w:p>
    <w:p w:rsidR="0084672B" w:rsidRDefault="0084672B" w:rsidP="00AE5B46">
      <w:pPr>
        <w:pStyle w:val="FootnoteText"/>
      </w:pPr>
    </w:p>
  </w:footnote>
  <w:footnote w:id="65">
    <w:p w:rsidR="0084672B" w:rsidRDefault="0084672B" w:rsidP="00AE5B46">
      <w:pPr>
        <w:pStyle w:val="FootnoteText"/>
      </w:pPr>
      <w:r>
        <w:tab/>
      </w:r>
      <w:r>
        <w:rPr>
          <w:rStyle w:val="FootnoteReference"/>
        </w:rPr>
        <w:footnoteRef/>
      </w:r>
      <w:r>
        <w:t xml:space="preserve"> </w:t>
      </w:r>
      <w:r>
        <w:tab/>
      </w:r>
      <w:r>
        <w:rPr>
          <w:u w:val="single"/>
        </w:rPr>
        <w:t>See</w:t>
      </w:r>
      <w:r>
        <w:t xml:space="preserve"> 66 Pa. C.S.</w:t>
      </w:r>
      <w:r w:rsidR="004549DF">
        <w:t>A.</w:t>
      </w:r>
      <w:r>
        <w:t xml:space="preserve"> §2802(9).</w:t>
      </w:r>
    </w:p>
  </w:footnote>
  <w:footnote w:id="66">
    <w:p w:rsidR="0084672B" w:rsidRDefault="0084672B">
      <w:pPr>
        <w:pStyle w:val="FootnoteText"/>
      </w:pPr>
      <w:r>
        <w:tab/>
      </w:r>
      <w:r>
        <w:rPr>
          <w:rStyle w:val="FootnoteReference"/>
        </w:rPr>
        <w:footnoteRef/>
      </w:r>
      <w:r>
        <w:t xml:space="preserve"> </w:t>
      </w:r>
      <w:r>
        <w:tab/>
        <w:t xml:space="preserve">OCA St. 2 at 7.  </w:t>
      </w:r>
    </w:p>
  </w:footnote>
  <w:footnote w:id="67">
    <w:p w:rsidR="0084672B" w:rsidRPr="005310C0" w:rsidRDefault="0084672B" w:rsidP="007030D8">
      <w:pPr>
        <w:pStyle w:val="FootnoteText"/>
      </w:pPr>
      <w:r>
        <w:rPr>
          <w:sz w:val="22"/>
          <w:szCs w:val="22"/>
        </w:rPr>
        <w:tab/>
      </w:r>
      <w:r>
        <w:rPr>
          <w:rStyle w:val="FootnoteReference"/>
          <w:sz w:val="22"/>
          <w:szCs w:val="22"/>
        </w:rPr>
        <w:footnoteRef/>
      </w:r>
      <w:r>
        <w:rPr>
          <w:sz w:val="22"/>
          <w:szCs w:val="22"/>
        </w:rPr>
        <w:t xml:space="preserve"> </w:t>
      </w:r>
      <w:r>
        <w:rPr>
          <w:sz w:val="22"/>
          <w:szCs w:val="22"/>
        </w:rPr>
        <w:tab/>
      </w:r>
      <w:r w:rsidRPr="005310C0">
        <w:t>Customers that sign up for the ROI Program in June 2013 commence opt-in service at their next meter reading, which may be in June or July 2013 and run for 12 months.  Therefore, there is no guaranteed savings after June 1, 2014, when the PTC will change to reflect the annual procurements for default service commencing June 1, 2014.</w:t>
      </w:r>
    </w:p>
  </w:footnote>
  <w:footnote w:id="68">
    <w:p w:rsidR="0084672B" w:rsidRPr="00332002" w:rsidRDefault="0084672B" w:rsidP="00332002">
      <w:pPr>
        <w:pStyle w:val="FootnoteText"/>
      </w:pPr>
      <w:r>
        <w:tab/>
      </w:r>
      <w:r w:rsidRPr="00332002">
        <w:rPr>
          <w:rStyle w:val="FootnoteReference"/>
        </w:rPr>
        <w:footnoteRef/>
      </w:r>
      <w:r w:rsidRPr="00332002">
        <w:t xml:space="preserve"> </w:t>
      </w:r>
      <w:r w:rsidRPr="00332002">
        <w:tab/>
        <w:t>Duquesne St. No. 3 at 14.</w:t>
      </w:r>
    </w:p>
  </w:footnote>
  <w:footnote w:id="69">
    <w:p w:rsidR="0084672B" w:rsidRDefault="0084672B" w:rsidP="00332002">
      <w:pPr>
        <w:pStyle w:val="FootnoteText"/>
      </w:pPr>
      <w:r>
        <w:tab/>
      </w:r>
      <w:r w:rsidRPr="00332002">
        <w:rPr>
          <w:rStyle w:val="FootnoteReference"/>
        </w:rPr>
        <w:footnoteRef/>
      </w:r>
      <w:r w:rsidRPr="00332002">
        <w:t xml:space="preserve"> </w:t>
      </w:r>
      <w:r w:rsidRPr="00332002">
        <w:tab/>
        <w:t>RESA St. No. 2-R at 8.</w:t>
      </w:r>
    </w:p>
    <w:p w:rsidR="0084672B" w:rsidRPr="00332002" w:rsidRDefault="0084672B" w:rsidP="00332002">
      <w:pPr>
        <w:pStyle w:val="FootnoteText"/>
      </w:pPr>
      <w:r>
        <w:tab/>
      </w:r>
    </w:p>
  </w:footnote>
  <w:footnote w:id="70">
    <w:p w:rsidR="0084672B" w:rsidRDefault="0084672B" w:rsidP="00332002">
      <w:pPr>
        <w:pStyle w:val="FootnoteText"/>
      </w:pPr>
      <w:r>
        <w:tab/>
      </w:r>
      <w:r w:rsidRPr="00332002">
        <w:rPr>
          <w:rStyle w:val="FootnoteReference"/>
        </w:rPr>
        <w:footnoteRef/>
      </w:r>
      <w:r w:rsidRPr="00332002">
        <w:t xml:space="preserve"> </w:t>
      </w:r>
      <w:r w:rsidRPr="00332002">
        <w:tab/>
        <w:t>RESA St. No. 2-R at 8.</w:t>
      </w:r>
    </w:p>
    <w:p w:rsidR="0084672B" w:rsidRPr="00332002" w:rsidRDefault="0084672B" w:rsidP="00332002">
      <w:pPr>
        <w:pStyle w:val="FootnoteText"/>
      </w:pPr>
    </w:p>
  </w:footnote>
  <w:footnote w:id="71">
    <w:p w:rsidR="0084672B" w:rsidRDefault="0084672B" w:rsidP="00332002">
      <w:pPr>
        <w:pStyle w:val="FootnoteText"/>
      </w:pPr>
      <w:r>
        <w:tab/>
      </w:r>
      <w:r w:rsidRPr="00332002">
        <w:rPr>
          <w:rStyle w:val="FootnoteReference"/>
        </w:rPr>
        <w:footnoteRef/>
      </w:r>
      <w:r w:rsidRPr="00332002">
        <w:t xml:space="preserve"> </w:t>
      </w:r>
      <w:r w:rsidRPr="00332002">
        <w:tab/>
        <w:t>RESA St. No. 2-R at 8-9.</w:t>
      </w:r>
    </w:p>
    <w:p w:rsidR="0084672B" w:rsidRPr="00332002" w:rsidRDefault="0084672B" w:rsidP="00332002">
      <w:pPr>
        <w:pStyle w:val="FootnoteText"/>
      </w:pPr>
    </w:p>
  </w:footnote>
  <w:footnote w:id="72">
    <w:p w:rsidR="0084672B" w:rsidRDefault="0084672B" w:rsidP="00332002">
      <w:pPr>
        <w:pStyle w:val="FootnoteText"/>
      </w:pPr>
      <w:r>
        <w:tab/>
      </w:r>
      <w:r w:rsidRPr="00332002">
        <w:rPr>
          <w:rStyle w:val="FootnoteReference"/>
        </w:rPr>
        <w:footnoteRef/>
      </w:r>
      <w:r w:rsidRPr="00332002">
        <w:t xml:space="preserve"> </w:t>
      </w:r>
      <w:r w:rsidRPr="00332002">
        <w:tab/>
        <w:t>RESA St. No. 2-SR at 19.</w:t>
      </w:r>
    </w:p>
    <w:p w:rsidR="0084672B" w:rsidRPr="00332002" w:rsidRDefault="0084672B" w:rsidP="00332002">
      <w:pPr>
        <w:pStyle w:val="FootnoteText"/>
      </w:pPr>
    </w:p>
  </w:footnote>
  <w:footnote w:id="73">
    <w:p w:rsidR="0084672B" w:rsidRDefault="0084672B" w:rsidP="00332002">
      <w:pPr>
        <w:pStyle w:val="FootnoteText"/>
      </w:pPr>
      <w:r>
        <w:tab/>
      </w:r>
      <w:r w:rsidRPr="00332002">
        <w:rPr>
          <w:rStyle w:val="FootnoteReference"/>
        </w:rPr>
        <w:footnoteRef/>
      </w:r>
      <w:r w:rsidRPr="00332002">
        <w:t xml:space="preserve"> </w:t>
      </w:r>
      <w:r w:rsidRPr="00332002">
        <w:tab/>
        <w:t xml:space="preserve">RESA St. No. 2-SR at 19.  RESA does not support OCA’s proposal that savings versus the default service price should be guaranteed throughout a 12-month term regardless of the pricing regime that is adopted for default service.  OCA’s proposal places undue risk on the EGS.  RESA St. No. 2-R at 2-3. </w:t>
      </w:r>
    </w:p>
    <w:p w:rsidR="0084672B" w:rsidRPr="00332002" w:rsidRDefault="0084672B" w:rsidP="00332002">
      <w:pPr>
        <w:pStyle w:val="FootnoteText"/>
      </w:pPr>
    </w:p>
  </w:footnote>
  <w:footnote w:id="74">
    <w:p w:rsidR="0084672B" w:rsidRDefault="0084672B" w:rsidP="00332002">
      <w:pPr>
        <w:pStyle w:val="FootnoteText"/>
      </w:pPr>
      <w:r>
        <w:tab/>
      </w:r>
      <w:r w:rsidRPr="00332002">
        <w:rPr>
          <w:rStyle w:val="FootnoteReference"/>
        </w:rPr>
        <w:footnoteRef/>
      </w:r>
      <w:r w:rsidRPr="00332002">
        <w:t xml:space="preserve"> </w:t>
      </w:r>
      <w:r w:rsidRPr="00332002">
        <w:tab/>
        <w:t>RESA St. No. 2-SR at 18.</w:t>
      </w:r>
    </w:p>
    <w:p w:rsidR="0084672B" w:rsidRPr="00332002" w:rsidRDefault="0084672B" w:rsidP="00332002">
      <w:pPr>
        <w:pStyle w:val="FootnoteText"/>
      </w:pPr>
    </w:p>
  </w:footnote>
  <w:footnote w:id="75">
    <w:p w:rsidR="0084672B" w:rsidRDefault="0084672B" w:rsidP="00332002">
      <w:pPr>
        <w:pStyle w:val="FootnoteText"/>
      </w:pPr>
      <w:r>
        <w:tab/>
      </w:r>
      <w:r w:rsidRPr="00332002">
        <w:rPr>
          <w:rStyle w:val="FootnoteReference"/>
        </w:rPr>
        <w:footnoteRef/>
      </w:r>
      <w:r w:rsidRPr="00332002">
        <w:t xml:space="preserve"> </w:t>
      </w:r>
      <w:r w:rsidRPr="00332002">
        <w:tab/>
        <w:t>RESA St. No. 2-SR at 18.</w:t>
      </w:r>
    </w:p>
    <w:p w:rsidR="0084672B" w:rsidRDefault="0084672B" w:rsidP="00332002">
      <w:pPr>
        <w:pStyle w:val="FootnoteText"/>
        <w:rPr>
          <w:sz w:val="24"/>
        </w:rPr>
      </w:pPr>
    </w:p>
  </w:footnote>
  <w:footnote w:id="76">
    <w:p w:rsidR="0084672B" w:rsidRDefault="0084672B" w:rsidP="00433E69">
      <w:pPr>
        <w:pStyle w:val="FootnoteText"/>
      </w:pPr>
      <w:r>
        <w:tab/>
      </w:r>
      <w:r>
        <w:rPr>
          <w:rStyle w:val="FootnoteReference"/>
        </w:rPr>
        <w:footnoteRef/>
      </w:r>
      <w:r>
        <w:t xml:space="preserve"> </w:t>
      </w:r>
      <w:r>
        <w:tab/>
        <w:t>Duquesne Statement No. 3-RJ at 3.</w:t>
      </w:r>
    </w:p>
    <w:p w:rsidR="004E2F83" w:rsidRDefault="004E2F83" w:rsidP="00433E69">
      <w:pPr>
        <w:pStyle w:val="FootnoteText"/>
      </w:pPr>
    </w:p>
  </w:footnote>
  <w:footnote w:id="77">
    <w:p w:rsidR="0084672B" w:rsidRDefault="0084672B" w:rsidP="00433E69">
      <w:pPr>
        <w:pStyle w:val="FootnoteText"/>
      </w:pPr>
      <w:r>
        <w:tab/>
      </w:r>
      <w:r>
        <w:rPr>
          <w:rStyle w:val="FootnoteReference"/>
        </w:rPr>
        <w:footnoteRef/>
      </w:r>
      <w:r>
        <w:t xml:space="preserve"> </w:t>
      </w:r>
      <w:r>
        <w:tab/>
        <w:t xml:space="preserve">It likely does not matter whether the design proposed by Duquesne is adopted with an “auction” or an “aggregation.”  So long as the product is opt-in, guarantees 5% off the PTC for 12-months, pays participating customers $50 after three months participation, and had no cancellation fees during the term of the program. </w:t>
      </w:r>
    </w:p>
  </w:footnote>
  <w:footnote w:id="78">
    <w:p w:rsidR="0084672B" w:rsidRDefault="0084672B" w:rsidP="00332002">
      <w:pPr>
        <w:pStyle w:val="FootnoteText"/>
      </w:pPr>
      <w:r>
        <w:tab/>
      </w:r>
      <w:r w:rsidRPr="002E5363">
        <w:rPr>
          <w:rStyle w:val="FootnoteReference"/>
        </w:rPr>
        <w:footnoteRef/>
      </w:r>
      <w:r w:rsidRPr="002E5363">
        <w:t xml:space="preserve"> </w:t>
      </w:r>
      <w:r w:rsidRPr="002E5363">
        <w:tab/>
      </w:r>
      <w:r w:rsidRPr="002E5363">
        <w:rPr>
          <w:i/>
        </w:rPr>
        <w:t>FirstEnergy Default Service Order</w:t>
      </w:r>
      <w:r w:rsidRPr="002E5363">
        <w:t xml:space="preserve"> at 131.</w:t>
      </w:r>
    </w:p>
    <w:p w:rsidR="004E2F83" w:rsidRPr="002E5363" w:rsidRDefault="004E2F83" w:rsidP="00332002">
      <w:pPr>
        <w:pStyle w:val="FootnoteText"/>
      </w:pPr>
    </w:p>
  </w:footnote>
  <w:footnote w:id="79">
    <w:p w:rsidR="0084672B" w:rsidRPr="002E5363" w:rsidRDefault="0084672B" w:rsidP="00332002">
      <w:pPr>
        <w:pStyle w:val="FootnoteText"/>
      </w:pPr>
      <w:r>
        <w:tab/>
      </w:r>
      <w:r w:rsidRPr="002E5363">
        <w:rPr>
          <w:rStyle w:val="FootnoteReference"/>
        </w:rPr>
        <w:footnoteRef/>
      </w:r>
      <w:r w:rsidRPr="002E5363">
        <w:t xml:space="preserve"> </w:t>
      </w:r>
      <w:r w:rsidRPr="002E5363">
        <w:tab/>
        <w:t>RESA St. No. 2-SR at 21-22.</w:t>
      </w:r>
    </w:p>
  </w:footnote>
  <w:footnote w:id="80">
    <w:p w:rsidR="0084672B" w:rsidRDefault="0084672B" w:rsidP="00332002">
      <w:pPr>
        <w:pStyle w:val="FootnoteText"/>
      </w:pPr>
    </w:p>
    <w:p w:rsidR="0084672B" w:rsidRPr="002E5363" w:rsidRDefault="0084672B" w:rsidP="00332002">
      <w:pPr>
        <w:pStyle w:val="FootnoteText"/>
      </w:pPr>
      <w:r>
        <w:tab/>
      </w:r>
      <w:r w:rsidRPr="002E5363">
        <w:rPr>
          <w:rStyle w:val="FootnoteReference"/>
        </w:rPr>
        <w:footnoteRef/>
      </w:r>
      <w:r w:rsidRPr="002E5363">
        <w:t xml:space="preserve"> </w:t>
      </w:r>
      <w:r w:rsidRPr="002E5363">
        <w:tab/>
        <w:t>RESA St. No. 2-SR at 22.</w:t>
      </w:r>
    </w:p>
  </w:footnote>
  <w:footnote w:id="81">
    <w:p w:rsidR="0084672B" w:rsidRPr="0017234C" w:rsidRDefault="0084672B" w:rsidP="00085C3A">
      <w:pPr>
        <w:pStyle w:val="FootnoteText"/>
      </w:pPr>
      <w:r>
        <w:tab/>
      </w:r>
      <w:r w:rsidRPr="0017234C">
        <w:rPr>
          <w:rStyle w:val="FootnoteReference"/>
        </w:rPr>
        <w:footnoteRef/>
      </w:r>
      <w:r w:rsidRPr="0017234C">
        <w:t xml:space="preserve"> </w:t>
      </w:r>
      <w:r w:rsidRPr="0017234C">
        <w:tab/>
      </w:r>
      <w:r w:rsidRPr="0017234C">
        <w:rPr>
          <w:i/>
        </w:rPr>
        <w:t>FirstEnergy Default Service Order</w:t>
      </w:r>
      <w:r w:rsidRPr="0017234C">
        <w:t xml:space="preserve"> at 108-109, 117-118, 121.</w:t>
      </w:r>
    </w:p>
  </w:footnote>
  <w:footnote w:id="82">
    <w:p w:rsidR="0084672B" w:rsidRDefault="0084672B" w:rsidP="00085C3A">
      <w:pPr>
        <w:pStyle w:val="FootnoteText"/>
      </w:pPr>
    </w:p>
    <w:p w:rsidR="0084672B" w:rsidRPr="0017234C" w:rsidRDefault="0084672B" w:rsidP="00085C3A">
      <w:pPr>
        <w:pStyle w:val="FootnoteText"/>
      </w:pPr>
      <w:r>
        <w:tab/>
      </w:r>
      <w:r w:rsidRPr="0017234C">
        <w:rPr>
          <w:rStyle w:val="FootnoteReference"/>
        </w:rPr>
        <w:footnoteRef/>
      </w:r>
      <w:r w:rsidRPr="0017234C">
        <w:t xml:space="preserve"> </w:t>
      </w:r>
      <w:r w:rsidRPr="0017234C">
        <w:tab/>
        <w:t>Duquesne St. No. 3-RJ at 4.</w:t>
      </w:r>
    </w:p>
  </w:footnote>
  <w:footnote w:id="83">
    <w:p w:rsidR="0084672B" w:rsidRDefault="0084672B" w:rsidP="00085C3A">
      <w:pPr>
        <w:pStyle w:val="FootnoteText"/>
      </w:pPr>
    </w:p>
    <w:p w:rsidR="0084672B" w:rsidRDefault="0084672B" w:rsidP="00085C3A">
      <w:pPr>
        <w:pStyle w:val="FootnoteText"/>
      </w:pPr>
      <w:r>
        <w:tab/>
      </w:r>
      <w:r w:rsidRPr="0017234C">
        <w:rPr>
          <w:rStyle w:val="FootnoteReference"/>
        </w:rPr>
        <w:footnoteRef/>
      </w:r>
      <w:r w:rsidRPr="0017234C">
        <w:t xml:space="preserve"> </w:t>
      </w:r>
      <w:r w:rsidRPr="0017234C">
        <w:tab/>
        <w:t>FirstEnergy Default Service Order at 118-121.</w:t>
      </w:r>
    </w:p>
    <w:p w:rsidR="0084672B" w:rsidRPr="0017234C" w:rsidRDefault="0084672B" w:rsidP="00085C3A">
      <w:pPr>
        <w:pStyle w:val="FootnoteText"/>
      </w:pPr>
    </w:p>
  </w:footnote>
  <w:footnote w:id="84">
    <w:p w:rsidR="0084672B" w:rsidRPr="0017234C" w:rsidRDefault="0084672B" w:rsidP="00085C3A">
      <w:pPr>
        <w:pStyle w:val="FootnoteText"/>
      </w:pPr>
      <w:r>
        <w:tab/>
      </w:r>
      <w:r w:rsidRPr="0017234C">
        <w:rPr>
          <w:rStyle w:val="FootnoteReference"/>
        </w:rPr>
        <w:footnoteRef/>
      </w:r>
      <w:r w:rsidRPr="0017234C">
        <w:t xml:space="preserve"> </w:t>
      </w:r>
      <w:r w:rsidRPr="0017234C">
        <w:tab/>
        <w:t>RESA St. No. 2-SR at 19.</w:t>
      </w:r>
    </w:p>
  </w:footnote>
  <w:footnote w:id="85">
    <w:p w:rsidR="0084672B" w:rsidRDefault="0084672B" w:rsidP="00085C3A">
      <w:pPr>
        <w:pStyle w:val="FootnoteText"/>
      </w:pPr>
      <w:r>
        <w:tab/>
      </w:r>
      <w:r w:rsidRPr="0017234C">
        <w:rPr>
          <w:rStyle w:val="FootnoteReference"/>
        </w:rPr>
        <w:footnoteRef/>
      </w:r>
      <w:r w:rsidRPr="0017234C">
        <w:t xml:space="preserve"> </w:t>
      </w:r>
      <w:r w:rsidRPr="0017234C">
        <w:tab/>
        <w:t xml:space="preserve">RESA St. No. 2-SR at 22.  </w:t>
      </w:r>
    </w:p>
    <w:p w:rsidR="0084672B" w:rsidRPr="0017234C" w:rsidRDefault="0084672B" w:rsidP="00085C3A">
      <w:pPr>
        <w:pStyle w:val="FootnoteText"/>
      </w:pPr>
      <w:r w:rsidRPr="0017234C">
        <w:t xml:space="preserve">    </w:t>
      </w:r>
    </w:p>
  </w:footnote>
  <w:footnote w:id="86">
    <w:p w:rsidR="0084672B" w:rsidRPr="0017234C" w:rsidRDefault="0084672B" w:rsidP="00085C3A">
      <w:pPr>
        <w:pStyle w:val="FootnoteText"/>
      </w:pPr>
      <w:r>
        <w:tab/>
      </w:r>
      <w:r w:rsidRPr="0017234C">
        <w:rPr>
          <w:rStyle w:val="FootnoteReference"/>
        </w:rPr>
        <w:footnoteRef/>
      </w:r>
      <w:r w:rsidRPr="0017234C">
        <w:t xml:space="preserve"> </w:t>
      </w:r>
      <w:r w:rsidRPr="0017234C">
        <w:tab/>
        <w:t>RESA St. No. 2-SR at 8-9.</w:t>
      </w:r>
    </w:p>
  </w:footnote>
  <w:footnote w:id="87">
    <w:p w:rsidR="0084672B" w:rsidRPr="00D872C4" w:rsidRDefault="0084672B" w:rsidP="00442F0C">
      <w:pPr>
        <w:pStyle w:val="FootnoteText"/>
        <w:jc w:val="both"/>
      </w:pPr>
      <w:r>
        <w:tab/>
      </w:r>
      <w:r w:rsidRPr="00D872C4">
        <w:rPr>
          <w:rStyle w:val="FootnoteReference"/>
        </w:rPr>
        <w:footnoteRef/>
      </w:r>
      <w:r w:rsidRPr="00D872C4">
        <w:t xml:space="preserve"> </w:t>
      </w:r>
      <w:r>
        <w:tab/>
      </w:r>
      <w:r w:rsidRPr="00D872C4">
        <w:t xml:space="preserve">CAP customer participation is addressed in subsection C.4, </w:t>
      </w:r>
      <w:r w:rsidRPr="00D872C4">
        <w:rPr>
          <w:i/>
        </w:rPr>
        <w:t>supra</w:t>
      </w:r>
      <w:r w:rsidRPr="00D872C4">
        <w:t>.</w:t>
      </w:r>
    </w:p>
  </w:footnote>
  <w:footnote w:id="88">
    <w:p w:rsidR="0084672B" w:rsidRDefault="0084672B" w:rsidP="00442F0C">
      <w:pPr>
        <w:pStyle w:val="FootnoteText"/>
        <w:jc w:val="both"/>
      </w:pPr>
    </w:p>
    <w:p w:rsidR="0084672B" w:rsidRPr="00D872C4" w:rsidRDefault="0084672B" w:rsidP="00590C78">
      <w:pPr>
        <w:pStyle w:val="FootnoteText"/>
      </w:pPr>
      <w:r>
        <w:tab/>
      </w:r>
      <w:r w:rsidRPr="00D872C4">
        <w:rPr>
          <w:rStyle w:val="FootnoteReference"/>
        </w:rPr>
        <w:footnoteRef/>
      </w:r>
      <w:r w:rsidRPr="00D872C4">
        <w:t xml:space="preserve"> </w:t>
      </w:r>
      <w:r>
        <w:tab/>
      </w:r>
      <w:r w:rsidRPr="00D872C4">
        <w:t xml:space="preserve">RESA </w:t>
      </w:r>
      <w:r>
        <w:t>interpreted</w:t>
      </w:r>
      <w:r w:rsidRPr="00D872C4">
        <w:t xml:space="preserve"> Duquesne Light</w:t>
      </w:r>
      <w:r>
        <w:t>’s proposal as</w:t>
      </w:r>
      <w:r w:rsidRPr="00D872C4">
        <w:t xml:space="preserve"> proposing to send the offer letter to only 50% of default service customers and allow only 50% of those customers to enroll.  RESA St. No. 2, p. 10.  Mr. Neil Fisher explained RESA misunderstood the Company’s position </w:t>
      </w:r>
      <w:r>
        <w:t>because</w:t>
      </w:r>
      <w:r w:rsidRPr="00D872C4">
        <w:t xml:space="preserve"> all default service customers </w:t>
      </w:r>
      <w:r>
        <w:t xml:space="preserve">– </w:t>
      </w:r>
      <w:r w:rsidRPr="00D872C4">
        <w:t xml:space="preserve">other than those identified in the text </w:t>
      </w:r>
      <w:r>
        <w:t xml:space="preserve">– </w:t>
      </w:r>
      <w:r w:rsidRPr="00D872C4">
        <w:t>would receive the offer and a customer participation cap of 50% would be applied to this group.  Duquesne Light St. No. 3-R, pp. 20-21.  RESA confirmed there is no remaining issue on the customer participation cap.  RESA St. No. 2-SR, p. 6.</w:t>
      </w:r>
    </w:p>
  </w:footnote>
  <w:footnote w:id="89">
    <w:p w:rsidR="0084672B" w:rsidRPr="00C359E9" w:rsidRDefault="0084672B" w:rsidP="00085C3A">
      <w:pPr>
        <w:pStyle w:val="FootnoteText"/>
      </w:pPr>
      <w:r>
        <w:tab/>
      </w:r>
      <w:r w:rsidRPr="00C359E9">
        <w:rPr>
          <w:rStyle w:val="FootnoteReference"/>
        </w:rPr>
        <w:footnoteRef/>
      </w:r>
      <w:r w:rsidRPr="00C359E9">
        <w:t xml:space="preserve"> </w:t>
      </w:r>
      <w:r w:rsidRPr="00C359E9">
        <w:tab/>
        <w:t>RESA St. No. 2-R at 5.</w:t>
      </w:r>
    </w:p>
  </w:footnote>
  <w:footnote w:id="90">
    <w:p w:rsidR="0084672B" w:rsidRDefault="0084672B" w:rsidP="00085C3A">
      <w:pPr>
        <w:pStyle w:val="FootnoteText"/>
      </w:pPr>
      <w:r>
        <w:tab/>
      </w:r>
      <w:r w:rsidRPr="00C359E9">
        <w:rPr>
          <w:rStyle w:val="FootnoteReference"/>
        </w:rPr>
        <w:footnoteRef/>
      </w:r>
      <w:r w:rsidRPr="00C359E9">
        <w:t xml:space="preserve"> </w:t>
      </w:r>
      <w:r w:rsidRPr="00C359E9">
        <w:tab/>
      </w:r>
      <w:r w:rsidRPr="00C359E9">
        <w:rPr>
          <w:i/>
        </w:rPr>
        <w:t>FirstEnergy Default Service Order</w:t>
      </w:r>
      <w:r w:rsidRPr="00C359E9">
        <w:t xml:space="preserve"> at 24-26.</w:t>
      </w:r>
    </w:p>
    <w:p w:rsidR="0084672B" w:rsidRPr="00C359E9" w:rsidRDefault="0084672B" w:rsidP="00085C3A">
      <w:pPr>
        <w:pStyle w:val="FootnoteText"/>
      </w:pPr>
    </w:p>
  </w:footnote>
  <w:footnote w:id="91">
    <w:p w:rsidR="0084672B" w:rsidRDefault="0084672B" w:rsidP="00085C3A">
      <w:pPr>
        <w:pStyle w:val="FootnoteText"/>
      </w:pPr>
      <w:r>
        <w:tab/>
      </w:r>
      <w:r w:rsidRPr="00C359E9">
        <w:rPr>
          <w:rStyle w:val="FootnoteReference"/>
        </w:rPr>
        <w:footnoteRef/>
      </w:r>
      <w:r w:rsidRPr="00C359E9">
        <w:t xml:space="preserve"> </w:t>
      </w:r>
      <w:r w:rsidRPr="00C359E9">
        <w:tab/>
        <w:t>RESA St. No. 2-R at 8.</w:t>
      </w:r>
    </w:p>
    <w:p w:rsidR="0084672B" w:rsidRPr="00C359E9" w:rsidRDefault="0084672B" w:rsidP="00085C3A">
      <w:pPr>
        <w:pStyle w:val="FootnoteText"/>
      </w:pPr>
    </w:p>
  </w:footnote>
  <w:footnote w:id="92">
    <w:p w:rsidR="0084672B" w:rsidRPr="00C359E9" w:rsidRDefault="0084672B" w:rsidP="00085C3A">
      <w:pPr>
        <w:pStyle w:val="FootnoteText"/>
      </w:pPr>
      <w:r>
        <w:tab/>
      </w:r>
      <w:r w:rsidRPr="00C359E9">
        <w:rPr>
          <w:rStyle w:val="FootnoteReference"/>
        </w:rPr>
        <w:footnoteRef/>
      </w:r>
      <w:r w:rsidRPr="00C359E9">
        <w:t xml:space="preserve"> </w:t>
      </w:r>
      <w:r w:rsidRPr="00C359E9">
        <w:tab/>
        <w:t>RESA St. No. 2-R at 5-6.</w:t>
      </w:r>
    </w:p>
  </w:footnote>
  <w:footnote w:id="93">
    <w:p w:rsidR="00E71C1C" w:rsidRDefault="00E71C1C" w:rsidP="00E71C1C">
      <w:pPr>
        <w:pStyle w:val="FootnoteText"/>
      </w:pPr>
      <w:r w:rsidRPr="00433E69">
        <w:rPr>
          <w:sz w:val="22"/>
          <w:szCs w:val="22"/>
        </w:rPr>
        <w:tab/>
      </w:r>
      <w:r w:rsidRPr="009D1F55">
        <w:rPr>
          <w:rStyle w:val="FootnoteReference"/>
        </w:rPr>
        <w:footnoteRef/>
      </w:r>
      <w:r w:rsidRPr="009D1F55">
        <w:t xml:space="preserve"> </w:t>
      </w:r>
      <w:r w:rsidRPr="009D1F55">
        <w:tab/>
        <w:t>Duquesne St. No. 3 at 4, 21.</w:t>
      </w:r>
    </w:p>
    <w:p w:rsidR="00E71C1C" w:rsidRPr="009D1F55" w:rsidRDefault="00E71C1C" w:rsidP="00E71C1C">
      <w:pPr>
        <w:pStyle w:val="FootnoteText"/>
      </w:pPr>
    </w:p>
  </w:footnote>
  <w:footnote w:id="94">
    <w:p w:rsidR="00E71C1C" w:rsidRPr="009D1F55" w:rsidRDefault="00E71C1C" w:rsidP="00E71C1C">
      <w:pPr>
        <w:pStyle w:val="FootnoteText"/>
      </w:pPr>
      <w:r w:rsidRPr="009D1F55">
        <w:tab/>
      </w:r>
      <w:r w:rsidRPr="009D1F55">
        <w:rPr>
          <w:rStyle w:val="FootnoteReference"/>
        </w:rPr>
        <w:footnoteRef/>
      </w:r>
      <w:r w:rsidRPr="009D1F55">
        <w:t xml:space="preserve"> </w:t>
      </w:r>
      <w:r w:rsidRPr="009D1F55">
        <w:tab/>
      </w:r>
      <w:r w:rsidRPr="009D1F55">
        <w:rPr>
          <w:i/>
        </w:rPr>
        <w:t>FirstEnergy Default Service Order</w:t>
      </w:r>
      <w:r w:rsidRPr="009D1F55">
        <w:t xml:space="preserve"> at 115.</w:t>
      </w:r>
    </w:p>
  </w:footnote>
  <w:footnote w:id="95">
    <w:p w:rsidR="00E71C1C" w:rsidRPr="009D1F55" w:rsidRDefault="00E71C1C" w:rsidP="00E71C1C">
      <w:pPr>
        <w:pStyle w:val="FootnoteText"/>
      </w:pPr>
    </w:p>
    <w:p w:rsidR="00E71C1C" w:rsidRPr="009D1F55" w:rsidRDefault="00E71C1C" w:rsidP="00E71C1C">
      <w:pPr>
        <w:pStyle w:val="FootnoteText"/>
      </w:pPr>
      <w:r w:rsidRPr="009D1F55">
        <w:tab/>
      </w:r>
      <w:r w:rsidRPr="009D1F55">
        <w:rPr>
          <w:rStyle w:val="FootnoteReference"/>
        </w:rPr>
        <w:footnoteRef/>
      </w:r>
      <w:r w:rsidRPr="009D1F55">
        <w:t xml:space="preserve"> </w:t>
      </w:r>
      <w:r w:rsidRPr="009D1F55">
        <w:tab/>
      </w:r>
      <w:r w:rsidRPr="009D1F55">
        <w:rPr>
          <w:i/>
        </w:rPr>
        <w:t>PECO Binding Poll</w:t>
      </w:r>
      <w:r w:rsidRPr="009D1F55">
        <w:t xml:space="preserve"> at 21. </w:t>
      </w:r>
    </w:p>
    <w:p w:rsidR="00E71C1C" w:rsidRPr="009D1F55" w:rsidRDefault="00E71C1C" w:rsidP="00E71C1C">
      <w:pPr>
        <w:pStyle w:val="FootnoteText"/>
      </w:pPr>
    </w:p>
  </w:footnote>
  <w:footnote w:id="96">
    <w:p w:rsidR="00E71C1C" w:rsidRPr="009D1F55" w:rsidRDefault="00E71C1C" w:rsidP="00E71C1C">
      <w:pPr>
        <w:pStyle w:val="FootnoteText"/>
      </w:pPr>
      <w:r w:rsidRPr="009D1F55">
        <w:tab/>
      </w:r>
      <w:r w:rsidRPr="009D1F55">
        <w:rPr>
          <w:rStyle w:val="FootnoteReference"/>
        </w:rPr>
        <w:footnoteRef/>
      </w:r>
      <w:r w:rsidRPr="009D1F55">
        <w:t xml:space="preserve"> </w:t>
      </w:r>
      <w:r w:rsidRPr="009D1F55">
        <w:tab/>
        <w:t>RESA St. No 2-R at 12-13.</w:t>
      </w:r>
    </w:p>
  </w:footnote>
  <w:footnote w:id="97">
    <w:p w:rsidR="006D47C0" w:rsidRDefault="006D47C0" w:rsidP="006D47C0">
      <w:pPr>
        <w:pStyle w:val="FootnoteText"/>
      </w:pPr>
      <w:r w:rsidRPr="005E3F58">
        <w:tab/>
      </w:r>
      <w:r w:rsidRPr="005E3F58">
        <w:rPr>
          <w:rStyle w:val="FootnoteReference"/>
        </w:rPr>
        <w:footnoteRef/>
      </w:r>
      <w:r w:rsidRPr="005E3F58">
        <w:t xml:space="preserve"> </w:t>
      </w:r>
      <w:r w:rsidRPr="005E3F58">
        <w:tab/>
        <w:t>RESA St. No. 2 at 7-8.</w:t>
      </w:r>
    </w:p>
    <w:p w:rsidR="007650CD" w:rsidRPr="005E3F58" w:rsidRDefault="007650CD" w:rsidP="006D47C0">
      <w:pPr>
        <w:pStyle w:val="FootnoteText"/>
      </w:pPr>
    </w:p>
  </w:footnote>
  <w:footnote w:id="98">
    <w:p w:rsidR="006D47C0" w:rsidRDefault="006D47C0" w:rsidP="006D47C0">
      <w:pPr>
        <w:pStyle w:val="FootnoteText"/>
      </w:pPr>
      <w:r w:rsidRPr="005E3F58">
        <w:tab/>
      </w:r>
      <w:r w:rsidRPr="005E3F58">
        <w:rPr>
          <w:rStyle w:val="FootnoteReference"/>
        </w:rPr>
        <w:footnoteRef/>
      </w:r>
      <w:r w:rsidRPr="005E3F58">
        <w:t xml:space="preserve"> </w:t>
      </w:r>
      <w:r w:rsidRPr="005E3F58">
        <w:tab/>
        <w:t>RESA St. No. 2 at 7.</w:t>
      </w:r>
    </w:p>
    <w:p w:rsidR="006D47C0" w:rsidRPr="005E3F58" w:rsidRDefault="006D47C0" w:rsidP="006D47C0">
      <w:pPr>
        <w:pStyle w:val="FootnoteText"/>
      </w:pPr>
    </w:p>
  </w:footnote>
  <w:footnote w:id="99">
    <w:p w:rsidR="006D47C0" w:rsidRPr="005E3F58" w:rsidRDefault="006D47C0" w:rsidP="006D47C0">
      <w:pPr>
        <w:pStyle w:val="FootnoteText"/>
      </w:pPr>
      <w:r w:rsidRPr="005E3F58">
        <w:tab/>
      </w:r>
      <w:r w:rsidRPr="005E3F58">
        <w:rPr>
          <w:rStyle w:val="FootnoteReference"/>
        </w:rPr>
        <w:footnoteRef/>
      </w:r>
      <w:r w:rsidRPr="005E3F58">
        <w:t xml:space="preserve"> </w:t>
      </w:r>
      <w:r w:rsidRPr="005E3F58">
        <w:tab/>
        <w:t>RESA St. No. 2 at 8.</w:t>
      </w:r>
    </w:p>
  </w:footnote>
  <w:footnote w:id="100">
    <w:p w:rsidR="006D47C0" w:rsidRPr="005E3F58" w:rsidRDefault="006D47C0" w:rsidP="006D47C0">
      <w:pPr>
        <w:pStyle w:val="FootnoteText"/>
      </w:pPr>
    </w:p>
    <w:p w:rsidR="006D47C0" w:rsidRPr="005E3F58" w:rsidRDefault="006D47C0" w:rsidP="006D47C0">
      <w:pPr>
        <w:pStyle w:val="FootnoteText"/>
      </w:pPr>
      <w:r w:rsidRPr="005E3F58">
        <w:tab/>
      </w:r>
      <w:r w:rsidRPr="005E3F58">
        <w:rPr>
          <w:rStyle w:val="FootnoteReference"/>
        </w:rPr>
        <w:footnoteRef/>
      </w:r>
      <w:r w:rsidRPr="005E3F58">
        <w:t xml:space="preserve"> </w:t>
      </w:r>
      <w:r w:rsidRPr="005E3F58">
        <w:tab/>
        <w:t>RESA St. No. 2 at 8.</w:t>
      </w:r>
    </w:p>
  </w:footnote>
  <w:footnote w:id="101">
    <w:p w:rsidR="006D47C0" w:rsidRPr="005E3F58" w:rsidRDefault="006D47C0" w:rsidP="006D47C0">
      <w:pPr>
        <w:pStyle w:val="FootnoteText"/>
      </w:pPr>
    </w:p>
    <w:p w:rsidR="006D47C0" w:rsidRPr="005E3F58" w:rsidRDefault="006D47C0" w:rsidP="006D47C0">
      <w:pPr>
        <w:pStyle w:val="FootnoteText"/>
      </w:pPr>
      <w:r w:rsidRPr="005E3F58">
        <w:tab/>
      </w:r>
      <w:r w:rsidRPr="005E3F58">
        <w:rPr>
          <w:rStyle w:val="FootnoteReference"/>
        </w:rPr>
        <w:footnoteRef/>
      </w:r>
      <w:r w:rsidRPr="005E3F58">
        <w:t xml:space="preserve"> </w:t>
      </w:r>
      <w:r w:rsidRPr="005E3F58">
        <w:tab/>
        <w:t>RESA St. No. 2 at 8.</w:t>
      </w:r>
    </w:p>
  </w:footnote>
  <w:footnote w:id="102">
    <w:p w:rsidR="006D47C0" w:rsidRPr="005E3F58" w:rsidRDefault="006D47C0" w:rsidP="006D47C0">
      <w:pPr>
        <w:pStyle w:val="FootnoteText"/>
      </w:pPr>
      <w:r w:rsidRPr="005E3F58">
        <w:tab/>
      </w:r>
      <w:r w:rsidRPr="005E3F58">
        <w:rPr>
          <w:rStyle w:val="FootnoteReference"/>
        </w:rPr>
        <w:footnoteRef/>
      </w:r>
      <w:r w:rsidRPr="005E3F58">
        <w:t xml:space="preserve"> </w:t>
      </w:r>
      <w:r w:rsidRPr="005E3F58">
        <w:tab/>
        <w:t>RESA St. No. 2 at 8.</w:t>
      </w:r>
    </w:p>
  </w:footnote>
  <w:footnote w:id="103">
    <w:p w:rsidR="006D47C0" w:rsidRDefault="006D47C0" w:rsidP="006D47C0">
      <w:pPr>
        <w:pStyle w:val="FootnoteText"/>
      </w:pPr>
      <w:r>
        <w:tab/>
      </w:r>
      <w:r>
        <w:rPr>
          <w:rStyle w:val="FootnoteReference"/>
        </w:rPr>
        <w:footnoteRef/>
      </w:r>
      <w:r>
        <w:t xml:space="preserve"> </w:t>
      </w:r>
      <w:r>
        <w:tab/>
      </w:r>
      <w:r>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slip op., pp. 108-109.</w:t>
      </w:r>
    </w:p>
    <w:p w:rsidR="006D47C0" w:rsidRDefault="006D47C0" w:rsidP="006D47C0">
      <w:pPr>
        <w:pStyle w:val="FootnoteText"/>
      </w:pPr>
    </w:p>
  </w:footnote>
  <w:footnote w:id="104">
    <w:p w:rsidR="006D47C0" w:rsidRDefault="006D47C0" w:rsidP="006D47C0">
      <w:pPr>
        <w:pStyle w:val="FootnoteText"/>
      </w:pPr>
      <w:r>
        <w:tab/>
      </w:r>
      <w:r>
        <w:rPr>
          <w:rStyle w:val="FootnoteReference"/>
        </w:rPr>
        <w:footnoteRef/>
      </w:r>
      <w:r>
        <w:t xml:space="preserve"> </w:t>
      </w:r>
      <w:r>
        <w:tab/>
        <w:t>RESA’s witness is not aware of whether any RESA members support its recommendation.  FES Ex. TCB-8 (RESA Response to FES I-8(c)).</w:t>
      </w:r>
    </w:p>
  </w:footnote>
  <w:footnote w:id="105">
    <w:p w:rsidR="006D47C0" w:rsidRDefault="006D47C0" w:rsidP="006D47C0">
      <w:pPr>
        <w:pStyle w:val="FootnoteText"/>
      </w:pPr>
      <w:r>
        <w:tab/>
      </w:r>
      <w:r w:rsidRPr="00532F9F">
        <w:rPr>
          <w:rStyle w:val="FootnoteReference"/>
        </w:rPr>
        <w:footnoteRef/>
      </w:r>
      <w:r w:rsidRPr="00532F9F">
        <w:t xml:space="preserve"> </w:t>
      </w:r>
      <w:r w:rsidRPr="00532F9F">
        <w:tab/>
      </w:r>
      <w:r w:rsidRPr="00532F9F">
        <w:rPr>
          <w:i/>
        </w:rPr>
        <w:t>FirstEnergy Default Service Order</w:t>
      </w:r>
      <w:r w:rsidRPr="00532F9F">
        <w:t xml:space="preserve"> at 109.</w:t>
      </w:r>
    </w:p>
    <w:p w:rsidR="00A3767B" w:rsidRPr="00532F9F" w:rsidRDefault="00A3767B" w:rsidP="006D47C0">
      <w:pPr>
        <w:pStyle w:val="FootnoteText"/>
      </w:pPr>
    </w:p>
  </w:footnote>
  <w:footnote w:id="106">
    <w:p w:rsidR="006D47C0" w:rsidRPr="00532F9F" w:rsidRDefault="006D47C0" w:rsidP="006D47C0">
      <w:pPr>
        <w:pStyle w:val="FootnoteText"/>
      </w:pPr>
      <w:r>
        <w:tab/>
      </w:r>
      <w:r w:rsidRPr="00532F9F">
        <w:rPr>
          <w:rStyle w:val="FootnoteReference"/>
        </w:rPr>
        <w:footnoteRef/>
      </w:r>
      <w:r w:rsidRPr="00532F9F">
        <w:t xml:space="preserve"> </w:t>
      </w:r>
      <w:r w:rsidRPr="00532F9F">
        <w:tab/>
        <w:t>RESA St. No. 1 at 4, 9.</w:t>
      </w:r>
    </w:p>
  </w:footnote>
  <w:footnote w:id="107">
    <w:p w:rsidR="006D47C0" w:rsidRDefault="006D47C0" w:rsidP="006D47C0">
      <w:pPr>
        <w:pStyle w:val="FootnoteText"/>
      </w:pPr>
    </w:p>
    <w:p w:rsidR="006D47C0" w:rsidRDefault="006D47C0" w:rsidP="006D47C0">
      <w:pPr>
        <w:pStyle w:val="FootnoteText"/>
      </w:pPr>
      <w:r>
        <w:tab/>
      </w:r>
      <w:r w:rsidRPr="00532F9F">
        <w:rPr>
          <w:rStyle w:val="FootnoteReference"/>
        </w:rPr>
        <w:footnoteRef/>
      </w:r>
      <w:r w:rsidRPr="00532F9F">
        <w:t xml:space="preserve"> </w:t>
      </w:r>
      <w:r w:rsidRPr="00532F9F">
        <w:tab/>
        <w:t>RESA St. No. 1 at 9-10.</w:t>
      </w:r>
    </w:p>
    <w:p w:rsidR="006D47C0" w:rsidRPr="00532F9F" w:rsidRDefault="006D47C0" w:rsidP="006D47C0">
      <w:pPr>
        <w:pStyle w:val="FootnoteText"/>
      </w:pPr>
    </w:p>
  </w:footnote>
  <w:footnote w:id="108">
    <w:p w:rsidR="006D47C0" w:rsidRDefault="006D47C0" w:rsidP="006D47C0">
      <w:pPr>
        <w:pStyle w:val="FootnoteText"/>
      </w:pPr>
      <w:r>
        <w:tab/>
      </w:r>
      <w:r>
        <w:rPr>
          <w:rStyle w:val="FootnoteReference"/>
        </w:rPr>
        <w:footnoteRef/>
      </w:r>
      <w:r>
        <w:t xml:space="preserve"> </w:t>
      </w:r>
      <w:r>
        <w:tab/>
        <w:t>OCA Statement No. 2 at 12-13.</w:t>
      </w:r>
    </w:p>
  </w:footnote>
  <w:footnote w:id="109">
    <w:p w:rsidR="006D47C0" w:rsidRDefault="006D47C0" w:rsidP="006D47C0">
      <w:pPr>
        <w:pStyle w:val="FootnoteText"/>
      </w:pPr>
      <w:r>
        <w:tab/>
      </w:r>
      <w:r>
        <w:rPr>
          <w:rStyle w:val="FootnoteReference"/>
        </w:rPr>
        <w:footnoteRef/>
      </w:r>
      <w:r>
        <w:t xml:space="preserve"> </w:t>
      </w:r>
      <w:r>
        <w:tab/>
      </w:r>
      <w:r>
        <w:rPr>
          <w:u w:val="single"/>
        </w:rPr>
        <w:t>Ibid</w:t>
      </w:r>
      <w:r>
        <w:t xml:space="preserve">. </w:t>
      </w:r>
    </w:p>
    <w:p w:rsidR="0003622E" w:rsidRDefault="0003622E" w:rsidP="006D47C0">
      <w:pPr>
        <w:pStyle w:val="FootnoteText"/>
      </w:pPr>
    </w:p>
  </w:footnote>
  <w:footnote w:id="110">
    <w:p w:rsidR="006D47C0" w:rsidRDefault="006D47C0" w:rsidP="006D47C0">
      <w:pPr>
        <w:pStyle w:val="FootnoteText"/>
        <w:rPr>
          <w:rFonts w:ascii="CG Times" w:hAnsi="CG Times" w:cs="CG Times"/>
        </w:rPr>
      </w:pPr>
      <w:r>
        <w:tab/>
      </w:r>
      <w:r>
        <w:rPr>
          <w:rStyle w:val="FootnoteReference"/>
        </w:rPr>
        <w:footnoteRef/>
      </w:r>
      <w:r>
        <w:t xml:space="preserve"> </w:t>
      </w:r>
      <w:r>
        <w:tab/>
        <w:t>OCA Statement No. 2 at 17.</w:t>
      </w:r>
    </w:p>
  </w:footnote>
  <w:footnote w:id="111">
    <w:p w:rsidR="006D47C0" w:rsidRDefault="006D47C0" w:rsidP="006D47C0">
      <w:pPr>
        <w:pStyle w:val="FootnoteText"/>
      </w:pPr>
      <w:r>
        <w:tab/>
      </w:r>
      <w:r w:rsidRPr="00532F9F">
        <w:rPr>
          <w:rStyle w:val="FootnoteReference"/>
        </w:rPr>
        <w:footnoteRef/>
      </w:r>
      <w:r w:rsidRPr="00532F9F">
        <w:t xml:space="preserve"> </w:t>
      </w:r>
      <w:r>
        <w:tab/>
      </w:r>
      <w:r w:rsidRPr="00532F9F">
        <w:t>In many respects, the ROI Program Agreement is much simpler (and shorter) than the Supply Master Agreement for wholesale default service, which has been developed without the need for a collaborative.</w:t>
      </w:r>
    </w:p>
    <w:p w:rsidR="006D47C0" w:rsidRPr="00532F9F" w:rsidRDefault="006D47C0" w:rsidP="006D47C0">
      <w:pPr>
        <w:pStyle w:val="FootnoteText"/>
      </w:pPr>
    </w:p>
  </w:footnote>
  <w:footnote w:id="112">
    <w:p w:rsidR="006D47C0" w:rsidRPr="00532F9F" w:rsidRDefault="006D47C0" w:rsidP="006D47C0">
      <w:pPr>
        <w:pStyle w:val="FootnoteText"/>
      </w:pPr>
      <w:r>
        <w:tab/>
      </w:r>
      <w:r w:rsidRPr="00532F9F">
        <w:rPr>
          <w:rStyle w:val="FootnoteReference"/>
        </w:rPr>
        <w:footnoteRef/>
      </w:r>
      <w:r w:rsidRPr="00532F9F">
        <w:t xml:space="preserve"> </w:t>
      </w:r>
      <w:r w:rsidRPr="00532F9F">
        <w:tab/>
        <w:t>Duquesne St. No. 3 at Exh. NSF-2.</w:t>
      </w:r>
    </w:p>
  </w:footnote>
  <w:footnote w:id="113">
    <w:p w:rsidR="006D47C0" w:rsidRDefault="006D47C0" w:rsidP="006D47C0">
      <w:pPr>
        <w:pStyle w:val="FootnoteText"/>
      </w:pPr>
    </w:p>
    <w:p w:rsidR="006D47C0" w:rsidRDefault="006D47C0" w:rsidP="006D47C0">
      <w:pPr>
        <w:pStyle w:val="FootnoteText"/>
      </w:pPr>
      <w:r>
        <w:tab/>
      </w:r>
      <w:r w:rsidRPr="00532F9F">
        <w:rPr>
          <w:rStyle w:val="FootnoteReference"/>
        </w:rPr>
        <w:footnoteRef/>
      </w:r>
      <w:r w:rsidRPr="00532F9F">
        <w:t xml:space="preserve"> </w:t>
      </w:r>
      <w:r w:rsidRPr="00532F9F">
        <w:tab/>
        <w:t>RESA St. No. 2 at 14.</w:t>
      </w:r>
    </w:p>
    <w:p w:rsidR="006D47C0" w:rsidRPr="00532F9F" w:rsidRDefault="006D47C0" w:rsidP="006D47C0">
      <w:pPr>
        <w:pStyle w:val="FootnoteText"/>
      </w:pPr>
    </w:p>
  </w:footnote>
  <w:footnote w:id="114">
    <w:p w:rsidR="006D47C0" w:rsidRDefault="006D47C0" w:rsidP="006D47C0">
      <w:pPr>
        <w:pStyle w:val="FootnoteText"/>
      </w:pPr>
      <w:r>
        <w:tab/>
      </w:r>
      <w:r w:rsidRPr="00532F9F">
        <w:rPr>
          <w:rStyle w:val="FootnoteReference"/>
        </w:rPr>
        <w:footnoteRef/>
      </w:r>
      <w:r w:rsidRPr="00532F9F">
        <w:t xml:space="preserve"> </w:t>
      </w:r>
      <w:r w:rsidRPr="00532F9F">
        <w:tab/>
        <w:t>RESA St. No. 2 at 14.</w:t>
      </w:r>
    </w:p>
    <w:p w:rsidR="006D47C0" w:rsidRPr="00532F9F" w:rsidRDefault="006D47C0" w:rsidP="006D47C0">
      <w:pPr>
        <w:pStyle w:val="FootnoteText"/>
      </w:pPr>
    </w:p>
  </w:footnote>
  <w:footnote w:id="115">
    <w:p w:rsidR="006D47C0" w:rsidRDefault="006D47C0" w:rsidP="006D47C0">
      <w:pPr>
        <w:pStyle w:val="FootnoteText"/>
      </w:pPr>
      <w:r>
        <w:tab/>
      </w:r>
      <w:r w:rsidRPr="00532F9F">
        <w:rPr>
          <w:rStyle w:val="FootnoteReference"/>
        </w:rPr>
        <w:footnoteRef/>
      </w:r>
      <w:r w:rsidRPr="00532F9F">
        <w:t xml:space="preserve"> </w:t>
      </w:r>
      <w:r w:rsidRPr="00532F9F">
        <w:tab/>
        <w:t>RESA St. No. 2 at 14.</w:t>
      </w:r>
    </w:p>
    <w:p w:rsidR="006D47C0" w:rsidRPr="00532F9F" w:rsidRDefault="006D47C0" w:rsidP="006D47C0">
      <w:pPr>
        <w:pStyle w:val="FootnoteText"/>
      </w:pPr>
    </w:p>
  </w:footnote>
  <w:footnote w:id="116">
    <w:p w:rsidR="006D47C0" w:rsidRPr="00532F9F" w:rsidRDefault="006D47C0" w:rsidP="006D47C0">
      <w:pPr>
        <w:pStyle w:val="FootnoteText"/>
      </w:pPr>
      <w:r>
        <w:tab/>
      </w:r>
      <w:r w:rsidRPr="00532F9F">
        <w:rPr>
          <w:rStyle w:val="FootnoteReference"/>
        </w:rPr>
        <w:footnoteRef/>
      </w:r>
      <w:r w:rsidRPr="00532F9F">
        <w:t xml:space="preserve"> </w:t>
      </w:r>
      <w:r w:rsidRPr="00532F9F">
        <w:tab/>
        <w:t>RESA St. No. 1 at 15.</w:t>
      </w:r>
    </w:p>
  </w:footnote>
  <w:footnote w:id="117">
    <w:p w:rsidR="006D47C0" w:rsidRDefault="006D47C0" w:rsidP="006D47C0">
      <w:pPr>
        <w:pStyle w:val="FootnoteText"/>
      </w:pPr>
      <w:r>
        <w:tab/>
      </w:r>
      <w:r w:rsidRPr="00164F73">
        <w:rPr>
          <w:rStyle w:val="FootnoteReference"/>
        </w:rPr>
        <w:footnoteRef/>
      </w:r>
      <w:r w:rsidRPr="00164F73">
        <w:t xml:space="preserve"> </w:t>
      </w:r>
      <w:r w:rsidRPr="00164F73">
        <w:tab/>
        <w:t xml:space="preserve">RESA St. No. 2 at 15-22.  </w:t>
      </w:r>
    </w:p>
    <w:p w:rsidR="006D47C0" w:rsidRPr="00164F73" w:rsidRDefault="006D47C0" w:rsidP="006D47C0">
      <w:pPr>
        <w:pStyle w:val="FootnoteText"/>
      </w:pPr>
    </w:p>
  </w:footnote>
  <w:footnote w:id="118">
    <w:p w:rsidR="006D47C0" w:rsidRPr="00AC54A8" w:rsidRDefault="006D47C0" w:rsidP="006D47C0">
      <w:pPr>
        <w:pStyle w:val="FootnoteText"/>
      </w:pPr>
      <w:r>
        <w:tab/>
      </w:r>
      <w:r w:rsidRPr="00AC54A8">
        <w:rPr>
          <w:rStyle w:val="FootnoteReference"/>
        </w:rPr>
        <w:footnoteRef/>
      </w:r>
      <w:r w:rsidRPr="00AC54A8">
        <w:t xml:space="preserve"> </w:t>
      </w:r>
      <w:r w:rsidRPr="00AC54A8">
        <w:tab/>
        <w:t>RESA St. No. 2-SR at 21-23.</w:t>
      </w:r>
    </w:p>
  </w:footnote>
  <w:footnote w:id="119">
    <w:p w:rsidR="006D47C0" w:rsidRDefault="006D47C0" w:rsidP="006D47C0">
      <w:pPr>
        <w:pStyle w:val="FootnoteText"/>
      </w:pPr>
      <w:r>
        <w:tab/>
      </w:r>
      <w:r w:rsidRPr="009A1641">
        <w:rPr>
          <w:rStyle w:val="FootnoteReference"/>
        </w:rPr>
        <w:footnoteRef/>
      </w:r>
      <w:r w:rsidRPr="009A1641">
        <w:t xml:space="preserve"> </w:t>
      </w:r>
      <w:r w:rsidRPr="009A1641">
        <w:tab/>
        <w:t>RESA St. No. 2-SR at 22.</w:t>
      </w:r>
    </w:p>
    <w:p w:rsidR="006D47C0" w:rsidRPr="009A1641" w:rsidRDefault="006D47C0" w:rsidP="006D47C0">
      <w:pPr>
        <w:pStyle w:val="FootnoteText"/>
      </w:pPr>
    </w:p>
  </w:footnote>
  <w:footnote w:id="120">
    <w:p w:rsidR="006D47C0" w:rsidRDefault="006D47C0" w:rsidP="006D47C0">
      <w:pPr>
        <w:pStyle w:val="FootnoteText"/>
      </w:pPr>
      <w:r>
        <w:tab/>
      </w:r>
      <w:r w:rsidRPr="009A1641">
        <w:rPr>
          <w:rStyle w:val="FootnoteReference"/>
        </w:rPr>
        <w:footnoteRef/>
      </w:r>
      <w:r w:rsidRPr="009A1641">
        <w:t xml:space="preserve"> </w:t>
      </w:r>
      <w:r w:rsidRPr="009A1641">
        <w:tab/>
        <w:t>RESA St. No. 2 at 20.</w:t>
      </w:r>
    </w:p>
    <w:p w:rsidR="006D47C0" w:rsidRPr="009A1641" w:rsidRDefault="006D47C0" w:rsidP="006D47C0">
      <w:pPr>
        <w:pStyle w:val="FootnoteText"/>
      </w:pPr>
    </w:p>
  </w:footnote>
  <w:footnote w:id="121">
    <w:p w:rsidR="006D47C0" w:rsidRDefault="006D47C0" w:rsidP="006D47C0">
      <w:pPr>
        <w:pStyle w:val="FootnoteText"/>
        <w:rPr>
          <w:sz w:val="22"/>
        </w:rPr>
      </w:pPr>
      <w:r>
        <w:tab/>
      </w:r>
      <w:r w:rsidRPr="009A1641">
        <w:rPr>
          <w:rStyle w:val="FootnoteReference"/>
        </w:rPr>
        <w:footnoteRef/>
      </w:r>
      <w:r w:rsidRPr="009A1641">
        <w:t xml:space="preserve"> </w:t>
      </w:r>
      <w:r w:rsidRPr="009A1641">
        <w:tab/>
        <w:t>RESA St. No. 2 at 20.</w:t>
      </w:r>
    </w:p>
  </w:footnote>
  <w:footnote w:id="122">
    <w:p w:rsidR="006D47C0" w:rsidRDefault="006D47C0" w:rsidP="006D47C0">
      <w:pPr>
        <w:pStyle w:val="FootnoteText"/>
      </w:pPr>
      <w:r>
        <w:tab/>
      </w:r>
      <w:r w:rsidRPr="006B415B">
        <w:rPr>
          <w:rStyle w:val="FootnoteReference"/>
        </w:rPr>
        <w:footnoteRef/>
      </w:r>
      <w:r w:rsidRPr="006B415B">
        <w:t xml:space="preserve"> </w:t>
      </w:r>
      <w:r w:rsidRPr="006B415B">
        <w:tab/>
        <w:t xml:space="preserve">Petition at 23; and Duquesne St. 5 at 7-11.  </w:t>
      </w:r>
    </w:p>
    <w:p w:rsidR="006D47C0" w:rsidRPr="006B415B" w:rsidRDefault="006D47C0" w:rsidP="006D47C0">
      <w:pPr>
        <w:pStyle w:val="FootnoteText"/>
      </w:pPr>
    </w:p>
  </w:footnote>
  <w:footnote w:id="123">
    <w:p w:rsidR="006D47C0" w:rsidRDefault="006D47C0" w:rsidP="006D47C0">
      <w:pPr>
        <w:pStyle w:val="FootnoteText"/>
      </w:pPr>
      <w:r>
        <w:tab/>
      </w:r>
      <w:r w:rsidRPr="006B415B">
        <w:rPr>
          <w:rStyle w:val="FootnoteReference"/>
        </w:rPr>
        <w:footnoteRef/>
      </w:r>
      <w:r w:rsidRPr="006B415B">
        <w:t xml:space="preserve"> </w:t>
      </w:r>
      <w:r w:rsidRPr="006B415B">
        <w:tab/>
        <w:t>Duquesne St. No. 6-RJ at 2.</w:t>
      </w:r>
    </w:p>
    <w:p w:rsidR="009A7E3C" w:rsidRPr="006B415B" w:rsidRDefault="009A7E3C" w:rsidP="006D47C0">
      <w:pPr>
        <w:pStyle w:val="FootnoteText"/>
      </w:pPr>
    </w:p>
  </w:footnote>
  <w:footnote w:id="124">
    <w:p w:rsidR="006D47C0" w:rsidRPr="006B415B" w:rsidRDefault="006D47C0" w:rsidP="006D47C0">
      <w:pPr>
        <w:pStyle w:val="FootnoteText"/>
      </w:pPr>
      <w:r w:rsidRPr="006B415B">
        <w:tab/>
      </w:r>
      <w:r w:rsidRPr="006B415B">
        <w:rPr>
          <w:rStyle w:val="FootnoteReference"/>
        </w:rPr>
        <w:footnoteRef/>
      </w:r>
      <w:r w:rsidRPr="006B415B">
        <w:t xml:space="preserve"> </w:t>
      </w:r>
      <w:r w:rsidRPr="006B415B">
        <w:tab/>
        <w:t>Duquesne St. No. 3-R at 58, fn 105.</w:t>
      </w:r>
    </w:p>
  </w:footnote>
  <w:footnote w:id="125">
    <w:p w:rsidR="006D47C0" w:rsidRDefault="006D47C0" w:rsidP="006D47C0">
      <w:pPr>
        <w:pStyle w:val="FootnoteText"/>
      </w:pPr>
      <w:r>
        <w:tab/>
      </w:r>
      <w:r w:rsidRPr="006B415B">
        <w:rPr>
          <w:rStyle w:val="FootnoteReference"/>
        </w:rPr>
        <w:footnoteRef/>
      </w:r>
      <w:r w:rsidRPr="006B415B">
        <w:t xml:space="preserve"> </w:t>
      </w:r>
      <w:r w:rsidRPr="006B415B">
        <w:tab/>
        <w:t>RESA St. No. 2 at 17.</w:t>
      </w:r>
    </w:p>
    <w:p w:rsidR="006D47C0" w:rsidRPr="006B415B" w:rsidRDefault="006D47C0" w:rsidP="006D47C0">
      <w:pPr>
        <w:pStyle w:val="FootnoteText"/>
      </w:pPr>
    </w:p>
  </w:footnote>
  <w:footnote w:id="126">
    <w:p w:rsidR="006D47C0" w:rsidRDefault="006D47C0" w:rsidP="006D47C0">
      <w:pPr>
        <w:pStyle w:val="FootnoteText"/>
      </w:pPr>
      <w:r>
        <w:tab/>
      </w:r>
      <w:r w:rsidRPr="006B415B">
        <w:rPr>
          <w:rStyle w:val="FootnoteReference"/>
        </w:rPr>
        <w:footnoteRef/>
      </w:r>
      <w:r w:rsidRPr="006B415B">
        <w:t xml:space="preserve"> </w:t>
      </w:r>
      <w:r w:rsidRPr="006B415B">
        <w:tab/>
        <w:t>RESA St. No. 2-SR at 23.</w:t>
      </w:r>
    </w:p>
    <w:p w:rsidR="006D47C0" w:rsidRPr="006B415B" w:rsidRDefault="006D47C0" w:rsidP="006D47C0">
      <w:pPr>
        <w:pStyle w:val="FootnoteText"/>
      </w:pPr>
    </w:p>
  </w:footnote>
  <w:footnote w:id="127">
    <w:p w:rsidR="006D47C0" w:rsidRDefault="006D47C0" w:rsidP="006D47C0">
      <w:pPr>
        <w:pStyle w:val="FootnoteText"/>
      </w:pPr>
      <w:r>
        <w:tab/>
      </w:r>
      <w:r w:rsidRPr="006B415B">
        <w:rPr>
          <w:rStyle w:val="FootnoteReference"/>
        </w:rPr>
        <w:footnoteRef/>
      </w:r>
      <w:r w:rsidRPr="006B415B">
        <w:t xml:space="preserve"> </w:t>
      </w:r>
      <w:r w:rsidRPr="006B415B">
        <w:tab/>
        <w:t xml:space="preserve">RESA St. No. 2 at 18.  As RESA testified, these programs have been in place in New York for many years and information about call center scripts and cost impacts are readily available from the New York Public Service Commission and the New York utilities.  </w:t>
      </w:r>
      <w:r w:rsidRPr="006B415B">
        <w:rPr>
          <w:i/>
        </w:rPr>
        <w:t>Id</w:t>
      </w:r>
      <w:r w:rsidRPr="006B415B">
        <w:t>.</w:t>
      </w:r>
    </w:p>
    <w:p w:rsidR="008007A7" w:rsidRPr="006B415B" w:rsidRDefault="008007A7" w:rsidP="006D47C0">
      <w:pPr>
        <w:pStyle w:val="FootnoteText"/>
      </w:pPr>
    </w:p>
  </w:footnote>
  <w:footnote w:id="128">
    <w:p w:rsidR="006D47C0" w:rsidRDefault="006D47C0" w:rsidP="006D47C0">
      <w:pPr>
        <w:pStyle w:val="FootnoteText"/>
      </w:pPr>
      <w:r w:rsidRPr="005E3F58">
        <w:tab/>
      </w:r>
      <w:r w:rsidRPr="005E3F58">
        <w:rPr>
          <w:rStyle w:val="FootnoteReference"/>
        </w:rPr>
        <w:footnoteRef/>
      </w:r>
      <w:r w:rsidRPr="005E3F58">
        <w:t xml:space="preserve"> </w:t>
      </w:r>
      <w:r w:rsidRPr="005E3F58">
        <w:tab/>
        <w:t>RESA St. No. 2 at 18.</w:t>
      </w:r>
    </w:p>
    <w:p w:rsidR="006D47C0" w:rsidRPr="005E3F58" w:rsidRDefault="006D47C0" w:rsidP="006D47C0">
      <w:pPr>
        <w:pStyle w:val="FootnoteText"/>
      </w:pPr>
    </w:p>
  </w:footnote>
  <w:footnote w:id="129">
    <w:p w:rsidR="006D47C0" w:rsidRPr="00871EBD" w:rsidRDefault="006D47C0" w:rsidP="006D47C0">
      <w:pPr>
        <w:pStyle w:val="FootnoteText"/>
      </w:pPr>
      <w:r w:rsidRPr="00871EBD">
        <w:tab/>
      </w:r>
      <w:r w:rsidRPr="00871EBD">
        <w:rPr>
          <w:rStyle w:val="FootnoteReference"/>
        </w:rPr>
        <w:footnoteRef/>
      </w:r>
      <w:r w:rsidRPr="00871EBD">
        <w:t xml:space="preserve"> </w:t>
      </w:r>
      <w:r w:rsidRPr="00871EBD">
        <w:tab/>
        <w:t xml:space="preserve">Duquesne St. No. 3-R at 55.  </w:t>
      </w:r>
    </w:p>
  </w:footnote>
  <w:footnote w:id="130">
    <w:p w:rsidR="006D47C0" w:rsidRPr="00871EBD" w:rsidRDefault="006D47C0" w:rsidP="006D47C0">
      <w:pPr>
        <w:pStyle w:val="FootnoteText"/>
      </w:pPr>
    </w:p>
    <w:p w:rsidR="006D47C0" w:rsidRDefault="006D47C0" w:rsidP="006D47C0">
      <w:pPr>
        <w:pStyle w:val="FootnoteText"/>
      </w:pPr>
      <w:r w:rsidRPr="00871EBD">
        <w:tab/>
      </w:r>
      <w:r w:rsidRPr="00871EBD">
        <w:rPr>
          <w:rStyle w:val="FootnoteReference"/>
        </w:rPr>
        <w:footnoteRef/>
      </w:r>
      <w:r w:rsidRPr="00871EBD">
        <w:t xml:space="preserve"> </w:t>
      </w:r>
      <w:r w:rsidRPr="00871EBD">
        <w:tab/>
        <w:t>Duquesne St. No. 3-R at 56.</w:t>
      </w:r>
    </w:p>
    <w:p w:rsidR="006D47C0" w:rsidRPr="00871EBD" w:rsidRDefault="006D47C0" w:rsidP="006D47C0">
      <w:pPr>
        <w:pStyle w:val="FootnoteText"/>
      </w:pPr>
    </w:p>
  </w:footnote>
  <w:footnote w:id="131">
    <w:p w:rsidR="006D47C0" w:rsidRDefault="006D47C0" w:rsidP="006D47C0">
      <w:pPr>
        <w:pStyle w:val="FootnoteText"/>
      </w:pPr>
      <w:r w:rsidRPr="00871EBD">
        <w:tab/>
      </w:r>
      <w:r w:rsidRPr="00871EBD">
        <w:rPr>
          <w:rStyle w:val="FootnoteReference"/>
        </w:rPr>
        <w:footnoteRef/>
      </w:r>
      <w:r w:rsidRPr="00871EBD">
        <w:t xml:space="preserve"> </w:t>
      </w:r>
      <w:r w:rsidRPr="00871EBD">
        <w:tab/>
      </w:r>
      <w:r w:rsidRPr="00871EBD">
        <w:rPr>
          <w:i/>
        </w:rPr>
        <w:t>See, e.g.,</w:t>
      </w:r>
      <w:r w:rsidRPr="00871EBD">
        <w:t xml:space="preserve"> Duquesne St. No. 3-R at 57.</w:t>
      </w:r>
    </w:p>
    <w:p w:rsidR="006D47C0" w:rsidRPr="00871EBD" w:rsidRDefault="006D47C0" w:rsidP="006D47C0">
      <w:pPr>
        <w:pStyle w:val="FootnoteText"/>
      </w:pPr>
    </w:p>
  </w:footnote>
  <w:footnote w:id="132">
    <w:p w:rsidR="006D47C0" w:rsidRDefault="006D47C0" w:rsidP="006D47C0">
      <w:pPr>
        <w:pStyle w:val="FootnoteText"/>
      </w:pPr>
      <w:r>
        <w:tab/>
      </w:r>
      <w:r>
        <w:rPr>
          <w:rStyle w:val="FootnoteReference"/>
        </w:rPr>
        <w:footnoteRef/>
      </w:r>
      <w:r>
        <w:t xml:space="preserve"> </w:t>
      </w:r>
      <w:r>
        <w:tab/>
        <w:t>Duquesne Statement No. 3 at 36.</w:t>
      </w:r>
    </w:p>
    <w:p w:rsidR="006D47C0" w:rsidRDefault="006D47C0" w:rsidP="006D47C0">
      <w:pPr>
        <w:pStyle w:val="FootnoteText"/>
      </w:pPr>
    </w:p>
  </w:footnote>
  <w:footnote w:id="133">
    <w:p w:rsidR="006D47C0" w:rsidRDefault="006D47C0" w:rsidP="006D47C0">
      <w:pPr>
        <w:pStyle w:val="FootnoteText"/>
      </w:pPr>
      <w:r>
        <w:tab/>
      </w:r>
      <w:r>
        <w:rPr>
          <w:rStyle w:val="FootnoteReference"/>
        </w:rPr>
        <w:footnoteRef/>
      </w:r>
      <w:r>
        <w:t xml:space="preserve"> </w:t>
      </w:r>
      <w:r>
        <w:tab/>
      </w:r>
      <w:r>
        <w:rPr>
          <w:u w:val="single"/>
        </w:rPr>
        <w:t>Ibid.</w:t>
      </w:r>
    </w:p>
  </w:footnote>
  <w:footnote w:id="134">
    <w:p w:rsidR="006D47C0" w:rsidRDefault="006D47C0" w:rsidP="006D47C0">
      <w:pPr>
        <w:pStyle w:val="FootnoteText"/>
      </w:pPr>
      <w:r>
        <w:tab/>
      </w:r>
      <w:r w:rsidRPr="00F23B5F">
        <w:rPr>
          <w:rStyle w:val="FootnoteReference"/>
        </w:rPr>
        <w:footnoteRef/>
      </w:r>
      <w:r w:rsidRPr="00F23B5F">
        <w:t xml:space="preserve"> </w:t>
      </w:r>
      <w:r w:rsidRPr="00F23B5F">
        <w:tab/>
      </w:r>
      <w:r w:rsidRPr="00F23B5F">
        <w:rPr>
          <w:i/>
        </w:rPr>
        <w:t>See</w:t>
      </w:r>
      <w:r w:rsidRPr="00F23B5F">
        <w:t xml:space="preserve"> Exhibit CK-1. </w:t>
      </w:r>
    </w:p>
    <w:p w:rsidR="006D47C0" w:rsidRPr="00F23B5F" w:rsidRDefault="006D47C0" w:rsidP="006D47C0">
      <w:pPr>
        <w:pStyle w:val="FootnoteText"/>
      </w:pPr>
    </w:p>
  </w:footnote>
  <w:footnote w:id="135">
    <w:p w:rsidR="006D47C0" w:rsidRPr="00F23B5F" w:rsidRDefault="006D47C0" w:rsidP="006D47C0">
      <w:pPr>
        <w:pStyle w:val="FootnoteText"/>
      </w:pPr>
      <w:r w:rsidRPr="00F23B5F">
        <w:tab/>
      </w:r>
      <w:r w:rsidRPr="00F23B5F">
        <w:rPr>
          <w:rStyle w:val="FootnoteReference"/>
        </w:rPr>
        <w:footnoteRef/>
      </w:r>
      <w:r w:rsidRPr="00F23B5F">
        <w:t xml:space="preserve"> </w:t>
      </w:r>
      <w:r w:rsidRPr="00F23B5F">
        <w:tab/>
        <w:t>RESA St. No. 2-SR at 12-13.</w:t>
      </w:r>
    </w:p>
  </w:footnote>
  <w:footnote w:id="136">
    <w:p w:rsidR="006D47C0" w:rsidRPr="00D8591B" w:rsidRDefault="006D47C0" w:rsidP="006D47C0">
      <w:pPr>
        <w:rPr>
          <w:b/>
          <w:sz w:val="20"/>
          <w:szCs w:val="20"/>
        </w:rPr>
      </w:pPr>
      <w:r w:rsidRPr="00D8591B">
        <w:rPr>
          <w:sz w:val="20"/>
          <w:szCs w:val="20"/>
        </w:rPr>
        <w:tab/>
      </w:r>
      <w:r w:rsidRPr="00D8591B">
        <w:rPr>
          <w:rStyle w:val="FootnoteReference"/>
          <w:sz w:val="20"/>
          <w:szCs w:val="20"/>
        </w:rPr>
        <w:footnoteRef/>
      </w:r>
      <w:r w:rsidRPr="00D8591B">
        <w:rPr>
          <w:sz w:val="20"/>
          <w:szCs w:val="20"/>
        </w:rPr>
        <w:tab/>
        <w:t xml:space="preserve">For example, many customers who call about a high bill may be complaining about a problem with the meter or in need of a payment arrangement, and possibly in need of a referral to the Customer Assistance Program.  These customers may also inquire about other forms of assistance such as budget billing.  OCA submits these customers are in a potentially vulnerable position due to their concerns about their high bill and should not be directed towards a competitive offer at that time.  </w:t>
      </w:r>
    </w:p>
    <w:p w:rsidR="006D47C0" w:rsidRPr="00D8591B" w:rsidRDefault="006D47C0" w:rsidP="006D47C0">
      <w:pPr>
        <w:pStyle w:val="FootnoteText"/>
        <w:jc w:val="both"/>
      </w:pPr>
    </w:p>
  </w:footnote>
  <w:footnote w:id="137">
    <w:p w:rsidR="006D47C0" w:rsidRDefault="006D47C0" w:rsidP="006D47C0">
      <w:pPr>
        <w:pStyle w:val="FootnoteText"/>
        <w:rPr>
          <w:bCs/>
        </w:rPr>
      </w:pPr>
      <w:r>
        <w:tab/>
      </w:r>
      <w:r w:rsidRPr="00D8591B">
        <w:rPr>
          <w:rStyle w:val="FootnoteReference"/>
        </w:rPr>
        <w:footnoteRef/>
      </w:r>
      <w:r w:rsidRPr="00D8591B">
        <w:t xml:space="preserve"> </w:t>
      </w:r>
      <w:r w:rsidRPr="00D8591B">
        <w:tab/>
      </w:r>
      <w:r w:rsidRPr="00D8591B">
        <w:rPr>
          <w:bCs/>
        </w:rPr>
        <w:t>OCA St. No. 2 at 16; CAUSE-PA St. No. 1 at 17.</w:t>
      </w:r>
    </w:p>
    <w:p w:rsidR="00B21357" w:rsidRPr="00D8591B" w:rsidRDefault="00B21357" w:rsidP="006D47C0">
      <w:pPr>
        <w:pStyle w:val="FootnoteText"/>
      </w:pPr>
    </w:p>
  </w:footnote>
  <w:footnote w:id="138">
    <w:p w:rsidR="006D47C0" w:rsidRPr="00D8591B" w:rsidRDefault="006D47C0" w:rsidP="006D47C0">
      <w:pPr>
        <w:pStyle w:val="FootnoteText"/>
      </w:pPr>
      <w:r>
        <w:tab/>
      </w:r>
      <w:r w:rsidRPr="00D8591B">
        <w:rPr>
          <w:rStyle w:val="FootnoteReference"/>
        </w:rPr>
        <w:footnoteRef/>
      </w:r>
      <w:r w:rsidRPr="00D8591B">
        <w:t xml:space="preserve"> </w:t>
      </w:r>
      <w:r w:rsidRPr="00D8591B">
        <w:tab/>
      </w:r>
      <w:r w:rsidRPr="00D8591B">
        <w:rPr>
          <w:i/>
        </w:rPr>
        <w:t>Intermediate Work Plan Final Order</w:t>
      </w:r>
      <w:r w:rsidRPr="00D8591B">
        <w:t xml:space="preserve"> at 32.</w:t>
      </w:r>
    </w:p>
  </w:footnote>
  <w:footnote w:id="139">
    <w:p w:rsidR="006D47C0" w:rsidRDefault="006D47C0" w:rsidP="006D47C0">
      <w:pPr>
        <w:pStyle w:val="FootnoteText"/>
      </w:pPr>
    </w:p>
    <w:p w:rsidR="006D47C0" w:rsidRPr="00D8591B" w:rsidRDefault="006D47C0" w:rsidP="006D47C0">
      <w:pPr>
        <w:pStyle w:val="FootnoteText"/>
      </w:pPr>
      <w:r>
        <w:tab/>
      </w:r>
      <w:r w:rsidRPr="00D8591B">
        <w:rPr>
          <w:rStyle w:val="FootnoteReference"/>
        </w:rPr>
        <w:footnoteRef/>
      </w:r>
      <w:r w:rsidRPr="00D8591B">
        <w:t xml:space="preserve"> </w:t>
      </w:r>
      <w:r w:rsidRPr="00D8591B">
        <w:tab/>
      </w:r>
      <w:r w:rsidRPr="00D8591B">
        <w:rPr>
          <w:i/>
        </w:rPr>
        <w:t>FirstEnergy Default Service Order</w:t>
      </w:r>
      <w:r w:rsidRPr="00D8591B">
        <w:t xml:space="preserve"> at 139.  While there will have to be further discussion about what it might mean for the customer’s high bill complaint to be “satisfied,” this addresses CAUSE-PA’s concerns regarding high</w:t>
      </w:r>
      <w:r>
        <w:t xml:space="preserve"> </w:t>
      </w:r>
      <w:r w:rsidRPr="00D8591B">
        <w:t>bill complaint customers.  If the customer’s high</w:t>
      </w:r>
      <w:r>
        <w:t xml:space="preserve"> </w:t>
      </w:r>
      <w:r w:rsidRPr="00D8591B">
        <w:t xml:space="preserve">bill complaint is satisfied, the low-income customer should be eligible to participate in the referral program provided the customer meets any other eligibility requirement.  RESA St. No. 2-R at 19-20.  </w:t>
      </w:r>
      <w:r w:rsidRPr="00D8591B">
        <w:rPr>
          <w:i/>
        </w:rPr>
        <w:t>See also PECO Binding Poll</w:t>
      </w:r>
      <w:r w:rsidRPr="00D8591B">
        <w:t xml:space="preserve"> at 24.</w:t>
      </w:r>
    </w:p>
  </w:footnote>
  <w:footnote w:id="140">
    <w:p w:rsidR="006D47C0" w:rsidRPr="00833501" w:rsidRDefault="006D47C0" w:rsidP="006D47C0">
      <w:pPr>
        <w:pStyle w:val="FootnoteText"/>
      </w:pPr>
      <w:r>
        <w:tab/>
      </w:r>
      <w:r w:rsidRPr="00833501">
        <w:rPr>
          <w:rStyle w:val="FootnoteReference"/>
        </w:rPr>
        <w:footnoteRef/>
      </w:r>
      <w:r w:rsidRPr="00833501">
        <w:t xml:space="preserve"> </w:t>
      </w:r>
      <w:r w:rsidRPr="00833501">
        <w:tab/>
        <w:t xml:space="preserve">Cost recovery for the market enhancement programs is discussed in Section III.C.3, below.  </w:t>
      </w:r>
    </w:p>
    <w:p w:rsidR="006D47C0" w:rsidRPr="00833501" w:rsidRDefault="006D47C0" w:rsidP="006D47C0">
      <w:pPr>
        <w:pStyle w:val="FootnoteText"/>
      </w:pPr>
    </w:p>
  </w:footnote>
  <w:footnote w:id="141">
    <w:p w:rsidR="006D47C0" w:rsidRPr="00833501" w:rsidRDefault="006D47C0" w:rsidP="006D47C0">
      <w:pPr>
        <w:pStyle w:val="FootnoteText"/>
      </w:pPr>
      <w:r>
        <w:tab/>
      </w:r>
      <w:r w:rsidRPr="00833501">
        <w:rPr>
          <w:rStyle w:val="FootnoteReference"/>
        </w:rPr>
        <w:footnoteRef/>
      </w:r>
      <w:r w:rsidRPr="00833501">
        <w:t xml:space="preserve"> </w:t>
      </w:r>
      <w:r w:rsidRPr="00833501">
        <w:tab/>
        <w:t>While Company witness Sandoe stated that she does not anticipate that the choice referral team will enroll customers, she admits that the exact roles and functions of the team have not been defined.  Duquesne St.</w:t>
      </w:r>
      <w:r>
        <w:t> </w:t>
      </w:r>
      <w:r w:rsidRPr="00833501">
        <w:t xml:space="preserve">5-R at 8.  </w:t>
      </w:r>
    </w:p>
  </w:footnote>
  <w:footnote w:id="142">
    <w:p w:rsidR="006D47C0" w:rsidRPr="005E3F58" w:rsidRDefault="006D47C0" w:rsidP="006D47C0">
      <w:pPr>
        <w:pStyle w:val="FootnoteText"/>
      </w:pPr>
      <w:r>
        <w:tab/>
      </w:r>
      <w:r w:rsidRPr="005E3F58">
        <w:rPr>
          <w:rStyle w:val="FootnoteReference"/>
        </w:rPr>
        <w:footnoteRef/>
      </w:r>
      <w:r w:rsidRPr="005E3F58">
        <w:t xml:space="preserve"> </w:t>
      </w:r>
      <w:r w:rsidRPr="005E3F58">
        <w:tab/>
      </w:r>
      <w:r w:rsidRPr="005E3F58">
        <w:rPr>
          <w:i/>
        </w:rPr>
        <w:t>PECO Binding Poll</w:t>
      </w:r>
      <w:r w:rsidRPr="005E3F58">
        <w:t xml:space="preserve"> at 26.</w:t>
      </w:r>
    </w:p>
  </w:footnote>
  <w:footnote w:id="143">
    <w:p w:rsidR="006D47C0" w:rsidRDefault="006D47C0" w:rsidP="006D47C0">
      <w:pPr>
        <w:pStyle w:val="FootnoteText"/>
      </w:pPr>
      <w:r>
        <w:tab/>
      </w:r>
      <w:r w:rsidRPr="00B30747">
        <w:rPr>
          <w:rStyle w:val="FootnoteReference"/>
        </w:rPr>
        <w:footnoteRef/>
      </w:r>
      <w:r w:rsidRPr="00B30747">
        <w:t xml:space="preserve"> </w:t>
      </w:r>
      <w:r w:rsidRPr="00B30747">
        <w:tab/>
        <w:t>RESA St. No. 2 at</w:t>
      </w:r>
      <w:r>
        <w:t xml:space="preserve"> </w:t>
      </w:r>
      <w:r w:rsidRPr="00B30747">
        <w:t>26-28.</w:t>
      </w:r>
    </w:p>
    <w:p w:rsidR="00D6747E" w:rsidRPr="00B30747" w:rsidRDefault="00D6747E" w:rsidP="006D47C0">
      <w:pPr>
        <w:pStyle w:val="FootnoteText"/>
      </w:pPr>
    </w:p>
  </w:footnote>
  <w:footnote w:id="144">
    <w:p w:rsidR="006D47C0" w:rsidRPr="00B30747" w:rsidRDefault="006D47C0" w:rsidP="006D47C0">
      <w:pPr>
        <w:pStyle w:val="FootnoteText"/>
      </w:pPr>
      <w:r>
        <w:tab/>
      </w:r>
      <w:r w:rsidRPr="00B30747">
        <w:rPr>
          <w:rStyle w:val="FootnoteReference"/>
        </w:rPr>
        <w:footnoteRef/>
      </w:r>
      <w:r w:rsidRPr="00B30747">
        <w:t xml:space="preserve"> </w:t>
      </w:r>
      <w:r w:rsidRPr="00B30747">
        <w:tab/>
        <w:t>RESA St. No. 2 at 26.</w:t>
      </w:r>
    </w:p>
  </w:footnote>
  <w:footnote w:id="145">
    <w:p w:rsidR="006D47C0" w:rsidRDefault="006D47C0" w:rsidP="006D47C0">
      <w:pPr>
        <w:pStyle w:val="FootnoteText"/>
      </w:pPr>
    </w:p>
    <w:p w:rsidR="006D47C0" w:rsidRDefault="006D47C0" w:rsidP="006D47C0">
      <w:pPr>
        <w:pStyle w:val="FootnoteText"/>
      </w:pPr>
      <w:r>
        <w:tab/>
      </w:r>
      <w:r w:rsidRPr="00B30747">
        <w:rPr>
          <w:rStyle w:val="FootnoteReference"/>
        </w:rPr>
        <w:footnoteRef/>
      </w:r>
      <w:r w:rsidRPr="00B30747">
        <w:t xml:space="preserve"> </w:t>
      </w:r>
      <w:r w:rsidRPr="00B30747">
        <w:tab/>
        <w:t>RESA St. No. 2 at 26.</w:t>
      </w:r>
    </w:p>
    <w:p w:rsidR="00CC4185" w:rsidRPr="00B30747" w:rsidRDefault="00CC4185" w:rsidP="006D47C0">
      <w:pPr>
        <w:pStyle w:val="FootnoteText"/>
      </w:pPr>
    </w:p>
  </w:footnote>
  <w:footnote w:id="146">
    <w:p w:rsidR="006D47C0" w:rsidRDefault="006D47C0" w:rsidP="006D47C0">
      <w:pPr>
        <w:pStyle w:val="FootnoteText"/>
      </w:pPr>
      <w:r>
        <w:tab/>
      </w:r>
      <w:r w:rsidRPr="00B30747">
        <w:rPr>
          <w:rStyle w:val="FootnoteReference"/>
        </w:rPr>
        <w:footnoteRef/>
      </w:r>
      <w:r w:rsidRPr="00B30747">
        <w:t xml:space="preserve"> </w:t>
      </w:r>
      <w:r w:rsidRPr="00B30747">
        <w:tab/>
        <w:t>RESA St. No. 2 at 26-27.</w:t>
      </w:r>
    </w:p>
    <w:p w:rsidR="006D47C0" w:rsidRPr="00B30747" w:rsidRDefault="006D47C0" w:rsidP="006D47C0">
      <w:pPr>
        <w:pStyle w:val="FootnoteText"/>
      </w:pPr>
    </w:p>
  </w:footnote>
  <w:footnote w:id="147">
    <w:p w:rsidR="006D47C0" w:rsidRDefault="006D47C0" w:rsidP="006D47C0">
      <w:pPr>
        <w:pStyle w:val="FootnoteText"/>
      </w:pPr>
      <w:r>
        <w:tab/>
      </w:r>
      <w:r w:rsidRPr="00B30747">
        <w:rPr>
          <w:rStyle w:val="FootnoteReference"/>
        </w:rPr>
        <w:footnoteRef/>
      </w:r>
      <w:r w:rsidRPr="00B30747">
        <w:t xml:space="preserve"> </w:t>
      </w:r>
      <w:r w:rsidRPr="00B30747">
        <w:tab/>
        <w:t>RESA St. No. 2 at 26.</w:t>
      </w:r>
    </w:p>
    <w:p w:rsidR="006D47C0" w:rsidRPr="00B30747" w:rsidRDefault="006D47C0" w:rsidP="006D47C0">
      <w:pPr>
        <w:pStyle w:val="FootnoteText"/>
      </w:pPr>
    </w:p>
  </w:footnote>
  <w:footnote w:id="148">
    <w:p w:rsidR="006D47C0" w:rsidRPr="00B30747" w:rsidRDefault="006D47C0" w:rsidP="006D47C0">
      <w:pPr>
        <w:pStyle w:val="FootnoteText"/>
      </w:pPr>
      <w:r>
        <w:tab/>
      </w:r>
      <w:r w:rsidRPr="00B30747">
        <w:rPr>
          <w:rStyle w:val="FootnoteReference"/>
        </w:rPr>
        <w:footnoteRef/>
      </w:r>
      <w:r w:rsidRPr="00B30747">
        <w:t xml:space="preserve"> </w:t>
      </w:r>
      <w:r w:rsidRPr="00B30747">
        <w:tab/>
        <w:t>RESA St. No. 2 at 26.</w:t>
      </w:r>
    </w:p>
  </w:footnote>
  <w:footnote w:id="149">
    <w:p w:rsidR="006D47C0" w:rsidRDefault="006D47C0" w:rsidP="006D47C0">
      <w:pPr>
        <w:pStyle w:val="FootnoteText"/>
      </w:pPr>
    </w:p>
    <w:p w:rsidR="006D47C0" w:rsidRPr="00B30747" w:rsidRDefault="006D47C0" w:rsidP="006D47C0">
      <w:pPr>
        <w:pStyle w:val="FootnoteText"/>
      </w:pPr>
      <w:r>
        <w:tab/>
      </w:r>
      <w:r w:rsidRPr="00B30747">
        <w:rPr>
          <w:rStyle w:val="FootnoteReference"/>
        </w:rPr>
        <w:footnoteRef/>
      </w:r>
      <w:r w:rsidRPr="00B30747">
        <w:t xml:space="preserve"> </w:t>
      </w:r>
      <w:r w:rsidRPr="00B30747">
        <w:tab/>
        <w:t>RESA St. No. 2 at 27-28.</w:t>
      </w:r>
    </w:p>
  </w:footnote>
  <w:footnote w:id="150">
    <w:p w:rsidR="006D47C0" w:rsidRDefault="006D47C0" w:rsidP="006D47C0">
      <w:pPr>
        <w:pStyle w:val="FootnoteText"/>
      </w:pPr>
    </w:p>
    <w:p w:rsidR="006D47C0" w:rsidRDefault="006D47C0" w:rsidP="006D47C0">
      <w:pPr>
        <w:pStyle w:val="FootnoteText"/>
      </w:pPr>
      <w:r>
        <w:tab/>
      </w:r>
      <w:r w:rsidRPr="00B30747">
        <w:rPr>
          <w:rStyle w:val="FootnoteReference"/>
        </w:rPr>
        <w:footnoteRef/>
      </w:r>
      <w:r w:rsidRPr="00B30747">
        <w:t xml:space="preserve"> </w:t>
      </w:r>
      <w:r w:rsidRPr="00B30747">
        <w:tab/>
        <w:t>RESA St. No. 2 at 27.</w:t>
      </w:r>
    </w:p>
    <w:p w:rsidR="005B680E" w:rsidRPr="00B30747" w:rsidRDefault="005B680E" w:rsidP="006D47C0">
      <w:pPr>
        <w:pStyle w:val="FootnoteText"/>
      </w:pPr>
    </w:p>
  </w:footnote>
  <w:footnote w:id="151">
    <w:p w:rsidR="006D47C0" w:rsidRDefault="006D47C0" w:rsidP="006D47C0">
      <w:pPr>
        <w:pStyle w:val="FootnoteText"/>
      </w:pPr>
      <w:r>
        <w:tab/>
      </w:r>
      <w:r>
        <w:rPr>
          <w:rStyle w:val="FootnoteReference"/>
        </w:rPr>
        <w:footnoteRef/>
      </w:r>
      <w:r>
        <w:t xml:space="preserve"> </w:t>
      </w:r>
      <w:r>
        <w:tab/>
        <w:t>The OSBA notes that the only retail market enhancement applicable to small business customers in Duquesne’s proposed plan is the New/Moving Customer Referral Program, which should incur little or no costs to implement.  OSBA Statement No. 1 at 8.</w:t>
      </w:r>
    </w:p>
    <w:p w:rsidR="006D47C0" w:rsidRDefault="006D47C0" w:rsidP="006D47C0">
      <w:pPr>
        <w:pStyle w:val="FootnoteText"/>
      </w:pPr>
    </w:p>
  </w:footnote>
  <w:footnote w:id="152">
    <w:p w:rsidR="006D47C0" w:rsidRDefault="006D47C0" w:rsidP="006D47C0">
      <w:pPr>
        <w:pStyle w:val="FootnoteText"/>
        <w:rPr>
          <w:b/>
        </w:rPr>
      </w:pPr>
      <w:r>
        <w:tab/>
      </w:r>
      <w:r>
        <w:rPr>
          <w:rStyle w:val="FootnoteReference"/>
        </w:rPr>
        <w:footnoteRef/>
      </w:r>
      <w:r>
        <w:t xml:space="preserve"> </w:t>
      </w:r>
      <w:r>
        <w:tab/>
      </w:r>
      <w:r w:rsidRPr="00176C14">
        <w:rPr>
          <w:i/>
        </w:rPr>
        <w:t>See</w:t>
      </w:r>
      <w:r>
        <w:t xml:space="preserve"> the </w:t>
      </w:r>
      <w:r w:rsidRPr="00176C14">
        <w:rPr>
          <w:i/>
        </w:rPr>
        <w:t>Investigation of Pennsylvania’s Retail Electricity Market: Intermediate Work Plan</w:t>
      </w:r>
      <w:r>
        <w:t xml:space="preserve">, Docket No. I-2011-2237952. </w:t>
      </w:r>
    </w:p>
    <w:p w:rsidR="006D47C0" w:rsidRPr="00176C14" w:rsidRDefault="006D47C0" w:rsidP="006D47C0">
      <w:pPr>
        <w:pStyle w:val="FootnoteText"/>
        <w:rPr>
          <w:b/>
        </w:rPr>
      </w:pPr>
    </w:p>
  </w:footnote>
  <w:footnote w:id="153">
    <w:p w:rsidR="006D47C0" w:rsidRDefault="006D47C0" w:rsidP="006D47C0">
      <w:pPr>
        <w:pStyle w:val="FootnoteText"/>
      </w:pPr>
      <w:r>
        <w:tab/>
      </w:r>
      <w:r>
        <w:rPr>
          <w:rStyle w:val="FootnoteReference"/>
        </w:rPr>
        <w:footnoteRef/>
      </w:r>
      <w:r>
        <w:t xml:space="preserve"> </w:t>
      </w:r>
      <w:r>
        <w:tab/>
        <w:t>RESA Statement No. 2 at 24.</w:t>
      </w:r>
    </w:p>
    <w:p w:rsidR="006D47C0" w:rsidRDefault="006D47C0" w:rsidP="006D47C0">
      <w:pPr>
        <w:pStyle w:val="FootnoteText"/>
      </w:pPr>
    </w:p>
  </w:footnote>
  <w:footnote w:id="154">
    <w:p w:rsidR="006D47C0" w:rsidRDefault="006D47C0" w:rsidP="006D47C0">
      <w:pPr>
        <w:pStyle w:val="FootnoteText"/>
      </w:pPr>
      <w:r>
        <w:tab/>
      </w:r>
      <w:r>
        <w:rPr>
          <w:rStyle w:val="FootnoteReference"/>
        </w:rPr>
        <w:footnoteRef/>
      </w:r>
      <w:r>
        <w:t xml:space="preserve"> </w:t>
      </w:r>
      <w:r>
        <w:tab/>
        <w:t>OSBA Statement No. 2 at 3.</w:t>
      </w:r>
    </w:p>
  </w:footnote>
  <w:footnote w:id="155">
    <w:p w:rsidR="006D47C0" w:rsidRDefault="006D47C0" w:rsidP="006D47C0">
      <w:pPr>
        <w:pStyle w:val="FootnoteText"/>
      </w:pPr>
      <w:r>
        <w:tab/>
      </w:r>
      <w:r w:rsidRPr="00F162BC">
        <w:rPr>
          <w:rStyle w:val="FootnoteReference"/>
        </w:rPr>
        <w:footnoteRef/>
      </w:r>
      <w:r w:rsidRPr="00F162BC">
        <w:t xml:space="preserve"> </w:t>
      </w:r>
      <w:r w:rsidRPr="00F162BC">
        <w:tab/>
        <w:t>RESA St. No. 2 at 24-25.</w:t>
      </w:r>
    </w:p>
    <w:p w:rsidR="006D47C0" w:rsidRPr="00F162BC" w:rsidRDefault="006D47C0" w:rsidP="006D47C0">
      <w:pPr>
        <w:pStyle w:val="FootnoteText"/>
      </w:pPr>
    </w:p>
  </w:footnote>
  <w:footnote w:id="156">
    <w:p w:rsidR="006D47C0" w:rsidRDefault="006D47C0" w:rsidP="006D47C0">
      <w:pPr>
        <w:pStyle w:val="FootnoteText"/>
      </w:pPr>
      <w:r>
        <w:tab/>
      </w:r>
      <w:r w:rsidRPr="00F162BC">
        <w:rPr>
          <w:rStyle w:val="FootnoteReference"/>
        </w:rPr>
        <w:footnoteRef/>
      </w:r>
      <w:r w:rsidRPr="00F162BC">
        <w:t xml:space="preserve"> </w:t>
      </w:r>
      <w:r w:rsidRPr="00F162BC">
        <w:tab/>
        <w:t>RESA St. No. 2 at 13.</w:t>
      </w:r>
    </w:p>
    <w:p w:rsidR="006D47C0" w:rsidRPr="00F162BC" w:rsidRDefault="006D47C0" w:rsidP="006D47C0">
      <w:pPr>
        <w:pStyle w:val="FootnoteText"/>
      </w:pPr>
    </w:p>
  </w:footnote>
  <w:footnote w:id="157">
    <w:p w:rsidR="006D47C0" w:rsidRDefault="006D47C0" w:rsidP="006D47C0">
      <w:pPr>
        <w:pStyle w:val="FootnoteText"/>
      </w:pPr>
      <w:r>
        <w:tab/>
      </w:r>
      <w:r>
        <w:rPr>
          <w:rStyle w:val="FootnoteReference"/>
        </w:rPr>
        <w:footnoteRef/>
      </w:r>
      <w:r>
        <w:t xml:space="preserve"> </w:t>
      </w:r>
      <w:r>
        <w:tab/>
      </w:r>
      <w:r>
        <w:rPr>
          <w:u w:val="single"/>
        </w:rPr>
        <w:t>See</w:t>
      </w:r>
      <w:r>
        <w:t xml:space="preserve"> CAUSE-PA Statement No. 1 at 5-9 (discussion of the difficulty of low-income households paying for essential needs).</w:t>
      </w:r>
    </w:p>
    <w:p w:rsidR="009640F6" w:rsidRDefault="009640F6" w:rsidP="006D47C0">
      <w:pPr>
        <w:pStyle w:val="FootnoteText"/>
        <w:rPr>
          <w:szCs w:val="24"/>
        </w:rPr>
      </w:pPr>
    </w:p>
  </w:footnote>
  <w:footnote w:id="158">
    <w:p w:rsidR="006D47C0" w:rsidRDefault="006D47C0" w:rsidP="006D47C0">
      <w:pPr>
        <w:pStyle w:val="FootnoteText"/>
        <w:rPr>
          <w:u w:val="single"/>
        </w:rPr>
      </w:pPr>
      <w:r>
        <w:tab/>
      </w:r>
      <w:r>
        <w:rPr>
          <w:rStyle w:val="FootnoteReference"/>
        </w:rPr>
        <w:footnoteRef/>
      </w:r>
      <w:r>
        <w:t xml:space="preserve"> </w:t>
      </w:r>
      <w:r>
        <w:tab/>
      </w:r>
      <w:r>
        <w:rPr>
          <w:u w:val="single"/>
        </w:rPr>
        <w:t>Ibid.</w:t>
      </w:r>
    </w:p>
    <w:p w:rsidR="00A02AD2" w:rsidRDefault="00A02AD2" w:rsidP="006D47C0">
      <w:pPr>
        <w:pStyle w:val="FootnoteText"/>
        <w:rPr>
          <w:u w:val="single"/>
        </w:rPr>
      </w:pPr>
    </w:p>
  </w:footnote>
  <w:footnote w:id="159">
    <w:p w:rsidR="006D47C0" w:rsidRDefault="006D47C0" w:rsidP="006D47C0">
      <w:pPr>
        <w:pStyle w:val="FootnoteText"/>
        <w:rPr>
          <w:rFonts w:cs="CG Times"/>
          <w:u w:val="single"/>
        </w:rPr>
      </w:pPr>
      <w:r>
        <w:tab/>
      </w:r>
      <w:r>
        <w:rPr>
          <w:rStyle w:val="FootnoteReference"/>
          <w:rFonts w:eastAsiaTheme="majorEastAsia"/>
        </w:rPr>
        <w:footnoteRef/>
      </w:r>
      <w:r>
        <w:t xml:space="preserve"> </w:t>
      </w:r>
      <w:r>
        <w:tab/>
        <w:t xml:space="preserve">Source:  2010 Universal Service Programs and Collection Performance at 9.  Available at: </w:t>
      </w:r>
      <w:hyperlink r:id="rId1" w:history="1">
        <w:r>
          <w:rPr>
            <w:rStyle w:val="Hyperlink"/>
            <w:rFonts w:eastAsiaTheme="majorEastAsia"/>
          </w:rPr>
          <w:t>http://www.puc.state.pa.us/general/publications_reports/pdf/EDC_NGDC_UniServ_Rpt2010.pdf</w:t>
        </w:r>
      </w:hyperlink>
    </w:p>
  </w:footnote>
  <w:footnote w:id="160">
    <w:p w:rsidR="006D47C0" w:rsidRDefault="006D47C0" w:rsidP="006D47C0">
      <w:pPr>
        <w:pStyle w:val="FootnoteText"/>
      </w:pPr>
    </w:p>
    <w:p w:rsidR="006D47C0" w:rsidRDefault="006D47C0" w:rsidP="006D47C0">
      <w:pPr>
        <w:pStyle w:val="FootnoteText"/>
        <w:rPr>
          <w:u w:val="single"/>
        </w:rPr>
      </w:pPr>
      <w:r>
        <w:tab/>
      </w:r>
      <w:r>
        <w:rPr>
          <w:rStyle w:val="FootnoteReference"/>
          <w:rFonts w:eastAsiaTheme="majorEastAsia"/>
        </w:rPr>
        <w:footnoteRef/>
      </w:r>
      <w:r>
        <w:t xml:space="preserve"> </w:t>
      </w:r>
      <w:r>
        <w:tab/>
      </w:r>
      <w:r>
        <w:rPr>
          <w:u w:val="single"/>
        </w:rPr>
        <w:t>Ibid.</w:t>
      </w:r>
    </w:p>
    <w:p w:rsidR="00427858" w:rsidRDefault="00427858" w:rsidP="006D47C0">
      <w:pPr>
        <w:pStyle w:val="FootnoteText"/>
        <w:rPr>
          <w:rFonts w:ascii="CG Times" w:hAnsi="CG Times"/>
          <w:u w:val="single"/>
        </w:rPr>
      </w:pPr>
    </w:p>
  </w:footnote>
  <w:footnote w:id="161">
    <w:p w:rsidR="006D47C0" w:rsidRDefault="006D47C0" w:rsidP="006D47C0">
      <w:pPr>
        <w:pStyle w:val="FootnoteText"/>
      </w:pPr>
      <w:r>
        <w:tab/>
      </w:r>
      <w:r>
        <w:rPr>
          <w:rStyle w:val="FootnoteReference"/>
        </w:rPr>
        <w:footnoteRef/>
      </w:r>
      <w:r>
        <w:t xml:space="preserve"> </w:t>
      </w:r>
      <w:r>
        <w:tab/>
        <w:t>IWP Final Order at 31-32; 43.</w:t>
      </w:r>
    </w:p>
    <w:p w:rsidR="00895D6E" w:rsidRDefault="00895D6E" w:rsidP="006D47C0">
      <w:pPr>
        <w:pStyle w:val="FootnoteText"/>
      </w:pPr>
    </w:p>
  </w:footnote>
  <w:footnote w:id="162">
    <w:p w:rsidR="006D47C0" w:rsidRDefault="006D47C0" w:rsidP="006D47C0">
      <w:pPr>
        <w:pStyle w:val="FootnoteText"/>
      </w:pPr>
      <w:r>
        <w:tab/>
      </w:r>
      <w:r>
        <w:rPr>
          <w:rStyle w:val="FootnoteReference"/>
        </w:rPr>
        <w:footnoteRef/>
      </w:r>
      <w:r>
        <w:t xml:space="preserve"> </w:t>
      </w:r>
      <w:r>
        <w:tab/>
      </w:r>
      <w:r>
        <w:rPr>
          <w:u w:val="single"/>
        </w:rPr>
        <w:t>See</w:t>
      </w:r>
      <w:r>
        <w:t xml:space="preserve"> CAUSE-PA Statement No. 1, Appendix B, Appendix B, Duquesne Response to CAUSE-PA Interrogatories Set I, No. 3.</w:t>
      </w:r>
    </w:p>
    <w:p w:rsidR="006D47C0" w:rsidRDefault="006D47C0" w:rsidP="006D47C0">
      <w:pPr>
        <w:pStyle w:val="FootnoteText"/>
      </w:pPr>
    </w:p>
  </w:footnote>
  <w:footnote w:id="163">
    <w:p w:rsidR="006D47C0" w:rsidRDefault="006D47C0" w:rsidP="006D47C0">
      <w:pPr>
        <w:pStyle w:val="FootnoteText"/>
      </w:pPr>
      <w:r>
        <w:tab/>
      </w:r>
      <w:r>
        <w:rPr>
          <w:rStyle w:val="FootnoteReference"/>
          <w:rFonts w:eastAsiaTheme="majorEastAsia"/>
        </w:rPr>
        <w:footnoteRef/>
      </w:r>
      <w:r>
        <w:t xml:space="preserve"> </w:t>
      </w:r>
      <w:r>
        <w:tab/>
        <w:t>CAUSE-PA Statement No. 1 at 8:1-9.</w:t>
      </w:r>
    </w:p>
  </w:footnote>
  <w:footnote w:id="164">
    <w:p w:rsidR="006D47C0" w:rsidRDefault="006D47C0" w:rsidP="006D47C0">
      <w:pPr>
        <w:pStyle w:val="FootnoteText"/>
      </w:pPr>
      <w:r>
        <w:tab/>
      </w:r>
      <w:r w:rsidRPr="00E5471C">
        <w:rPr>
          <w:rStyle w:val="FootnoteReference"/>
        </w:rPr>
        <w:footnoteRef/>
      </w:r>
      <w:r w:rsidRPr="00E5471C">
        <w:t xml:space="preserve"> </w:t>
      </w:r>
      <w:r w:rsidRPr="00E5471C">
        <w:tab/>
        <w:t>RESA St. No. 2 at 11.</w:t>
      </w:r>
    </w:p>
    <w:p w:rsidR="005F0BA9" w:rsidRPr="00E5471C" w:rsidRDefault="005F0BA9" w:rsidP="006D47C0">
      <w:pPr>
        <w:pStyle w:val="FootnoteText"/>
      </w:pPr>
    </w:p>
  </w:footnote>
  <w:footnote w:id="165">
    <w:p w:rsidR="006D47C0" w:rsidRPr="00E5471C" w:rsidRDefault="006D47C0" w:rsidP="006D47C0">
      <w:pPr>
        <w:pStyle w:val="FootnoteText"/>
      </w:pPr>
      <w:r>
        <w:tab/>
      </w:r>
      <w:r w:rsidRPr="00E5471C">
        <w:rPr>
          <w:rStyle w:val="FootnoteReference"/>
        </w:rPr>
        <w:footnoteRef/>
      </w:r>
      <w:r w:rsidRPr="00E5471C">
        <w:t xml:space="preserve"> </w:t>
      </w:r>
      <w:r w:rsidRPr="00E5471C">
        <w:tab/>
        <w:t>RESA St. No. 2 at 11.</w:t>
      </w:r>
    </w:p>
  </w:footnote>
  <w:footnote w:id="166">
    <w:p w:rsidR="006D47C0" w:rsidRDefault="006D47C0" w:rsidP="006D47C0">
      <w:pPr>
        <w:pStyle w:val="FootnoteText"/>
      </w:pPr>
    </w:p>
    <w:p w:rsidR="006D47C0" w:rsidRPr="00E5471C" w:rsidRDefault="006D47C0" w:rsidP="006D47C0">
      <w:pPr>
        <w:pStyle w:val="FootnoteText"/>
      </w:pPr>
      <w:r>
        <w:tab/>
      </w:r>
      <w:r w:rsidRPr="00E5471C">
        <w:rPr>
          <w:rStyle w:val="FootnoteReference"/>
        </w:rPr>
        <w:footnoteRef/>
      </w:r>
      <w:r w:rsidRPr="00E5471C">
        <w:t xml:space="preserve"> </w:t>
      </w:r>
      <w:r w:rsidRPr="00E5471C">
        <w:tab/>
        <w:t>RESA St. No. 2 at 11.</w:t>
      </w:r>
    </w:p>
  </w:footnote>
  <w:footnote w:id="167">
    <w:p w:rsidR="006D47C0" w:rsidRPr="00E5471C" w:rsidRDefault="006D47C0" w:rsidP="006D47C0">
      <w:pPr>
        <w:pStyle w:val="FootnoteText"/>
      </w:pPr>
      <w:r>
        <w:tab/>
      </w:r>
      <w:r w:rsidRPr="00E5471C">
        <w:rPr>
          <w:rStyle w:val="FootnoteReference"/>
        </w:rPr>
        <w:footnoteRef/>
      </w:r>
      <w:r w:rsidRPr="00E5471C">
        <w:t xml:space="preserve"> </w:t>
      </w:r>
      <w:r w:rsidRPr="00E5471C">
        <w:tab/>
        <w:t>RESA St. No. 2 at 11.</w:t>
      </w:r>
    </w:p>
  </w:footnote>
  <w:footnote w:id="168">
    <w:p w:rsidR="006D47C0" w:rsidRDefault="006D47C0" w:rsidP="006D47C0">
      <w:pPr>
        <w:pStyle w:val="FootnoteText"/>
      </w:pPr>
    </w:p>
    <w:p w:rsidR="006D47C0" w:rsidRPr="00E5471C" w:rsidRDefault="006D47C0" w:rsidP="006D47C0">
      <w:pPr>
        <w:pStyle w:val="FootnoteText"/>
      </w:pPr>
      <w:r>
        <w:tab/>
      </w:r>
      <w:r w:rsidRPr="00E5471C">
        <w:rPr>
          <w:rStyle w:val="FootnoteReference"/>
        </w:rPr>
        <w:footnoteRef/>
      </w:r>
      <w:r w:rsidRPr="00E5471C">
        <w:t xml:space="preserve"> </w:t>
      </w:r>
      <w:r w:rsidRPr="00E5471C">
        <w:tab/>
        <w:t>RESA St. No. 2 at 12.</w:t>
      </w:r>
    </w:p>
  </w:footnote>
  <w:footnote w:id="169">
    <w:p w:rsidR="006D47C0" w:rsidRDefault="006D47C0" w:rsidP="006D47C0">
      <w:pPr>
        <w:pStyle w:val="FootnoteText"/>
      </w:pPr>
    </w:p>
    <w:p w:rsidR="006D47C0" w:rsidRDefault="006D47C0" w:rsidP="006D47C0">
      <w:pPr>
        <w:pStyle w:val="FootnoteText"/>
      </w:pPr>
      <w:r>
        <w:tab/>
      </w:r>
      <w:r w:rsidRPr="00E5471C">
        <w:rPr>
          <w:rStyle w:val="FootnoteReference"/>
        </w:rPr>
        <w:footnoteRef/>
      </w:r>
      <w:r w:rsidRPr="00E5471C">
        <w:t xml:space="preserve"> </w:t>
      </w:r>
      <w:r w:rsidRPr="00E5471C">
        <w:tab/>
        <w:t>RESA St. No. 2 at 12.</w:t>
      </w:r>
    </w:p>
    <w:p w:rsidR="006D47C0" w:rsidRPr="00E5471C" w:rsidRDefault="006D47C0" w:rsidP="006D47C0">
      <w:pPr>
        <w:pStyle w:val="FootnoteText"/>
      </w:pPr>
    </w:p>
  </w:footnote>
  <w:footnote w:id="170">
    <w:p w:rsidR="006D47C0" w:rsidRDefault="006D47C0" w:rsidP="006D47C0">
      <w:pPr>
        <w:pStyle w:val="FootnoteText"/>
      </w:pPr>
      <w:r>
        <w:tab/>
      </w:r>
      <w:r w:rsidRPr="00E5471C">
        <w:rPr>
          <w:rStyle w:val="FootnoteReference"/>
        </w:rPr>
        <w:footnoteRef/>
      </w:r>
      <w:r w:rsidRPr="00E5471C">
        <w:t xml:space="preserve"> </w:t>
      </w:r>
      <w:r w:rsidRPr="00E5471C">
        <w:tab/>
        <w:t>RESA St. No. 2 at 12.</w:t>
      </w:r>
    </w:p>
    <w:p w:rsidR="00D914E6" w:rsidRPr="00E5471C" w:rsidRDefault="00D914E6" w:rsidP="006D47C0">
      <w:pPr>
        <w:pStyle w:val="FootnoteText"/>
      </w:pPr>
    </w:p>
  </w:footnote>
  <w:footnote w:id="171">
    <w:p w:rsidR="006D47C0" w:rsidRPr="00E5471C" w:rsidRDefault="006D47C0" w:rsidP="006D47C0">
      <w:pPr>
        <w:pStyle w:val="FootnoteText"/>
      </w:pPr>
      <w:r>
        <w:tab/>
      </w:r>
      <w:r w:rsidRPr="00E5471C">
        <w:rPr>
          <w:rStyle w:val="FootnoteReference"/>
        </w:rPr>
        <w:footnoteRef/>
      </w:r>
      <w:r w:rsidRPr="00E5471C">
        <w:t xml:space="preserve"> </w:t>
      </w:r>
      <w:r w:rsidRPr="00E5471C">
        <w:tab/>
      </w:r>
      <w:r w:rsidRPr="00E5471C">
        <w:rPr>
          <w:i/>
        </w:rPr>
        <w:t>See, e.g</w:t>
      </w:r>
      <w:r w:rsidRPr="00E5471C">
        <w:t xml:space="preserve">., Concurring and Dissenting Statement of Commissioner Cawley at 2, </w:t>
      </w:r>
      <w:r w:rsidRPr="00E5471C">
        <w:rPr>
          <w:i/>
        </w:rPr>
        <w:t>Investigation of Pennsylvania’s Retail Electricity Market</w:t>
      </w:r>
      <w:r w:rsidRPr="00E5471C">
        <w:t>, Docket No. I-2011-2237952 (Sept. 27, 2012).</w:t>
      </w:r>
    </w:p>
  </w:footnote>
  <w:footnote w:id="172">
    <w:p w:rsidR="006D47C0" w:rsidRPr="00F61F4B" w:rsidRDefault="006D47C0" w:rsidP="006D47C0">
      <w:pPr>
        <w:pStyle w:val="FootnoteText"/>
      </w:pPr>
      <w:r>
        <w:tab/>
      </w:r>
      <w:r w:rsidRPr="00F61F4B">
        <w:rPr>
          <w:rStyle w:val="FootnoteReference"/>
        </w:rPr>
        <w:footnoteRef/>
      </w:r>
      <w:r w:rsidRPr="00F61F4B">
        <w:t xml:space="preserve"> </w:t>
      </w:r>
      <w:r w:rsidRPr="00F61F4B">
        <w:tab/>
        <w:t>RESA St. No. 2 at 12-14.</w:t>
      </w:r>
    </w:p>
  </w:footnote>
  <w:footnote w:id="173">
    <w:p w:rsidR="006D47C0" w:rsidRDefault="006D47C0" w:rsidP="006D47C0">
      <w:pPr>
        <w:pStyle w:val="FootnoteText"/>
      </w:pPr>
    </w:p>
    <w:p w:rsidR="006D47C0" w:rsidRDefault="006D47C0" w:rsidP="006D47C0">
      <w:pPr>
        <w:pStyle w:val="FootnoteText"/>
      </w:pPr>
      <w:r>
        <w:tab/>
      </w:r>
      <w:r w:rsidRPr="00F61F4B">
        <w:rPr>
          <w:rStyle w:val="FootnoteReference"/>
        </w:rPr>
        <w:footnoteRef/>
      </w:r>
      <w:r w:rsidRPr="00F61F4B">
        <w:t xml:space="preserve"> </w:t>
      </w:r>
      <w:r w:rsidRPr="00F61F4B">
        <w:tab/>
      </w:r>
      <w:r w:rsidRPr="00F61F4B">
        <w:rPr>
          <w:i/>
        </w:rPr>
        <w:t>FirstEnergy Default Service Order</w:t>
      </w:r>
      <w:r w:rsidRPr="00F61F4B">
        <w:t xml:space="preserve"> at 103-104; </w:t>
      </w:r>
      <w:r w:rsidRPr="00F61F4B">
        <w:rPr>
          <w:i/>
        </w:rPr>
        <w:t>PECO Binding Poll</w:t>
      </w:r>
      <w:r w:rsidRPr="00F61F4B">
        <w:t xml:space="preserve"> at 17.</w:t>
      </w:r>
    </w:p>
    <w:p w:rsidR="00000FA2" w:rsidRPr="00F61F4B" w:rsidRDefault="00000FA2" w:rsidP="006D47C0">
      <w:pPr>
        <w:pStyle w:val="FootnoteText"/>
      </w:pPr>
    </w:p>
  </w:footnote>
  <w:footnote w:id="174">
    <w:p w:rsidR="006D47C0" w:rsidRPr="00F61F4B" w:rsidRDefault="006D47C0" w:rsidP="006D47C0">
      <w:pPr>
        <w:pStyle w:val="FootnoteText"/>
      </w:pPr>
      <w:r>
        <w:tab/>
      </w:r>
      <w:r w:rsidRPr="00F61F4B">
        <w:rPr>
          <w:rStyle w:val="FootnoteReference"/>
        </w:rPr>
        <w:footnoteRef/>
      </w:r>
      <w:r w:rsidRPr="00F61F4B">
        <w:t xml:space="preserve"> </w:t>
      </w:r>
      <w:r w:rsidRPr="00F61F4B">
        <w:tab/>
        <w:t>RESA St. No. 2 at 13-14 and Exhibit CK-1; RESA St. No. 2-SR at 3.</w:t>
      </w:r>
    </w:p>
  </w:footnote>
  <w:footnote w:id="175">
    <w:p w:rsidR="006D47C0" w:rsidRDefault="006D47C0" w:rsidP="006D47C0">
      <w:pPr>
        <w:pStyle w:val="FootnoteText"/>
      </w:pPr>
    </w:p>
    <w:p w:rsidR="006D47C0" w:rsidRPr="00F61F4B" w:rsidRDefault="006D47C0" w:rsidP="006D47C0">
      <w:pPr>
        <w:pStyle w:val="FootnoteText"/>
      </w:pPr>
      <w:r>
        <w:tab/>
      </w:r>
      <w:r w:rsidRPr="00F61F4B">
        <w:rPr>
          <w:rStyle w:val="FootnoteReference"/>
        </w:rPr>
        <w:footnoteRef/>
      </w:r>
      <w:r w:rsidRPr="00F61F4B">
        <w:t xml:space="preserve"> </w:t>
      </w:r>
      <w:r w:rsidRPr="00F61F4B">
        <w:tab/>
        <w:t>RESA St. No. 2 at 13.</w:t>
      </w:r>
    </w:p>
  </w:footnote>
  <w:footnote w:id="176">
    <w:p w:rsidR="006D47C0" w:rsidRDefault="006D47C0" w:rsidP="006D47C0">
      <w:pPr>
        <w:pStyle w:val="FootnoteText"/>
      </w:pPr>
      <w:r>
        <w:tab/>
      </w:r>
      <w:r>
        <w:rPr>
          <w:rStyle w:val="FootnoteReference"/>
        </w:rPr>
        <w:footnoteRef/>
      </w:r>
      <w:r>
        <w:t xml:space="preserve"> </w:t>
      </w:r>
      <w:r>
        <w:tab/>
        <w:t xml:space="preserve">It appears the Commission intends to include Small C&amp;I customers in PECO’s market enhancement programs as well.  The </w:t>
      </w:r>
      <w:r w:rsidRPr="00B705E8">
        <w:rPr>
          <w:i/>
        </w:rPr>
        <w:t>PECO Binding Poll</w:t>
      </w:r>
      <w:r>
        <w:t xml:space="preserve"> included only the issue of Small C&amp;I customer participation in PECO's Opt-In Program and there was no separate polling issue concerning their participation in PECO’s Referral Program.  </w:t>
      </w:r>
      <w:r w:rsidRPr="009973C5">
        <w:rPr>
          <w:i/>
        </w:rPr>
        <w:t>PECO Binding Poll</w:t>
      </w:r>
      <w:r>
        <w:t>, Issue #12.</w:t>
      </w:r>
    </w:p>
  </w:footnote>
  <w:footnote w:id="177">
    <w:p w:rsidR="006D47C0" w:rsidRPr="00776862" w:rsidRDefault="006D47C0" w:rsidP="006D47C0">
      <w:pPr>
        <w:pStyle w:val="FootnoteText"/>
      </w:pPr>
      <w:r>
        <w:tab/>
      </w:r>
      <w:r w:rsidRPr="00776862">
        <w:rPr>
          <w:rStyle w:val="FootnoteReference"/>
        </w:rPr>
        <w:footnoteRef/>
      </w:r>
      <w:r w:rsidRPr="00776862">
        <w:t xml:space="preserve"> </w:t>
      </w:r>
      <w:r w:rsidRPr="00776862">
        <w:tab/>
      </w:r>
      <w:r w:rsidRPr="00776862">
        <w:rPr>
          <w:i/>
        </w:rPr>
        <w:t xml:space="preserve">FirstEnergy Default Service Order </w:t>
      </w:r>
      <w:r w:rsidRPr="00776862">
        <w:t>at 127-129</w:t>
      </w:r>
      <w:r w:rsidRPr="00776862">
        <w:rPr>
          <w:i/>
        </w:rPr>
        <w:t>.</w:t>
      </w:r>
    </w:p>
  </w:footnote>
  <w:footnote w:id="178">
    <w:p w:rsidR="006D47C0" w:rsidRDefault="006D47C0" w:rsidP="006D47C0">
      <w:pPr>
        <w:pStyle w:val="FootnoteText"/>
      </w:pPr>
      <w:r>
        <w:tab/>
      </w:r>
      <w:r>
        <w:rPr>
          <w:rStyle w:val="FootnoteReference"/>
        </w:rPr>
        <w:footnoteRef/>
      </w:r>
      <w:r>
        <w:t xml:space="preserve"> </w:t>
      </w:r>
      <w:r>
        <w:tab/>
        <w:t>OCA Statement No. 2 at 12-13.</w:t>
      </w:r>
    </w:p>
  </w:footnote>
  <w:footnote w:id="179">
    <w:p w:rsidR="006D47C0" w:rsidRDefault="006D47C0" w:rsidP="006D47C0">
      <w:pPr>
        <w:pStyle w:val="FootnoteText"/>
      </w:pPr>
    </w:p>
    <w:p w:rsidR="006D47C0" w:rsidRDefault="006D47C0" w:rsidP="006D47C0">
      <w:pPr>
        <w:pStyle w:val="FootnoteText"/>
      </w:pPr>
      <w:r>
        <w:tab/>
      </w:r>
      <w:r>
        <w:rPr>
          <w:rStyle w:val="FootnoteReference"/>
        </w:rPr>
        <w:footnoteRef/>
      </w:r>
      <w:r>
        <w:t xml:space="preserve"> </w:t>
      </w:r>
      <w:r>
        <w:tab/>
        <w:t>OCA Statement No. 2 at 17.</w:t>
      </w:r>
    </w:p>
  </w:footnote>
  <w:footnote w:id="180">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27-29.</w:t>
      </w:r>
    </w:p>
  </w:footnote>
  <w:footnote w:id="181">
    <w:p w:rsidR="006D47C0" w:rsidRDefault="006D47C0" w:rsidP="006D47C0">
      <w:pPr>
        <w:pStyle w:val="FootnoteText"/>
      </w:pPr>
    </w:p>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27.</w:t>
      </w:r>
    </w:p>
  </w:footnote>
  <w:footnote w:id="182">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2-SR at 17.</w:t>
      </w:r>
    </w:p>
  </w:footnote>
  <w:footnote w:id="183">
    <w:p w:rsidR="006D47C0" w:rsidRDefault="006D47C0" w:rsidP="006D47C0">
      <w:pPr>
        <w:pStyle w:val="FootnoteText"/>
      </w:pPr>
    </w:p>
    <w:p w:rsidR="006D47C0" w:rsidRDefault="006D47C0" w:rsidP="006D47C0">
      <w:pPr>
        <w:pStyle w:val="FootnoteText"/>
      </w:pPr>
      <w:r>
        <w:tab/>
      </w:r>
      <w:r w:rsidRPr="00B92533">
        <w:rPr>
          <w:rStyle w:val="FootnoteReference"/>
        </w:rPr>
        <w:footnoteRef/>
      </w:r>
      <w:r w:rsidRPr="00B92533">
        <w:t xml:space="preserve"> </w:t>
      </w:r>
      <w:r w:rsidRPr="00B92533">
        <w:tab/>
        <w:t>RESA St. No. 2-SR at 17.</w:t>
      </w:r>
    </w:p>
    <w:p w:rsidR="00927925" w:rsidRPr="00B92533" w:rsidRDefault="00927925" w:rsidP="006D47C0">
      <w:pPr>
        <w:pStyle w:val="FootnoteText"/>
      </w:pPr>
    </w:p>
  </w:footnote>
  <w:footnote w:id="184">
    <w:p w:rsidR="006D47C0" w:rsidRDefault="006D47C0" w:rsidP="006D47C0">
      <w:pPr>
        <w:pStyle w:val="FootnoteText"/>
      </w:pPr>
      <w:r>
        <w:tab/>
      </w:r>
      <w:r w:rsidRPr="00B92533">
        <w:rPr>
          <w:rStyle w:val="FootnoteReference"/>
        </w:rPr>
        <w:footnoteRef/>
      </w:r>
      <w:r w:rsidRPr="00B92533">
        <w:t xml:space="preserve"> </w:t>
      </w:r>
      <w:r w:rsidRPr="00B92533">
        <w:tab/>
        <w:t>RESA St. No. 2-SR at 17.</w:t>
      </w:r>
    </w:p>
    <w:p w:rsidR="006D47C0" w:rsidRPr="00B92533" w:rsidRDefault="006D47C0" w:rsidP="006D47C0">
      <w:pPr>
        <w:pStyle w:val="FootnoteText"/>
      </w:pPr>
    </w:p>
  </w:footnote>
  <w:footnote w:id="185">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28-29.</w:t>
      </w:r>
    </w:p>
  </w:footnote>
  <w:footnote w:id="186">
    <w:p w:rsidR="006D47C0" w:rsidRDefault="006D47C0" w:rsidP="006D47C0">
      <w:pPr>
        <w:pStyle w:val="FootnoteText"/>
      </w:pPr>
    </w:p>
    <w:p w:rsidR="006D47C0" w:rsidRDefault="006D47C0" w:rsidP="006D47C0">
      <w:pPr>
        <w:pStyle w:val="FootnoteText"/>
      </w:pPr>
      <w:r>
        <w:tab/>
      </w:r>
      <w:r w:rsidRPr="00B92533">
        <w:rPr>
          <w:rStyle w:val="FootnoteReference"/>
        </w:rPr>
        <w:footnoteRef/>
      </w:r>
      <w:r w:rsidRPr="00B92533">
        <w:t xml:space="preserve"> </w:t>
      </w:r>
      <w:r w:rsidRPr="00B92533">
        <w:tab/>
        <w:t>RESA St. No. 2 at 28.</w:t>
      </w:r>
    </w:p>
    <w:p w:rsidR="006D47C0" w:rsidRPr="00B92533" w:rsidRDefault="006D47C0" w:rsidP="006D47C0">
      <w:pPr>
        <w:pStyle w:val="FootnoteText"/>
      </w:pPr>
    </w:p>
  </w:footnote>
  <w:footnote w:id="187">
    <w:p w:rsidR="006D47C0" w:rsidRDefault="006D47C0" w:rsidP="006D47C0">
      <w:pPr>
        <w:pStyle w:val="FootnoteText"/>
      </w:pPr>
      <w:r>
        <w:tab/>
      </w:r>
      <w:r w:rsidRPr="00B92533">
        <w:rPr>
          <w:rStyle w:val="FootnoteReference"/>
        </w:rPr>
        <w:footnoteRef/>
      </w:r>
      <w:r w:rsidRPr="00B92533">
        <w:t xml:space="preserve"> </w:t>
      </w:r>
      <w:r w:rsidRPr="00B92533">
        <w:tab/>
        <w:t>RESA St. No. 2 at 28.</w:t>
      </w:r>
    </w:p>
    <w:p w:rsidR="00951A8E" w:rsidRPr="00B92533" w:rsidRDefault="00951A8E" w:rsidP="006D47C0">
      <w:pPr>
        <w:pStyle w:val="FootnoteText"/>
      </w:pPr>
    </w:p>
  </w:footnote>
  <w:footnote w:id="188">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28-29.</w:t>
      </w:r>
    </w:p>
  </w:footnote>
  <w:footnote w:id="189">
    <w:p w:rsidR="006D47C0" w:rsidRDefault="006D47C0" w:rsidP="006D47C0">
      <w:pPr>
        <w:pStyle w:val="FootnoteText"/>
      </w:pPr>
    </w:p>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29.</w:t>
      </w:r>
    </w:p>
  </w:footnote>
  <w:footnote w:id="190">
    <w:p w:rsidR="006D47C0" w:rsidRDefault="006D47C0" w:rsidP="006D47C0">
      <w:pPr>
        <w:pStyle w:val="FootnoteText"/>
      </w:pPr>
    </w:p>
    <w:p w:rsidR="006D47C0" w:rsidRPr="00B92533" w:rsidRDefault="006D47C0" w:rsidP="006D47C0">
      <w:pPr>
        <w:pStyle w:val="FootnoteText"/>
      </w:pPr>
      <w:r>
        <w:tab/>
      </w:r>
      <w:r w:rsidRPr="00B92533">
        <w:rPr>
          <w:rStyle w:val="FootnoteReference"/>
        </w:rPr>
        <w:footnoteRef/>
      </w:r>
      <w:r w:rsidRPr="00B92533">
        <w:t xml:space="preserve"> </w:t>
      </w:r>
      <w:r w:rsidRPr="00B92533">
        <w:tab/>
        <w:t>RESA St. No. 2 at 25.</w:t>
      </w:r>
    </w:p>
  </w:footnote>
  <w:footnote w:id="191">
    <w:p w:rsidR="006D47C0" w:rsidRDefault="006D47C0" w:rsidP="006D47C0">
      <w:pPr>
        <w:pStyle w:val="FootnoteText"/>
      </w:pPr>
      <w:r>
        <w:tab/>
      </w:r>
      <w:r w:rsidRPr="00B92533">
        <w:rPr>
          <w:rStyle w:val="FootnoteReference"/>
        </w:rPr>
        <w:footnoteRef/>
      </w:r>
      <w:r w:rsidRPr="00B92533">
        <w:t xml:space="preserve"> </w:t>
      </w:r>
      <w:r w:rsidRPr="00B92533">
        <w:tab/>
        <w:t>RESA St. No. 2 at 25.</w:t>
      </w:r>
    </w:p>
    <w:p w:rsidR="001065FF" w:rsidRPr="00B92533" w:rsidRDefault="001065FF" w:rsidP="006D47C0">
      <w:pPr>
        <w:pStyle w:val="FootnoteText"/>
      </w:pPr>
    </w:p>
  </w:footnote>
  <w:footnote w:id="192">
    <w:p w:rsidR="006D47C0" w:rsidRDefault="006D47C0" w:rsidP="006D47C0">
      <w:pPr>
        <w:pStyle w:val="FootnoteText"/>
      </w:pPr>
      <w:r>
        <w:tab/>
      </w:r>
      <w:r>
        <w:rPr>
          <w:rStyle w:val="FootnoteReference"/>
        </w:rPr>
        <w:footnoteRef/>
      </w:r>
      <w:r>
        <w:t xml:space="preserve"> </w:t>
      </w:r>
      <w:r>
        <w:tab/>
        <w:t>RESA Statement No. 2 at 27.</w:t>
      </w:r>
    </w:p>
    <w:p w:rsidR="00FF54EC" w:rsidRDefault="00FF54EC" w:rsidP="006D47C0">
      <w:pPr>
        <w:pStyle w:val="FootnoteText"/>
      </w:pPr>
    </w:p>
  </w:footnote>
  <w:footnote w:id="193">
    <w:p w:rsidR="006D47C0" w:rsidRDefault="006D47C0" w:rsidP="006D47C0">
      <w:pPr>
        <w:pStyle w:val="FootnoteText"/>
      </w:pPr>
      <w:r>
        <w:tab/>
      </w:r>
      <w:r>
        <w:rPr>
          <w:rStyle w:val="FootnoteReference"/>
        </w:rPr>
        <w:footnoteRef/>
      </w:r>
      <w:r>
        <w:tab/>
        <w:t>66 Pa. C.S.A. §2807(e)(3.9).</w:t>
      </w:r>
    </w:p>
  </w:footnote>
  <w:footnote w:id="194">
    <w:p w:rsidR="006D47C0" w:rsidRDefault="006D47C0" w:rsidP="006D47C0">
      <w:pPr>
        <w:pStyle w:val="FootnoteText"/>
      </w:pPr>
    </w:p>
    <w:p w:rsidR="006D47C0" w:rsidRDefault="006D47C0" w:rsidP="006D47C0">
      <w:pPr>
        <w:pStyle w:val="FootnoteText"/>
      </w:pPr>
      <w:r>
        <w:tab/>
      </w:r>
      <w:r>
        <w:rPr>
          <w:rStyle w:val="FootnoteReference"/>
        </w:rPr>
        <w:footnoteRef/>
      </w:r>
      <w:r>
        <w:t xml:space="preserve"> </w:t>
      </w:r>
      <w:r>
        <w:tab/>
        <w:t>OSBA Statement No. 2 at 8.</w:t>
      </w:r>
    </w:p>
    <w:p w:rsidR="006D47C0" w:rsidRDefault="006D47C0" w:rsidP="006D47C0">
      <w:pPr>
        <w:pStyle w:val="FootnoteText"/>
      </w:pPr>
    </w:p>
  </w:footnote>
  <w:footnote w:id="195">
    <w:p w:rsidR="006D47C0" w:rsidRDefault="006D47C0" w:rsidP="006D47C0">
      <w:pPr>
        <w:pStyle w:val="FootnoteText"/>
      </w:pPr>
      <w:r>
        <w:tab/>
      </w:r>
      <w:r>
        <w:rPr>
          <w:rStyle w:val="FootnoteReference"/>
        </w:rPr>
        <w:footnoteRef/>
      </w:r>
      <w:r>
        <w:t xml:space="preserve"> </w:t>
      </w:r>
      <w:r>
        <w:tab/>
        <w:t>OCA Statement 1-R at 12.</w:t>
      </w:r>
    </w:p>
    <w:p w:rsidR="006D47C0" w:rsidRDefault="006D47C0" w:rsidP="006D47C0">
      <w:pPr>
        <w:pStyle w:val="FootnoteText"/>
      </w:pPr>
    </w:p>
  </w:footnote>
  <w:footnote w:id="196">
    <w:p w:rsidR="006D47C0" w:rsidRDefault="006D47C0" w:rsidP="006D47C0">
      <w:pPr>
        <w:pStyle w:val="FootnoteText"/>
      </w:pPr>
      <w:r>
        <w:tab/>
      </w:r>
      <w:r>
        <w:rPr>
          <w:rStyle w:val="FootnoteReference"/>
        </w:rPr>
        <w:footnoteRef/>
      </w:r>
      <w:r>
        <w:t xml:space="preserve"> </w:t>
      </w:r>
      <w:r>
        <w:tab/>
        <w:t>OCA Statement 1-R at 13.</w:t>
      </w:r>
    </w:p>
    <w:p w:rsidR="006D47C0" w:rsidRDefault="006D47C0" w:rsidP="006D47C0">
      <w:pPr>
        <w:pStyle w:val="FootnoteText"/>
      </w:pPr>
    </w:p>
  </w:footnote>
  <w:footnote w:id="197">
    <w:p w:rsidR="006D47C0" w:rsidRDefault="006D47C0" w:rsidP="006D47C0">
      <w:pPr>
        <w:pStyle w:val="FootnoteText"/>
      </w:pPr>
      <w:r>
        <w:tab/>
      </w:r>
      <w:r>
        <w:rPr>
          <w:rStyle w:val="FootnoteReference"/>
        </w:rPr>
        <w:footnoteRef/>
      </w:r>
      <w:r>
        <w:t xml:space="preserve"> </w:t>
      </w:r>
      <w:r>
        <w:tab/>
        <w:t>RESA Statement No. 1 at 27.</w:t>
      </w:r>
    </w:p>
    <w:p w:rsidR="006D47C0" w:rsidRDefault="006D47C0" w:rsidP="006D47C0">
      <w:pPr>
        <w:pStyle w:val="FootnoteText"/>
      </w:pPr>
    </w:p>
  </w:footnote>
  <w:footnote w:id="198">
    <w:p w:rsidR="006D47C0" w:rsidRDefault="006D47C0" w:rsidP="006D47C0">
      <w:pPr>
        <w:pStyle w:val="FootnoteText"/>
      </w:pPr>
      <w:r>
        <w:tab/>
      </w:r>
      <w:r>
        <w:rPr>
          <w:rStyle w:val="FootnoteReference"/>
        </w:rPr>
        <w:footnoteRef/>
      </w:r>
      <w:r>
        <w:t xml:space="preserve"> </w:t>
      </w:r>
      <w:r>
        <w:tab/>
      </w:r>
      <w:r w:rsidRPr="00D469BE">
        <w:rPr>
          <w:i/>
        </w:rPr>
        <w:t>Id.</w:t>
      </w:r>
      <w:r>
        <w:t xml:space="preserve"> at 27-28.</w:t>
      </w:r>
    </w:p>
    <w:p w:rsidR="006D47C0" w:rsidRPr="00D469BE" w:rsidRDefault="006D47C0" w:rsidP="006D47C0">
      <w:pPr>
        <w:pStyle w:val="FootnoteText"/>
      </w:pPr>
    </w:p>
  </w:footnote>
  <w:footnote w:id="199">
    <w:p w:rsidR="006D47C0" w:rsidRDefault="006D47C0" w:rsidP="006D47C0">
      <w:pPr>
        <w:pStyle w:val="FootnoteText"/>
      </w:pPr>
      <w:r>
        <w:tab/>
      </w:r>
      <w:r>
        <w:rPr>
          <w:rStyle w:val="FootnoteReference"/>
        </w:rPr>
        <w:footnoteRef/>
      </w:r>
      <w:r>
        <w:t xml:space="preserve"> </w:t>
      </w:r>
      <w:r>
        <w:tab/>
        <w:t>OCA Statement No. 1-R at 12.</w:t>
      </w:r>
    </w:p>
    <w:p w:rsidR="006D47C0" w:rsidRDefault="006D47C0" w:rsidP="006D47C0">
      <w:pPr>
        <w:pStyle w:val="FootnoteText"/>
      </w:pPr>
    </w:p>
  </w:footnote>
  <w:footnote w:id="200">
    <w:p w:rsidR="006D47C0" w:rsidRDefault="006D47C0" w:rsidP="006D47C0">
      <w:pPr>
        <w:pStyle w:val="FootnoteText"/>
      </w:pPr>
      <w:r>
        <w:tab/>
      </w:r>
      <w:r>
        <w:rPr>
          <w:rStyle w:val="FootnoteReference"/>
        </w:rPr>
        <w:footnoteRef/>
      </w:r>
      <w:r>
        <w:t xml:space="preserve"> </w:t>
      </w:r>
      <w:r>
        <w:tab/>
        <w:t>OSBA Statement No. 2 at 9.</w:t>
      </w:r>
    </w:p>
    <w:p w:rsidR="006D47C0" w:rsidRDefault="006D47C0" w:rsidP="006D47C0">
      <w:pPr>
        <w:pStyle w:val="FootnoteText"/>
      </w:pPr>
    </w:p>
  </w:footnote>
  <w:footnote w:id="201">
    <w:p w:rsidR="006D47C0" w:rsidRDefault="006D47C0" w:rsidP="006D47C0">
      <w:pPr>
        <w:pStyle w:val="FootnoteText"/>
      </w:pPr>
      <w:r>
        <w:tab/>
      </w:r>
      <w:r>
        <w:rPr>
          <w:rStyle w:val="FootnoteReference"/>
        </w:rPr>
        <w:footnoteRef/>
      </w:r>
      <w:r>
        <w:t xml:space="preserve"> </w:t>
      </w:r>
      <w:r>
        <w:tab/>
        <w:t>Id.</w:t>
      </w:r>
    </w:p>
    <w:p w:rsidR="006D47C0" w:rsidRDefault="006D47C0" w:rsidP="006D47C0">
      <w:pPr>
        <w:pStyle w:val="FootnoteText"/>
      </w:pPr>
    </w:p>
  </w:footnote>
  <w:footnote w:id="202">
    <w:p w:rsidR="006D47C0" w:rsidRDefault="006D47C0" w:rsidP="006D47C0">
      <w:pPr>
        <w:pStyle w:val="FootnoteText"/>
      </w:pPr>
      <w:r>
        <w:tab/>
      </w:r>
      <w:r>
        <w:rPr>
          <w:rStyle w:val="FootnoteReference"/>
        </w:rPr>
        <w:footnoteRef/>
      </w:r>
      <w:r>
        <w:t xml:space="preserve"> </w:t>
      </w:r>
      <w:r>
        <w:tab/>
      </w:r>
      <w:r>
        <w:rPr>
          <w:i/>
        </w:rPr>
        <w:t>See Lloyd v. PA Public Utility Commission,</w:t>
      </w:r>
      <w:r>
        <w:t xml:space="preserve"> 904 A.2d 1010 (Pa. Cmwlth. 2006).</w:t>
      </w:r>
    </w:p>
    <w:p w:rsidR="006D47C0" w:rsidRPr="001A48E4" w:rsidRDefault="006D47C0" w:rsidP="006D47C0">
      <w:pPr>
        <w:pStyle w:val="FootnoteText"/>
      </w:pPr>
    </w:p>
  </w:footnote>
  <w:footnote w:id="203">
    <w:p w:rsidR="006D47C0" w:rsidRDefault="006D47C0" w:rsidP="006D47C0">
      <w:pPr>
        <w:pStyle w:val="FootnoteText"/>
      </w:pPr>
      <w:r>
        <w:tab/>
      </w:r>
      <w:r>
        <w:rPr>
          <w:rStyle w:val="FootnoteReference"/>
          <w:rFonts w:eastAsiaTheme="majorEastAsia"/>
        </w:rPr>
        <w:footnoteRef/>
      </w:r>
      <w:r>
        <w:t xml:space="preserve"> </w:t>
      </w:r>
      <w:r>
        <w:tab/>
        <w:t>CAUSE-PA Statement No. 1 at 17-18.</w:t>
      </w:r>
    </w:p>
  </w:footnote>
  <w:footnote w:id="204">
    <w:p w:rsidR="00332B66" w:rsidRPr="00E406CD" w:rsidRDefault="00332B66" w:rsidP="00332B66">
      <w:pPr>
        <w:pStyle w:val="FootnoteText"/>
      </w:pPr>
      <w:r>
        <w:tab/>
      </w:r>
      <w:r w:rsidRPr="00E406CD">
        <w:rPr>
          <w:rStyle w:val="FootnoteReference"/>
        </w:rPr>
        <w:footnoteRef/>
      </w:r>
      <w:r w:rsidRPr="00E406CD">
        <w:t xml:space="preserve"> </w:t>
      </w:r>
      <w:r w:rsidRPr="00E406CD">
        <w:tab/>
      </w:r>
      <w:r w:rsidRPr="00E406CD">
        <w:rPr>
          <w:color w:val="000000"/>
          <w:u w:val="single"/>
        </w:rPr>
        <w:t>Cohen v. Pa.</w:t>
      </w:r>
      <w:r>
        <w:rPr>
          <w:color w:val="000000"/>
          <w:u w:val="single"/>
        </w:rPr>
        <w:t xml:space="preserve"> </w:t>
      </w:r>
      <w:r w:rsidRPr="00E406CD">
        <w:rPr>
          <w:color w:val="000000"/>
          <w:u w:val="single"/>
        </w:rPr>
        <w:t>PUC, et al.</w:t>
      </w:r>
      <w:r w:rsidRPr="00E406CD">
        <w:rPr>
          <w:color w:val="000000"/>
        </w:rPr>
        <w:t>, 468 A.2d 1143, 1150 (Pa. Commw. Ct. 1983)</w:t>
      </w:r>
      <w:r w:rsidRPr="00E406CD">
        <w:rPr>
          <w:color w:val="000000"/>
        </w:rPr>
        <w:fldChar w:fldCharType="begin"/>
      </w:r>
      <w:r w:rsidRPr="00E406CD">
        <w:instrText xml:space="preserve"> TA \l "</w:instrText>
      </w:r>
      <w:r w:rsidRPr="00E406CD">
        <w:rPr>
          <w:color w:val="000000"/>
          <w:u w:val="single"/>
        </w:rPr>
        <w:instrText>Cohen v. Pa.PUC, et al.</w:instrText>
      </w:r>
      <w:r w:rsidRPr="00E406CD">
        <w:rPr>
          <w:color w:val="000000"/>
        </w:rPr>
        <w:instrText>, 468 A.2d 1143, 1150 (Pa. Commw. Ct. 1983)</w:instrText>
      </w:r>
      <w:r w:rsidRPr="00E406CD">
        <w:instrText xml:space="preserve">" \s "Cohen v. Pa.PUC, et al., 468 A.2d 1143, 1150 (Pa. Commw. Ct. 1983)" \c 1 </w:instrText>
      </w:r>
      <w:r w:rsidRPr="00E406CD">
        <w:rPr>
          <w:color w:val="000000"/>
        </w:rPr>
        <w:fldChar w:fldCharType="end"/>
      </w:r>
      <w:r w:rsidRPr="00E406CD">
        <w:rPr>
          <w:color w:val="000000"/>
        </w:rPr>
        <w:t xml:space="preserve"> (internal citations omitted); </w:t>
      </w:r>
      <w:r w:rsidRPr="00E406CD">
        <w:rPr>
          <w:color w:val="000000"/>
          <w:u w:val="single"/>
        </w:rPr>
        <w:t>See</w:t>
      </w:r>
      <w:r w:rsidRPr="00E406CD">
        <w:rPr>
          <w:color w:val="000000"/>
        </w:rPr>
        <w:t xml:space="preserve"> </w:t>
      </w:r>
      <w:r w:rsidRPr="00E406CD">
        <w:rPr>
          <w:color w:val="000000"/>
          <w:u w:val="single"/>
        </w:rPr>
        <w:t>also</w:t>
      </w:r>
      <w:r w:rsidRPr="00E406CD">
        <w:rPr>
          <w:color w:val="000000"/>
        </w:rPr>
        <w:t xml:space="preserve">, </w:t>
      </w:r>
      <w:r w:rsidRPr="00E406CD">
        <w:rPr>
          <w:color w:val="000000"/>
          <w:u w:val="single"/>
        </w:rPr>
        <w:t>Barasch v. Pa.</w:t>
      </w:r>
      <w:r>
        <w:rPr>
          <w:color w:val="000000"/>
          <w:u w:val="single"/>
        </w:rPr>
        <w:t xml:space="preserve"> </w:t>
      </w:r>
      <w:r w:rsidRPr="00E406CD">
        <w:rPr>
          <w:color w:val="000000"/>
          <w:u w:val="single"/>
        </w:rPr>
        <w:t>PUC</w:t>
      </w:r>
      <w:r w:rsidRPr="00E406CD">
        <w:rPr>
          <w:color w:val="000000"/>
        </w:rPr>
        <w:t>, 532 A.2d 325, 336 (Pa. 1987)</w:t>
      </w:r>
      <w:r w:rsidRPr="00E406CD">
        <w:rPr>
          <w:color w:val="000000"/>
        </w:rPr>
        <w:fldChar w:fldCharType="begin"/>
      </w:r>
      <w:r w:rsidRPr="00E406CD">
        <w:instrText xml:space="preserve"> TA \l "</w:instrText>
      </w:r>
      <w:r w:rsidRPr="00E406CD">
        <w:rPr>
          <w:color w:val="000000"/>
          <w:u w:val="single"/>
        </w:rPr>
        <w:instrText>Barasch v. Pa.PUC</w:instrText>
      </w:r>
      <w:r w:rsidRPr="00E406CD">
        <w:rPr>
          <w:color w:val="000000"/>
        </w:rPr>
        <w:instrText>, 532 A.2d 325, 336 (Pa. 1987)</w:instrText>
      </w:r>
      <w:r w:rsidRPr="00E406CD">
        <w:instrText xml:space="preserve">" \s "Barasch v. Pa.PUC, 532 A.2d 325, 336 (Pa. 1987)" \c 1 </w:instrText>
      </w:r>
      <w:r w:rsidRPr="00E406CD">
        <w:rPr>
          <w:color w:val="000000"/>
        </w:rPr>
        <w:fldChar w:fldCharType="end"/>
      </w:r>
      <w:r w:rsidRPr="00E406CD">
        <w:rPr>
          <w:color w:val="000000"/>
        </w:rPr>
        <w:t xml:space="preserve">; </w:t>
      </w:r>
      <w:r w:rsidRPr="00E406CD">
        <w:rPr>
          <w:color w:val="000000"/>
          <w:u w:val="single"/>
        </w:rPr>
        <w:t>Popowsky v. Pa.</w:t>
      </w:r>
      <w:r>
        <w:rPr>
          <w:color w:val="000000"/>
          <w:u w:val="single"/>
        </w:rPr>
        <w:t xml:space="preserve"> </w:t>
      </w:r>
      <w:r w:rsidRPr="00E406CD">
        <w:rPr>
          <w:color w:val="000000"/>
          <w:u w:val="single"/>
        </w:rPr>
        <w:t>PUC</w:t>
      </w:r>
      <w:r w:rsidRPr="00E406CD">
        <w:rPr>
          <w:color w:val="000000"/>
        </w:rPr>
        <w:t>, 695 A.2d 448, 455 (Pa. Commw. Ct. 1997)</w:t>
      </w:r>
      <w:r w:rsidRPr="00E406CD">
        <w:rPr>
          <w:color w:val="000000"/>
        </w:rPr>
        <w:fldChar w:fldCharType="begin"/>
      </w:r>
      <w:r w:rsidRPr="00E406CD">
        <w:instrText xml:space="preserve"> TA \l "</w:instrText>
      </w:r>
      <w:r w:rsidRPr="00E406CD">
        <w:rPr>
          <w:color w:val="000000"/>
          <w:u w:val="single"/>
        </w:rPr>
        <w:instrText>Popowsky v. Pa.PUC</w:instrText>
      </w:r>
      <w:r w:rsidRPr="00E406CD">
        <w:rPr>
          <w:color w:val="000000"/>
        </w:rPr>
        <w:instrText>, 695 A.2d 448, 455 (Pa. Commw. Ct. 1997)</w:instrText>
      </w:r>
      <w:r w:rsidRPr="00E406CD">
        <w:instrText xml:space="preserve">" \s "Popowsky v. Pa.PUC, 695 A.2d 448, 455 (Pa. Commw. Ct. 1997)" \c 1 </w:instrText>
      </w:r>
      <w:r w:rsidRPr="00E406CD">
        <w:rPr>
          <w:color w:val="000000"/>
        </w:rPr>
        <w:fldChar w:fldCharType="end"/>
      </w:r>
      <w:r w:rsidRPr="00E406CD">
        <w:rPr>
          <w:color w:val="000000"/>
        </w:rPr>
        <w:t>.</w:t>
      </w:r>
    </w:p>
  </w:footnote>
  <w:footnote w:id="205">
    <w:p w:rsidR="006D47C0" w:rsidRDefault="006D47C0" w:rsidP="006D47C0">
      <w:pPr>
        <w:pStyle w:val="FootnoteText"/>
      </w:pPr>
      <w:r>
        <w:tab/>
      </w:r>
      <w:r w:rsidRPr="006B2979">
        <w:rPr>
          <w:rStyle w:val="FootnoteReference"/>
        </w:rPr>
        <w:footnoteRef/>
      </w:r>
      <w:r w:rsidRPr="006B2979">
        <w:t xml:space="preserve"> </w:t>
      </w:r>
      <w:r w:rsidRPr="006B2979">
        <w:tab/>
        <w:t>RESA St. No. 1 at 20.</w:t>
      </w:r>
    </w:p>
    <w:p w:rsidR="006D47C0" w:rsidRPr="006B2979" w:rsidRDefault="006D47C0" w:rsidP="006D47C0">
      <w:pPr>
        <w:pStyle w:val="FootnoteText"/>
      </w:pPr>
    </w:p>
  </w:footnote>
  <w:footnote w:id="206">
    <w:p w:rsidR="006D47C0" w:rsidRPr="006B2979" w:rsidRDefault="006D47C0" w:rsidP="006D47C0">
      <w:pPr>
        <w:pStyle w:val="FootnoteText"/>
      </w:pPr>
      <w:r>
        <w:tab/>
      </w:r>
      <w:r w:rsidRPr="006B2979">
        <w:rPr>
          <w:rStyle w:val="FootnoteReference"/>
        </w:rPr>
        <w:footnoteRef/>
      </w:r>
      <w:r w:rsidRPr="006B2979">
        <w:t xml:space="preserve"> </w:t>
      </w:r>
      <w:r w:rsidRPr="006B2979">
        <w:tab/>
        <w:t>RESA St. No. 1 at 20.</w:t>
      </w:r>
    </w:p>
  </w:footnote>
  <w:footnote w:id="207">
    <w:p w:rsidR="006D47C0" w:rsidRDefault="006D47C0" w:rsidP="006D47C0">
      <w:pPr>
        <w:pStyle w:val="FootnoteText"/>
      </w:pPr>
    </w:p>
    <w:p w:rsidR="006D47C0" w:rsidRDefault="006D47C0" w:rsidP="006D47C0">
      <w:pPr>
        <w:pStyle w:val="FootnoteText"/>
      </w:pPr>
      <w:r>
        <w:tab/>
      </w:r>
      <w:r w:rsidRPr="006B2979">
        <w:rPr>
          <w:rStyle w:val="FootnoteReference"/>
        </w:rPr>
        <w:footnoteRef/>
      </w:r>
      <w:r w:rsidRPr="006B2979">
        <w:t xml:space="preserve"> </w:t>
      </w:r>
      <w:r w:rsidRPr="006B2979">
        <w:tab/>
        <w:t>RESA St. No. 2-R at 8.</w:t>
      </w:r>
    </w:p>
    <w:p w:rsidR="009A34BD" w:rsidRPr="006B2979" w:rsidRDefault="009A34BD" w:rsidP="006D47C0">
      <w:pPr>
        <w:pStyle w:val="FootnoteText"/>
      </w:pPr>
    </w:p>
  </w:footnote>
  <w:footnote w:id="208">
    <w:p w:rsidR="006D47C0" w:rsidRPr="006B2979" w:rsidRDefault="006D47C0" w:rsidP="006D47C0">
      <w:pPr>
        <w:pStyle w:val="FootnoteText"/>
      </w:pPr>
      <w:r>
        <w:tab/>
      </w:r>
      <w:r w:rsidRPr="006B2979">
        <w:rPr>
          <w:rStyle w:val="FootnoteReference"/>
        </w:rPr>
        <w:footnoteRef/>
      </w:r>
      <w:r w:rsidRPr="006B2979">
        <w:t xml:space="preserve"> </w:t>
      </w:r>
      <w:r w:rsidRPr="006B2979">
        <w:tab/>
        <w:t>RESA St. No. 1 at 20.</w:t>
      </w:r>
    </w:p>
  </w:footnote>
  <w:footnote w:id="209">
    <w:p w:rsidR="006D47C0" w:rsidRDefault="006D47C0" w:rsidP="006D47C0">
      <w:pPr>
        <w:pStyle w:val="FootnoteText"/>
      </w:pPr>
      <w:r>
        <w:tab/>
      </w:r>
      <w:r w:rsidRPr="006B2979">
        <w:rPr>
          <w:rStyle w:val="FootnoteReference"/>
        </w:rPr>
        <w:footnoteRef/>
      </w:r>
      <w:r w:rsidRPr="006B2979">
        <w:t xml:space="preserve"> </w:t>
      </w:r>
      <w:r w:rsidRPr="006B2979">
        <w:tab/>
        <w:t>Duquesne St. No. 4-RJ at 2.</w:t>
      </w:r>
    </w:p>
    <w:p w:rsidR="006D47C0" w:rsidRPr="006B2979" w:rsidRDefault="006D47C0" w:rsidP="006D47C0">
      <w:pPr>
        <w:pStyle w:val="FootnoteText"/>
      </w:pPr>
    </w:p>
  </w:footnote>
  <w:footnote w:id="210">
    <w:p w:rsidR="006D47C0" w:rsidRDefault="006D47C0" w:rsidP="006D47C0">
      <w:pPr>
        <w:pStyle w:val="FootnoteText"/>
      </w:pPr>
      <w:r>
        <w:tab/>
      </w:r>
      <w:r w:rsidRPr="006B2979">
        <w:rPr>
          <w:rStyle w:val="FootnoteReference"/>
        </w:rPr>
        <w:footnoteRef/>
      </w:r>
      <w:r w:rsidRPr="006B2979">
        <w:t xml:space="preserve"> </w:t>
      </w:r>
      <w:r w:rsidRPr="006B2979">
        <w:tab/>
        <w:t>Duquesne St. No. 4-RJ at 2.</w:t>
      </w:r>
    </w:p>
    <w:p w:rsidR="006D47C0" w:rsidRPr="006B2979" w:rsidRDefault="006D47C0" w:rsidP="006D47C0">
      <w:pPr>
        <w:pStyle w:val="FootnoteText"/>
      </w:pPr>
    </w:p>
  </w:footnote>
  <w:footnote w:id="211">
    <w:p w:rsidR="006D47C0" w:rsidRDefault="006D47C0" w:rsidP="006D47C0">
      <w:pPr>
        <w:pStyle w:val="FootnoteText"/>
      </w:pPr>
      <w:r>
        <w:tab/>
      </w:r>
      <w:r w:rsidRPr="006B2979">
        <w:rPr>
          <w:rStyle w:val="FootnoteReference"/>
        </w:rPr>
        <w:footnoteRef/>
      </w:r>
      <w:r w:rsidRPr="006B2979">
        <w:t xml:space="preserve"> </w:t>
      </w:r>
      <w:r w:rsidRPr="006B2979">
        <w:tab/>
        <w:t>Duquesne St. No. 4-RJ at 2.</w:t>
      </w:r>
    </w:p>
    <w:p w:rsidR="006D47C0" w:rsidRPr="006B2979" w:rsidRDefault="006D47C0" w:rsidP="006D47C0">
      <w:pPr>
        <w:pStyle w:val="FootnoteText"/>
      </w:pPr>
    </w:p>
  </w:footnote>
  <w:footnote w:id="212">
    <w:p w:rsidR="006D47C0" w:rsidRPr="006B2979" w:rsidRDefault="006D47C0" w:rsidP="006D47C0">
      <w:pPr>
        <w:pStyle w:val="FootnoteText"/>
      </w:pPr>
      <w:r>
        <w:tab/>
      </w:r>
      <w:r w:rsidRPr="006B2979">
        <w:rPr>
          <w:rStyle w:val="FootnoteReference"/>
        </w:rPr>
        <w:footnoteRef/>
      </w:r>
      <w:r w:rsidRPr="006B2979">
        <w:t xml:space="preserve"> </w:t>
      </w:r>
      <w:r w:rsidRPr="006B2979">
        <w:tab/>
        <w:t>RESA St. No. 1 at 17.</w:t>
      </w:r>
    </w:p>
  </w:footnote>
  <w:footnote w:id="213">
    <w:p w:rsidR="006D47C0" w:rsidRDefault="006D47C0" w:rsidP="006D47C0">
      <w:pPr>
        <w:pStyle w:val="FootnoteText"/>
      </w:pPr>
    </w:p>
    <w:p w:rsidR="006D47C0" w:rsidRDefault="006D47C0" w:rsidP="006D47C0">
      <w:pPr>
        <w:pStyle w:val="FootnoteText"/>
      </w:pPr>
      <w:r>
        <w:tab/>
      </w:r>
      <w:r w:rsidRPr="006B2979">
        <w:rPr>
          <w:rStyle w:val="FootnoteReference"/>
        </w:rPr>
        <w:footnoteRef/>
      </w:r>
      <w:r w:rsidRPr="006B2979">
        <w:t xml:space="preserve"> </w:t>
      </w:r>
      <w:r w:rsidRPr="006B2979">
        <w:tab/>
        <w:t>RESA St. No. 1 at 17.</w:t>
      </w:r>
    </w:p>
    <w:p w:rsidR="006D47C0" w:rsidRPr="006B2979" w:rsidRDefault="006D47C0" w:rsidP="006D47C0">
      <w:pPr>
        <w:pStyle w:val="FootnoteText"/>
      </w:pPr>
    </w:p>
  </w:footnote>
  <w:footnote w:id="214">
    <w:p w:rsidR="006D47C0" w:rsidRDefault="006D47C0" w:rsidP="006D47C0">
      <w:pPr>
        <w:pStyle w:val="FootnoteText"/>
      </w:pPr>
      <w:r>
        <w:tab/>
      </w:r>
      <w:r w:rsidRPr="006B2979">
        <w:rPr>
          <w:rStyle w:val="FootnoteReference"/>
        </w:rPr>
        <w:footnoteRef/>
      </w:r>
      <w:r w:rsidRPr="006B2979">
        <w:t xml:space="preserve"> </w:t>
      </w:r>
      <w:r w:rsidRPr="006B2979">
        <w:tab/>
        <w:t>RESA St. No. 1-SR at 17.</w:t>
      </w:r>
    </w:p>
    <w:p w:rsidR="006D47C0" w:rsidRPr="006B2979" w:rsidRDefault="006D47C0" w:rsidP="006D47C0">
      <w:pPr>
        <w:pStyle w:val="FootnoteText"/>
      </w:pPr>
    </w:p>
  </w:footnote>
  <w:footnote w:id="215">
    <w:p w:rsidR="006D47C0" w:rsidRDefault="006D47C0" w:rsidP="006D47C0">
      <w:pPr>
        <w:pStyle w:val="FootnoteText"/>
      </w:pPr>
      <w:r>
        <w:tab/>
      </w:r>
      <w:r w:rsidRPr="006B2979">
        <w:rPr>
          <w:rStyle w:val="FootnoteReference"/>
        </w:rPr>
        <w:footnoteRef/>
      </w:r>
      <w:r w:rsidRPr="006B2979">
        <w:t xml:space="preserve"> </w:t>
      </w:r>
      <w:r w:rsidRPr="006B2979">
        <w:tab/>
        <w:t>RESA St. No. 1-SR at 17.</w:t>
      </w:r>
    </w:p>
    <w:p w:rsidR="006D47C0" w:rsidRPr="006B2979" w:rsidRDefault="006D47C0" w:rsidP="006D47C0">
      <w:pPr>
        <w:pStyle w:val="FootnoteText"/>
      </w:pPr>
    </w:p>
  </w:footnote>
  <w:footnote w:id="216">
    <w:p w:rsidR="006D47C0" w:rsidRPr="006B2979" w:rsidRDefault="006D47C0" w:rsidP="006D47C0">
      <w:pPr>
        <w:pStyle w:val="FootnoteText"/>
      </w:pPr>
      <w:r>
        <w:tab/>
      </w:r>
      <w:r w:rsidRPr="006B2979">
        <w:rPr>
          <w:rStyle w:val="FootnoteReference"/>
        </w:rPr>
        <w:footnoteRef/>
      </w:r>
      <w:r w:rsidRPr="006B2979">
        <w:t xml:space="preserve"> </w:t>
      </w:r>
      <w:r w:rsidRPr="006B2979">
        <w:tab/>
        <w:t>RESA St. No. 1-SR at 17.</w:t>
      </w:r>
    </w:p>
  </w:footnote>
  <w:footnote w:id="217">
    <w:p w:rsidR="006D47C0" w:rsidRDefault="006D47C0" w:rsidP="006D47C0">
      <w:pPr>
        <w:pStyle w:val="FootnoteText"/>
      </w:pPr>
    </w:p>
    <w:p w:rsidR="006D47C0" w:rsidRPr="006B2979" w:rsidRDefault="006D47C0" w:rsidP="006D47C0">
      <w:pPr>
        <w:pStyle w:val="FootnoteText"/>
      </w:pPr>
      <w:r>
        <w:tab/>
      </w:r>
      <w:r w:rsidRPr="006B2979">
        <w:rPr>
          <w:rStyle w:val="FootnoteReference"/>
        </w:rPr>
        <w:footnoteRef/>
      </w:r>
      <w:r w:rsidRPr="006B2979">
        <w:t xml:space="preserve"> </w:t>
      </w:r>
      <w:r w:rsidRPr="006B2979">
        <w:tab/>
        <w:t>RESA St. No. 1-SR at 16-17.</w:t>
      </w:r>
    </w:p>
  </w:footnote>
  <w:footnote w:id="218">
    <w:p w:rsidR="006D47C0" w:rsidRPr="004A64C3" w:rsidRDefault="006D47C0" w:rsidP="006D47C0">
      <w:pPr>
        <w:adjustRightInd w:val="0"/>
        <w:ind w:firstLine="720"/>
        <w:rPr>
          <w:sz w:val="20"/>
          <w:szCs w:val="20"/>
        </w:rPr>
      </w:pPr>
      <w:r w:rsidRPr="004A64C3">
        <w:rPr>
          <w:rStyle w:val="FootnoteReference"/>
          <w:sz w:val="20"/>
          <w:szCs w:val="20"/>
        </w:rPr>
        <w:footnoteRef/>
      </w:r>
      <w:r w:rsidRPr="004A64C3">
        <w:rPr>
          <w:sz w:val="20"/>
          <w:szCs w:val="20"/>
        </w:rPr>
        <w:t xml:space="preserve"> </w:t>
      </w:r>
      <w:r w:rsidRPr="004A64C3">
        <w:rPr>
          <w:sz w:val="20"/>
          <w:szCs w:val="20"/>
        </w:rPr>
        <w:tab/>
        <w:t xml:space="preserve">RESA St. No. 1 at 21-27; RESA St. No. 1-SR at 17-21.  PJM only recently finalized for billing purposes the names assigned to these New ELR Charges: </w:t>
      </w:r>
      <w:r>
        <w:rPr>
          <w:sz w:val="20"/>
          <w:szCs w:val="20"/>
        </w:rPr>
        <w:t xml:space="preserve"> </w:t>
      </w:r>
      <w:r w:rsidRPr="004A64C3">
        <w:rPr>
          <w:sz w:val="20"/>
          <w:szCs w:val="20"/>
        </w:rPr>
        <w:t>ID# 1242 – Day – Ahead Load Response Charge Allocation; and ID# 1243 – Real-Time Load Response Charge Allocation.  RESA St. No. 1 at 26.</w:t>
      </w:r>
    </w:p>
  </w:footnote>
  <w:footnote w:id="219">
    <w:p w:rsidR="006D47C0" w:rsidRDefault="006D47C0" w:rsidP="006D47C0">
      <w:pPr>
        <w:pStyle w:val="FootnoteText"/>
      </w:pPr>
    </w:p>
    <w:p w:rsidR="006D47C0" w:rsidRDefault="006D47C0" w:rsidP="006D47C0">
      <w:pPr>
        <w:pStyle w:val="FootnoteText"/>
      </w:pPr>
      <w:r>
        <w:tab/>
      </w:r>
      <w:r w:rsidRPr="004A64C3">
        <w:rPr>
          <w:rStyle w:val="FootnoteReference"/>
        </w:rPr>
        <w:footnoteRef/>
      </w:r>
      <w:r w:rsidRPr="004A64C3">
        <w:t xml:space="preserve"> </w:t>
      </w:r>
      <w:r w:rsidRPr="004A64C3">
        <w:tab/>
        <w:t xml:space="preserve">RESA St. No. 1 at 22. </w:t>
      </w:r>
      <w:r w:rsidRPr="004A64C3">
        <w:rPr>
          <w:bCs/>
        </w:rPr>
        <w:t xml:space="preserve">These transmission costs are currently not paid by wholesale default service suppliers (“DS Suppliers”) in Duquesne’s service territory.  </w:t>
      </w:r>
      <w:r w:rsidRPr="004A64C3">
        <w:rPr>
          <w:bCs/>
          <w:i/>
        </w:rPr>
        <w:t>Id</w:t>
      </w:r>
      <w:r w:rsidRPr="004A64C3">
        <w:rPr>
          <w:bCs/>
        </w:rPr>
        <w:t>.</w:t>
      </w:r>
      <w:r w:rsidRPr="004A64C3">
        <w:t xml:space="preserve">  </w:t>
      </w:r>
    </w:p>
    <w:p w:rsidR="006D47C0" w:rsidRPr="004A64C3" w:rsidRDefault="006D47C0" w:rsidP="006D47C0">
      <w:pPr>
        <w:pStyle w:val="FootnoteText"/>
      </w:pPr>
    </w:p>
  </w:footnote>
  <w:footnote w:id="220">
    <w:p w:rsidR="006D47C0" w:rsidRPr="00A17ECF" w:rsidRDefault="006D47C0" w:rsidP="006D47C0">
      <w:pPr>
        <w:pStyle w:val="FootnoteText"/>
      </w:pPr>
      <w:r>
        <w:rPr>
          <w:sz w:val="22"/>
          <w:szCs w:val="22"/>
        </w:rPr>
        <w:tab/>
      </w:r>
      <w:r w:rsidRPr="00A17ECF">
        <w:rPr>
          <w:rStyle w:val="FootnoteReference"/>
        </w:rPr>
        <w:footnoteRef/>
      </w:r>
      <w:r w:rsidRPr="00A17ECF">
        <w:t xml:space="preserve"> </w:t>
      </w:r>
      <w:r w:rsidRPr="00A17ECF">
        <w:tab/>
        <w:t>Duquesne St. No. 4-R at 21; RESA St. No. 1 at 22.</w:t>
      </w:r>
    </w:p>
  </w:footnote>
  <w:footnote w:id="221">
    <w:p w:rsidR="006D47C0" w:rsidRDefault="006D47C0" w:rsidP="006D47C0">
      <w:pPr>
        <w:pStyle w:val="FootnoteText"/>
      </w:pPr>
    </w:p>
    <w:p w:rsidR="006D47C0" w:rsidRDefault="006D47C0" w:rsidP="006D47C0">
      <w:pPr>
        <w:pStyle w:val="FootnoteText"/>
      </w:pPr>
      <w:r>
        <w:tab/>
      </w:r>
      <w:r w:rsidRPr="004A64C3">
        <w:rPr>
          <w:rStyle w:val="FootnoteReference"/>
        </w:rPr>
        <w:footnoteRef/>
      </w:r>
      <w:r w:rsidRPr="004A64C3">
        <w:t xml:space="preserve"> </w:t>
      </w:r>
      <w:r w:rsidRPr="004A64C3">
        <w:tab/>
        <w:t>RESA St. No. 1 at 22.</w:t>
      </w:r>
    </w:p>
    <w:p w:rsidR="006D47C0" w:rsidRPr="004A64C3" w:rsidRDefault="006D47C0" w:rsidP="006D47C0">
      <w:pPr>
        <w:pStyle w:val="FootnoteText"/>
      </w:pPr>
    </w:p>
  </w:footnote>
  <w:footnote w:id="222">
    <w:p w:rsidR="006D47C0" w:rsidRPr="004A64C3" w:rsidRDefault="006D47C0" w:rsidP="006D47C0">
      <w:pPr>
        <w:pStyle w:val="FootnoteText"/>
      </w:pPr>
      <w:r>
        <w:tab/>
      </w:r>
      <w:r w:rsidRPr="004A64C3">
        <w:rPr>
          <w:rStyle w:val="FootnoteReference"/>
        </w:rPr>
        <w:footnoteRef/>
      </w:r>
      <w:r w:rsidRPr="004A64C3">
        <w:t xml:space="preserve"> </w:t>
      </w:r>
      <w:r w:rsidRPr="004A64C3">
        <w:tab/>
        <w:t>RESA St. No. 1 at 22.</w:t>
      </w:r>
    </w:p>
  </w:footnote>
  <w:footnote w:id="223">
    <w:p w:rsidR="006D47C0" w:rsidRDefault="006D47C0" w:rsidP="006D47C0">
      <w:pPr>
        <w:pStyle w:val="FootnoteText"/>
      </w:pPr>
    </w:p>
    <w:p w:rsidR="006D47C0" w:rsidRPr="004A64C3" w:rsidRDefault="006D47C0" w:rsidP="006D47C0">
      <w:pPr>
        <w:pStyle w:val="FootnoteText"/>
      </w:pPr>
      <w:r>
        <w:tab/>
      </w:r>
      <w:r w:rsidRPr="004A64C3">
        <w:rPr>
          <w:rStyle w:val="FootnoteReference"/>
        </w:rPr>
        <w:footnoteRef/>
      </w:r>
      <w:r w:rsidRPr="004A64C3">
        <w:t xml:space="preserve"> </w:t>
      </w:r>
      <w:r w:rsidRPr="004A64C3">
        <w:tab/>
        <w:t>RESA St. No. 1 at 27.</w:t>
      </w:r>
    </w:p>
  </w:footnote>
  <w:footnote w:id="224">
    <w:p w:rsidR="006D47C0" w:rsidRDefault="006D47C0" w:rsidP="006D47C0">
      <w:pPr>
        <w:pStyle w:val="FootnoteText"/>
      </w:pPr>
    </w:p>
    <w:p w:rsidR="006D47C0" w:rsidRPr="004A64C3" w:rsidRDefault="006D47C0" w:rsidP="006D47C0">
      <w:pPr>
        <w:pStyle w:val="FootnoteText"/>
      </w:pPr>
      <w:r>
        <w:tab/>
      </w:r>
      <w:r w:rsidRPr="004A64C3">
        <w:rPr>
          <w:rStyle w:val="FootnoteReference"/>
        </w:rPr>
        <w:footnoteRef/>
      </w:r>
      <w:r w:rsidRPr="004A64C3">
        <w:t xml:space="preserve"> </w:t>
      </w:r>
      <w:r w:rsidRPr="004A64C3">
        <w:tab/>
        <w:t>Duquesne alleges that implanting RESA’s non-bypassable charge could cause shopping customers to pay twice for transmission service.  Duquesne St. No. 4-R at 23.  A transitional period would address this concern.</w:t>
      </w:r>
    </w:p>
  </w:footnote>
  <w:footnote w:id="225">
    <w:p w:rsidR="006D47C0" w:rsidRDefault="006D47C0" w:rsidP="006D47C0">
      <w:pPr>
        <w:pStyle w:val="FootnoteText"/>
      </w:pPr>
      <w:r>
        <w:tab/>
      </w:r>
      <w:r>
        <w:rPr>
          <w:rStyle w:val="FootnoteReference"/>
        </w:rPr>
        <w:footnoteRef/>
      </w:r>
      <w:r>
        <w:t xml:space="preserve"> </w:t>
      </w:r>
      <w:r>
        <w:tab/>
        <w:t>OSBA Statement No. 2 at 11-12.</w:t>
      </w:r>
    </w:p>
    <w:p w:rsidR="006D47C0" w:rsidRDefault="006D47C0" w:rsidP="006D47C0">
      <w:pPr>
        <w:pStyle w:val="FootnoteText"/>
      </w:pPr>
    </w:p>
  </w:footnote>
  <w:footnote w:id="226">
    <w:p w:rsidR="006D47C0" w:rsidRDefault="006D47C0" w:rsidP="006D47C0">
      <w:pPr>
        <w:pStyle w:val="FootnoteText"/>
      </w:pPr>
      <w:r>
        <w:tab/>
      </w:r>
      <w:r>
        <w:rPr>
          <w:rStyle w:val="FootnoteReference"/>
        </w:rPr>
        <w:footnoteRef/>
      </w:r>
      <w:r>
        <w:t xml:space="preserve"> </w:t>
      </w:r>
      <w:r>
        <w:tab/>
        <w:t>OSBA Statement No. 2 at 5.</w:t>
      </w:r>
    </w:p>
    <w:p w:rsidR="006D47C0" w:rsidRDefault="006D47C0" w:rsidP="006D47C0">
      <w:pPr>
        <w:pStyle w:val="FootnoteText"/>
      </w:pPr>
    </w:p>
  </w:footnote>
  <w:footnote w:id="227">
    <w:p w:rsidR="006D47C0" w:rsidRDefault="006D47C0" w:rsidP="006D47C0">
      <w:pPr>
        <w:pStyle w:val="FootnoteText"/>
        <w:keepLines/>
      </w:pPr>
      <w:r>
        <w:tab/>
      </w:r>
      <w:r>
        <w:rPr>
          <w:rStyle w:val="FootnoteReference"/>
        </w:rPr>
        <w:footnoteRef/>
      </w:r>
      <w:r>
        <w:t xml:space="preserve"> </w:t>
      </w:r>
      <w:r>
        <w:tab/>
        <w:t>The proponents of the NMB Transmission proposal will collectively be referred to as CNE/RESA.</w:t>
      </w:r>
    </w:p>
  </w:footnote>
  <w:footnote w:id="228">
    <w:p w:rsidR="006D47C0" w:rsidRDefault="006D47C0" w:rsidP="006D47C0">
      <w:pPr>
        <w:pStyle w:val="FootnoteText"/>
      </w:pPr>
      <w:r>
        <w:tab/>
      </w:r>
      <w:r>
        <w:rPr>
          <w:rStyle w:val="FootnoteReference"/>
        </w:rPr>
        <w:footnoteRef/>
      </w:r>
      <w:r>
        <w:t xml:space="preserve"> </w:t>
      </w:r>
      <w:r>
        <w:tab/>
        <w:t>OSBA supports this proposal, agreeing that NITS costs should continue to be collected by EGSs. Rebuttal Testimony of Brian Kalcic on behalf of OSBA, pp. 5, 11.</w:t>
      </w:r>
    </w:p>
  </w:footnote>
  <w:footnote w:id="229">
    <w:p w:rsidR="006D47C0" w:rsidRDefault="006D47C0" w:rsidP="006D47C0">
      <w:pPr>
        <w:pStyle w:val="FootnoteText"/>
      </w:pPr>
      <w:r>
        <w:tab/>
      </w:r>
      <w:r>
        <w:rPr>
          <w:rStyle w:val="FootnoteReference"/>
        </w:rPr>
        <w:footnoteRef/>
      </w:r>
      <w:r>
        <w:t xml:space="preserve"> </w:t>
      </w:r>
      <w:r>
        <w:tab/>
      </w:r>
      <w:r w:rsidRPr="00D5711E">
        <w:rPr>
          <w:u w:val="single"/>
        </w:rPr>
        <w:t>Pa</w:t>
      </w:r>
      <w:r>
        <w:rPr>
          <w:u w:val="single"/>
        </w:rPr>
        <w:t>, Public Utility Commission</w:t>
      </w:r>
      <w:r w:rsidRPr="00D5711E">
        <w:rPr>
          <w:u w:val="single"/>
        </w:rPr>
        <w:t xml:space="preserve"> v. PPL Electric Utilities Corporation</w:t>
      </w:r>
      <w:r>
        <w:t xml:space="preserve">, Docket No. R-2009-2122718, Order entered March 9, 2010.  </w:t>
      </w:r>
    </w:p>
    <w:p w:rsidR="006D47C0" w:rsidRDefault="006D47C0" w:rsidP="006D47C0">
      <w:pPr>
        <w:pStyle w:val="FootnoteText"/>
      </w:pPr>
    </w:p>
  </w:footnote>
  <w:footnote w:id="230">
    <w:p w:rsidR="006D47C0" w:rsidRDefault="006D47C0" w:rsidP="006D47C0">
      <w:pPr>
        <w:pStyle w:val="FootnoteText"/>
      </w:pPr>
      <w:r>
        <w:tab/>
      </w:r>
      <w:r>
        <w:rPr>
          <w:rStyle w:val="FootnoteReference"/>
        </w:rPr>
        <w:footnoteRef/>
      </w:r>
      <w:r>
        <w:t xml:space="preserve"> </w:t>
      </w:r>
      <w:r>
        <w:tab/>
        <w:t>Constellation St. No. 1, p. 42.</w:t>
      </w:r>
    </w:p>
    <w:p w:rsidR="002D2FA7" w:rsidRDefault="002D2FA7" w:rsidP="006D47C0">
      <w:pPr>
        <w:pStyle w:val="FootnoteText"/>
      </w:pPr>
    </w:p>
  </w:footnote>
  <w:footnote w:id="231">
    <w:p w:rsidR="006D47C0" w:rsidRDefault="006D47C0" w:rsidP="006D47C0">
      <w:pPr>
        <w:pStyle w:val="FootnoteText"/>
      </w:pPr>
      <w:r>
        <w:tab/>
      </w:r>
      <w:r>
        <w:rPr>
          <w:rStyle w:val="FootnoteReference"/>
        </w:rPr>
        <w:footnoteRef/>
      </w:r>
      <w:r>
        <w:t xml:space="preserve"> </w:t>
      </w:r>
      <w:r>
        <w:tab/>
        <w:t>RESA St. 2-R, p. 21.</w:t>
      </w:r>
    </w:p>
  </w:footnote>
  <w:footnote w:id="232">
    <w:p w:rsidR="006D47C0" w:rsidRDefault="006D47C0" w:rsidP="006D47C0">
      <w:pPr>
        <w:pStyle w:val="FootnoteText"/>
      </w:pPr>
    </w:p>
    <w:p w:rsidR="006D47C0" w:rsidRDefault="006D47C0" w:rsidP="006D47C0">
      <w:pPr>
        <w:pStyle w:val="FootnoteText"/>
      </w:pPr>
      <w:r>
        <w:tab/>
      </w:r>
      <w:r>
        <w:rPr>
          <w:rStyle w:val="FootnoteReference"/>
        </w:rPr>
        <w:footnoteRef/>
      </w:r>
      <w:r>
        <w:t xml:space="preserve"> </w:t>
      </w:r>
      <w:r>
        <w:tab/>
        <w:t xml:space="preserve">66 Pa. C.S.A. §2807(f)(5).  </w:t>
      </w:r>
    </w:p>
    <w:p w:rsidR="006D47C0" w:rsidRDefault="006D47C0" w:rsidP="006D47C0">
      <w:pPr>
        <w:pStyle w:val="FootnoteText"/>
      </w:pPr>
    </w:p>
  </w:footnote>
  <w:footnote w:id="233">
    <w:p w:rsidR="006D47C0" w:rsidRDefault="006D47C0" w:rsidP="006D47C0">
      <w:pPr>
        <w:pStyle w:val="FootnoteText"/>
      </w:pPr>
      <w:r>
        <w:tab/>
      </w:r>
      <w:r>
        <w:rPr>
          <w:rStyle w:val="FootnoteReference"/>
        </w:rPr>
        <w:footnoteRef/>
      </w:r>
      <w:r>
        <w:t xml:space="preserve"> </w:t>
      </w:r>
      <w:r>
        <w:tab/>
        <w:t>FES St. No. 1, p. 12.</w:t>
      </w:r>
    </w:p>
    <w:p w:rsidR="00C0476A" w:rsidRDefault="00C0476A" w:rsidP="006D47C0">
      <w:pPr>
        <w:pStyle w:val="FootnoteText"/>
      </w:pPr>
    </w:p>
  </w:footnote>
  <w:footnote w:id="234">
    <w:p w:rsidR="006D47C0" w:rsidRDefault="006D47C0" w:rsidP="006D47C0">
      <w:pPr>
        <w:pStyle w:val="FootnoteText"/>
      </w:pPr>
      <w:r>
        <w:tab/>
      </w:r>
      <w:r w:rsidRPr="004A64C3">
        <w:rPr>
          <w:rStyle w:val="FootnoteReference"/>
        </w:rPr>
        <w:footnoteRef/>
      </w:r>
      <w:r w:rsidRPr="004A64C3">
        <w:t xml:space="preserve"> </w:t>
      </w:r>
      <w:r w:rsidRPr="004A64C3">
        <w:tab/>
      </w:r>
      <w:r w:rsidRPr="004A64C3">
        <w:rPr>
          <w:i/>
        </w:rPr>
        <w:t>Investigation of Pennsylvania’s Retail Electricity Market Recommendations Regarding Upcoming Default Service Plans</w:t>
      </w:r>
      <w:r w:rsidRPr="004A64C3">
        <w:t xml:space="preserve"> </w:t>
      </w:r>
      <w:r>
        <w:t>D</w:t>
      </w:r>
      <w:r w:rsidRPr="004A64C3">
        <w:t>ocket I-2011-2237952, Final Order entered Dec.16, 2011 at 47-48.</w:t>
      </w:r>
    </w:p>
    <w:p w:rsidR="006D47C0" w:rsidRPr="004A64C3" w:rsidRDefault="006D47C0" w:rsidP="006D47C0">
      <w:pPr>
        <w:pStyle w:val="FootnoteText"/>
      </w:pPr>
    </w:p>
  </w:footnote>
  <w:footnote w:id="235">
    <w:p w:rsidR="006D47C0" w:rsidRDefault="006D47C0" w:rsidP="006D47C0">
      <w:pPr>
        <w:pStyle w:val="FootnoteText"/>
      </w:pPr>
      <w:r>
        <w:tab/>
      </w:r>
      <w:r w:rsidRPr="00F42338">
        <w:rPr>
          <w:rStyle w:val="FootnoteReference"/>
        </w:rPr>
        <w:footnoteRef/>
      </w:r>
      <w:r w:rsidRPr="00F42338">
        <w:t xml:space="preserve"> </w:t>
      </w:r>
      <w:r w:rsidRPr="00F42338">
        <w:tab/>
        <w:t>66 Pa. C.S.</w:t>
      </w:r>
      <w:r>
        <w:t>A.</w:t>
      </w:r>
      <w:r w:rsidRPr="00F42338">
        <w:t xml:space="preserve"> §2807(f)(5).</w:t>
      </w:r>
    </w:p>
    <w:p w:rsidR="006D47C0" w:rsidRPr="00F42338" w:rsidRDefault="006D47C0" w:rsidP="006D47C0">
      <w:pPr>
        <w:pStyle w:val="FootnoteText"/>
      </w:pPr>
    </w:p>
  </w:footnote>
  <w:footnote w:id="236">
    <w:p w:rsidR="006D47C0" w:rsidRDefault="006D47C0" w:rsidP="006D47C0">
      <w:pPr>
        <w:pStyle w:val="FootnoteText"/>
        <w:rPr>
          <w:i/>
        </w:rPr>
      </w:pPr>
      <w:r>
        <w:tab/>
      </w:r>
      <w:r w:rsidRPr="00F42338">
        <w:rPr>
          <w:rStyle w:val="FootnoteReference"/>
        </w:rPr>
        <w:footnoteRef/>
      </w:r>
      <w:r w:rsidRPr="00F42338">
        <w:t xml:space="preserve"> </w:t>
      </w:r>
      <w:r w:rsidRPr="00F42338">
        <w:tab/>
      </w:r>
      <w:r w:rsidRPr="00F42338">
        <w:rPr>
          <w:i/>
        </w:rPr>
        <w:t>Id.</w:t>
      </w:r>
    </w:p>
    <w:p w:rsidR="006D47C0" w:rsidRPr="00F42338" w:rsidRDefault="006D47C0" w:rsidP="006D47C0">
      <w:pPr>
        <w:pStyle w:val="FootnoteText"/>
      </w:pPr>
    </w:p>
  </w:footnote>
  <w:footnote w:id="237">
    <w:p w:rsidR="006D47C0" w:rsidRPr="00F42338" w:rsidRDefault="006D47C0" w:rsidP="006D47C0">
      <w:pPr>
        <w:pStyle w:val="FootnoteText"/>
      </w:pPr>
      <w:r>
        <w:tab/>
      </w:r>
      <w:r w:rsidRPr="00F42338">
        <w:rPr>
          <w:rStyle w:val="FootnoteReference"/>
        </w:rPr>
        <w:footnoteRef/>
      </w:r>
      <w:r w:rsidRPr="00F42338">
        <w:t xml:space="preserve"> </w:t>
      </w:r>
      <w:r w:rsidRPr="00F42338">
        <w:tab/>
        <w:t>66 Pa. C.S.</w:t>
      </w:r>
      <w:r>
        <w:t>A.</w:t>
      </w:r>
      <w:r w:rsidRPr="00F42338">
        <w:t xml:space="preserve"> §2807(f).  RESA would support a revision of the provision to eliminate any default service provider involvement, but that is not the present status of the law.</w:t>
      </w:r>
    </w:p>
  </w:footnote>
  <w:footnote w:id="238">
    <w:p w:rsidR="006D47C0" w:rsidRDefault="006D47C0" w:rsidP="006D47C0">
      <w:pPr>
        <w:pStyle w:val="FootnoteText"/>
      </w:pPr>
    </w:p>
    <w:p w:rsidR="006D47C0" w:rsidRPr="00F42338" w:rsidRDefault="006D47C0" w:rsidP="006D47C0">
      <w:pPr>
        <w:pStyle w:val="FootnoteText"/>
      </w:pPr>
      <w:r>
        <w:tab/>
      </w:r>
      <w:r w:rsidRPr="00F42338">
        <w:rPr>
          <w:rStyle w:val="FootnoteReference"/>
        </w:rPr>
        <w:footnoteRef/>
      </w:r>
      <w:r w:rsidRPr="00F42338">
        <w:t xml:space="preserve"> </w:t>
      </w:r>
      <w:r w:rsidRPr="00F42338">
        <w:tab/>
      </w:r>
      <w:r w:rsidRPr="00611ED6">
        <w:rPr>
          <w:i/>
        </w:rPr>
        <w:t>RMI</w:t>
      </w:r>
      <w:r w:rsidRPr="00F42338">
        <w:t xml:space="preserve"> </w:t>
      </w:r>
      <w:r w:rsidRPr="00F42338">
        <w:rPr>
          <w:i/>
        </w:rPr>
        <w:t>Final Order</w:t>
      </w:r>
      <w:r w:rsidRPr="00F42338">
        <w:t xml:space="preserve"> at 47-48; </w:t>
      </w:r>
      <w:r w:rsidRPr="00F42338">
        <w:rPr>
          <w:i/>
        </w:rPr>
        <w:t>PECO Binding Poll</w:t>
      </w:r>
      <w:r w:rsidRPr="00F42338">
        <w:t xml:space="preserve"> at 28.  </w:t>
      </w:r>
    </w:p>
  </w:footnote>
  <w:footnote w:id="239">
    <w:p w:rsidR="006D47C0" w:rsidRDefault="006D47C0" w:rsidP="006D47C0">
      <w:pPr>
        <w:pStyle w:val="FootnoteText"/>
        <w:spacing w:after="120"/>
        <w:ind w:left="450" w:hanging="450"/>
        <w:jc w:val="both"/>
      </w:pPr>
      <w:r>
        <w:tab/>
      </w:r>
      <w:r>
        <w:tab/>
      </w:r>
      <w:r>
        <w:rPr>
          <w:rStyle w:val="FootnoteReference"/>
        </w:rPr>
        <w:footnoteRef/>
      </w:r>
      <w:r w:rsidR="00AC0E08">
        <w:t xml:space="preserve"> </w:t>
      </w:r>
      <w:r w:rsidR="00AC0E08">
        <w:tab/>
      </w:r>
      <w:r>
        <w:t>Constellation St. 1 at p. 33 (lines 10-15).</w:t>
      </w:r>
    </w:p>
  </w:footnote>
  <w:footnote w:id="240">
    <w:p w:rsidR="006D47C0" w:rsidRDefault="006D47C0" w:rsidP="006D47C0">
      <w:pPr>
        <w:pStyle w:val="FootnoteText"/>
        <w:spacing w:after="120"/>
        <w:ind w:left="450" w:hanging="450"/>
        <w:jc w:val="both"/>
      </w:pPr>
      <w:r>
        <w:tab/>
      </w:r>
      <w:r>
        <w:tab/>
      </w:r>
      <w:r>
        <w:rPr>
          <w:rStyle w:val="FootnoteReference"/>
        </w:rPr>
        <w:footnoteRef/>
      </w:r>
      <w:r w:rsidR="00DE762E">
        <w:t xml:space="preserve"> </w:t>
      </w:r>
      <w:r w:rsidR="00DE762E">
        <w:tab/>
      </w:r>
      <w:r>
        <w:t>Act 129 at 66 Pa. C.S.A. §2807(e)(3.4).</w:t>
      </w:r>
    </w:p>
  </w:footnote>
  <w:footnote w:id="241">
    <w:p w:rsidR="006D47C0" w:rsidRDefault="006D47C0" w:rsidP="006D47C0">
      <w:pPr>
        <w:pStyle w:val="FootnoteText"/>
        <w:spacing w:after="120"/>
        <w:ind w:left="450" w:hanging="450"/>
        <w:jc w:val="both"/>
      </w:pPr>
      <w:r>
        <w:tab/>
      </w:r>
      <w:r>
        <w:tab/>
      </w:r>
      <w:r>
        <w:rPr>
          <w:rStyle w:val="FootnoteReference"/>
        </w:rPr>
        <w:footnoteRef/>
      </w:r>
      <w:r w:rsidR="00DE762E">
        <w:t xml:space="preserve"> </w:t>
      </w:r>
      <w:r w:rsidR="00DE762E">
        <w:tab/>
      </w:r>
      <w:r>
        <w:t>Act 129 at 66 Pa. C.S.A. §2807(e)(3.7) (</w:t>
      </w:r>
      <w:r>
        <w:rPr>
          <w:i/>
        </w:rPr>
        <w:t>emph. added</w:t>
      </w:r>
      <w:r>
        <w:t>).</w:t>
      </w:r>
    </w:p>
  </w:footnote>
  <w:footnote w:id="242">
    <w:p w:rsidR="006D47C0" w:rsidRDefault="006D47C0" w:rsidP="006D47C0">
      <w:pPr>
        <w:pStyle w:val="FootnoteText"/>
        <w:spacing w:after="120"/>
        <w:ind w:left="450" w:hanging="450"/>
      </w:pPr>
      <w:r>
        <w:tab/>
      </w:r>
      <w:r>
        <w:tab/>
      </w:r>
      <w:r>
        <w:rPr>
          <w:rStyle w:val="FootnoteReference"/>
        </w:rPr>
        <w:footnoteRef/>
      </w:r>
      <w:r>
        <w:t xml:space="preserve"> </w:t>
      </w:r>
      <w:r>
        <w:tab/>
      </w:r>
      <w:r>
        <w:rPr>
          <w:i/>
        </w:rPr>
        <w:t xml:space="preserve">See, e.g., </w:t>
      </w:r>
      <w:r>
        <w:t xml:space="preserve">Constellation St. 1 at pp. 34 (line 3) – 35 (line 5) (explaining how wholesale suppliers make their decisions to participate in procurements and that the “most robust participation” in Duquesne Light’s procurements will lead to the “least cost generation supply contracts”). </w:t>
      </w:r>
    </w:p>
  </w:footnote>
  <w:footnote w:id="243">
    <w:p w:rsidR="006D47C0" w:rsidRDefault="006D47C0" w:rsidP="006D47C0">
      <w:pPr>
        <w:pStyle w:val="FootnoteText"/>
        <w:spacing w:after="120"/>
        <w:ind w:left="720" w:hanging="720"/>
        <w:jc w:val="both"/>
      </w:pPr>
      <w:r>
        <w:tab/>
      </w:r>
      <w:r>
        <w:rPr>
          <w:rStyle w:val="FootnoteReference"/>
        </w:rPr>
        <w:footnoteRef/>
      </w:r>
      <w:r>
        <w:t xml:space="preserve"> </w:t>
      </w:r>
      <w:r>
        <w:tab/>
      </w:r>
      <w:r w:rsidRPr="00E3786D">
        <w:rPr>
          <w:i/>
        </w:rPr>
        <w:t>June 2009 Order</w:t>
      </w:r>
      <w:r>
        <w:t xml:space="preserve"> at p.29.</w:t>
      </w:r>
    </w:p>
  </w:footnote>
  <w:footnote w:id="244">
    <w:p w:rsidR="006D47C0" w:rsidRDefault="006D47C0" w:rsidP="006D47C0">
      <w:pPr>
        <w:pStyle w:val="FootnoteText"/>
        <w:spacing w:after="120"/>
        <w:ind w:left="720" w:hanging="720"/>
        <w:jc w:val="both"/>
      </w:pPr>
      <w:r>
        <w:tab/>
      </w:r>
      <w:r>
        <w:rPr>
          <w:rStyle w:val="FootnoteReference"/>
        </w:rPr>
        <w:footnoteRef/>
      </w:r>
      <w:r>
        <w:t xml:space="preserve"> </w:t>
      </w:r>
      <w:r>
        <w:tab/>
      </w:r>
      <w:r w:rsidRPr="00E3786D">
        <w:rPr>
          <w:i/>
        </w:rPr>
        <w:t>June 2009 Order</w:t>
      </w:r>
      <w:r>
        <w:t xml:space="preserve"> at p.30.</w:t>
      </w:r>
    </w:p>
  </w:footnote>
  <w:footnote w:id="245">
    <w:p w:rsidR="006D47C0" w:rsidRDefault="006D47C0" w:rsidP="006D47C0">
      <w:pPr>
        <w:pStyle w:val="FootnoteText"/>
        <w:spacing w:after="120"/>
        <w:ind w:left="720" w:hanging="720"/>
        <w:jc w:val="both"/>
      </w:pPr>
      <w:r>
        <w:tab/>
      </w:r>
      <w:r>
        <w:rPr>
          <w:rStyle w:val="FootnoteReference"/>
        </w:rPr>
        <w:footnoteRef/>
      </w:r>
      <w:r>
        <w:t xml:space="preserve"> </w:t>
      </w:r>
      <w:r>
        <w:tab/>
        <w:t>Constellation St. 1 at p.40 (lines 14-20).</w:t>
      </w:r>
    </w:p>
  </w:footnote>
  <w:footnote w:id="246">
    <w:p w:rsidR="006D47C0" w:rsidRDefault="006D47C0" w:rsidP="006D47C0">
      <w:pPr>
        <w:pStyle w:val="FootnoteText"/>
        <w:spacing w:after="120"/>
        <w:ind w:left="720" w:hanging="720"/>
        <w:jc w:val="both"/>
      </w:pPr>
      <w:r>
        <w:tab/>
      </w:r>
      <w:r>
        <w:rPr>
          <w:rStyle w:val="FootnoteReference"/>
        </w:rPr>
        <w:footnoteRef/>
      </w:r>
      <w:r>
        <w:t xml:space="preserve"> </w:t>
      </w:r>
      <w:r>
        <w:tab/>
        <w:t>Duquense Light St. 4-R at p. 34 (line 7) – 35 (line 5).</w:t>
      </w:r>
    </w:p>
  </w:footnote>
  <w:footnote w:id="247">
    <w:p w:rsidR="006D47C0" w:rsidRDefault="006D47C0" w:rsidP="006D47C0">
      <w:pPr>
        <w:pStyle w:val="FootnoteText"/>
        <w:spacing w:after="120"/>
        <w:ind w:left="450" w:hanging="450"/>
        <w:jc w:val="both"/>
      </w:pPr>
      <w:r>
        <w:tab/>
      </w:r>
      <w:r>
        <w:rPr>
          <w:rStyle w:val="FootnoteReference"/>
        </w:rPr>
        <w:footnoteRef/>
      </w:r>
      <w:r>
        <w:t xml:space="preserve"> </w:t>
      </w:r>
      <w:r>
        <w:tab/>
      </w:r>
      <w:r>
        <w:tab/>
        <w:t>Constellation St. 1 at p. 13 (lines 8-13).</w:t>
      </w:r>
    </w:p>
  </w:footnote>
  <w:footnote w:id="248">
    <w:p w:rsidR="006D47C0" w:rsidRDefault="006D47C0" w:rsidP="006D47C0">
      <w:pPr>
        <w:pStyle w:val="FootnoteText"/>
        <w:tabs>
          <w:tab w:val="left" w:pos="720"/>
        </w:tabs>
        <w:spacing w:after="120"/>
        <w:ind w:left="720" w:hanging="720"/>
        <w:jc w:val="both"/>
      </w:pPr>
      <w:r>
        <w:tab/>
      </w:r>
      <w:r>
        <w:rPr>
          <w:rStyle w:val="FootnoteReference"/>
        </w:rPr>
        <w:footnoteRef/>
      </w:r>
      <w:r>
        <w:t xml:space="preserve"> </w:t>
      </w:r>
      <w:r>
        <w:tab/>
        <w:t>Constellation St. 1 at p. 13 (lines 13-16).</w:t>
      </w:r>
    </w:p>
  </w:footnote>
  <w:footnote w:id="249">
    <w:p w:rsidR="006D47C0" w:rsidRDefault="006D47C0" w:rsidP="006D47C0">
      <w:pPr>
        <w:pStyle w:val="FootnoteText"/>
        <w:spacing w:after="120"/>
        <w:ind w:left="720" w:hanging="720"/>
        <w:jc w:val="both"/>
      </w:pPr>
      <w:r>
        <w:tab/>
      </w:r>
      <w:r>
        <w:rPr>
          <w:rStyle w:val="FootnoteReference"/>
        </w:rPr>
        <w:footnoteRef/>
      </w:r>
      <w:r>
        <w:t xml:space="preserve"> </w:t>
      </w:r>
      <w:r>
        <w:tab/>
        <w:t>Constellation St. 1 at p. 13 (lines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1">
    <w:nsid w:val="FFFFFF89"/>
    <w:multiLevelType w:val="singleLevel"/>
    <w:tmpl w:val="01768896"/>
    <w:lvl w:ilvl="0">
      <w:start w:val="1"/>
      <w:numFmt w:val="bullet"/>
      <w:lvlText w:val=""/>
      <w:lvlJc w:val="left"/>
      <w:pPr>
        <w:tabs>
          <w:tab w:val="num" w:pos="360"/>
        </w:tabs>
        <w:ind w:left="360" w:hanging="360"/>
      </w:pPr>
      <w:rPr>
        <w:rFonts w:ascii="Symbol" w:hAnsi="Symbol" w:hint="default"/>
        <w:sz w:val="20"/>
      </w:rPr>
    </w:lvl>
  </w:abstractNum>
  <w:abstractNum w:abstractNumId="2">
    <w:nsid w:val="00045A28"/>
    <w:multiLevelType w:val="hybridMultilevel"/>
    <w:tmpl w:val="A7840C50"/>
    <w:lvl w:ilvl="0" w:tplc="9EFEF6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4E443BC"/>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67445D6"/>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A645D41"/>
    <w:multiLevelType w:val="hybridMultilevel"/>
    <w:tmpl w:val="C29C6CC4"/>
    <w:lvl w:ilvl="0" w:tplc="1B26F00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CD0458B"/>
    <w:multiLevelType w:val="multilevel"/>
    <w:tmpl w:val="BC828214"/>
    <w:lvl w:ilvl="0">
      <w:start w:val="1"/>
      <w:numFmt w:val="none"/>
      <w:lvlText w:val="Q."/>
      <w:lvlJc w:val="left"/>
      <w:pPr>
        <w:tabs>
          <w:tab w:val="num" w:pos="1440"/>
        </w:tabs>
        <w:ind w:left="1440" w:hanging="1440"/>
      </w:pPr>
      <w:rPr>
        <w:rFonts w:ascii="Times New Roman" w:hAnsi="Times New Roman" w:cs="Times New Roman" w:hint="default"/>
        <w:caps/>
        <w:strike w:val="0"/>
        <w:dstrike w:val="0"/>
        <w:outline w:val="0"/>
        <w:shadow w:val="0"/>
        <w:emboss w:val="0"/>
        <w:imprint w:val="0"/>
        <w:vanish w:val="0"/>
        <w:webHidden w:val="0"/>
        <w:sz w:val="24"/>
        <w:u w:val="none"/>
        <w:effect w:val="none"/>
        <w:vertAlign w:val="baseline"/>
        <w:specVanish w:val="0"/>
      </w:rPr>
    </w:lvl>
    <w:lvl w:ilvl="1">
      <w:start w:val="1"/>
      <w:numFmt w:val="none"/>
      <w:lvlRestart w:val="0"/>
      <w:pStyle w:val="DirectNext"/>
      <w:lvlText w:val="%2A."/>
      <w:lvlJc w:val="left"/>
      <w:pPr>
        <w:tabs>
          <w:tab w:val="num" w:pos="720"/>
        </w:tabs>
        <w:ind w:left="720" w:hanging="720"/>
      </w:pPr>
    </w:lvl>
    <w:lvl w:ilvl="2">
      <w:start w:val="1"/>
      <w:numFmt w:val="bullet"/>
      <w:lvlText w:val=""/>
      <w:lvlJc w:val="left"/>
      <w:pPr>
        <w:tabs>
          <w:tab w:val="num" w:pos="3528"/>
        </w:tabs>
        <w:ind w:left="3528" w:hanging="576"/>
      </w:pPr>
      <w:rPr>
        <w:rFonts w:ascii="Symbol" w:hAnsi="Symbol" w:hint="default"/>
      </w:rPr>
    </w:lvl>
    <w:lvl w:ilvl="3">
      <w:start w:val="1"/>
      <w:numFmt w:val="none"/>
      <w:lvlText w:val="(%4)"/>
      <w:lvlJc w:val="left"/>
      <w:pPr>
        <w:tabs>
          <w:tab w:val="num" w:pos="1800"/>
        </w:tabs>
        <w:ind w:left="1440" w:firstLine="0"/>
      </w:pPr>
    </w:lvl>
    <w:lvl w:ilvl="4">
      <w:start w:val="1"/>
      <w:numFmt w:val="none"/>
      <w:lvlText w:val="(%5)"/>
      <w:lvlJc w:val="left"/>
      <w:pPr>
        <w:tabs>
          <w:tab w:val="num" w:pos="2880"/>
        </w:tabs>
        <w:ind w:left="2880" w:hanging="936"/>
      </w:pPr>
    </w:lvl>
    <w:lvl w:ilvl="5">
      <w:start w:val="1"/>
      <w:numFmt w:val="none"/>
      <w:lvlText w:val="%1.%2.%3.%4.%5.%6."/>
      <w:lvlJc w:val="left"/>
      <w:pPr>
        <w:tabs>
          <w:tab w:val="num" w:pos="2880"/>
        </w:tabs>
        <w:ind w:left="2736" w:hanging="936"/>
      </w:pPr>
    </w:lvl>
    <w:lvl w:ilvl="6">
      <w:start w:val="1"/>
      <w:numFmt w:val="none"/>
      <w:lvlText w:val="%1.%2.%3.%4.%5.%6.%7."/>
      <w:lvlJc w:val="left"/>
      <w:pPr>
        <w:tabs>
          <w:tab w:val="num" w:pos="3600"/>
        </w:tabs>
        <w:ind w:left="3240" w:hanging="1080"/>
      </w:pPr>
    </w:lvl>
    <w:lvl w:ilvl="7">
      <w:start w:val="1"/>
      <w:numFmt w:val="none"/>
      <w:lvlText w:val="%1.%2.%3.%4.%5.%6.%7.%8."/>
      <w:lvlJc w:val="left"/>
      <w:pPr>
        <w:tabs>
          <w:tab w:val="num" w:pos="3960"/>
        </w:tabs>
        <w:ind w:left="3744" w:hanging="1224"/>
      </w:pPr>
    </w:lvl>
    <w:lvl w:ilvl="8">
      <w:numFmt w:val="none"/>
      <w:lvlRestart w:val="2"/>
      <w:lvlText w:val="%1.%2.%3.%4.%5.%6.%7.%8.%9."/>
      <w:lvlJc w:val="left"/>
      <w:pPr>
        <w:tabs>
          <w:tab w:val="num" w:pos="4680"/>
        </w:tabs>
        <w:ind w:left="4320" w:hanging="1440"/>
      </w:pPr>
    </w:lvl>
  </w:abstractNum>
  <w:abstractNum w:abstractNumId="7">
    <w:nsid w:val="0E981F2D"/>
    <w:multiLevelType w:val="hybridMultilevel"/>
    <w:tmpl w:val="5614B99E"/>
    <w:lvl w:ilvl="0" w:tplc="0CF452CE">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6662A"/>
    <w:multiLevelType w:val="hybridMultilevel"/>
    <w:tmpl w:val="193EE5E2"/>
    <w:lvl w:ilvl="0" w:tplc="648A68A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0BB7700"/>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57F51D7"/>
    <w:multiLevelType w:val="hybridMultilevel"/>
    <w:tmpl w:val="06D68E74"/>
    <w:lvl w:ilvl="0" w:tplc="050AA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9878B8"/>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0E516EF"/>
    <w:multiLevelType w:val="hybridMultilevel"/>
    <w:tmpl w:val="E834B912"/>
    <w:lvl w:ilvl="0" w:tplc="9EFEF638">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44AD0"/>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29ED1810"/>
    <w:multiLevelType w:val="hybridMultilevel"/>
    <w:tmpl w:val="BBEA778A"/>
    <w:lvl w:ilvl="0" w:tplc="EA5ED952">
      <w:start w:val="8"/>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E536341"/>
    <w:multiLevelType w:val="multilevel"/>
    <w:tmpl w:val="3BE8B4DC"/>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530"/>
        </w:tabs>
        <w:ind w:left="153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6">
    <w:nsid w:val="2F202AA5"/>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2F522AE6"/>
    <w:multiLevelType w:val="hybridMultilevel"/>
    <w:tmpl w:val="E834B912"/>
    <w:lvl w:ilvl="0" w:tplc="9EFEF638">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0E4DBA"/>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6760215"/>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9AF2BB6"/>
    <w:multiLevelType w:val="hybridMultilevel"/>
    <w:tmpl w:val="45984384"/>
    <w:lvl w:ilvl="0" w:tplc="A784270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00357B"/>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3ECE2FFF"/>
    <w:multiLevelType w:val="hybridMultilevel"/>
    <w:tmpl w:val="103889F6"/>
    <w:lvl w:ilvl="0" w:tplc="04090001">
      <w:start w:val="1"/>
      <w:numFmt w:val="bullet"/>
      <w:lvlText w:val=""/>
      <w:lvlJc w:val="left"/>
      <w:pPr>
        <w:ind w:left="1440" w:hanging="360"/>
      </w:pPr>
      <w:rPr>
        <w:rFonts w:ascii="Symbol" w:hAnsi="Symbol" w:hint="default"/>
      </w:rPr>
    </w:lvl>
    <w:lvl w:ilvl="1" w:tplc="C1380474">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7047E3"/>
    <w:multiLevelType w:val="hybridMultilevel"/>
    <w:tmpl w:val="13FE5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BA11F58"/>
    <w:multiLevelType w:val="hybridMultilevel"/>
    <w:tmpl w:val="32681EAE"/>
    <w:lvl w:ilvl="0" w:tplc="A91E6D88">
      <w:start w:val="2"/>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46086B"/>
    <w:multiLevelType w:val="hybridMultilevel"/>
    <w:tmpl w:val="90381E98"/>
    <w:lvl w:ilvl="0" w:tplc="1B7CB6D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00102DA"/>
    <w:multiLevelType w:val="hybridMultilevel"/>
    <w:tmpl w:val="A96649FA"/>
    <w:lvl w:ilvl="0" w:tplc="7DB28C60">
      <w:start w:val="1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nsid w:val="500D4E6A"/>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165684A"/>
    <w:multiLevelType w:val="hybridMultilevel"/>
    <w:tmpl w:val="2082721A"/>
    <w:lvl w:ilvl="0" w:tplc="A53200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2FA0B54"/>
    <w:multiLevelType w:val="multilevel"/>
    <w:tmpl w:val="E5F48172"/>
    <w:lvl w:ilvl="0">
      <w:start w:val="1"/>
      <w:numFmt w:val="upperRoman"/>
      <w:pStyle w:val="Heading1"/>
      <w:lvlText w:val="%1."/>
      <w:lvlJc w:val="left"/>
      <w:pPr>
        <w:tabs>
          <w:tab w:val="num" w:pos="720"/>
        </w:tabs>
        <w:ind w:left="720" w:hanging="720"/>
      </w:pPr>
      <w:rPr>
        <w:rFonts w:cs="Times New Roman"/>
        <w:caps w:val="0"/>
        <w:strike w:val="0"/>
        <w:dstrike w:val="0"/>
        <w:vanish w:val="0"/>
        <w:webHidden w:val="0"/>
        <w:color w:val="010000"/>
        <w:u w:val="none"/>
        <w:effect w:val="none"/>
        <w:specVanish w:val="0"/>
      </w:rPr>
    </w:lvl>
    <w:lvl w:ilvl="1">
      <w:start w:val="1"/>
      <w:numFmt w:val="upperLetter"/>
      <w:pStyle w:val="Heading2"/>
      <w:lvlText w:val="%2."/>
      <w:lvlJc w:val="left"/>
      <w:pPr>
        <w:tabs>
          <w:tab w:val="num" w:pos="1440"/>
        </w:tabs>
        <w:ind w:left="1440" w:hanging="720"/>
      </w:pPr>
      <w:rPr>
        <w:rFonts w:cs="Times New Roman"/>
        <w:caps w:val="0"/>
        <w:strike w:val="0"/>
        <w:dstrike w:val="0"/>
        <w:vanish w:val="0"/>
        <w:webHidden w:val="0"/>
        <w:color w:val="010000"/>
        <w:u w:val="none"/>
        <w:effect w:val="none"/>
        <w:specVanish w:val="0"/>
      </w:rPr>
    </w:lvl>
    <w:lvl w:ilvl="2">
      <w:start w:val="1"/>
      <w:numFmt w:val="decimal"/>
      <w:pStyle w:val="Heading3"/>
      <w:lvlText w:val="%3."/>
      <w:lvlJc w:val="left"/>
      <w:pPr>
        <w:tabs>
          <w:tab w:val="num" w:pos="2160"/>
        </w:tabs>
        <w:ind w:left="2160" w:hanging="720"/>
      </w:pPr>
      <w:rPr>
        <w:rFonts w:cs="Times New Roman"/>
        <w:caps w:val="0"/>
        <w:strike w:val="0"/>
        <w:dstrike w:val="0"/>
        <w:vanish w:val="0"/>
        <w:webHidden w:val="0"/>
        <w:color w:val="010000"/>
        <w:u w:val="none"/>
        <w:effect w:val="none"/>
        <w:specVanish w:val="0"/>
      </w:rPr>
    </w:lvl>
    <w:lvl w:ilvl="3">
      <w:start w:val="1"/>
      <w:numFmt w:val="lowerLetter"/>
      <w:pStyle w:val="Heading4"/>
      <w:lvlText w:val="%4."/>
      <w:lvlJc w:val="left"/>
      <w:pPr>
        <w:tabs>
          <w:tab w:val="num" w:pos="2880"/>
        </w:tabs>
        <w:ind w:left="2880" w:hanging="720"/>
      </w:pPr>
      <w:rPr>
        <w:rFonts w:cs="Times New Roman"/>
        <w:caps w:val="0"/>
        <w:strike w:val="0"/>
        <w:dstrike w:val="0"/>
        <w:vanish w:val="0"/>
        <w:webHidden w:val="0"/>
        <w:color w:val="010000"/>
        <w:u w:val="none"/>
        <w:effect w:val="none"/>
        <w:specVanish w:val="0"/>
      </w:rPr>
    </w:lvl>
    <w:lvl w:ilvl="4">
      <w:start w:val="1"/>
      <w:numFmt w:val="lowerRoman"/>
      <w:pStyle w:val="Heading5"/>
      <w:lvlText w:val="%5."/>
      <w:lvlJc w:val="left"/>
      <w:pPr>
        <w:tabs>
          <w:tab w:val="num" w:pos="3600"/>
        </w:tabs>
        <w:ind w:left="3600" w:hanging="720"/>
      </w:pPr>
      <w:rPr>
        <w:rFonts w:cs="Times New Roman"/>
        <w:caps w:val="0"/>
        <w:strike w:val="0"/>
        <w:dstrike w:val="0"/>
        <w:vanish w:val="0"/>
        <w:webHidden w:val="0"/>
        <w:color w:val="010000"/>
        <w:u w:val="none"/>
        <w:effect w:val="none"/>
        <w:specVanish w:val="0"/>
      </w:rPr>
    </w:lvl>
    <w:lvl w:ilvl="5">
      <w:start w:val="1"/>
      <w:numFmt w:val="upperLetter"/>
      <w:pStyle w:val="Heading6"/>
      <w:lvlText w:val="(%6)"/>
      <w:lvlJc w:val="left"/>
      <w:pPr>
        <w:tabs>
          <w:tab w:val="num" w:pos="4320"/>
        </w:tabs>
        <w:ind w:left="4320" w:hanging="720"/>
      </w:pPr>
      <w:rPr>
        <w:rFonts w:cs="Times New Roman"/>
        <w:caps w:val="0"/>
        <w:strike w:val="0"/>
        <w:dstrike w:val="0"/>
        <w:vanish w:val="0"/>
        <w:webHidden w:val="0"/>
        <w:color w:val="010000"/>
        <w:u w:val="none"/>
        <w:effect w:val="none"/>
        <w:specVanish w:val="0"/>
      </w:rPr>
    </w:lvl>
    <w:lvl w:ilvl="6">
      <w:start w:val="1"/>
      <w:numFmt w:val="decimal"/>
      <w:pStyle w:val="Heading7"/>
      <w:lvlText w:val="(%7)"/>
      <w:lvlJc w:val="left"/>
      <w:pPr>
        <w:tabs>
          <w:tab w:val="num" w:pos="5040"/>
        </w:tabs>
        <w:ind w:left="5040" w:hanging="720"/>
      </w:pPr>
      <w:rPr>
        <w:rFonts w:cs="Times New Roman"/>
        <w:caps w:val="0"/>
        <w:strike w:val="0"/>
        <w:dstrike w:val="0"/>
        <w:vanish w:val="0"/>
        <w:webHidden w:val="0"/>
        <w:color w:val="010000"/>
        <w:u w:val="none"/>
        <w:effect w:val="none"/>
        <w:specVanish w:val="0"/>
      </w:rPr>
    </w:lvl>
    <w:lvl w:ilvl="7">
      <w:start w:val="1"/>
      <w:numFmt w:val="lowerLetter"/>
      <w:pStyle w:val="Heading8"/>
      <w:lvlText w:val="(%8)"/>
      <w:lvlJc w:val="left"/>
      <w:pPr>
        <w:tabs>
          <w:tab w:val="num" w:pos="5760"/>
        </w:tabs>
        <w:ind w:left="5760" w:hanging="720"/>
      </w:pPr>
      <w:rPr>
        <w:rFonts w:cs="Times New Roman"/>
        <w:caps w:val="0"/>
        <w:strike w:val="0"/>
        <w:dstrike w:val="0"/>
        <w:vanish w:val="0"/>
        <w:webHidden w:val="0"/>
        <w:color w:val="010000"/>
        <w:u w:val="none"/>
        <w:effect w:val="none"/>
        <w:specVanish w:val="0"/>
      </w:rPr>
    </w:lvl>
    <w:lvl w:ilvl="8">
      <w:start w:val="1"/>
      <w:numFmt w:val="lowerRoman"/>
      <w:pStyle w:val="Heading9"/>
      <w:lvlText w:val="(%9)"/>
      <w:lvlJc w:val="left"/>
      <w:pPr>
        <w:tabs>
          <w:tab w:val="num" w:pos="6480"/>
        </w:tabs>
        <w:ind w:left="6480" w:hanging="720"/>
      </w:pPr>
      <w:rPr>
        <w:rFonts w:cs="Times New Roman"/>
        <w:caps w:val="0"/>
        <w:strike w:val="0"/>
        <w:dstrike w:val="0"/>
        <w:vanish w:val="0"/>
        <w:webHidden w:val="0"/>
        <w:color w:val="010000"/>
        <w:u w:val="none"/>
        <w:effect w:val="none"/>
        <w:specVanish w:val="0"/>
      </w:rPr>
    </w:lvl>
  </w:abstractNum>
  <w:abstractNum w:abstractNumId="31">
    <w:nsid w:val="54404FD7"/>
    <w:multiLevelType w:val="hybridMultilevel"/>
    <w:tmpl w:val="697E8678"/>
    <w:lvl w:ilvl="0" w:tplc="01046E34">
      <w:start w:val="1"/>
      <w:numFmt w:val="bullet"/>
      <w:lvlText w:val=""/>
      <w:lvlJc w:val="left"/>
      <w:pPr>
        <w:ind w:left="1440" w:hanging="360"/>
      </w:pPr>
      <w:rPr>
        <w:rFonts w:ascii="Symbol" w:hAnsi="Symbol" w:hint="default"/>
      </w:rPr>
    </w:lvl>
    <w:lvl w:ilvl="1" w:tplc="28E8C8AA">
      <w:start w:val="1"/>
      <w:numFmt w:val="bullet"/>
      <w:lvlText w:val="o"/>
      <w:lvlJc w:val="left"/>
      <w:pPr>
        <w:ind w:left="2160" w:hanging="360"/>
      </w:pPr>
      <w:rPr>
        <w:rFonts w:ascii="Courier New" w:hAnsi="Courier New" w:cs="Courier New" w:hint="default"/>
      </w:rPr>
    </w:lvl>
    <w:lvl w:ilvl="2" w:tplc="A844D84C">
      <w:start w:val="1"/>
      <w:numFmt w:val="bullet"/>
      <w:lvlText w:val=""/>
      <w:lvlJc w:val="left"/>
      <w:pPr>
        <w:ind w:left="2880" w:hanging="360"/>
      </w:pPr>
      <w:rPr>
        <w:rFonts w:ascii="Wingdings" w:hAnsi="Wingdings" w:hint="default"/>
      </w:rPr>
    </w:lvl>
    <w:lvl w:ilvl="3" w:tplc="61F208F6">
      <w:start w:val="1"/>
      <w:numFmt w:val="bullet"/>
      <w:lvlText w:val=""/>
      <w:lvlJc w:val="left"/>
      <w:pPr>
        <w:ind w:left="3600" w:hanging="360"/>
      </w:pPr>
      <w:rPr>
        <w:rFonts w:ascii="Symbol" w:hAnsi="Symbol" w:hint="default"/>
      </w:rPr>
    </w:lvl>
    <w:lvl w:ilvl="4" w:tplc="1252142A">
      <w:start w:val="1"/>
      <w:numFmt w:val="bullet"/>
      <w:lvlText w:val="o"/>
      <w:lvlJc w:val="left"/>
      <w:pPr>
        <w:ind w:left="4320" w:hanging="360"/>
      </w:pPr>
      <w:rPr>
        <w:rFonts w:ascii="Courier New" w:hAnsi="Courier New" w:cs="Courier New" w:hint="default"/>
      </w:rPr>
    </w:lvl>
    <w:lvl w:ilvl="5" w:tplc="E970330A">
      <w:start w:val="1"/>
      <w:numFmt w:val="bullet"/>
      <w:lvlText w:val=""/>
      <w:lvlJc w:val="left"/>
      <w:pPr>
        <w:ind w:left="5040" w:hanging="360"/>
      </w:pPr>
      <w:rPr>
        <w:rFonts w:ascii="Wingdings" w:hAnsi="Wingdings" w:hint="default"/>
      </w:rPr>
    </w:lvl>
    <w:lvl w:ilvl="6" w:tplc="92928754">
      <w:start w:val="1"/>
      <w:numFmt w:val="bullet"/>
      <w:lvlText w:val=""/>
      <w:lvlJc w:val="left"/>
      <w:pPr>
        <w:ind w:left="5760" w:hanging="360"/>
      </w:pPr>
      <w:rPr>
        <w:rFonts w:ascii="Symbol" w:hAnsi="Symbol" w:hint="default"/>
      </w:rPr>
    </w:lvl>
    <w:lvl w:ilvl="7" w:tplc="1542FAEE">
      <w:start w:val="1"/>
      <w:numFmt w:val="bullet"/>
      <w:lvlText w:val="o"/>
      <w:lvlJc w:val="left"/>
      <w:pPr>
        <w:ind w:left="6480" w:hanging="360"/>
      </w:pPr>
      <w:rPr>
        <w:rFonts w:ascii="Courier New" w:hAnsi="Courier New" w:cs="Courier New" w:hint="default"/>
      </w:rPr>
    </w:lvl>
    <w:lvl w:ilvl="8" w:tplc="3E72E718">
      <w:start w:val="1"/>
      <w:numFmt w:val="bullet"/>
      <w:lvlText w:val=""/>
      <w:lvlJc w:val="left"/>
      <w:pPr>
        <w:ind w:left="7200" w:hanging="360"/>
      </w:pPr>
      <w:rPr>
        <w:rFonts w:ascii="Wingdings" w:hAnsi="Wingdings" w:hint="default"/>
      </w:rPr>
    </w:lvl>
  </w:abstractNum>
  <w:abstractNum w:abstractNumId="32">
    <w:nsid w:val="54A6330E"/>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8C0036A"/>
    <w:multiLevelType w:val="hybridMultilevel"/>
    <w:tmpl w:val="AA2CF760"/>
    <w:lvl w:ilvl="0" w:tplc="CE589DEA">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B9C482F"/>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5C090BE9"/>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5CB841A0"/>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5F341A89"/>
    <w:multiLevelType w:val="hybridMultilevel"/>
    <w:tmpl w:val="5F4A0EA8"/>
    <w:lvl w:ilvl="0" w:tplc="39AA7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784D9A"/>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nsid w:val="66DA0678"/>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67754FCF"/>
    <w:multiLevelType w:val="hybridMultilevel"/>
    <w:tmpl w:val="0D4CA326"/>
    <w:lvl w:ilvl="0" w:tplc="A94A24B6">
      <w:start w:val="1"/>
      <w:numFmt w:val="bullet"/>
      <w:pStyle w:val="NBBullet1"/>
      <w:lvlText w:val=""/>
      <w:lvlJc w:val="left"/>
      <w:pPr>
        <w:tabs>
          <w:tab w:val="num" w:pos="378"/>
        </w:tabs>
        <w:ind w:left="378" w:hanging="378"/>
      </w:pPr>
      <w:rPr>
        <w:rFonts w:ascii="Symbol" w:hAnsi="Symbol" w:hint="default"/>
        <w:sz w:val="24"/>
      </w:rPr>
    </w:lvl>
    <w:lvl w:ilvl="1" w:tplc="DCCC32B4">
      <w:start w:val="1"/>
      <w:numFmt w:val="bullet"/>
      <w:lvlText w:val="o"/>
      <w:lvlJc w:val="left"/>
      <w:pPr>
        <w:tabs>
          <w:tab w:val="num" w:pos="-792"/>
        </w:tabs>
        <w:ind w:left="-792" w:hanging="360"/>
      </w:pPr>
      <w:rPr>
        <w:rFonts w:ascii="Courier New" w:hAnsi="Courier New" w:cs="Times New Roman" w:hint="default"/>
      </w:rPr>
    </w:lvl>
    <w:lvl w:ilvl="2" w:tplc="B47EB38E">
      <w:start w:val="1"/>
      <w:numFmt w:val="bullet"/>
      <w:lvlText w:val=""/>
      <w:lvlJc w:val="left"/>
      <w:pPr>
        <w:tabs>
          <w:tab w:val="num" w:pos="-72"/>
        </w:tabs>
        <w:ind w:left="-72" w:hanging="360"/>
      </w:pPr>
      <w:rPr>
        <w:rFonts w:ascii="Wingdings" w:hAnsi="Wingdings" w:hint="default"/>
      </w:rPr>
    </w:lvl>
    <w:lvl w:ilvl="3" w:tplc="E208E08C">
      <w:start w:val="1"/>
      <w:numFmt w:val="bullet"/>
      <w:lvlText w:val=""/>
      <w:lvlJc w:val="left"/>
      <w:pPr>
        <w:tabs>
          <w:tab w:val="num" w:pos="648"/>
        </w:tabs>
        <w:ind w:left="648" w:hanging="360"/>
      </w:pPr>
      <w:rPr>
        <w:rFonts w:ascii="Symbol" w:hAnsi="Symbol" w:hint="default"/>
      </w:rPr>
    </w:lvl>
    <w:lvl w:ilvl="4" w:tplc="F5F44454">
      <w:start w:val="1"/>
      <w:numFmt w:val="bullet"/>
      <w:lvlText w:val="o"/>
      <w:lvlJc w:val="left"/>
      <w:pPr>
        <w:tabs>
          <w:tab w:val="num" w:pos="1368"/>
        </w:tabs>
        <w:ind w:left="1368" w:hanging="360"/>
      </w:pPr>
      <w:rPr>
        <w:rFonts w:ascii="Courier New" w:hAnsi="Courier New" w:cs="Times New Roman" w:hint="default"/>
      </w:rPr>
    </w:lvl>
    <w:lvl w:ilvl="5" w:tplc="B01A72EC">
      <w:start w:val="1"/>
      <w:numFmt w:val="bullet"/>
      <w:lvlText w:val=""/>
      <w:lvlJc w:val="left"/>
      <w:pPr>
        <w:tabs>
          <w:tab w:val="num" w:pos="2088"/>
        </w:tabs>
        <w:ind w:left="2088" w:hanging="360"/>
      </w:pPr>
      <w:rPr>
        <w:rFonts w:ascii="Wingdings" w:hAnsi="Wingdings" w:hint="default"/>
      </w:rPr>
    </w:lvl>
    <w:lvl w:ilvl="6" w:tplc="6C22E1A4">
      <w:start w:val="1"/>
      <w:numFmt w:val="bullet"/>
      <w:lvlText w:val=""/>
      <w:lvlJc w:val="left"/>
      <w:pPr>
        <w:tabs>
          <w:tab w:val="num" w:pos="2808"/>
        </w:tabs>
        <w:ind w:left="2808" w:hanging="360"/>
      </w:pPr>
      <w:rPr>
        <w:rFonts w:ascii="Symbol" w:hAnsi="Symbol" w:hint="default"/>
      </w:rPr>
    </w:lvl>
    <w:lvl w:ilvl="7" w:tplc="FD8CB004">
      <w:start w:val="1"/>
      <w:numFmt w:val="bullet"/>
      <w:lvlText w:val="o"/>
      <w:lvlJc w:val="left"/>
      <w:pPr>
        <w:tabs>
          <w:tab w:val="num" w:pos="3528"/>
        </w:tabs>
        <w:ind w:left="3528" w:hanging="360"/>
      </w:pPr>
      <w:rPr>
        <w:rFonts w:ascii="Courier New" w:hAnsi="Courier New" w:cs="Times New Roman" w:hint="default"/>
      </w:rPr>
    </w:lvl>
    <w:lvl w:ilvl="8" w:tplc="303CD4B4">
      <w:start w:val="1"/>
      <w:numFmt w:val="bullet"/>
      <w:lvlText w:val=""/>
      <w:lvlJc w:val="left"/>
      <w:pPr>
        <w:tabs>
          <w:tab w:val="num" w:pos="4248"/>
        </w:tabs>
        <w:ind w:left="4248" w:hanging="360"/>
      </w:pPr>
      <w:rPr>
        <w:rFonts w:ascii="Wingdings" w:hAnsi="Wingdings" w:hint="default"/>
      </w:rPr>
    </w:lvl>
  </w:abstractNum>
  <w:abstractNum w:abstractNumId="41">
    <w:nsid w:val="68497CC6"/>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68747ED2"/>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7C2C67AE"/>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C2C6BC7"/>
    <w:multiLevelType w:val="hybridMultilevel"/>
    <w:tmpl w:val="366AE90E"/>
    <w:lvl w:ilvl="0" w:tplc="A07AE33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nsid w:val="7C4372EB"/>
    <w:multiLevelType w:val="hybridMultilevel"/>
    <w:tmpl w:val="7980AF7C"/>
    <w:lvl w:ilvl="0" w:tplc="DC00A9B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F4A148D"/>
    <w:multiLevelType w:val="hybridMultilevel"/>
    <w:tmpl w:val="A5763A2E"/>
    <w:lvl w:ilvl="0" w:tplc="14987A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0"/>
  </w:num>
  <w:num w:numId="3">
    <w:abstractNumId w:val="23"/>
  </w:num>
  <w:num w:numId="4">
    <w:abstractNumId w:val="0"/>
    <w:lvlOverride w:ilvl="0">
      <w:startOverride w:val="1"/>
    </w:lvlOverride>
  </w:num>
  <w:num w:numId="5">
    <w:abstractNumId w:val="27"/>
  </w:num>
  <w:num w:numId="6">
    <w:abstractNumId w:val="40"/>
  </w:num>
  <w:num w:numId="7">
    <w:abstractNumId w:val="1"/>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20"/>
  </w:num>
  <w:num w:numId="11">
    <w:abstractNumId w:val="24"/>
  </w:num>
  <w:num w:numId="12">
    <w:abstractNumId w:val="22"/>
  </w:num>
  <w:num w:numId="13">
    <w:abstractNumId w:val="31"/>
  </w:num>
  <w:num w:numId="14">
    <w:abstractNumId w:val="46"/>
  </w:num>
  <w:num w:numId="15">
    <w:abstractNumId w:val="37"/>
  </w:num>
  <w:num w:numId="16">
    <w:abstractNumId w:val="26"/>
  </w:num>
  <w:num w:numId="17">
    <w:abstractNumId w:val="10"/>
  </w:num>
  <w:num w:numId="18">
    <w:abstractNumId w:val="29"/>
  </w:num>
  <w:num w:numId="19">
    <w:abstractNumId w:val="9"/>
  </w:num>
  <w:num w:numId="20">
    <w:abstractNumId w:val="41"/>
  </w:num>
  <w:num w:numId="21">
    <w:abstractNumId w:val="35"/>
  </w:num>
  <w:num w:numId="22">
    <w:abstractNumId w:val="21"/>
  </w:num>
  <w:num w:numId="23">
    <w:abstractNumId w:val="19"/>
  </w:num>
  <w:num w:numId="24">
    <w:abstractNumId w:val="16"/>
  </w:num>
  <w:num w:numId="25">
    <w:abstractNumId w:val="34"/>
  </w:num>
  <w:num w:numId="26">
    <w:abstractNumId w:val="43"/>
  </w:num>
  <w:num w:numId="27">
    <w:abstractNumId w:val="33"/>
  </w:num>
  <w:num w:numId="28">
    <w:abstractNumId w:val="7"/>
  </w:num>
  <w:num w:numId="29">
    <w:abstractNumId w:val="18"/>
  </w:num>
  <w:num w:numId="30">
    <w:abstractNumId w:val="4"/>
  </w:num>
  <w:num w:numId="31">
    <w:abstractNumId w:val="39"/>
  </w:num>
  <w:num w:numId="32">
    <w:abstractNumId w:val="11"/>
  </w:num>
  <w:num w:numId="33">
    <w:abstractNumId w:val="42"/>
  </w:num>
  <w:num w:numId="34">
    <w:abstractNumId w:val="13"/>
  </w:num>
  <w:num w:numId="35">
    <w:abstractNumId w:val="38"/>
  </w:num>
  <w:num w:numId="36">
    <w:abstractNumId w:val="28"/>
  </w:num>
  <w:num w:numId="37">
    <w:abstractNumId w:val="32"/>
  </w:num>
  <w:num w:numId="38">
    <w:abstractNumId w:val="3"/>
  </w:num>
  <w:num w:numId="39">
    <w:abstractNumId w:val="44"/>
  </w:num>
  <w:num w:numId="40">
    <w:abstractNumId w:val="17"/>
  </w:num>
  <w:num w:numId="41">
    <w:abstractNumId w:val="5"/>
  </w:num>
  <w:num w:numId="42">
    <w:abstractNumId w:val="2"/>
  </w:num>
  <w:num w:numId="43">
    <w:abstractNumId w:val="12"/>
  </w:num>
  <w:num w:numId="44">
    <w:abstractNumId w:val="25"/>
  </w:num>
  <w:num w:numId="45">
    <w:abstractNumId w:val="8"/>
  </w:num>
  <w:num w:numId="46">
    <w:abstractNumId w:val="36"/>
  </w:num>
  <w:num w:numId="47">
    <w:abstractNumId w:val="14"/>
  </w:num>
  <w:num w:numId="48">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0FA2"/>
    <w:rsid w:val="00001ABA"/>
    <w:rsid w:val="00002E79"/>
    <w:rsid w:val="00002E99"/>
    <w:rsid w:val="00002FE1"/>
    <w:rsid w:val="00003119"/>
    <w:rsid w:val="00003135"/>
    <w:rsid w:val="00005247"/>
    <w:rsid w:val="000065C6"/>
    <w:rsid w:val="0001101D"/>
    <w:rsid w:val="00011478"/>
    <w:rsid w:val="00014A18"/>
    <w:rsid w:val="0001515F"/>
    <w:rsid w:val="0001542F"/>
    <w:rsid w:val="00016224"/>
    <w:rsid w:val="00016C19"/>
    <w:rsid w:val="000203D5"/>
    <w:rsid w:val="000211EE"/>
    <w:rsid w:val="0002197A"/>
    <w:rsid w:val="00022A46"/>
    <w:rsid w:val="00022DE4"/>
    <w:rsid w:val="000253F8"/>
    <w:rsid w:val="00025DAC"/>
    <w:rsid w:val="0002674C"/>
    <w:rsid w:val="00031878"/>
    <w:rsid w:val="00031CED"/>
    <w:rsid w:val="00035173"/>
    <w:rsid w:val="00035E80"/>
    <w:rsid w:val="0003622E"/>
    <w:rsid w:val="00036BAE"/>
    <w:rsid w:val="0003743C"/>
    <w:rsid w:val="00037E8B"/>
    <w:rsid w:val="00037FA0"/>
    <w:rsid w:val="00040542"/>
    <w:rsid w:val="0004078E"/>
    <w:rsid w:val="00041250"/>
    <w:rsid w:val="00041A55"/>
    <w:rsid w:val="00042772"/>
    <w:rsid w:val="000427EF"/>
    <w:rsid w:val="00042863"/>
    <w:rsid w:val="00043936"/>
    <w:rsid w:val="000447F9"/>
    <w:rsid w:val="00044A87"/>
    <w:rsid w:val="00045AFB"/>
    <w:rsid w:val="00046207"/>
    <w:rsid w:val="0004623F"/>
    <w:rsid w:val="0004692F"/>
    <w:rsid w:val="000479F3"/>
    <w:rsid w:val="00050489"/>
    <w:rsid w:val="00050903"/>
    <w:rsid w:val="00050AF1"/>
    <w:rsid w:val="00050B04"/>
    <w:rsid w:val="00051A53"/>
    <w:rsid w:val="0005258F"/>
    <w:rsid w:val="00052930"/>
    <w:rsid w:val="00054540"/>
    <w:rsid w:val="00054A10"/>
    <w:rsid w:val="00055FCB"/>
    <w:rsid w:val="00056DCD"/>
    <w:rsid w:val="000571E4"/>
    <w:rsid w:val="00057272"/>
    <w:rsid w:val="0005737B"/>
    <w:rsid w:val="00057409"/>
    <w:rsid w:val="00057C65"/>
    <w:rsid w:val="00060268"/>
    <w:rsid w:val="000603EA"/>
    <w:rsid w:val="00060BB1"/>
    <w:rsid w:val="00061FC2"/>
    <w:rsid w:val="00062755"/>
    <w:rsid w:val="00062E2C"/>
    <w:rsid w:val="00063E24"/>
    <w:rsid w:val="00063F87"/>
    <w:rsid w:val="00064462"/>
    <w:rsid w:val="00064634"/>
    <w:rsid w:val="000653E3"/>
    <w:rsid w:val="00067108"/>
    <w:rsid w:val="00067609"/>
    <w:rsid w:val="0007005B"/>
    <w:rsid w:val="00070A25"/>
    <w:rsid w:val="0007178A"/>
    <w:rsid w:val="00073240"/>
    <w:rsid w:val="0007372A"/>
    <w:rsid w:val="00073D8E"/>
    <w:rsid w:val="00074074"/>
    <w:rsid w:val="00074FE1"/>
    <w:rsid w:val="000754CF"/>
    <w:rsid w:val="00076407"/>
    <w:rsid w:val="00077EC5"/>
    <w:rsid w:val="00080D01"/>
    <w:rsid w:val="00080E54"/>
    <w:rsid w:val="00081A6A"/>
    <w:rsid w:val="0008208D"/>
    <w:rsid w:val="00082308"/>
    <w:rsid w:val="00082AF7"/>
    <w:rsid w:val="00082B14"/>
    <w:rsid w:val="00084929"/>
    <w:rsid w:val="000850D6"/>
    <w:rsid w:val="000851FC"/>
    <w:rsid w:val="00085C3A"/>
    <w:rsid w:val="000866D3"/>
    <w:rsid w:val="00086BC4"/>
    <w:rsid w:val="00087E56"/>
    <w:rsid w:val="00090232"/>
    <w:rsid w:val="000904AA"/>
    <w:rsid w:val="00091F5A"/>
    <w:rsid w:val="0009208B"/>
    <w:rsid w:val="0009238E"/>
    <w:rsid w:val="00093BF9"/>
    <w:rsid w:val="00094A3F"/>
    <w:rsid w:val="00095FC9"/>
    <w:rsid w:val="00096FF3"/>
    <w:rsid w:val="000A3014"/>
    <w:rsid w:val="000A34C7"/>
    <w:rsid w:val="000A72C3"/>
    <w:rsid w:val="000A7D7E"/>
    <w:rsid w:val="000B0074"/>
    <w:rsid w:val="000B0DA3"/>
    <w:rsid w:val="000B200B"/>
    <w:rsid w:val="000B25EB"/>
    <w:rsid w:val="000B25FF"/>
    <w:rsid w:val="000B284A"/>
    <w:rsid w:val="000B30A3"/>
    <w:rsid w:val="000B3A2F"/>
    <w:rsid w:val="000B3E55"/>
    <w:rsid w:val="000B41C6"/>
    <w:rsid w:val="000B49C4"/>
    <w:rsid w:val="000B55DC"/>
    <w:rsid w:val="000B5F82"/>
    <w:rsid w:val="000B6B6C"/>
    <w:rsid w:val="000B6D6C"/>
    <w:rsid w:val="000B709F"/>
    <w:rsid w:val="000B7D0F"/>
    <w:rsid w:val="000C198B"/>
    <w:rsid w:val="000C1BA2"/>
    <w:rsid w:val="000C1E5F"/>
    <w:rsid w:val="000C3A73"/>
    <w:rsid w:val="000C5271"/>
    <w:rsid w:val="000C5888"/>
    <w:rsid w:val="000C63B7"/>
    <w:rsid w:val="000C6B6B"/>
    <w:rsid w:val="000C6C05"/>
    <w:rsid w:val="000C6C19"/>
    <w:rsid w:val="000D016C"/>
    <w:rsid w:val="000D179A"/>
    <w:rsid w:val="000D1C11"/>
    <w:rsid w:val="000D2CCA"/>
    <w:rsid w:val="000D4032"/>
    <w:rsid w:val="000D4140"/>
    <w:rsid w:val="000D5615"/>
    <w:rsid w:val="000D57F0"/>
    <w:rsid w:val="000D5EF0"/>
    <w:rsid w:val="000D67B4"/>
    <w:rsid w:val="000E0446"/>
    <w:rsid w:val="000E0DD1"/>
    <w:rsid w:val="000E20D9"/>
    <w:rsid w:val="000E30B9"/>
    <w:rsid w:val="000E339F"/>
    <w:rsid w:val="000E5A85"/>
    <w:rsid w:val="000F0A49"/>
    <w:rsid w:val="000F0B3E"/>
    <w:rsid w:val="000F1AF0"/>
    <w:rsid w:val="000F28B7"/>
    <w:rsid w:val="000F30E9"/>
    <w:rsid w:val="000F3E4A"/>
    <w:rsid w:val="000F4091"/>
    <w:rsid w:val="000F4767"/>
    <w:rsid w:val="000F53E2"/>
    <w:rsid w:val="000F5D44"/>
    <w:rsid w:val="000F61A3"/>
    <w:rsid w:val="000F7691"/>
    <w:rsid w:val="00100249"/>
    <w:rsid w:val="001011A4"/>
    <w:rsid w:val="001018E8"/>
    <w:rsid w:val="00101B9A"/>
    <w:rsid w:val="00101BB0"/>
    <w:rsid w:val="00102809"/>
    <w:rsid w:val="00102C05"/>
    <w:rsid w:val="00102E24"/>
    <w:rsid w:val="001031A6"/>
    <w:rsid w:val="0010340C"/>
    <w:rsid w:val="0010391C"/>
    <w:rsid w:val="00104073"/>
    <w:rsid w:val="0010439A"/>
    <w:rsid w:val="00104D08"/>
    <w:rsid w:val="00104D86"/>
    <w:rsid w:val="00105981"/>
    <w:rsid w:val="00105D65"/>
    <w:rsid w:val="001065FF"/>
    <w:rsid w:val="001066C1"/>
    <w:rsid w:val="00107561"/>
    <w:rsid w:val="00107B80"/>
    <w:rsid w:val="00107F72"/>
    <w:rsid w:val="00112C1A"/>
    <w:rsid w:val="00113C98"/>
    <w:rsid w:val="001143EE"/>
    <w:rsid w:val="00114807"/>
    <w:rsid w:val="0011485C"/>
    <w:rsid w:val="00116479"/>
    <w:rsid w:val="00116C62"/>
    <w:rsid w:val="00116E62"/>
    <w:rsid w:val="00120267"/>
    <w:rsid w:val="001203D5"/>
    <w:rsid w:val="001206B8"/>
    <w:rsid w:val="00120886"/>
    <w:rsid w:val="00121116"/>
    <w:rsid w:val="00121353"/>
    <w:rsid w:val="001219D3"/>
    <w:rsid w:val="00122432"/>
    <w:rsid w:val="00122A9C"/>
    <w:rsid w:val="001236C2"/>
    <w:rsid w:val="00124745"/>
    <w:rsid w:val="00124850"/>
    <w:rsid w:val="00124F5A"/>
    <w:rsid w:val="001252C6"/>
    <w:rsid w:val="001259E3"/>
    <w:rsid w:val="001260D5"/>
    <w:rsid w:val="001270B6"/>
    <w:rsid w:val="00130350"/>
    <w:rsid w:val="00130D33"/>
    <w:rsid w:val="001313D5"/>
    <w:rsid w:val="00132557"/>
    <w:rsid w:val="00132928"/>
    <w:rsid w:val="00135677"/>
    <w:rsid w:val="0013770C"/>
    <w:rsid w:val="001402C2"/>
    <w:rsid w:val="00140883"/>
    <w:rsid w:val="0014181A"/>
    <w:rsid w:val="001419C6"/>
    <w:rsid w:val="0014297C"/>
    <w:rsid w:val="00142EE0"/>
    <w:rsid w:val="001430F5"/>
    <w:rsid w:val="001441F9"/>
    <w:rsid w:val="001446D8"/>
    <w:rsid w:val="00146789"/>
    <w:rsid w:val="0014702E"/>
    <w:rsid w:val="00147369"/>
    <w:rsid w:val="00147BD8"/>
    <w:rsid w:val="00151654"/>
    <w:rsid w:val="00151AB7"/>
    <w:rsid w:val="00152C73"/>
    <w:rsid w:val="00153529"/>
    <w:rsid w:val="001543F6"/>
    <w:rsid w:val="00154532"/>
    <w:rsid w:val="001547B2"/>
    <w:rsid w:val="00155068"/>
    <w:rsid w:val="00155B2A"/>
    <w:rsid w:val="001565F8"/>
    <w:rsid w:val="0015685D"/>
    <w:rsid w:val="00160A23"/>
    <w:rsid w:val="001623CC"/>
    <w:rsid w:val="001624A5"/>
    <w:rsid w:val="00162C37"/>
    <w:rsid w:val="001634FE"/>
    <w:rsid w:val="00164F73"/>
    <w:rsid w:val="0016514F"/>
    <w:rsid w:val="00165F80"/>
    <w:rsid w:val="001662CA"/>
    <w:rsid w:val="001664C3"/>
    <w:rsid w:val="001714A2"/>
    <w:rsid w:val="00171BA5"/>
    <w:rsid w:val="00171DAF"/>
    <w:rsid w:val="0017234C"/>
    <w:rsid w:val="00173E92"/>
    <w:rsid w:val="00175A01"/>
    <w:rsid w:val="00175AC8"/>
    <w:rsid w:val="00176246"/>
    <w:rsid w:val="00176536"/>
    <w:rsid w:val="001767DF"/>
    <w:rsid w:val="00176CF6"/>
    <w:rsid w:val="00176EB7"/>
    <w:rsid w:val="00180239"/>
    <w:rsid w:val="00181BAB"/>
    <w:rsid w:val="001820C1"/>
    <w:rsid w:val="0018226F"/>
    <w:rsid w:val="00182ECA"/>
    <w:rsid w:val="00183199"/>
    <w:rsid w:val="001833D5"/>
    <w:rsid w:val="00184D52"/>
    <w:rsid w:val="00185BBD"/>
    <w:rsid w:val="00185C5C"/>
    <w:rsid w:val="00187495"/>
    <w:rsid w:val="00187BD6"/>
    <w:rsid w:val="00190014"/>
    <w:rsid w:val="001900E6"/>
    <w:rsid w:val="0019021E"/>
    <w:rsid w:val="001903D7"/>
    <w:rsid w:val="00190843"/>
    <w:rsid w:val="00190C50"/>
    <w:rsid w:val="001916A1"/>
    <w:rsid w:val="001921B0"/>
    <w:rsid w:val="001939FA"/>
    <w:rsid w:val="00194079"/>
    <w:rsid w:val="001946B4"/>
    <w:rsid w:val="00194759"/>
    <w:rsid w:val="001947F4"/>
    <w:rsid w:val="00194D63"/>
    <w:rsid w:val="0019509B"/>
    <w:rsid w:val="001957B2"/>
    <w:rsid w:val="0019719E"/>
    <w:rsid w:val="001977CE"/>
    <w:rsid w:val="001A0238"/>
    <w:rsid w:val="001A1495"/>
    <w:rsid w:val="001A1506"/>
    <w:rsid w:val="001A1CAF"/>
    <w:rsid w:val="001A3E92"/>
    <w:rsid w:val="001A4001"/>
    <w:rsid w:val="001A6172"/>
    <w:rsid w:val="001A66FD"/>
    <w:rsid w:val="001B3233"/>
    <w:rsid w:val="001B34D0"/>
    <w:rsid w:val="001B35B4"/>
    <w:rsid w:val="001B3E4E"/>
    <w:rsid w:val="001B3EC2"/>
    <w:rsid w:val="001B4058"/>
    <w:rsid w:val="001B5C54"/>
    <w:rsid w:val="001B6114"/>
    <w:rsid w:val="001B784A"/>
    <w:rsid w:val="001B7978"/>
    <w:rsid w:val="001C015C"/>
    <w:rsid w:val="001C1E51"/>
    <w:rsid w:val="001C23B6"/>
    <w:rsid w:val="001C36F2"/>
    <w:rsid w:val="001C38EE"/>
    <w:rsid w:val="001C41FF"/>
    <w:rsid w:val="001C6238"/>
    <w:rsid w:val="001C6692"/>
    <w:rsid w:val="001C6FC2"/>
    <w:rsid w:val="001C7043"/>
    <w:rsid w:val="001C7376"/>
    <w:rsid w:val="001C7DC7"/>
    <w:rsid w:val="001D0606"/>
    <w:rsid w:val="001D0829"/>
    <w:rsid w:val="001D113B"/>
    <w:rsid w:val="001D2ED3"/>
    <w:rsid w:val="001D36BC"/>
    <w:rsid w:val="001D3F3F"/>
    <w:rsid w:val="001D47AE"/>
    <w:rsid w:val="001D48D9"/>
    <w:rsid w:val="001D497A"/>
    <w:rsid w:val="001D4E53"/>
    <w:rsid w:val="001D5698"/>
    <w:rsid w:val="001D5CAE"/>
    <w:rsid w:val="001D5F5F"/>
    <w:rsid w:val="001E0583"/>
    <w:rsid w:val="001E069C"/>
    <w:rsid w:val="001E10E9"/>
    <w:rsid w:val="001E1661"/>
    <w:rsid w:val="001E19B7"/>
    <w:rsid w:val="001E1EE6"/>
    <w:rsid w:val="001E3B79"/>
    <w:rsid w:val="001E41F1"/>
    <w:rsid w:val="001E5609"/>
    <w:rsid w:val="001E571F"/>
    <w:rsid w:val="001E5890"/>
    <w:rsid w:val="001E5B0C"/>
    <w:rsid w:val="001E755C"/>
    <w:rsid w:val="001E768B"/>
    <w:rsid w:val="001E7B23"/>
    <w:rsid w:val="001E7F26"/>
    <w:rsid w:val="001F1EAA"/>
    <w:rsid w:val="001F3D60"/>
    <w:rsid w:val="001F4497"/>
    <w:rsid w:val="001F49F6"/>
    <w:rsid w:val="001F4EA1"/>
    <w:rsid w:val="001F505D"/>
    <w:rsid w:val="001F59C0"/>
    <w:rsid w:val="0020000E"/>
    <w:rsid w:val="002013E6"/>
    <w:rsid w:val="002026C5"/>
    <w:rsid w:val="002028E6"/>
    <w:rsid w:val="00202D14"/>
    <w:rsid w:val="002036D5"/>
    <w:rsid w:val="00203A9C"/>
    <w:rsid w:val="00204963"/>
    <w:rsid w:val="00204BA2"/>
    <w:rsid w:val="002069A1"/>
    <w:rsid w:val="002078C8"/>
    <w:rsid w:val="00207B5A"/>
    <w:rsid w:val="00210131"/>
    <w:rsid w:val="00210873"/>
    <w:rsid w:val="00210F1C"/>
    <w:rsid w:val="00211975"/>
    <w:rsid w:val="00212459"/>
    <w:rsid w:val="002125BC"/>
    <w:rsid w:val="00213B1C"/>
    <w:rsid w:val="002144C0"/>
    <w:rsid w:val="00215BC9"/>
    <w:rsid w:val="00215ED3"/>
    <w:rsid w:val="002200EB"/>
    <w:rsid w:val="00220680"/>
    <w:rsid w:val="00220DDE"/>
    <w:rsid w:val="0022121D"/>
    <w:rsid w:val="00222C02"/>
    <w:rsid w:val="002235AE"/>
    <w:rsid w:val="002237FA"/>
    <w:rsid w:val="00223A59"/>
    <w:rsid w:val="002240DA"/>
    <w:rsid w:val="00224561"/>
    <w:rsid w:val="00224765"/>
    <w:rsid w:val="00225F1A"/>
    <w:rsid w:val="00226DE9"/>
    <w:rsid w:val="002303BF"/>
    <w:rsid w:val="00230E7D"/>
    <w:rsid w:val="00231E50"/>
    <w:rsid w:val="00232753"/>
    <w:rsid w:val="00233436"/>
    <w:rsid w:val="00233675"/>
    <w:rsid w:val="00235F16"/>
    <w:rsid w:val="002363EF"/>
    <w:rsid w:val="002364A5"/>
    <w:rsid w:val="0023749B"/>
    <w:rsid w:val="002375E8"/>
    <w:rsid w:val="002400C7"/>
    <w:rsid w:val="002415BA"/>
    <w:rsid w:val="00242186"/>
    <w:rsid w:val="002429BF"/>
    <w:rsid w:val="00244823"/>
    <w:rsid w:val="00245029"/>
    <w:rsid w:val="002450E9"/>
    <w:rsid w:val="002454D3"/>
    <w:rsid w:val="00247CA3"/>
    <w:rsid w:val="00250814"/>
    <w:rsid w:val="002513C3"/>
    <w:rsid w:val="0025187E"/>
    <w:rsid w:val="0025289E"/>
    <w:rsid w:val="00252F51"/>
    <w:rsid w:val="0025436A"/>
    <w:rsid w:val="00254570"/>
    <w:rsid w:val="00254F34"/>
    <w:rsid w:val="0025745B"/>
    <w:rsid w:val="00257550"/>
    <w:rsid w:val="00257DB1"/>
    <w:rsid w:val="002604DD"/>
    <w:rsid w:val="00260CAB"/>
    <w:rsid w:val="00260D99"/>
    <w:rsid w:val="00261C22"/>
    <w:rsid w:val="0026205E"/>
    <w:rsid w:val="0026242D"/>
    <w:rsid w:val="00262489"/>
    <w:rsid w:val="00263219"/>
    <w:rsid w:val="0026329B"/>
    <w:rsid w:val="0026368A"/>
    <w:rsid w:val="0026383B"/>
    <w:rsid w:val="002642AE"/>
    <w:rsid w:val="00265AAB"/>
    <w:rsid w:val="00266291"/>
    <w:rsid w:val="00266542"/>
    <w:rsid w:val="00266583"/>
    <w:rsid w:val="00267AB8"/>
    <w:rsid w:val="0027020D"/>
    <w:rsid w:val="00271E91"/>
    <w:rsid w:val="0027269F"/>
    <w:rsid w:val="0027280D"/>
    <w:rsid w:val="00272B34"/>
    <w:rsid w:val="00272BA0"/>
    <w:rsid w:val="00273026"/>
    <w:rsid w:val="00273561"/>
    <w:rsid w:val="00274102"/>
    <w:rsid w:val="00274793"/>
    <w:rsid w:val="0027494C"/>
    <w:rsid w:val="00276158"/>
    <w:rsid w:val="0027705C"/>
    <w:rsid w:val="0027716B"/>
    <w:rsid w:val="00280A32"/>
    <w:rsid w:val="002812C6"/>
    <w:rsid w:val="0028224F"/>
    <w:rsid w:val="002825EF"/>
    <w:rsid w:val="00282AF1"/>
    <w:rsid w:val="00282EAB"/>
    <w:rsid w:val="00283369"/>
    <w:rsid w:val="00283A52"/>
    <w:rsid w:val="002854BA"/>
    <w:rsid w:val="002860B7"/>
    <w:rsid w:val="00287174"/>
    <w:rsid w:val="0029147F"/>
    <w:rsid w:val="002917C7"/>
    <w:rsid w:val="0029366E"/>
    <w:rsid w:val="00293919"/>
    <w:rsid w:val="00293BBE"/>
    <w:rsid w:val="00293D3A"/>
    <w:rsid w:val="00294AD7"/>
    <w:rsid w:val="0029563E"/>
    <w:rsid w:val="002959B7"/>
    <w:rsid w:val="002960E1"/>
    <w:rsid w:val="002967E5"/>
    <w:rsid w:val="00297030"/>
    <w:rsid w:val="00297686"/>
    <w:rsid w:val="00297D50"/>
    <w:rsid w:val="00297E8C"/>
    <w:rsid w:val="002A06F1"/>
    <w:rsid w:val="002A0F3D"/>
    <w:rsid w:val="002A1DD5"/>
    <w:rsid w:val="002A28F7"/>
    <w:rsid w:val="002A41AC"/>
    <w:rsid w:val="002A4CA7"/>
    <w:rsid w:val="002A54D9"/>
    <w:rsid w:val="002A5809"/>
    <w:rsid w:val="002A5F90"/>
    <w:rsid w:val="002A6146"/>
    <w:rsid w:val="002A65D3"/>
    <w:rsid w:val="002A6E22"/>
    <w:rsid w:val="002A7660"/>
    <w:rsid w:val="002A79EB"/>
    <w:rsid w:val="002B04F4"/>
    <w:rsid w:val="002B0C47"/>
    <w:rsid w:val="002B0E31"/>
    <w:rsid w:val="002B1DB7"/>
    <w:rsid w:val="002B1F63"/>
    <w:rsid w:val="002B3192"/>
    <w:rsid w:val="002B391D"/>
    <w:rsid w:val="002B445B"/>
    <w:rsid w:val="002B4E9F"/>
    <w:rsid w:val="002B52D9"/>
    <w:rsid w:val="002B5A65"/>
    <w:rsid w:val="002B72F8"/>
    <w:rsid w:val="002C0414"/>
    <w:rsid w:val="002C06C1"/>
    <w:rsid w:val="002C13F5"/>
    <w:rsid w:val="002C1656"/>
    <w:rsid w:val="002C2C4E"/>
    <w:rsid w:val="002C32C8"/>
    <w:rsid w:val="002C3CFF"/>
    <w:rsid w:val="002C40FB"/>
    <w:rsid w:val="002C447F"/>
    <w:rsid w:val="002C53B8"/>
    <w:rsid w:val="002C568F"/>
    <w:rsid w:val="002C5D50"/>
    <w:rsid w:val="002C66E9"/>
    <w:rsid w:val="002C7097"/>
    <w:rsid w:val="002C747D"/>
    <w:rsid w:val="002C777C"/>
    <w:rsid w:val="002C7890"/>
    <w:rsid w:val="002D2FA7"/>
    <w:rsid w:val="002D2FE8"/>
    <w:rsid w:val="002D38D3"/>
    <w:rsid w:val="002D45D9"/>
    <w:rsid w:val="002D4D92"/>
    <w:rsid w:val="002D5338"/>
    <w:rsid w:val="002D5C00"/>
    <w:rsid w:val="002D5C15"/>
    <w:rsid w:val="002D728F"/>
    <w:rsid w:val="002D7857"/>
    <w:rsid w:val="002E05D8"/>
    <w:rsid w:val="002E1B83"/>
    <w:rsid w:val="002E22DB"/>
    <w:rsid w:val="002E25B4"/>
    <w:rsid w:val="002E2B8A"/>
    <w:rsid w:val="002E474F"/>
    <w:rsid w:val="002E4F5F"/>
    <w:rsid w:val="002E5363"/>
    <w:rsid w:val="002E602F"/>
    <w:rsid w:val="002E72E7"/>
    <w:rsid w:val="002E7503"/>
    <w:rsid w:val="002E76DB"/>
    <w:rsid w:val="002F0F5A"/>
    <w:rsid w:val="002F0FFA"/>
    <w:rsid w:val="002F1808"/>
    <w:rsid w:val="002F1896"/>
    <w:rsid w:val="002F1B3F"/>
    <w:rsid w:val="002F1F9B"/>
    <w:rsid w:val="002F2FF2"/>
    <w:rsid w:val="002F3368"/>
    <w:rsid w:val="002F44BA"/>
    <w:rsid w:val="002F4996"/>
    <w:rsid w:val="002F4ED2"/>
    <w:rsid w:val="002F5E28"/>
    <w:rsid w:val="002F61D3"/>
    <w:rsid w:val="002F633D"/>
    <w:rsid w:val="002F6C53"/>
    <w:rsid w:val="002F6E18"/>
    <w:rsid w:val="00300357"/>
    <w:rsid w:val="003004CB"/>
    <w:rsid w:val="003038D5"/>
    <w:rsid w:val="00303B0E"/>
    <w:rsid w:val="00303DB0"/>
    <w:rsid w:val="00304A18"/>
    <w:rsid w:val="00306D07"/>
    <w:rsid w:val="00306F27"/>
    <w:rsid w:val="00307B57"/>
    <w:rsid w:val="00312843"/>
    <w:rsid w:val="00312F22"/>
    <w:rsid w:val="00313850"/>
    <w:rsid w:val="00314721"/>
    <w:rsid w:val="00316851"/>
    <w:rsid w:val="003174E7"/>
    <w:rsid w:val="00317D0D"/>
    <w:rsid w:val="003200A3"/>
    <w:rsid w:val="00320759"/>
    <w:rsid w:val="0032144C"/>
    <w:rsid w:val="0032169C"/>
    <w:rsid w:val="00322F2D"/>
    <w:rsid w:val="003234C9"/>
    <w:rsid w:val="00323521"/>
    <w:rsid w:val="00323934"/>
    <w:rsid w:val="00324710"/>
    <w:rsid w:val="00325C09"/>
    <w:rsid w:val="00325F05"/>
    <w:rsid w:val="00326C6F"/>
    <w:rsid w:val="00326C84"/>
    <w:rsid w:val="003274DE"/>
    <w:rsid w:val="00331A6A"/>
    <w:rsid w:val="00331AAA"/>
    <w:rsid w:val="00331AF4"/>
    <w:rsid w:val="00332002"/>
    <w:rsid w:val="003320F2"/>
    <w:rsid w:val="00332287"/>
    <w:rsid w:val="00332AC7"/>
    <w:rsid w:val="00332B66"/>
    <w:rsid w:val="0033380D"/>
    <w:rsid w:val="00333A41"/>
    <w:rsid w:val="003345C8"/>
    <w:rsid w:val="003349B3"/>
    <w:rsid w:val="00335D62"/>
    <w:rsid w:val="00337800"/>
    <w:rsid w:val="0033787C"/>
    <w:rsid w:val="00337DC7"/>
    <w:rsid w:val="0034029E"/>
    <w:rsid w:val="003402EE"/>
    <w:rsid w:val="003403AB"/>
    <w:rsid w:val="00340EE5"/>
    <w:rsid w:val="00341C98"/>
    <w:rsid w:val="0034230F"/>
    <w:rsid w:val="00342A79"/>
    <w:rsid w:val="00342BE2"/>
    <w:rsid w:val="00343041"/>
    <w:rsid w:val="003442B7"/>
    <w:rsid w:val="0034442E"/>
    <w:rsid w:val="00345B47"/>
    <w:rsid w:val="0034638F"/>
    <w:rsid w:val="003465E7"/>
    <w:rsid w:val="00347C26"/>
    <w:rsid w:val="00347E61"/>
    <w:rsid w:val="003500EE"/>
    <w:rsid w:val="003505BB"/>
    <w:rsid w:val="00350ED7"/>
    <w:rsid w:val="0035263D"/>
    <w:rsid w:val="00353BD0"/>
    <w:rsid w:val="00354518"/>
    <w:rsid w:val="00355A71"/>
    <w:rsid w:val="003560DF"/>
    <w:rsid w:val="00356359"/>
    <w:rsid w:val="00356365"/>
    <w:rsid w:val="003606CC"/>
    <w:rsid w:val="00360C06"/>
    <w:rsid w:val="00362815"/>
    <w:rsid w:val="0036322E"/>
    <w:rsid w:val="003636BD"/>
    <w:rsid w:val="00363760"/>
    <w:rsid w:val="00364A6D"/>
    <w:rsid w:val="003654EE"/>
    <w:rsid w:val="003660B6"/>
    <w:rsid w:val="00366708"/>
    <w:rsid w:val="00366FF5"/>
    <w:rsid w:val="00367234"/>
    <w:rsid w:val="00367E2E"/>
    <w:rsid w:val="00367FC0"/>
    <w:rsid w:val="00370017"/>
    <w:rsid w:val="00370C6B"/>
    <w:rsid w:val="00371B8B"/>
    <w:rsid w:val="0037227A"/>
    <w:rsid w:val="00372449"/>
    <w:rsid w:val="0037301E"/>
    <w:rsid w:val="00373E1F"/>
    <w:rsid w:val="003743AB"/>
    <w:rsid w:val="00374FE0"/>
    <w:rsid w:val="003756DC"/>
    <w:rsid w:val="00375B4B"/>
    <w:rsid w:val="00376162"/>
    <w:rsid w:val="0037679C"/>
    <w:rsid w:val="003774CE"/>
    <w:rsid w:val="00380135"/>
    <w:rsid w:val="00380709"/>
    <w:rsid w:val="00382303"/>
    <w:rsid w:val="003828F7"/>
    <w:rsid w:val="00382B3D"/>
    <w:rsid w:val="00383014"/>
    <w:rsid w:val="00383E42"/>
    <w:rsid w:val="003843A6"/>
    <w:rsid w:val="0038441D"/>
    <w:rsid w:val="00384A08"/>
    <w:rsid w:val="00384CDF"/>
    <w:rsid w:val="00385439"/>
    <w:rsid w:val="00387F47"/>
    <w:rsid w:val="0039072F"/>
    <w:rsid w:val="00391B13"/>
    <w:rsid w:val="00392F4E"/>
    <w:rsid w:val="00393B93"/>
    <w:rsid w:val="00393DE8"/>
    <w:rsid w:val="00394DDF"/>
    <w:rsid w:val="0039566B"/>
    <w:rsid w:val="0039607F"/>
    <w:rsid w:val="003969BE"/>
    <w:rsid w:val="00396BA6"/>
    <w:rsid w:val="003A07A1"/>
    <w:rsid w:val="003A0D3D"/>
    <w:rsid w:val="003A2400"/>
    <w:rsid w:val="003A2569"/>
    <w:rsid w:val="003A294D"/>
    <w:rsid w:val="003A3AC0"/>
    <w:rsid w:val="003A3C2C"/>
    <w:rsid w:val="003A41A8"/>
    <w:rsid w:val="003A4A2C"/>
    <w:rsid w:val="003A540E"/>
    <w:rsid w:val="003A5D44"/>
    <w:rsid w:val="003A60D4"/>
    <w:rsid w:val="003A7199"/>
    <w:rsid w:val="003A7AF3"/>
    <w:rsid w:val="003B144A"/>
    <w:rsid w:val="003B16AE"/>
    <w:rsid w:val="003B1C93"/>
    <w:rsid w:val="003B2B0E"/>
    <w:rsid w:val="003B2D25"/>
    <w:rsid w:val="003B4C83"/>
    <w:rsid w:val="003B4C91"/>
    <w:rsid w:val="003B4D8F"/>
    <w:rsid w:val="003B57AE"/>
    <w:rsid w:val="003B6ACD"/>
    <w:rsid w:val="003B791E"/>
    <w:rsid w:val="003C02CC"/>
    <w:rsid w:val="003C04D8"/>
    <w:rsid w:val="003C07BF"/>
    <w:rsid w:val="003C3462"/>
    <w:rsid w:val="003C3576"/>
    <w:rsid w:val="003C38EE"/>
    <w:rsid w:val="003C3BE0"/>
    <w:rsid w:val="003C424C"/>
    <w:rsid w:val="003C6C56"/>
    <w:rsid w:val="003C6DD9"/>
    <w:rsid w:val="003D00B6"/>
    <w:rsid w:val="003D01EF"/>
    <w:rsid w:val="003D08C4"/>
    <w:rsid w:val="003D1265"/>
    <w:rsid w:val="003D1573"/>
    <w:rsid w:val="003D1D61"/>
    <w:rsid w:val="003D2574"/>
    <w:rsid w:val="003D2C41"/>
    <w:rsid w:val="003D3062"/>
    <w:rsid w:val="003D419D"/>
    <w:rsid w:val="003D5350"/>
    <w:rsid w:val="003D695A"/>
    <w:rsid w:val="003D7313"/>
    <w:rsid w:val="003E04E8"/>
    <w:rsid w:val="003E09D7"/>
    <w:rsid w:val="003E0DC4"/>
    <w:rsid w:val="003E31EC"/>
    <w:rsid w:val="003E33F8"/>
    <w:rsid w:val="003E3484"/>
    <w:rsid w:val="003E3839"/>
    <w:rsid w:val="003E44F8"/>
    <w:rsid w:val="003E47AA"/>
    <w:rsid w:val="003E6F0C"/>
    <w:rsid w:val="003F0149"/>
    <w:rsid w:val="003F1539"/>
    <w:rsid w:val="003F204A"/>
    <w:rsid w:val="003F20CD"/>
    <w:rsid w:val="003F2AE6"/>
    <w:rsid w:val="003F2CBF"/>
    <w:rsid w:val="003F3DE1"/>
    <w:rsid w:val="003F49DD"/>
    <w:rsid w:val="003F4A80"/>
    <w:rsid w:val="003F68D9"/>
    <w:rsid w:val="003F6D2E"/>
    <w:rsid w:val="003F6E69"/>
    <w:rsid w:val="003F70C4"/>
    <w:rsid w:val="003F7718"/>
    <w:rsid w:val="0040044D"/>
    <w:rsid w:val="00401219"/>
    <w:rsid w:val="00401B20"/>
    <w:rsid w:val="0040254A"/>
    <w:rsid w:val="0040451B"/>
    <w:rsid w:val="00404BEA"/>
    <w:rsid w:val="00405651"/>
    <w:rsid w:val="00406150"/>
    <w:rsid w:val="0040724A"/>
    <w:rsid w:val="00407622"/>
    <w:rsid w:val="00410375"/>
    <w:rsid w:val="00410A01"/>
    <w:rsid w:val="00413065"/>
    <w:rsid w:val="00413254"/>
    <w:rsid w:val="0041330A"/>
    <w:rsid w:val="00415028"/>
    <w:rsid w:val="00415E90"/>
    <w:rsid w:val="00415EAE"/>
    <w:rsid w:val="00416457"/>
    <w:rsid w:val="004168FA"/>
    <w:rsid w:val="00416CB1"/>
    <w:rsid w:val="00417D96"/>
    <w:rsid w:val="00417F51"/>
    <w:rsid w:val="00421C2E"/>
    <w:rsid w:val="00422CC9"/>
    <w:rsid w:val="00422F6D"/>
    <w:rsid w:val="00423466"/>
    <w:rsid w:val="00424C47"/>
    <w:rsid w:val="00425AC9"/>
    <w:rsid w:val="00427858"/>
    <w:rsid w:val="00431547"/>
    <w:rsid w:val="004327EC"/>
    <w:rsid w:val="0043332D"/>
    <w:rsid w:val="00433E69"/>
    <w:rsid w:val="004346CD"/>
    <w:rsid w:val="004356C5"/>
    <w:rsid w:val="00436809"/>
    <w:rsid w:val="00436BCE"/>
    <w:rsid w:val="004404D0"/>
    <w:rsid w:val="0044078D"/>
    <w:rsid w:val="004407F6"/>
    <w:rsid w:val="004416DA"/>
    <w:rsid w:val="00441E17"/>
    <w:rsid w:val="0044209D"/>
    <w:rsid w:val="00442D5D"/>
    <w:rsid w:val="00442DAC"/>
    <w:rsid w:val="00442F0C"/>
    <w:rsid w:val="004432FB"/>
    <w:rsid w:val="004433E8"/>
    <w:rsid w:val="00443A14"/>
    <w:rsid w:val="00443A7F"/>
    <w:rsid w:val="00443A96"/>
    <w:rsid w:val="00444026"/>
    <w:rsid w:val="004469D5"/>
    <w:rsid w:val="00446AEA"/>
    <w:rsid w:val="004509B5"/>
    <w:rsid w:val="0045167E"/>
    <w:rsid w:val="00451823"/>
    <w:rsid w:val="00451B01"/>
    <w:rsid w:val="004520A8"/>
    <w:rsid w:val="0045285C"/>
    <w:rsid w:val="0045399F"/>
    <w:rsid w:val="00453D77"/>
    <w:rsid w:val="0045453E"/>
    <w:rsid w:val="004549DF"/>
    <w:rsid w:val="0045595D"/>
    <w:rsid w:val="00456D0F"/>
    <w:rsid w:val="00457F90"/>
    <w:rsid w:val="0046057D"/>
    <w:rsid w:val="00460BAD"/>
    <w:rsid w:val="0046171F"/>
    <w:rsid w:val="004621A9"/>
    <w:rsid w:val="00462C56"/>
    <w:rsid w:val="00463681"/>
    <w:rsid w:val="0046369E"/>
    <w:rsid w:val="00464395"/>
    <w:rsid w:val="004653CE"/>
    <w:rsid w:val="00466286"/>
    <w:rsid w:val="0046675E"/>
    <w:rsid w:val="0046678A"/>
    <w:rsid w:val="004677A9"/>
    <w:rsid w:val="0046782D"/>
    <w:rsid w:val="00467F9F"/>
    <w:rsid w:val="00470191"/>
    <w:rsid w:val="0047054E"/>
    <w:rsid w:val="00471F17"/>
    <w:rsid w:val="00473B99"/>
    <w:rsid w:val="00474652"/>
    <w:rsid w:val="004747D9"/>
    <w:rsid w:val="00474CBE"/>
    <w:rsid w:val="004760BE"/>
    <w:rsid w:val="00476647"/>
    <w:rsid w:val="00476814"/>
    <w:rsid w:val="0048022D"/>
    <w:rsid w:val="004814A9"/>
    <w:rsid w:val="00481787"/>
    <w:rsid w:val="00483846"/>
    <w:rsid w:val="00483E5B"/>
    <w:rsid w:val="0048474E"/>
    <w:rsid w:val="00484CA9"/>
    <w:rsid w:val="004855ED"/>
    <w:rsid w:val="004861E7"/>
    <w:rsid w:val="004879DD"/>
    <w:rsid w:val="00487C67"/>
    <w:rsid w:val="00491200"/>
    <w:rsid w:val="00491896"/>
    <w:rsid w:val="00491C5C"/>
    <w:rsid w:val="0049236F"/>
    <w:rsid w:val="00492758"/>
    <w:rsid w:val="00493B9D"/>
    <w:rsid w:val="00493BC3"/>
    <w:rsid w:val="004956BA"/>
    <w:rsid w:val="004972F0"/>
    <w:rsid w:val="00497AF5"/>
    <w:rsid w:val="00497E0D"/>
    <w:rsid w:val="004A0106"/>
    <w:rsid w:val="004A0350"/>
    <w:rsid w:val="004A07DC"/>
    <w:rsid w:val="004A0AF0"/>
    <w:rsid w:val="004A0EF1"/>
    <w:rsid w:val="004A2FAC"/>
    <w:rsid w:val="004A3206"/>
    <w:rsid w:val="004A44C7"/>
    <w:rsid w:val="004A4575"/>
    <w:rsid w:val="004A4727"/>
    <w:rsid w:val="004A4A9D"/>
    <w:rsid w:val="004A5FC7"/>
    <w:rsid w:val="004A6054"/>
    <w:rsid w:val="004A6092"/>
    <w:rsid w:val="004A6217"/>
    <w:rsid w:val="004A64C3"/>
    <w:rsid w:val="004A69C3"/>
    <w:rsid w:val="004A77C4"/>
    <w:rsid w:val="004A7866"/>
    <w:rsid w:val="004B12AD"/>
    <w:rsid w:val="004B226B"/>
    <w:rsid w:val="004B3128"/>
    <w:rsid w:val="004B356A"/>
    <w:rsid w:val="004B5935"/>
    <w:rsid w:val="004B6B02"/>
    <w:rsid w:val="004B73DA"/>
    <w:rsid w:val="004B74BB"/>
    <w:rsid w:val="004B7FAC"/>
    <w:rsid w:val="004C0C8D"/>
    <w:rsid w:val="004C12EA"/>
    <w:rsid w:val="004C177B"/>
    <w:rsid w:val="004C17D5"/>
    <w:rsid w:val="004C19EA"/>
    <w:rsid w:val="004C1EBE"/>
    <w:rsid w:val="004C2207"/>
    <w:rsid w:val="004C2285"/>
    <w:rsid w:val="004C2538"/>
    <w:rsid w:val="004C2836"/>
    <w:rsid w:val="004C2D94"/>
    <w:rsid w:val="004C39C7"/>
    <w:rsid w:val="004C4634"/>
    <w:rsid w:val="004C48EC"/>
    <w:rsid w:val="004C54A1"/>
    <w:rsid w:val="004C5959"/>
    <w:rsid w:val="004C63E6"/>
    <w:rsid w:val="004C6A25"/>
    <w:rsid w:val="004C726D"/>
    <w:rsid w:val="004D03C6"/>
    <w:rsid w:val="004D1909"/>
    <w:rsid w:val="004D3EE1"/>
    <w:rsid w:val="004D5A20"/>
    <w:rsid w:val="004D5EDA"/>
    <w:rsid w:val="004D722D"/>
    <w:rsid w:val="004D7F7C"/>
    <w:rsid w:val="004E1CCA"/>
    <w:rsid w:val="004E2F83"/>
    <w:rsid w:val="004E3AE5"/>
    <w:rsid w:val="004E5493"/>
    <w:rsid w:val="004E695B"/>
    <w:rsid w:val="004F0FF9"/>
    <w:rsid w:val="004F1055"/>
    <w:rsid w:val="004F137F"/>
    <w:rsid w:val="004F208C"/>
    <w:rsid w:val="004F2098"/>
    <w:rsid w:val="004F2221"/>
    <w:rsid w:val="004F3E69"/>
    <w:rsid w:val="004F41EE"/>
    <w:rsid w:val="004F49E5"/>
    <w:rsid w:val="004F5009"/>
    <w:rsid w:val="004F6326"/>
    <w:rsid w:val="004F65FA"/>
    <w:rsid w:val="004F6E4D"/>
    <w:rsid w:val="004F7785"/>
    <w:rsid w:val="005003FD"/>
    <w:rsid w:val="00501337"/>
    <w:rsid w:val="00501A81"/>
    <w:rsid w:val="00504D11"/>
    <w:rsid w:val="00504DB7"/>
    <w:rsid w:val="00504F83"/>
    <w:rsid w:val="0050525A"/>
    <w:rsid w:val="00506407"/>
    <w:rsid w:val="00506ED2"/>
    <w:rsid w:val="00506F36"/>
    <w:rsid w:val="00507C85"/>
    <w:rsid w:val="0051160B"/>
    <w:rsid w:val="0051332A"/>
    <w:rsid w:val="00513B5B"/>
    <w:rsid w:val="005173E3"/>
    <w:rsid w:val="00517AFB"/>
    <w:rsid w:val="0052063B"/>
    <w:rsid w:val="00520643"/>
    <w:rsid w:val="0052099A"/>
    <w:rsid w:val="0052141E"/>
    <w:rsid w:val="00522754"/>
    <w:rsid w:val="0052367C"/>
    <w:rsid w:val="005243A1"/>
    <w:rsid w:val="00524D3C"/>
    <w:rsid w:val="005250FA"/>
    <w:rsid w:val="00525E13"/>
    <w:rsid w:val="00526A4B"/>
    <w:rsid w:val="00526B7E"/>
    <w:rsid w:val="005275CB"/>
    <w:rsid w:val="0052786B"/>
    <w:rsid w:val="00527CD9"/>
    <w:rsid w:val="00530DF3"/>
    <w:rsid w:val="005310C0"/>
    <w:rsid w:val="0053179F"/>
    <w:rsid w:val="00531C6A"/>
    <w:rsid w:val="005321D0"/>
    <w:rsid w:val="00532F9F"/>
    <w:rsid w:val="00533922"/>
    <w:rsid w:val="0053542E"/>
    <w:rsid w:val="00535728"/>
    <w:rsid w:val="00535B47"/>
    <w:rsid w:val="00536F41"/>
    <w:rsid w:val="005400E9"/>
    <w:rsid w:val="005402E2"/>
    <w:rsid w:val="00540B9C"/>
    <w:rsid w:val="00541FA5"/>
    <w:rsid w:val="00542010"/>
    <w:rsid w:val="0054294E"/>
    <w:rsid w:val="00545105"/>
    <w:rsid w:val="00545F7A"/>
    <w:rsid w:val="00546A81"/>
    <w:rsid w:val="005475EB"/>
    <w:rsid w:val="0054774A"/>
    <w:rsid w:val="00550761"/>
    <w:rsid w:val="005508BD"/>
    <w:rsid w:val="00550D82"/>
    <w:rsid w:val="0055145B"/>
    <w:rsid w:val="00552868"/>
    <w:rsid w:val="005534AB"/>
    <w:rsid w:val="0055352D"/>
    <w:rsid w:val="00553EBF"/>
    <w:rsid w:val="0055455B"/>
    <w:rsid w:val="00554B00"/>
    <w:rsid w:val="00555AB2"/>
    <w:rsid w:val="00555B24"/>
    <w:rsid w:val="0055616E"/>
    <w:rsid w:val="0055694C"/>
    <w:rsid w:val="0055741C"/>
    <w:rsid w:val="005574DE"/>
    <w:rsid w:val="00557573"/>
    <w:rsid w:val="005575D1"/>
    <w:rsid w:val="005578E0"/>
    <w:rsid w:val="005603E7"/>
    <w:rsid w:val="0056090B"/>
    <w:rsid w:val="005612C7"/>
    <w:rsid w:val="005619A9"/>
    <w:rsid w:val="00561A9A"/>
    <w:rsid w:val="00562740"/>
    <w:rsid w:val="00562E88"/>
    <w:rsid w:val="0056328E"/>
    <w:rsid w:val="0056379F"/>
    <w:rsid w:val="00563841"/>
    <w:rsid w:val="00563989"/>
    <w:rsid w:val="00564484"/>
    <w:rsid w:val="005644B8"/>
    <w:rsid w:val="00564A1C"/>
    <w:rsid w:val="00565D07"/>
    <w:rsid w:val="005668AC"/>
    <w:rsid w:val="005677D7"/>
    <w:rsid w:val="00567999"/>
    <w:rsid w:val="00567BF2"/>
    <w:rsid w:val="005736E5"/>
    <w:rsid w:val="005747B9"/>
    <w:rsid w:val="0057687A"/>
    <w:rsid w:val="00577041"/>
    <w:rsid w:val="0057742F"/>
    <w:rsid w:val="0057761C"/>
    <w:rsid w:val="0058038C"/>
    <w:rsid w:val="00581507"/>
    <w:rsid w:val="00581B40"/>
    <w:rsid w:val="00582C34"/>
    <w:rsid w:val="00582CDA"/>
    <w:rsid w:val="0058333F"/>
    <w:rsid w:val="00585EA4"/>
    <w:rsid w:val="00586253"/>
    <w:rsid w:val="00586343"/>
    <w:rsid w:val="00586404"/>
    <w:rsid w:val="00586AF6"/>
    <w:rsid w:val="005877DE"/>
    <w:rsid w:val="00587965"/>
    <w:rsid w:val="00590920"/>
    <w:rsid w:val="00590C78"/>
    <w:rsid w:val="0059119F"/>
    <w:rsid w:val="00592916"/>
    <w:rsid w:val="00593CE6"/>
    <w:rsid w:val="00593F0C"/>
    <w:rsid w:val="00594E69"/>
    <w:rsid w:val="00595AB6"/>
    <w:rsid w:val="00595AE0"/>
    <w:rsid w:val="00595DD7"/>
    <w:rsid w:val="0059627C"/>
    <w:rsid w:val="0059680A"/>
    <w:rsid w:val="005977E8"/>
    <w:rsid w:val="0059795E"/>
    <w:rsid w:val="005A01EB"/>
    <w:rsid w:val="005A0C2C"/>
    <w:rsid w:val="005A14FF"/>
    <w:rsid w:val="005A1B71"/>
    <w:rsid w:val="005A1D44"/>
    <w:rsid w:val="005A1E9F"/>
    <w:rsid w:val="005A2764"/>
    <w:rsid w:val="005A310C"/>
    <w:rsid w:val="005A36C7"/>
    <w:rsid w:val="005A3B57"/>
    <w:rsid w:val="005A3C0A"/>
    <w:rsid w:val="005A3CD5"/>
    <w:rsid w:val="005A5B03"/>
    <w:rsid w:val="005A7A92"/>
    <w:rsid w:val="005A7E9F"/>
    <w:rsid w:val="005B10F0"/>
    <w:rsid w:val="005B178E"/>
    <w:rsid w:val="005B242B"/>
    <w:rsid w:val="005B32AD"/>
    <w:rsid w:val="005B3E21"/>
    <w:rsid w:val="005B49D8"/>
    <w:rsid w:val="005B4C34"/>
    <w:rsid w:val="005B51A3"/>
    <w:rsid w:val="005B5909"/>
    <w:rsid w:val="005B5FC9"/>
    <w:rsid w:val="005B62CE"/>
    <w:rsid w:val="005B680E"/>
    <w:rsid w:val="005B6C33"/>
    <w:rsid w:val="005B7AB7"/>
    <w:rsid w:val="005C0318"/>
    <w:rsid w:val="005C08ED"/>
    <w:rsid w:val="005C09AD"/>
    <w:rsid w:val="005C3872"/>
    <w:rsid w:val="005C4358"/>
    <w:rsid w:val="005C57F9"/>
    <w:rsid w:val="005C7120"/>
    <w:rsid w:val="005C715E"/>
    <w:rsid w:val="005C77AA"/>
    <w:rsid w:val="005D0602"/>
    <w:rsid w:val="005D087B"/>
    <w:rsid w:val="005D092D"/>
    <w:rsid w:val="005D0A97"/>
    <w:rsid w:val="005D0C67"/>
    <w:rsid w:val="005D0E9C"/>
    <w:rsid w:val="005D0F60"/>
    <w:rsid w:val="005D2A31"/>
    <w:rsid w:val="005D2E99"/>
    <w:rsid w:val="005D3226"/>
    <w:rsid w:val="005D4D9B"/>
    <w:rsid w:val="005D5EE9"/>
    <w:rsid w:val="005D687B"/>
    <w:rsid w:val="005D73AA"/>
    <w:rsid w:val="005E0114"/>
    <w:rsid w:val="005E053D"/>
    <w:rsid w:val="005E0618"/>
    <w:rsid w:val="005E13BE"/>
    <w:rsid w:val="005E2C46"/>
    <w:rsid w:val="005E3B28"/>
    <w:rsid w:val="005E3F58"/>
    <w:rsid w:val="005E4199"/>
    <w:rsid w:val="005E54C3"/>
    <w:rsid w:val="005E55DA"/>
    <w:rsid w:val="005E5B28"/>
    <w:rsid w:val="005E6D13"/>
    <w:rsid w:val="005F02FC"/>
    <w:rsid w:val="005F0BA9"/>
    <w:rsid w:val="005F0EEA"/>
    <w:rsid w:val="005F1676"/>
    <w:rsid w:val="005F179B"/>
    <w:rsid w:val="005F1E12"/>
    <w:rsid w:val="005F1FD3"/>
    <w:rsid w:val="005F2817"/>
    <w:rsid w:val="005F38D9"/>
    <w:rsid w:val="005F3D91"/>
    <w:rsid w:val="005F3E44"/>
    <w:rsid w:val="005F4CA1"/>
    <w:rsid w:val="005F5242"/>
    <w:rsid w:val="005F56AB"/>
    <w:rsid w:val="005F5D43"/>
    <w:rsid w:val="005F5E27"/>
    <w:rsid w:val="005F62F4"/>
    <w:rsid w:val="005F67A4"/>
    <w:rsid w:val="005F6FC5"/>
    <w:rsid w:val="006003AA"/>
    <w:rsid w:val="00600BFD"/>
    <w:rsid w:val="00601ECB"/>
    <w:rsid w:val="006031D8"/>
    <w:rsid w:val="00603978"/>
    <w:rsid w:val="006044E1"/>
    <w:rsid w:val="006048F7"/>
    <w:rsid w:val="00604DA9"/>
    <w:rsid w:val="00606BAC"/>
    <w:rsid w:val="00607219"/>
    <w:rsid w:val="0060777D"/>
    <w:rsid w:val="0060787A"/>
    <w:rsid w:val="00607C07"/>
    <w:rsid w:val="00611436"/>
    <w:rsid w:val="0061189A"/>
    <w:rsid w:val="00611ED6"/>
    <w:rsid w:val="006121C3"/>
    <w:rsid w:val="006121F2"/>
    <w:rsid w:val="00612404"/>
    <w:rsid w:val="006126B8"/>
    <w:rsid w:val="00613A5B"/>
    <w:rsid w:val="00613E70"/>
    <w:rsid w:val="006146CB"/>
    <w:rsid w:val="006151E8"/>
    <w:rsid w:val="0061546E"/>
    <w:rsid w:val="00615534"/>
    <w:rsid w:val="0061574D"/>
    <w:rsid w:val="00615FFB"/>
    <w:rsid w:val="00616B3F"/>
    <w:rsid w:val="00617453"/>
    <w:rsid w:val="00617F66"/>
    <w:rsid w:val="00617FF6"/>
    <w:rsid w:val="00620100"/>
    <w:rsid w:val="00620597"/>
    <w:rsid w:val="00621F6A"/>
    <w:rsid w:val="0062234D"/>
    <w:rsid w:val="00626332"/>
    <w:rsid w:val="0062677B"/>
    <w:rsid w:val="00626ADE"/>
    <w:rsid w:val="006271B6"/>
    <w:rsid w:val="00627782"/>
    <w:rsid w:val="00627BA0"/>
    <w:rsid w:val="006318A4"/>
    <w:rsid w:val="00631B1C"/>
    <w:rsid w:val="00632DB1"/>
    <w:rsid w:val="00632E52"/>
    <w:rsid w:val="0063311D"/>
    <w:rsid w:val="00633321"/>
    <w:rsid w:val="00633F3C"/>
    <w:rsid w:val="00634542"/>
    <w:rsid w:val="00634AA2"/>
    <w:rsid w:val="00634D85"/>
    <w:rsid w:val="00636397"/>
    <w:rsid w:val="00636450"/>
    <w:rsid w:val="00636993"/>
    <w:rsid w:val="00640FF9"/>
    <w:rsid w:val="00641C2C"/>
    <w:rsid w:val="00643063"/>
    <w:rsid w:val="006433A4"/>
    <w:rsid w:val="00644CFC"/>
    <w:rsid w:val="00645312"/>
    <w:rsid w:val="00645392"/>
    <w:rsid w:val="00645854"/>
    <w:rsid w:val="00645DBB"/>
    <w:rsid w:val="006461FB"/>
    <w:rsid w:val="00646C9D"/>
    <w:rsid w:val="0064719F"/>
    <w:rsid w:val="0065070B"/>
    <w:rsid w:val="00650C38"/>
    <w:rsid w:val="00652AF4"/>
    <w:rsid w:val="00654D6E"/>
    <w:rsid w:val="0065677C"/>
    <w:rsid w:val="0065685A"/>
    <w:rsid w:val="00657239"/>
    <w:rsid w:val="006602B8"/>
    <w:rsid w:val="00660CA6"/>
    <w:rsid w:val="00661F7B"/>
    <w:rsid w:val="006634B0"/>
    <w:rsid w:val="006639B6"/>
    <w:rsid w:val="00663DB2"/>
    <w:rsid w:val="0066407A"/>
    <w:rsid w:val="0066482B"/>
    <w:rsid w:val="00664E72"/>
    <w:rsid w:val="0066539C"/>
    <w:rsid w:val="006655B4"/>
    <w:rsid w:val="00666103"/>
    <w:rsid w:val="00666CE7"/>
    <w:rsid w:val="00667EEC"/>
    <w:rsid w:val="0067051F"/>
    <w:rsid w:val="0067096A"/>
    <w:rsid w:val="00670EBA"/>
    <w:rsid w:val="00672665"/>
    <w:rsid w:val="0067312C"/>
    <w:rsid w:val="0067419C"/>
    <w:rsid w:val="0067449C"/>
    <w:rsid w:val="006763F3"/>
    <w:rsid w:val="006769A8"/>
    <w:rsid w:val="00676A9E"/>
    <w:rsid w:val="00677789"/>
    <w:rsid w:val="00677A94"/>
    <w:rsid w:val="00677AF3"/>
    <w:rsid w:val="00677FA1"/>
    <w:rsid w:val="006803CC"/>
    <w:rsid w:val="006804DD"/>
    <w:rsid w:val="00680AA2"/>
    <w:rsid w:val="00680FFD"/>
    <w:rsid w:val="006816B8"/>
    <w:rsid w:val="00684075"/>
    <w:rsid w:val="006843B8"/>
    <w:rsid w:val="00684DAB"/>
    <w:rsid w:val="00684EEC"/>
    <w:rsid w:val="00684F6C"/>
    <w:rsid w:val="00685864"/>
    <w:rsid w:val="00685B3E"/>
    <w:rsid w:val="00685F1D"/>
    <w:rsid w:val="00687057"/>
    <w:rsid w:val="006917B7"/>
    <w:rsid w:val="006919E1"/>
    <w:rsid w:val="00692C19"/>
    <w:rsid w:val="0069359D"/>
    <w:rsid w:val="00693BEC"/>
    <w:rsid w:val="00694014"/>
    <w:rsid w:val="00694651"/>
    <w:rsid w:val="00694BE9"/>
    <w:rsid w:val="00695B76"/>
    <w:rsid w:val="00695BB8"/>
    <w:rsid w:val="0069608E"/>
    <w:rsid w:val="00696B71"/>
    <w:rsid w:val="0069731A"/>
    <w:rsid w:val="006975BF"/>
    <w:rsid w:val="006A0982"/>
    <w:rsid w:val="006A2304"/>
    <w:rsid w:val="006A2351"/>
    <w:rsid w:val="006A2CDA"/>
    <w:rsid w:val="006A3A99"/>
    <w:rsid w:val="006A46F6"/>
    <w:rsid w:val="006A6093"/>
    <w:rsid w:val="006A6C3E"/>
    <w:rsid w:val="006A777A"/>
    <w:rsid w:val="006A7A0E"/>
    <w:rsid w:val="006B03C6"/>
    <w:rsid w:val="006B08DA"/>
    <w:rsid w:val="006B0C3F"/>
    <w:rsid w:val="006B20F3"/>
    <w:rsid w:val="006B2979"/>
    <w:rsid w:val="006B2B91"/>
    <w:rsid w:val="006B31B8"/>
    <w:rsid w:val="006B3F5A"/>
    <w:rsid w:val="006B415B"/>
    <w:rsid w:val="006B5A8D"/>
    <w:rsid w:val="006B5B45"/>
    <w:rsid w:val="006B5B6C"/>
    <w:rsid w:val="006B6973"/>
    <w:rsid w:val="006B6D99"/>
    <w:rsid w:val="006B7583"/>
    <w:rsid w:val="006C089B"/>
    <w:rsid w:val="006C1C84"/>
    <w:rsid w:val="006C24A1"/>
    <w:rsid w:val="006C24F2"/>
    <w:rsid w:val="006C2992"/>
    <w:rsid w:val="006C2C4C"/>
    <w:rsid w:val="006C393A"/>
    <w:rsid w:val="006C4988"/>
    <w:rsid w:val="006C5A4D"/>
    <w:rsid w:val="006C6975"/>
    <w:rsid w:val="006D0480"/>
    <w:rsid w:val="006D0AA2"/>
    <w:rsid w:val="006D1D92"/>
    <w:rsid w:val="006D239D"/>
    <w:rsid w:val="006D25F9"/>
    <w:rsid w:val="006D2651"/>
    <w:rsid w:val="006D2B4B"/>
    <w:rsid w:val="006D2C44"/>
    <w:rsid w:val="006D33B5"/>
    <w:rsid w:val="006D3830"/>
    <w:rsid w:val="006D47C0"/>
    <w:rsid w:val="006D48B8"/>
    <w:rsid w:val="006D4CBC"/>
    <w:rsid w:val="006D4D99"/>
    <w:rsid w:val="006D5523"/>
    <w:rsid w:val="006D5797"/>
    <w:rsid w:val="006D74BC"/>
    <w:rsid w:val="006D750C"/>
    <w:rsid w:val="006D770D"/>
    <w:rsid w:val="006D7841"/>
    <w:rsid w:val="006E035E"/>
    <w:rsid w:val="006E150D"/>
    <w:rsid w:val="006E230A"/>
    <w:rsid w:val="006E24FB"/>
    <w:rsid w:val="006E2DDD"/>
    <w:rsid w:val="006E3B8A"/>
    <w:rsid w:val="006E6FAE"/>
    <w:rsid w:val="006E7416"/>
    <w:rsid w:val="006F011C"/>
    <w:rsid w:val="006F01A1"/>
    <w:rsid w:val="006F0D86"/>
    <w:rsid w:val="006F0FF6"/>
    <w:rsid w:val="006F1075"/>
    <w:rsid w:val="006F1BFA"/>
    <w:rsid w:val="006F1EE6"/>
    <w:rsid w:val="006F220B"/>
    <w:rsid w:val="006F254D"/>
    <w:rsid w:val="006F318B"/>
    <w:rsid w:val="006F3A0C"/>
    <w:rsid w:val="006F5C21"/>
    <w:rsid w:val="006F6B3B"/>
    <w:rsid w:val="006F70A0"/>
    <w:rsid w:val="006F73AF"/>
    <w:rsid w:val="006F74A6"/>
    <w:rsid w:val="006F77FC"/>
    <w:rsid w:val="006F7984"/>
    <w:rsid w:val="006F7FCB"/>
    <w:rsid w:val="00701488"/>
    <w:rsid w:val="00701615"/>
    <w:rsid w:val="00701CCF"/>
    <w:rsid w:val="007026C5"/>
    <w:rsid w:val="00702A13"/>
    <w:rsid w:val="007030D8"/>
    <w:rsid w:val="0070367F"/>
    <w:rsid w:val="00703C22"/>
    <w:rsid w:val="00703FA8"/>
    <w:rsid w:val="007041DB"/>
    <w:rsid w:val="00705080"/>
    <w:rsid w:val="0070581D"/>
    <w:rsid w:val="00706690"/>
    <w:rsid w:val="007067EB"/>
    <w:rsid w:val="007073DE"/>
    <w:rsid w:val="0070780A"/>
    <w:rsid w:val="0071078E"/>
    <w:rsid w:val="00710875"/>
    <w:rsid w:val="00710A23"/>
    <w:rsid w:val="0071139D"/>
    <w:rsid w:val="00711E2C"/>
    <w:rsid w:val="0071324C"/>
    <w:rsid w:val="0071331C"/>
    <w:rsid w:val="00713833"/>
    <w:rsid w:val="007138CC"/>
    <w:rsid w:val="00713D64"/>
    <w:rsid w:val="00713EDF"/>
    <w:rsid w:val="00714476"/>
    <w:rsid w:val="00715106"/>
    <w:rsid w:val="007160D0"/>
    <w:rsid w:val="0071633D"/>
    <w:rsid w:val="00716D94"/>
    <w:rsid w:val="007200FA"/>
    <w:rsid w:val="007203E5"/>
    <w:rsid w:val="00720545"/>
    <w:rsid w:val="007205BD"/>
    <w:rsid w:val="00721865"/>
    <w:rsid w:val="00721C2D"/>
    <w:rsid w:val="007224A3"/>
    <w:rsid w:val="007231C5"/>
    <w:rsid w:val="00723BD6"/>
    <w:rsid w:val="00724191"/>
    <w:rsid w:val="00724533"/>
    <w:rsid w:val="00724ABE"/>
    <w:rsid w:val="00725B28"/>
    <w:rsid w:val="00727642"/>
    <w:rsid w:val="0073107C"/>
    <w:rsid w:val="00734A54"/>
    <w:rsid w:val="00735291"/>
    <w:rsid w:val="0073666E"/>
    <w:rsid w:val="007369CC"/>
    <w:rsid w:val="0073730F"/>
    <w:rsid w:val="007374CB"/>
    <w:rsid w:val="00737617"/>
    <w:rsid w:val="00740EC2"/>
    <w:rsid w:val="0074152E"/>
    <w:rsid w:val="00741D60"/>
    <w:rsid w:val="0074212A"/>
    <w:rsid w:val="0074428A"/>
    <w:rsid w:val="007449E6"/>
    <w:rsid w:val="0074549A"/>
    <w:rsid w:val="00745676"/>
    <w:rsid w:val="00746BEF"/>
    <w:rsid w:val="00746EC7"/>
    <w:rsid w:val="007470B2"/>
    <w:rsid w:val="00747E27"/>
    <w:rsid w:val="0075046D"/>
    <w:rsid w:val="007513EE"/>
    <w:rsid w:val="00751647"/>
    <w:rsid w:val="00751C00"/>
    <w:rsid w:val="00751EE9"/>
    <w:rsid w:val="00752614"/>
    <w:rsid w:val="007534DE"/>
    <w:rsid w:val="00753852"/>
    <w:rsid w:val="00753A19"/>
    <w:rsid w:val="007547DD"/>
    <w:rsid w:val="00755337"/>
    <w:rsid w:val="00755FF1"/>
    <w:rsid w:val="0076043A"/>
    <w:rsid w:val="007613CF"/>
    <w:rsid w:val="00761AAA"/>
    <w:rsid w:val="00762087"/>
    <w:rsid w:val="007629EF"/>
    <w:rsid w:val="00763BC5"/>
    <w:rsid w:val="00763CBC"/>
    <w:rsid w:val="00763DA0"/>
    <w:rsid w:val="00763E0D"/>
    <w:rsid w:val="00764553"/>
    <w:rsid w:val="00764649"/>
    <w:rsid w:val="007650CD"/>
    <w:rsid w:val="00765153"/>
    <w:rsid w:val="00765481"/>
    <w:rsid w:val="00765B07"/>
    <w:rsid w:val="00765C4C"/>
    <w:rsid w:val="00765F34"/>
    <w:rsid w:val="00770881"/>
    <w:rsid w:val="00771201"/>
    <w:rsid w:val="00771822"/>
    <w:rsid w:val="00771A7C"/>
    <w:rsid w:val="00771D54"/>
    <w:rsid w:val="00772A63"/>
    <w:rsid w:val="00772FD2"/>
    <w:rsid w:val="0077423B"/>
    <w:rsid w:val="007742F9"/>
    <w:rsid w:val="00774975"/>
    <w:rsid w:val="00774983"/>
    <w:rsid w:val="00774E8E"/>
    <w:rsid w:val="00774E95"/>
    <w:rsid w:val="007755BC"/>
    <w:rsid w:val="00776862"/>
    <w:rsid w:val="00776BA4"/>
    <w:rsid w:val="00777FA9"/>
    <w:rsid w:val="007803E8"/>
    <w:rsid w:val="00780F6F"/>
    <w:rsid w:val="00782F07"/>
    <w:rsid w:val="00783F05"/>
    <w:rsid w:val="00784AE9"/>
    <w:rsid w:val="00784DE1"/>
    <w:rsid w:val="00785657"/>
    <w:rsid w:val="007871FE"/>
    <w:rsid w:val="007876C7"/>
    <w:rsid w:val="0079050C"/>
    <w:rsid w:val="00791EE7"/>
    <w:rsid w:val="0079240F"/>
    <w:rsid w:val="0079308B"/>
    <w:rsid w:val="007945B3"/>
    <w:rsid w:val="00794B70"/>
    <w:rsid w:val="00794F5D"/>
    <w:rsid w:val="007A0296"/>
    <w:rsid w:val="007A11B4"/>
    <w:rsid w:val="007A18C9"/>
    <w:rsid w:val="007A3A65"/>
    <w:rsid w:val="007A3CC5"/>
    <w:rsid w:val="007A3EC6"/>
    <w:rsid w:val="007A4FD3"/>
    <w:rsid w:val="007A5290"/>
    <w:rsid w:val="007A67B2"/>
    <w:rsid w:val="007A68F1"/>
    <w:rsid w:val="007A77A3"/>
    <w:rsid w:val="007B135C"/>
    <w:rsid w:val="007B1380"/>
    <w:rsid w:val="007B1766"/>
    <w:rsid w:val="007B19DA"/>
    <w:rsid w:val="007B2D17"/>
    <w:rsid w:val="007B35A5"/>
    <w:rsid w:val="007B5502"/>
    <w:rsid w:val="007B5F09"/>
    <w:rsid w:val="007B61CB"/>
    <w:rsid w:val="007B76C4"/>
    <w:rsid w:val="007C076F"/>
    <w:rsid w:val="007C1820"/>
    <w:rsid w:val="007C3448"/>
    <w:rsid w:val="007C3678"/>
    <w:rsid w:val="007C4259"/>
    <w:rsid w:val="007C5582"/>
    <w:rsid w:val="007C60EF"/>
    <w:rsid w:val="007C6559"/>
    <w:rsid w:val="007C6954"/>
    <w:rsid w:val="007C717D"/>
    <w:rsid w:val="007D012E"/>
    <w:rsid w:val="007D0506"/>
    <w:rsid w:val="007D10F8"/>
    <w:rsid w:val="007D17E2"/>
    <w:rsid w:val="007D1D20"/>
    <w:rsid w:val="007D315C"/>
    <w:rsid w:val="007D3C0C"/>
    <w:rsid w:val="007D46E9"/>
    <w:rsid w:val="007D5471"/>
    <w:rsid w:val="007D731A"/>
    <w:rsid w:val="007D73C0"/>
    <w:rsid w:val="007D78D2"/>
    <w:rsid w:val="007E190E"/>
    <w:rsid w:val="007E1A70"/>
    <w:rsid w:val="007E2BC5"/>
    <w:rsid w:val="007E2D78"/>
    <w:rsid w:val="007E311B"/>
    <w:rsid w:val="007E3F9C"/>
    <w:rsid w:val="007E41E2"/>
    <w:rsid w:val="007E5B4B"/>
    <w:rsid w:val="007E5FB1"/>
    <w:rsid w:val="007E6AF7"/>
    <w:rsid w:val="007E7A74"/>
    <w:rsid w:val="007F0DFF"/>
    <w:rsid w:val="007F10B2"/>
    <w:rsid w:val="007F1F05"/>
    <w:rsid w:val="007F24B0"/>
    <w:rsid w:val="007F380E"/>
    <w:rsid w:val="007F42CA"/>
    <w:rsid w:val="007F6F2B"/>
    <w:rsid w:val="007F6FD9"/>
    <w:rsid w:val="007F7E37"/>
    <w:rsid w:val="007F7EA4"/>
    <w:rsid w:val="008007A7"/>
    <w:rsid w:val="00801014"/>
    <w:rsid w:val="008027C4"/>
    <w:rsid w:val="00802923"/>
    <w:rsid w:val="00802FED"/>
    <w:rsid w:val="00803DAC"/>
    <w:rsid w:val="00804477"/>
    <w:rsid w:val="00804C86"/>
    <w:rsid w:val="008057A3"/>
    <w:rsid w:val="00805A28"/>
    <w:rsid w:val="00805FBB"/>
    <w:rsid w:val="0080625F"/>
    <w:rsid w:val="00806327"/>
    <w:rsid w:val="00807062"/>
    <w:rsid w:val="008073DF"/>
    <w:rsid w:val="0081077F"/>
    <w:rsid w:val="00810A05"/>
    <w:rsid w:val="00810DD6"/>
    <w:rsid w:val="00811AAF"/>
    <w:rsid w:val="00812347"/>
    <w:rsid w:val="00813D97"/>
    <w:rsid w:val="00814C77"/>
    <w:rsid w:val="00816263"/>
    <w:rsid w:val="00817C41"/>
    <w:rsid w:val="00820EA8"/>
    <w:rsid w:val="00820F98"/>
    <w:rsid w:val="00823059"/>
    <w:rsid w:val="00823762"/>
    <w:rsid w:val="008253A9"/>
    <w:rsid w:val="008256B0"/>
    <w:rsid w:val="00830480"/>
    <w:rsid w:val="00830B79"/>
    <w:rsid w:val="00830CF6"/>
    <w:rsid w:val="0083115C"/>
    <w:rsid w:val="00832033"/>
    <w:rsid w:val="00833101"/>
    <w:rsid w:val="00833501"/>
    <w:rsid w:val="00833A00"/>
    <w:rsid w:val="00834D50"/>
    <w:rsid w:val="00835992"/>
    <w:rsid w:val="00835CFA"/>
    <w:rsid w:val="00836054"/>
    <w:rsid w:val="00836BDF"/>
    <w:rsid w:val="008374AC"/>
    <w:rsid w:val="008413F8"/>
    <w:rsid w:val="00841788"/>
    <w:rsid w:val="00843727"/>
    <w:rsid w:val="008438CF"/>
    <w:rsid w:val="008443C9"/>
    <w:rsid w:val="0084515A"/>
    <w:rsid w:val="0084530C"/>
    <w:rsid w:val="00845A5B"/>
    <w:rsid w:val="0084672B"/>
    <w:rsid w:val="00847888"/>
    <w:rsid w:val="00847A57"/>
    <w:rsid w:val="00847D8F"/>
    <w:rsid w:val="00847E37"/>
    <w:rsid w:val="00851C4D"/>
    <w:rsid w:val="008531CD"/>
    <w:rsid w:val="00853662"/>
    <w:rsid w:val="00854EC8"/>
    <w:rsid w:val="008550CC"/>
    <w:rsid w:val="0085530A"/>
    <w:rsid w:val="00856B92"/>
    <w:rsid w:val="00857B94"/>
    <w:rsid w:val="00862130"/>
    <w:rsid w:val="008621CB"/>
    <w:rsid w:val="0086394E"/>
    <w:rsid w:val="00863E11"/>
    <w:rsid w:val="00865F5D"/>
    <w:rsid w:val="00866021"/>
    <w:rsid w:val="00866359"/>
    <w:rsid w:val="008701EC"/>
    <w:rsid w:val="008707B5"/>
    <w:rsid w:val="00870CDB"/>
    <w:rsid w:val="0087102A"/>
    <w:rsid w:val="008711F9"/>
    <w:rsid w:val="00871EBD"/>
    <w:rsid w:val="008733C7"/>
    <w:rsid w:val="00873790"/>
    <w:rsid w:val="008737CF"/>
    <w:rsid w:val="00874CB6"/>
    <w:rsid w:val="00874F41"/>
    <w:rsid w:val="0087566E"/>
    <w:rsid w:val="00876F3F"/>
    <w:rsid w:val="0087715A"/>
    <w:rsid w:val="008771BB"/>
    <w:rsid w:val="008812D1"/>
    <w:rsid w:val="0088262B"/>
    <w:rsid w:val="008827D2"/>
    <w:rsid w:val="008831D1"/>
    <w:rsid w:val="00883E39"/>
    <w:rsid w:val="00883E83"/>
    <w:rsid w:val="008841A9"/>
    <w:rsid w:val="00884433"/>
    <w:rsid w:val="00884662"/>
    <w:rsid w:val="00884AFB"/>
    <w:rsid w:val="008857F5"/>
    <w:rsid w:val="00886427"/>
    <w:rsid w:val="008867E1"/>
    <w:rsid w:val="008871D7"/>
    <w:rsid w:val="00890304"/>
    <w:rsid w:val="0089075B"/>
    <w:rsid w:val="00891111"/>
    <w:rsid w:val="008921ED"/>
    <w:rsid w:val="00892C1D"/>
    <w:rsid w:val="00894A7C"/>
    <w:rsid w:val="00894CA8"/>
    <w:rsid w:val="00895C57"/>
    <w:rsid w:val="00895D6E"/>
    <w:rsid w:val="00895FD3"/>
    <w:rsid w:val="008967EB"/>
    <w:rsid w:val="00897260"/>
    <w:rsid w:val="00897626"/>
    <w:rsid w:val="00897759"/>
    <w:rsid w:val="0089776A"/>
    <w:rsid w:val="00897E4E"/>
    <w:rsid w:val="008A048B"/>
    <w:rsid w:val="008A1C3D"/>
    <w:rsid w:val="008A26EC"/>
    <w:rsid w:val="008A28B8"/>
    <w:rsid w:val="008A2995"/>
    <w:rsid w:val="008A5162"/>
    <w:rsid w:val="008A56BF"/>
    <w:rsid w:val="008A5E19"/>
    <w:rsid w:val="008A6D50"/>
    <w:rsid w:val="008A7776"/>
    <w:rsid w:val="008B038C"/>
    <w:rsid w:val="008B26F0"/>
    <w:rsid w:val="008B36FD"/>
    <w:rsid w:val="008B3B09"/>
    <w:rsid w:val="008B430E"/>
    <w:rsid w:val="008B4BD5"/>
    <w:rsid w:val="008B6730"/>
    <w:rsid w:val="008B6A92"/>
    <w:rsid w:val="008B787D"/>
    <w:rsid w:val="008C0504"/>
    <w:rsid w:val="008C1585"/>
    <w:rsid w:val="008C2266"/>
    <w:rsid w:val="008C25BB"/>
    <w:rsid w:val="008C26B6"/>
    <w:rsid w:val="008C513E"/>
    <w:rsid w:val="008C53F0"/>
    <w:rsid w:val="008C59DB"/>
    <w:rsid w:val="008C6629"/>
    <w:rsid w:val="008C6835"/>
    <w:rsid w:val="008C6C08"/>
    <w:rsid w:val="008C74B5"/>
    <w:rsid w:val="008C7929"/>
    <w:rsid w:val="008D0273"/>
    <w:rsid w:val="008D188C"/>
    <w:rsid w:val="008D3128"/>
    <w:rsid w:val="008D34B8"/>
    <w:rsid w:val="008D445F"/>
    <w:rsid w:val="008D579E"/>
    <w:rsid w:val="008D603A"/>
    <w:rsid w:val="008E02F4"/>
    <w:rsid w:val="008E0B96"/>
    <w:rsid w:val="008E1921"/>
    <w:rsid w:val="008E242A"/>
    <w:rsid w:val="008E3699"/>
    <w:rsid w:val="008E4BDD"/>
    <w:rsid w:val="008E5E7B"/>
    <w:rsid w:val="008E6311"/>
    <w:rsid w:val="008E6D84"/>
    <w:rsid w:val="008E74B6"/>
    <w:rsid w:val="008E77D6"/>
    <w:rsid w:val="008F2A6C"/>
    <w:rsid w:val="008F2DA8"/>
    <w:rsid w:val="008F317D"/>
    <w:rsid w:val="008F3E45"/>
    <w:rsid w:val="008F44EC"/>
    <w:rsid w:val="008F5583"/>
    <w:rsid w:val="008F57ED"/>
    <w:rsid w:val="008F5C7A"/>
    <w:rsid w:val="008F6263"/>
    <w:rsid w:val="008F6D51"/>
    <w:rsid w:val="008F755E"/>
    <w:rsid w:val="008F7577"/>
    <w:rsid w:val="009008BD"/>
    <w:rsid w:val="00901AF9"/>
    <w:rsid w:val="00902611"/>
    <w:rsid w:val="00902695"/>
    <w:rsid w:val="00902DE7"/>
    <w:rsid w:val="00904D88"/>
    <w:rsid w:val="00906067"/>
    <w:rsid w:val="009065DB"/>
    <w:rsid w:val="00907551"/>
    <w:rsid w:val="00907E93"/>
    <w:rsid w:val="00910CEA"/>
    <w:rsid w:val="0091132B"/>
    <w:rsid w:val="0091132C"/>
    <w:rsid w:val="009113CF"/>
    <w:rsid w:val="009115A9"/>
    <w:rsid w:val="00911D44"/>
    <w:rsid w:val="00914E76"/>
    <w:rsid w:val="009156EE"/>
    <w:rsid w:val="009172A6"/>
    <w:rsid w:val="00917822"/>
    <w:rsid w:val="0092013C"/>
    <w:rsid w:val="00921B57"/>
    <w:rsid w:val="0092221D"/>
    <w:rsid w:val="00922226"/>
    <w:rsid w:val="00922597"/>
    <w:rsid w:val="00922A6F"/>
    <w:rsid w:val="00922F48"/>
    <w:rsid w:val="0092374A"/>
    <w:rsid w:val="00923EC2"/>
    <w:rsid w:val="009242C7"/>
    <w:rsid w:val="0092653C"/>
    <w:rsid w:val="00926832"/>
    <w:rsid w:val="009269AC"/>
    <w:rsid w:val="00927004"/>
    <w:rsid w:val="009273D2"/>
    <w:rsid w:val="00927833"/>
    <w:rsid w:val="00927925"/>
    <w:rsid w:val="009300C2"/>
    <w:rsid w:val="009305A1"/>
    <w:rsid w:val="00930DF5"/>
    <w:rsid w:val="00931037"/>
    <w:rsid w:val="009314F5"/>
    <w:rsid w:val="00932AF9"/>
    <w:rsid w:val="00933A0A"/>
    <w:rsid w:val="00933D72"/>
    <w:rsid w:val="009347A5"/>
    <w:rsid w:val="009347D3"/>
    <w:rsid w:val="00934A25"/>
    <w:rsid w:val="00934AB3"/>
    <w:rsid w:val="00935A17"/>
    <w:rsid w:val="0093674E"/>
    <w:rsid w:val="00937022"/>
    <w:rsid w:val="00937180"/>
    <w:rsid w:val="0093754B"/>
    <w:rsid w:val="009376ED"/>
    <w:rsid w:val="00940229"/>
    <w:rsid w:val="00940CE1"/>
    <w:rsid w:val="00941F87"/>
    <w:rsid w:val="00942CCF"/>
    <w:rsid w:val="00942D62"/>
    <w:rsid w:val="00943089"/>
    <w:rsid w:val="009432C6"/>
    <w:rsid w:val="009435E2"/>
    <w:rsid w:val="00943A83"/>
    <w:rsid w:val="00944247"/>
    <w:rsid w:val="009464F4"/>
    <w:rsid w:val="0094676D"/>
    <w:rsid w:val="00946799"/>
    <w:rsid w:val="009469A0"/>
    <w:rsid w:val="00946AAD"/>
    <w:rsid w:val="00947667"/>
    <w:rsid w:val="009479D5"/>
    <w:rsid w:val="00951A8E"/>
    <w:rsid w:val="00951B5E"/>
    <w:rsid w:val="00951BBB"/>
    <w:rsid w:val="00952807"/>
    <w:rsid w:val="009529D3"/>
    <w:rsid w:val="0095343C"/>
    <w:rsid w:val="00954275"/>
    <w:rsid w:val="0095435F"/>
    <w:rsid w:val="00955364"/>
    <w:rsid w:val="009557FB"/>
    <w:rsid w:val="00955942"/>
    <w:rsid w:val="009570DC"/>
    <w:rsid w:val="00957662"/>
    <w:rsid w:val="00960BD1"/>
    <w:rsid w:val="009625AA"/>
    <w:rsid w:val="009640F6"/>
    <w:rsid w:val="009651D5"/>
    <w:rsid w:val="0096618B"/>
    <w:rsid w:val="0096643A"/>
    <w:rsid w:val="009666DA"/>
    <w:rsid w:val="009701FB"/>
    <w:rsid w:val="00970AF3"/>
    <w:rsid w:val="00970C9D"/>
    <w:rsid w:val="009712E6"/>
    <w:rsid w:val="009715D8"/>
    <w:rsid w:val="00972029"/>
    <w:rsid w:val="00973E46"/>
    <w:rsid w:val="00973F09"/>
    <w:rsid w:val="0097582B"/>
    <w:rsid w:val="00975943"/>
    <w:rsid w:val="009763DA"/>
    <w:rsid w:val="0097721D"/>
    <w:rsid w:val="009803F3"/>
    <w:rsid w:val="009814C2"/>
    <w:rsid w:val="0098199E"/>
    <w:rsid w:val="009821E0"/>
    <w:rsid w:val="00982465"/>
    <w:rsid w:val="0098258E"/>
    <w:rsid w:val="00982A23"/>
    <w:rsid w:val="00982B86"/>
    <w:rsid w:val="00984416"/>
    <w:rsid w:val="009845CC"/>
    <w:rsid w:val="00985126"/>
    <w:rsid w:val="0098519E"/>
    <w:rsid w:val="0098535A"/>
    <w:rsid w:val="00985B9C"/>
    <w:rsid w:val="00985C6A"/>
    <w:rsid w:val="00986CBC"/>
    <w:rsid w:val="00986FC2"/>
    <w:rsid w:val="00987467"/>
    <w:rsid w:val="00987E15"/>
    <w:rsid w:val="00990058"/>
    <w:rsid w:val="0099006D"/>
    <w:rsid w:val="0099020F"/>
    <w:rsid w:val="00991D78"/>
    <w:rsid w:val="009921FF"/>
    <w:rsid w:val="0099233E"/>
    <w:rsid w:val="00992E4D"/>
    <w:rsid w:val="00993E51"/>
    <w:rsid w:val="00993FC1"/>
    <w:rsid w:val="00994060"/>
    <w:rsid w:val="00996448"/>
    <w:rsid w:val="0099674A"/>
    <w:rsid w:val="009971D9"/>
    <w:rsid w:val="009973C5"/>
    <w:rsid w:val="009A0061"/>
    <w:rsid w:val="009A037F"/>
    <w:rsid w:val="009A0F04"/>
    <w:rsid w:val="009A1641"/>
    <w:rsid w:val="009A178A"/>
    <w:rsid w:val="009A2067"/>
    <w:rsid w:val="009A21FD"/>
    <w:rsid w:val="009A241C"/>
    <w:rsid w:val="009A3008"/>
    <w:rsid w:val="009A30DB"/>
    <w:rsid w:val="009A34BD"/>
    <w:rsid w:val="009A5335"/>
    <w:rsid w:val="009A564A"/>
    <w:rsid w:val="009A5D90"/>
    <w:rsid w:val="009A607B"/>
    <w:rsid w:val="009A6FA6"/>
    <w:rsid w:val="009A723C"/>
    <w:rsid w:val="009A779B"/>
    <w:rsid w:val="009A7E3C"/>
    <w:rsid w:val="009B0651"/>
    <w:rsid w:val="009B0C85"/>
    <w:rsid w:val="009B2349"/>
    <w:rsid w:val="009B2F9D"/>
    <w:rsid w:val="009B4283"/>
    <w:rsid w:val="009B5849"/>
    <w:rsid w:val="009B590E"/>
    <w:rsid w:val="009B5D6B"/>
    <w:rsid w:val="009B69A0"/>
    <w:rsid w:val="009B74B3"/>
    <w:rsid w:val="009C029B"/>
    <w:rsid w:val="009C10CA"/>
    <w:rsid w:val="009C111E"/>
    <w:rsid w:val="009C13B1"/>
    <w:rsid w:val="009C17A3"/>
    <w:rsid w:val="009C228F"/>
    <w:rsid w:val="009C330F"/>
    <w:rsid w:val="009C3713"/>
    <w:rsid w:val="009C416F"/>
    <w:rsid w:val="009C44F8"/>
    <w:rsid w:val="009C4B13"/>
    <w:rsid w:val="009C5580"/>
    <w:rsid w:val="009C6BDB"/>
    <w:rsid w:val="009D0C0E"/>
    <w:rsid w:val="009D2069"/>
    <w:rsid w:val="009D2AF0"/>
    <w:rsid w:val="009D37EA"/>
    <w:rsid w:val="009D6B27"/>
    <w:rsid w:val="009D734E"/>
    <w:rsid w:val="009D7BB0"/>
    <w:rsid w:val="009D7DAC"/>
    <w:rsid w:val="009D7F3A"/>
    <w:rsid w:val="009E1824"/>
    <w:rsid w:val="009E2517"/>
    <w:rsid w:val="009E3632"/>
    <w:rsid w:val="009E5BF0"/>
    <w:rsid w:val="009E63E3"/>
    <w:rsid w:val="009E69D3"/>
    <w:rsid w:val="009F0121"/>
    <w:rsid w:val="009F01F6"/>
    <w:rsid w:val="009F05D0"/>
    <w:rsid w:val="009F09FD"/>
    <w:rsid w:val="009F1362"/>
    <w:rsid w:val="009F1510"/>
    <w:rsid w:val="009F365D"/>
    <w:rsid w:val="009F3B69"/>
    <w:rsid w:val="009F3EC4"/>
    <w:rsid w:val="009F413B"/>
    <w:rsid w:val="009F421F"/>
    <w:rsid w:val="009F444C"/>
    <w:rsid w:val="009F57DD"/>
    <w:rsid w:val="009F63AF"/>
    <w:rsid w:val="009F66B4"/>
    <w:rsid w:val="009F6BF1"/>
    <w:rsid w:val="009F6E21"/>
    <w:rsid w:val="00A00354"/>
    <w:rsid w:val="00A02AD2"/>
    <w:rsid w:val="00A03223"/>
    <w:rsid w:val="00A03B90"/>
    <w:rsid w:val="00A050EC"/>
    <w:rsid w:val="00A05E73"/>
    <w:rsid w:val="00A06389"/>
    <w:rsid w:val="00A06973"/>
    <w:rsid w:val="00A07A16"/>
    <w:rsid w:val="00A102E6"/>
    <w:rsid w:val="00A10F71"/>
    <w:rsid w:val="00A12A9A"/>
    <w:rsid w:val="00A13FE5"/>
    <w:rsid w:val="00A1403A"/>
    <w:rsid w:val="00A14673"/>
    <w:rsid w:val="00A14704"/>
    <w:rsid w:val="00A14E5A"/>
    <w:rsid w:val="00A15057"/>
    <w:rsid w:val="00A16044"/>
    <w:rsid w:val="00A2010E"/>
    <w:rsid w:val="00A21C65"/>
    <w:rsid w:val="00A22496"/>
    <w:rsid w:val="00A224AF"/>
    <w:rsid w:val="00A23E0B"/>
    <w:rsid w:val="00A24209"/>
    <w:rsid w:val="00A243BB"/>
    <w:rsid w:val="00A24FC1"/>
    <w:rsid w:val="00A2541C"/>
    <w:rsid w:val="00A25AA8"/>
    <w:rsid w:val="00A25C02"/>
    <w:rsid w:val="00A27082"/>
    <w:rsid w:val="00A2780D"/>
    <w:rsid w:val="00A30723"/>
    <w:rsid w:val="00A31002"/>
    <w:rsid w:val="00A31287"/>
    <w:rsid w:val="00A319FB"/>
    <w:rsid w:val="00A31E89"/>
    <w:rsid w:val="00A32235"/>
    <w:rsid w:val="00A32D64"/>
    <w:rsid w:val="00A32F6C"/>
    <w:rsid w:val="00A33A2A"/>
    <w:rsid w:val="00A33DC1"/>
    <w:rsid w:val="00A34505"/>
    <w:rsid w:val="00A34BA4"/>
    <w:rsid w:val="00A35959"/>
    <w:rsid w:val="00A36646"/>
    <w:rsid w:val="00A36735"/>
    <w:rsid w:val="00A370B8"/>
    <w:rsid w:val="00A3767B"/>
    <w:rsid w:val="00A4123B"/>
    <w:rsid w:val="00A41F65"/>
    <w:rsid w:val="00A422C7"/>
    <w:rsid w:val="00A426D5"/>
    <w:rsid w:val="00A43247"/>
    <w:rsid w:val="00A434B4"/>
    <w:rsid w:val="00A442D1"/>
    <w:rsid w:val="00A452AA"/>
    <w:rsid w:val="00A458E6"/>
    <w:rsid w:val="00A476AA"/>
    <w:rsid w:val="00A4795A"/>
    <w:rsid w:val="00A47EE2"/>
    <w:rsid w:val="00A501FC"/>
    <w:rsid w:val="00A5078F"/>
    <w:rsid w:val="00A50ED5"/>
    <w:rsid w:val="00A540C0"/>
    <w:rsid w:val="00A543D6"/>
    <w:rsid w:val="00A54595"/>
    <w:rsid w:val="00A54B57"/>
    <w:rsid w:val="00A55495"/>
    <w:rsid w:val="00A5567B"/>
    <w:rsid w:val="00A56214"/>
    <w:rsid w:val="00A562A9"/>
    <w:rsid w:val="00A5676D"/>
    <w:rsid w:val="00A56AF2"/>
    <w:rsid w:val="00A57882"/>
    <w:rsid w:val="00A60542"/>
    <w:rsid w:val="00A60F4C"/>
    <w:rsid w:val="00A622B9"/>
    <w:rsid w:val="00A62791"/>
    <w:rsid w:val="00A6292E"/>
    <w:rsid w:val="00A62BBE"/>
    <w:rsid w:val="00A659A3"/>
    <w:rsid w:val="00A70651"/>
    <w:rsid w:val="00A70CA0"/>
    <w:rsid w:val="00A71147"/>
    <w:rsid w:val="00A71486"/>
    <w:rsid w:val="00A721D3"/>
    <w:rsid w:val="00A74AF3"/>
    <w:rsid w:val="00A74DF0"/>
    <w:rsid w:val="00A76336"/>
    <w:rsid w:val="00A76480"/>
    <w:rsid w:val="00A76F82"/>
    <w:rsid w:val="00A80158"/>
    <w:rsid w:val="00A8030C"/>
    <w:rsid w:val="00A80704"/>
    <w:rsid w:val="00A80862"/>
    <w:rsid w:val="00A80B7B"/>
    <w:rsid w:val="00A846D1"/>
    <w:rsid w:val="00A866F8"/>
    <w:rsid w:val="00A86EDF"/>
    <w:rsid w:val="00A86FBB"/>
    <w:rsid w:val="00A87018"/>
    <w:rsid w:val="00A8749E"/>
    <w:rsid w:val="00A9103C"/>
    <w:rsid w:val="00A9105D"/>
    <w:rsid w:val="00A9110B"/>
    <w:rsid w:val="00A91123"/>
    <w:rsid w:val="00A92373"/>
    <w:rsid w:val="00A92BA8"/>
    <w:rsid w:val="00A93FB7"/>
    <w:rsid w:val="00A94147"/>
    <w:rsid w:val="00A9568C"/>
    <w:rsid w:val="00A962D7"/>
    <w:rsid w:val="00A965C4"/>
    <w:rsid w:val="00A97A39"/>
    <w:rsid w:val="00AA0A87"/>
    <w:rsid w:val="00AA159D"/>
    <w:rsid w:val="00AA23BA"/>
    <w:rsid w:val="00AA2EC9"/>
    <w:rsid w:val="00AA36C7"/>
    <w:rsid w:val="00AA3B44"/>
    <w:rsid w:val="00AA406D"/>
    <w:rsid w:val="00AA42CD"/>
    <w:rsid w:val="00AA4AF1"/>
    <w:rsid w:val="00AA592A"/>
    <w:rsid w:val="00AA5BB9"/>
    <w:rsid w:val="00AB2347"/>
    <w:rsid w:val="00AB2464"/>
    <w:rsid w:val="00AB294C"/>
    <w:rsid w:val="00AB3790"/>
    <w:rsid w:val="00AB3DBD"/>
    <w:rsid w:val="00AB4B32"/>
    <w:rsid w:val="00AB5EEE"/>
    <w:rsid w:val="00AB603A"/>
    <w:rsid w:val="00AB7377"/>
    <w:rsid w:val="00AB757B"/>
    <w:rsid w:val="00AB7905"/>
    <w:rsid w:val="00AC03CC"/>
    <w:rsid w:val="00AC04B8"/>
    <w:rsid w:val="00AC08D6"/>
    <w:rsid w:val="00AC0E08"/>
    <w:rsid w:val="00AC28D0"/>
    <w:rsid w:val="00AC3E6D"/>
    <w:rsid w:val="00AC425C"/>
    <w:rsid w:val="00AC5464"/>
    <w:rsid w:val="00AC54A8"/>
    <w:rsid w:val="00AC56B3"/>
    <w:rsid w:val="00AC6D5D"/>
    <w:rsid w:val="00AC739B"/>
    <w:rsid w:val="00AC7D2E"/>
    <w:rsid w:val="00AC7F31"/>
    <w:rsid w:val="00AD08A9"/>
    <w:rsid w:val="00AD0AFA"/>
    <w:rsid w:val="00AD0B8D"/>
    <w:rsid w:val="00AD2E4C"/>
    <w:rsid w:val="00AD2F57"/>
    <w:rsid w:val="00AD3299"/>
    <w:rsid w:val="00AD6AC6"/>
    <w:rsid w:val="00AD6DF1"/>
    <w:rsid w:val="00AD731C"/>
    <w:rsid w:val="00AE166A"/>
    <w:rsid w:val="00AE2A0F"/>
    <w:rsid w:val="00AE39FF"/>
    <w:rsid w:val="00AE3AB6"/>
    <w:rsid w:val="00AE43EA"/>
    <w:rsid w:val="00AE4CC5"/>
    <w:rsid w:val="00AE5B46"/>
    <w:rsid w:val="00AE64E4"/>
    <w:rsid w:val="00AE6816"/>
    <w:rsid w:val="00AE6DC5"/>
    <w:rsid w:val="00AE6DD8"/>
    <w:rsid w:val="00AE6FA6"/>
    <w:rsid w:val="00AE76FC"/>
    <w:rsid w:val="00AE7C1B"/>
    <w:rsid w:val="00AE7DC3"/>
    <w:rsid w:val="00AF0C92"/>
    <w:rsid w:val="00AF13C8"/>
    <w:rsid w:val="00AF1A68"/>
    <w:rsid w:val="00AF2AE9"/>
    <w:rsid w:val="00AF30FB"/>
    <w:rsid w:val="00AF3174"/>
    <w:rsid w:val="00AF333F"/>
    <w:rsid w:val="00AF3CA5"/>
    <w:rsid w:val="00AF43A3"/>
    <w:rsid w:val="00AF4DD8"/>
    <w:rsid w:val="00AF544A"/>
    <w:rsid w:val="00AF5EBD"/>
    <w:rsid w:val="00AF6655"/>
    <w:rsid w:val="00AF69F3"/>
    <w:rsid w:val="00AF725A"/>
    <w:rsid w:val="00AF754F"/>
    <w:rsid w:val="00AF7AAD"/>
    <w:rsid w:val="00AF7B6E"/>
    <w:rsid w:val="00B0003C"/>
    <w:rsid w:val="00B000E6"/>
    <w:rsid w:val="00B00857"/>
    <w:rsid w:val="00B01228"/>
    <w:rsid w:val="00B01460"/>
    <w:rsid w:val="00B01A4E"/>
    <w:rsid w:val="00B02D45"/>
    <w:rsid w:val="00B04A1E"/>
    <w:rsid w:val="00B04A94"/>
    <w:rsid w:val="00B05375"/>
    <w:rsid w:val="00B0560B"/>
    <w:rsid w:val="00B07DB0"/>
    <w:rsid w:val="00B10408"/>
    <w:rsid w:val="00B105BD"/>
    <w:rsid w:val="00B106FD"/>
    <w:rsid w:val="00B10BE1"/>
    <w:rsid w:val="00B10D9D"/>
    <w:rsid w:val="00B11B0F"/>
    <w:rsid w:val="00B1213A"/>
    <w:rsid w:val="00B12632"/>
    <w:rsid w:val="00B12DE0"/>
    <w:rsid w:val="00B1327D"/>
    <w:rsid w:val="00B13484"/>
    <w:rsid w:val="00B139F0"/>
    <w:rsid w:val="00B13E2F"/>
    <w:rsid w:val="00B1463C"/>
    <w:rsid w:val="00B15071"/>
    <w:rsid w:val="00B153A3"/>
    <w:rsid w:val="00B160FF"/>
    <w:rsid w:val="00B16969"/>
    <w:rsid w:val="00B16B10"/>
    <w:rsid w:val="00B1789B"/>
    <w:rsid w:val="00B179DA"/>
    <w:rsid w:val="00B17E29"/>
    <w:rsid w:val="00B204EA"/>
    <w:rsid w:val="00B21357"/>
    <w:rsid w:val="00B21740"/>
    <w:rsid w:val="00B22385"/>
    <w:rsid w:val="00B236E0"/>
    <w:rsid w:val="00B24F51"/>
    <w:rsid w:val="00B26AD9"/>
    <w:rsid w:val="00B26C0E"/>
    <w:rsid w:val="00B273FA"/>
    <w:rsid w:val="00B27713"/>
    <w:rsid w:val="00B27770"/>
    <w:rsid w:val="00B30747"/>
    <w:rsid w:val="00B3082C"/>
    <w:rsid w:val="00B30BFA"/>
    <w:rsid w:val="00B31949"/>
    <w:rsid w:val="00B3206C"/>
    <w:rsid w:val="00B337B1"/>
    <w:rsid w:val="00B343A7"/>
    <w:rsid w:val="00B34D51"/>
    <w:rsid w:val="00B3654B"/>
    <w:rsid w:val="00B36A8B"/>
    <w:rsid w:val="00B3736B"/>
    <w:rsid w:val="00B373B1"/>
    <w:rsid w:val="00B400A2"/>
    <w:rsid w:val="00B40BC3"/>
    <w:rsid w:val="00B41AA9"/>
    <w:rsid w:val="00B42052"/>
    <w:rsid w:val="00B42143"/>
    <w:rsid w:val="00B4231E"/>
    <w:rsid w:val="00B428B5"/>
    <w:rsid w:val="00B42B82"/>
    <w:rsid w:val="00B42D4F"/>
    <w:rsid w:val="00B43798"/>
    <w:rsid w:val="00B43DE2"/>
    <w:rsid w:val="00B442FF"/>
    <w:rsid w:val="00B44A3E"/>
    <w:rsid w:val="00B44B93"/>
    <w:rsid w:val="00B45A10"/>
    <w:rsid w:val="00B466BF"/>
    <w:rsid w:val="00B47CE2"/>
    <w:rsid w:val="00B47DFC"/>
    <w:rsid w:val="00B47E80"/>
    <w:rsid w:val="00B504A7"/>
    <w:rsid w:val="00B50692"/>
    <w:rsid w:val="00B50733"/>
    <w:rsid w:val="00B519CC"/>
    <w:rsid w:val="00B525A4"/>
    <w:rsid w:val="00B53EEB"/>
    <w:rsid w:val="00B55EAA"/>
    <w:rsid w:val="00B563E8"/>
    <w:rsid w:val="00B571DC"/>
    <w:rsid w:val="00B572DF"/>
    <w:rsid w:val="00B606E5"/>
    <w:rsid w:val="00B609EC"/>
    <w:rsid w:val="00B61390"/>
    <w:rsid w:val="00B6233D"/>
    <w:rsid w:val="00B625E0"/>
    <w:rsid w:val="00B642F1"/>
    <w:rsid w:val="00B64F3F"/>
    <w:rsid w:val="00B64FDB"/>
    <w:rsid w:val="00B66BCA"/>
    <w:rsid w:val="00B67AC7"/>
    <w:rsid w:val="00B70220"/>
    <w:rsid w:val="00B70538"/>
    <w:rsid w:val="00B705E8"/>
    <w:rsid w:val="00B706C6"/>
    <w:rsid w:val="00B70A7F"/>
    <w:rsid w:val="00B70E1E"/>
    <w:rsid w:val="00B715DC"/>
    <w:rsid w:val="00B7459D"/>
    <w:rsid w:val="00B74F61"/>
    <w:rsid w:val="00B75DE4"/>
    <w:rsid w:val="00B806F4"/>
    <w:rsid w:val="00B83324"/>
    <w:rsid w:val="00B83F0D"/>
    <w:rsid w:val="00B85920"/>
    <w:rsid w:val="00B85A59"/>
    <w:rsid w:val="00B85E24"/>
    <w:rsid w:val="00B86BC2"/>
    <w:rsid w:val="00B876F6"/>
    <w:rsid w:val="00B87D27"/>
    <w:rsid w:val="00B87F4C"/>
    <w:rsid w:val="00B905A3"/>
    <w:rsid w:val="00B90BFE"/>
    <w:rsid w:val="00B918E3"/>
    <w:rsid w:val="00B91938"/>
    <w:rsid w:val="00B92419"/>
    <w:rsid w:val="00B92533"/>
    <w:rsid w:val="00B9412F"/>
    <w:rsid w:val="00B9484E"/>
    <w:rsid w:val="00B950D3"/>
    <w:rsid w:val="00B9530C"/>
    <w:rsid w:val="00B96162"/>
    <w:rsid w:val="00B964CD"/>
    <w:rsid w:val="00B97143"/>
    <w:rsid w:val="00B97350"/>
    <w:rsid w:val="00B97581"/>
    <w:rsid w:val="00B97AB5"/>
    <w:rsid w:val="00B97B03"/>
    <w:rsid w:val="00BA0600"/>
    <w:rsid w:val="00BA0935"/>
    <w:rsid w:val="00BA0F1B"/>
    <w:rsid w:val="00BA19C5"/>
    <w:rsid w:val="00BA1D83"/>
    <w:rsid w:val="00BA2331"/>
    <w:rsid w:val="00BA26A2"/>
    <w:rsid w:val="00BA2BE0"/>
    <w:rsid w:val="00BA2C40"/>
    <w:rsid w:val="00BA3528"/>
    <w:rsid w:val="00BA4097"/>
    <w:rsid w:val="00BA5156"/>
    <w:rsid w:val="00BA6222"/>
    <w:rsid w:val="00BA7211"/>
    <w:rsid w:val="00BA7587"/>
    <w:rsid w:val="00BA7A7F"/>
    <w:rsid w:val="00BA7F7C"/>
    <w:rsid w:val="00BB0A31"/>
    <w:rsid w:val="00BB0DB6"/>
    <w:rsid w:val="00BB16B1"/>
    <w:rsid w:val="00BB1C6D"/>
    <w:rsid w:val="00BB229F"/>
    <w:rsid w:val="00BB23C8"/>
    <w:rsid w:val="00BB3636"/>
    <w:rsid w:val="00BB3976"/>
    <w:rsid w:val="00BB3B01"/>
    <w:rsid w:val="00BB3E39"/>
    <w:rsid w:val="00BB4B56"/>
    <w:rsid w:val="00BB54F4"/>
    <w:rsid w:val="00BB5ADF"/>
    <w:rsid w:val="00BB5DF1"/>
    <w:rsid w:val="00BB5F49"/>
    <w:rsid w:val="00BB6999"/>
    <w:rsid w:val="00BB6FCA"/>
    <w:rsid w:val="00BB7DC4"/>
    <w:rsid w:val="00BC035A"/>
    <w:rsid w:val="00BC0BCE"/>
    <w:rsid w:val="00BC12E9"/>
    <w:rsid w:val="00BC233D"/>
    <w:rsid w:val="00BC3AA4"/>
    <w:rsid w:val="00BC3CC6"/>
    <w:rsid w:val="00BC4E90"/>
    <w:rsid w:val="00BC5838"/>
    <w:rsid w:val="00BC5CA3"/>
    <w:rsid w:val="00BC681E"/>
    <w:rsid w:val="00BC689D"/>
    <w:rsid w:val="00BC6E32"/>
    <w:rsid w:val="00BC77A3"/>
    <w:rsid w:val="00BC7E4E"/>
    <w:rsid w:val="00BD2783"/>
    <w:rsid w:val="00BD2B26"/>
    <w:rsid w:val="00BD2F26"/>
    <w:rsid w:val="00BD536D"/>
    <w:rsid w:val="00BD61F5"/>
    <w:rsid w:val="00BD6DC5"/>
    <w:rsid w:val="00BD727C"/>
    <w:rsid w:val="00BD775B"/>
    <w:rsid w:val="00BE0854"/>
    <w:rsid w:val="00BE15C8"/>
    <w:rsid w:val="00BE1713"/>
    <w:rsid w:val="00BE1B48"/>
    <w:rsid w:val="00BE1ED2"/>
    <w:rsid w:val="00BE22C1"/>
    <w:rsid w:val="00BE2EA5"/>
    <w:rsid w:val="00BE48CB"/>
    <w:rsid w:val="00BE75A5"/>
    <w:rsid w:val="00BE77E4"/>
    <w:rsid w:val="00BF0292"/>
    <w:rsid w:val="00BF21F5"/>
    <w:rsid w:val="00BF3350"/>
    <w:rsid w:val="00BF341D"/>
    <w:rsid w:val="00BF3473"/>
    <w:rsid w:val="00BF3514"/>
    <w:rsid w:val="00BF42D6"/>
    <w:rsid w:val="00BF686B"/>
    <w:rsid w:val="00BF718F"/>
    <w:rsid w:val="00BF767C"/>
    <w:rsid w:val="00C0065E"/>
    <w:rsid w:val="00C00CA6"/>
    <w:rsid w:val="00C02D0B"/>
    <w:rsid w:val="00C0347F"/>
    <w:rsid w:val="00C036BC"/>
    <w:rsid w:val="00C0476A"/>
    <w:rsid w:val="00C05166"/>
    <w:rsid w:val="00C06FB1"/>
    <w:rsid w:val="00C077F8"/>
    <w:rsid w:val="00C10B97"/>
    <w:rsid w:val="00C11773"/>
    <w:rsid w:val="00C119B3"/>
    <w:rsid w:val="00C11F0B"/>
    <w:rsid w:val="00C12473"/>
    <w:rsid w:val="00C12E8F"/>
    <w:rsid w:val="00C1315E"/>
    <w:rsid w:val="00C13877"/>
    <w:rsid w:val="00C13DEC"/>
    <w:rsid w:val="00C16397"/>
    <w:rsid w:val="00C16803"/>
    <w:rsid w:val="00C17274"/>
    <w:rsid w:val="00C1793B"/>
    <w:rsid w:val="00C17AD6"/>
    <w:rsid w:val="00C201CA"/>
    <w:rsid w:val="00C20313"/>
    <w:rsid w:val="00C21F8D"/>
    <w:rsid w:val="00C2206F"/>
    <w:rsid w:val="00C22A2C"/>
    <w:rsid w:val="00C23AB8"/>
    <w:rsid w:val="00C23D73"/>
    <w:rsid w:val="00C23FF1"/>
    <w:rsid w:val="00C241A1"/>
    <w:rsid w:val="00C24CAE"/>
    <w:rsid w:val="00C26807"/>
    <w:rsid w:val="00C27500"/>
    <w:rsid w:val="00C27ADF"/>
    <w:rsid w:val="00C306E8"/>
    <w:rsid w:val="00C30901"/>
    <w:rsid w:val="00C310B6"/>
    <w:rsid w:val="00C3137A"/>
    <w:rsid w:val="00C31641"/>
    <w:rsid w:val="00C33B4E"/>
    <w:rsid w:val="00C34769"/>
    <w:rsid w:val="00C34F0D"/>
    <w:rsid w:val="00C34F46"/>
    <w:rsid w:val="00C35247"/>
    <w:rsid w:val="00C353A1"/>
    <w:rsid w:val="00C356AB"/>
    <w:rsid w:val="00C35956"/>
    <w:rsid w:val="00C35961"/>
    <w:rsid w:val="00C359E9"/>
    <w:rsid w:val="00C36025"/>
    <w:rsid w:val="00C36241"/>
    <w:rsid w:val="00C400CC"/>
    <w:rsid w:val="00C4033D"/>
    <w:rsid w:val="00C40586"/>
    <w:rsid w:val="00C407D6"/>
    <w:rsid w:val="00C40D4D"/>
    <w:rsid w:val="00C41A33"/>
    <w:rsid w:val="00C4208F"/>
    <w:rsid w:val="00C42691"/>
    <w:rsid w:val="00C44378"/>
    <w:rsid w:val="00C4517C"/>
    <w:rsid w:val="00C45AF3"/>
    <w:rsid w:val="00C45B0D"/>
    <w:rsid w:val="00C460C1"/>
    <w:rsid w:val="00C4647E"/>
    <w:rsid w:val="00C46751"/>
    <w:rsid w:val="00C47475"/>
    <w:rsid w:val="00C4768E"/>
    <w:rsid w:val="00C50C6B"/>
    <w:rsid w:val="00C55987"/>
    <w:rsid w:val="00C55A06"/>
    <w:rsid w:val="00C5657B"/>
    <w:rsid w:val="00C5701A"/>
    <w:rsid w:val="00C57D29"/>
    <w:rsid w:val="00C60A73"/>
    <w:rsid w:val="00C6203D"/>
    <w:rsid w:val="00C62638"/>
    <w:rsid w:val="00C62750"/>
    <w:rsid w:val="00C62EB7"/>
    <w:rsid w:val="00C630D0"/>
    <w:rsid w:val="00C640B5"/>
    <w:rsid w:val="00C64773"/>
    <w:rsid w:val="00C64CF0"/>
    <w:rsid w:val="00C654F1"/>
    <w:rsid w:val="00C67551"/>
    <w:rsid w:val="00C7042D"/>
    <w:rsid w:val="00C71622"/>
    <w:rsid w:val="00C72120"/>
    <w:rsid w:val="00C7266D"/>
    <w:rsid w:val="00C73A02"/>
    <w:rsid w:val="00C761F9"/>
    <w:rsid w:val="00C77255"/>
    <w:rsid w:val="00C77DA0"/>
    <w:rsid w:val="00C816A0"/>
    <w:rsid w:val="00C821EE"/>
    <w:rsid w:val="00C82E29"/>
    <w:rsid w:val="00C84234"/>
    <w:rsid w:val="00C843D7"/>
    <w:rsid w:val="00C845C0"/>
    <w:rsid w:val="00C84A0A"/>
    <w:rsid w:val="00C851A6"/>
    <w:rsid w:val="00C8592B"/>
    <w:rsid w:val="00C86C9D"/>
    <w:rsid w:val="00C86E2D"/>
    <w:rsid w:val="00C87A65"/>
    <w:rsid w:val="00C90325"/>
    <w:rsid w:val="00C90A15"/>
    <w:rsid w:val="00C920F8"/>
    <w:rsid w:val="00C92879"/>
    <w:rsid w:val="00C95999"/>
    <w:rsid w:val="00C961C9"/>
    <w:rsid w:val="00C9641F"/>
    <w:rsid w:val="00C97750"/>
    <w:rsid w:val="00CA11D6"/>
    <w:rsid w:val="00CA14AF"/>
    <w:rsid w:val="00CA1EE0"/>
    <w:rsid w:val="00CA224A"/>
    <w:rsid w:val="00CA3396"/>
    <w:rsid w:val="00CA3537"/>
    <w:rsid w:val="00CA35CD"/>
    <w:rsid w:val="00CA39C6"/>
    <w:rsid w:val="00CA39D8"/>
    <w:rsid w:val="00CA3E77"/>
    <w:rsid w:val="00CA4CCE"/>
    <w:rsid w:val="00CA5D12"/>
    <w:rsid w:val="00CA67E4"/>
    <w:rsid w:val="00CA73E2"/>
    <w:rsid w:val="00CA7963"/>
    <w:rsid w:val="00CA7FA0"/>
    <w:rsid w:val="00CB0EAF"/>
    <w:rsid w:val="00CB1084"/>
    <w:rsid w:val="00CB18E0"/>
    <w:rsid w:val="00CB2246"/>
    <w:rsid w:val="00CB37DE"/>
    <w:rsid w:val="00CB3A42"/>
    <w:rsid w:val="00CB4D2A"/>
    <w:rsid w:val="00CB4DB1"/>
    <w:rsid w:val="00CC1092"/>
    <w:rsid w:val="00CC1B40"/>
    <w:rsid w:val="00CC3542"/>
    <w:rsid w:val="00CC3A56"/>
    <w:rsid w:val="00CC411F"/>
    <w:rsid w:val="00CC4185"/>
    <w:rsid w:val="00CC43BA"/>
    <w:rsid w:val="00CC5C68"/>
    <w:rsid w:val="00CC60E7"/>
    <w:rsid w:val="00CC6938"/>
    <w:rsid w:val="00CC7A93"/>
    <w:rsid w:val="00CD1593"/>
    <w:rsid w:val="00CD34D3"/>
    <w:rsid w:val="00CD4067"/>
    <w:rsid w:val="00CD4B1C"/>
    <w:rsid w:val="00CD5489"/>
    <w:rsid w:val="00CD55B6"/>
    <w:rsid w:val="00CD665A"/>
    <w:rsid w:val="00CD68CE"/>
    <w:rsid w:val="00CD7428"/>
    <w:rsid w:val="00CE08CE"/>
    <w:rsid w:val="00CE08DC"/>
    <w:rsid w:val="00CE0BAD"/>
    <w:rsid w:val="00CE20E9"/>
    <w:rsid w:val="00CE2744"/>
    <w:rsid w:val="00CE2910"/>
    <w:rsid w:val="00CE3773"/>
    <w:rsid w:val="00CE41D5"/>
    <w:rsid w:val="00CE43AF"/>
    <w:rsid w:val="00CE5678"/>
    <w:rsid w:val="00CE5C18"/>
    <w:rsid w:val="00CE675E"/>
    <w:rsid w:val="00CE6EB0"/>
    <w:rsid w:val="00CE6FC5"/>
    <w:rsid w:val="00CE701C"/>
    <w:rsid w:val="00CE7F13"/>
    <w:rsid w:val="00CF005C"/>
    <w:rsid w:val="00CF0E33"/>
    <w:rsid w:val="00CF2366"/>
    <w:rsid w:val="00CF2C3F"/>
    <w:rsid w:val="00CF4490"/>
    <w:rsid w:val="00CF59B6"/>
    <w:rsid w:val="00CF5A8F"/>
    <w:rsid w:val="00CF74E6"/>
    <w:rsid w:val="00CF778F"/>
    <w:rsid w:val="00CF77B7"/>
    <w:rsid w:val="00CF781D"/>
    <w:rsid w:val="00CF7CDA"/>
    <w:rsid w:val="00D00379"/>
    <w:rsid w:val="00D00FB3"/>
    <w:rsid w:val="00D0133C"/>
    <w:rsid w:val="00D01850"/>
    <w:rsid w:val="00D01C21"/>
    <w:rsid w:val="00D028CD"/>
    <w:rsid w:val="00D02EDF"/>
    <w:rsid w:val="00D0334F"/>
    <w:rsid w:val="00D046A4"/>
    <w:rsid w:val="00D05487"/>
    <w:rsid w:val="00D057EE"/>
    <w:rsid w:val="00D061A2"/>
    <w:rsid w:val="00D06571"/>
    <w:rsid w:val="00D066A2"/>
    <w:rsid w:val="00D10467"/>
    <w:rsid w:val="00D10652"/>
    <w:rsid w:val="00D108FD"/>
    <w:rsid w:val="00D11859"/>
    <w:rsid w:val="00D12A5B"/>
    <w:rsid w:val="00D13DB2"/>
    <w:rsid w:val="00D15082"/>
    <w:rsid w:val="00D159C2"/>
    <w:rsid w:val="00D160F3"/>
    <w:rsid w:val="00D1766A"/>
    <w:rsid w:val="00D209B6"/>
    <w:rsid w:val="00D2255F"/>
    <w:rsid w:val="00D22A84"/>
    <w:rsid w:val="00D2354C"/>
    <w:rsid w:val="00D24620"/>
    <w:rsid w:val="00D246E1"/>
    <w:rsid w:val="00D247C6"/>
    <w:rsid w:val="00D24A77"/>
    <w:rsid w:val="00D25854"/>
    <w:rsid w:val="00D25903"/>
    <w:rsid w:val="00D27075"/>
    <w:rsid w:val="00D30214"/>
    <w:rsid w:val="00D304C9"/>
    <w:rsid w:val="00D3123C"/>
    <w:rsid w:val="00D32A49"/>
    <w:rsid w:val="00D332EC"/>
    <w:rsid w:val="00D33979"/>
    <w:rsid w:val="00D33C32"/>
    <w:rsid w:val="00D33E15"/>
    <w:rsid w:val="00D33EC4"/>
    <w:rsid w:val="00D36952"/>
    <w:rsid w:val="00D37787"/>
    <w:rsid w:val="00D406F9"/>
    <w:rsid w:val="00D40A9A"/>
    <w:rsid w:val="00D42E5E"/>
    <w:rsid w:val="00D4308A"/>
    <w:rsid w:val="00D445D0"/>
    <w:rsid w:val="00D44B05"/>
    <w:rsid w:val="00D44DDC"/>
    <w:rsid w:val="00D46121"/>
    <w:rsid w:val="00D46A9C"/>
    <w:rsid w:val="00D4707D"/>
    <w:rsid w:val="00D4770E"/>
    <w:rsid w:val="00D51B5E"/>
    <w:rsid w:val="00D52543"/>
    <w:rsid w:val="00D52C15"/>
    <w:rsid w:val="00D53417"/>
    <w:rsid w:val="00D5376A"/>
    <w:rsid w:val="00D54545"/>
    <w:rsid w:val="00D55377"/>
    <w:rsid w:val="00D557D5"/>
    <w:rsid w:val="00D5711E"/>
    <w:rsid w:val="00D57E05"/>
    <w:rsid w:val="00D57E4B"/>
    <w:rsid w:val="00D57F52"/>
    <w:rsid w:val="00D60265"/>
    <w:rsid w:val="00D62265"/>
    <w:rsid w:val="00D62A64"/>
    <w:rsid w:val="00D6356F"/>
    <w:rsid w:val="00D63573"/>
    <w:rsid w:val="00D635C3"/>
    <w:rsid w:val="00D64769"/>
    <w:rsid w:val="00D64F50"/>
    <w:rsid w:val="00D65F9C"/>
    <w:rsid w:val="00D6715B"/>
    <w:rsid w:val="00D6717D"/>
    <w:rsid w:val="00D671A1"/>
    <w:rsid w:val="00D6747E"/>
    <w:rsid w:val="00D675A0"/>
    <w:rsid w:val="00D67D2E"/>
    <w:rsid w:val="00D70B18"/>
    <w:rsid w:val="00D7167B"/>
    <w:rsid w:val="00D71F74"/>
    <w:rsid w:val="00D72A23"/>
    <w:rsid w:val="00D73519"/>
    <w:rsid w:val="00D7359A"/>
    <w:rsid w:val="00D73E83"/>
    <w:rsid w:val="00D74CC6"/>
    <w:rsid w:val="00D751DE"/>
    <w:rsid w:val="00D75549"/>
    <w:rsid w:val="00D77010"/>
    <w:rsid w:val="00D80A3E"/>
    <w:rsid w:val="00D81440"/>
    <w:rsid w:val="00D82146"/>
    <w:rsid w:val="00D825BC"/>
    <w:rsid w:val="00D8383A"/>
    <w:rsid w:val="00D84061"/>
    <w:rsid w:val="00D84B3D"/>
    <w:rsid w:val="00D8591B"/>
    <w:rsid w:val="00D85C83"/>
    <w:rsid w:val="00D86143"/>
    <w:rsid w:val="00D872C4"/>
    <w:rsid w:val="00D907A0"/>
    <w:rsid w:val="00D914E6"/>
    <w:rsid w:val="00D91550"/>
    <w:rsid w:val="00D9181D"/>
    <w:rsid w:val="00D92151"/>
    <w:rsid w:val="00D92315"/>
    <w:rsid w:val="00D92EF0"/>
    <w:rsid w:val="00D95D18"/>
    <w:rsid w:val="00D971D2"/>
    <w:rsid w:val="00DA0131"/>
    <w:rsid w:val="00DA0323"/>
    <w:rsid w:val="00DA1E16"/>
    <w:rsid w:val="00DA2084"/>
    <w:rsid w:val="00DA233D"/>
    <w:rsid w:val="00DA32CC"/>
    <w:rsid w:val="00DA3FF9"/>
    <w:rsid w:val="00DA479D"/>
    <w:rsid w:val="00DA4E06"/>
    <w:rsid w:val="00DA7038"/>
    <w:rsid w:val="00DA7FB5"/>
    <w:rsid w:val="00DB1300"/>
    <w:rsid w:val="00DB13BD"/>
    <w:rsid w:val="00DB1971"/>
    <w:rsid w:val="00DB2FE3"/>
    <w:rsid w:val="00DB33E3"/>
    <w:rsid w:val="00DB386D"/>
    <w:rsid w:val="00DB49BC"/>
    <w:rsid w:val="00DB5081"/>
    <w:rsid w:val="00DB6E6C"/>
    <w:rsid w:val="00DC2C2E"/>
    <w:rsid w:val="00DC2DF7"/>
    <w:rsid w:val="00DC451E"/>
    <w:rsid w:val="00DC513B"/>
    <w:rsid w:val="00DC5FA1"/>
    <w:rsid w:val="00DC6BE6"/>
    <w:rsid w:val="00DC7C98"/>
    <w:rsid w:val="00DD0BF8"/>
    <w:rsid w:val="00DD0CE4"/>
    <w:rsid w:val="00DD10FC"/>
    <w:rsid w:val="00DD17C3"/>
    <w:rsid w:val="00DD1FA5"/>
    <w:rsid w:val="00DD2003"/>
    <w:rsid w:val="00DD2299"/>
    <w:rsid w:val="00DD28E6"/>
    <w:rsid w:val="00DD3EF4"/>
    <w:rsid w:val="00DD476D"/>
    <w:rsid w:val="00DD4892"/>
    <w:rsid w:val="00DD4EB6"/>
    <w:rsid w:val="00DD5AC2"/>
    <w:rsid w:val="00DD5B4E"/>
    <w:rsid w:val="00DD6125"/>
    <w:rsid w:val="00DE0E17"/>
    <w:rsid w:val="00DE2540"/>
    <w:rsid w:val="00DE352D"/>
    <w:rsid w:val="00DE3721"/>
    <w:rsid w:val="00DE4045"/>
    <w:rsid w:val="00DE46BF"/>
    <w:rsid w:val="00DE4E9F"/>
    <w:rsid w:val="00DE56B4"/>
    <w:rsid w:val="00DE5741"/>
    <w:rsid w:val="00DE5B02"/>
    <w:rsid w:val="00DE5D87"/>
    <w:rsid w:val="00DE6381"/>
    <w:rsid w:val="00DE6675"/>
    <w:rsid w:val="00DE6725"/>
    <w:rsid w:val="00DE762E"/>
    <w:rsid w:val="00DE7786"/>
    <w:rsid w:val="00DE7C27"/>
    <w:rsid w:val="00DF0583"/>
    <w:rsid w:val="00DF0C27"/>
    <w:rsid w:val="00DF0FEF"/>
    <w:rsid w:val="00DF23B4"/>
    <w:rsid w:val="00DF2742"/>
    <w:rsid w:val="00DF3A33"/>
    <w:rsid w:val="00DF40E7"/>
    <w:rsid w:val="00DF448C"/>
    <w:rsid w:val="00DF45BC"/>
    <w:rsid w:val="00DF4A8E"/>
    <w:rsid w:val="00DF4F11"/>
    <w:rsid w:val="00DF4F57"/>
    <w:rsid w:val="00DF55F8"/>
    <w:rsid w:val="00DF6C9E"/>
    <w:rsid w:val="00DF7450"/>
    <w:rsid w:val="00DF79C6"/>
    <w:rsid w:val="00DF7EE1"/>
    <w:rsid w:val="00E00915"/>
    <w:rsid w:val="00E050A9"/>
    <w:rsid w:val="00E05795"/>
    <w:rsid w:val="00E061D8"/>
    <w:rsid w:val="00E06B8C"/>
    <w:rsid w:val="00E06CEE"/>
    <w:rsid w:val="00E06F3D"/>
    <w:rsid w:val="00E07EE4"/>
    <w:rsid w:val="00E1169D"/>
    <w:rsid w:val="00E11E96"/>
    <w:rsid w:val="00E124B1"/>
    <w:rsid w:val="00E12FD5"/>
    <w:rsid w:val="00E14245"/>
    <w:rsid w:val="00E14297"/>
    <w:rsid w:val="00E16BBB"/>
    <w:rsid w:val="00E20B16"/>
    <w:rsid w:val="00E21DCF"/>
    <w:rsid w:val="00E21F02"/>
    <w:rsid w:val="00E22703"/>
    <w:rsid w:val="00E22756"/>
    <w:rsid w:val="00E22F49"/>
    <w:rsid w:val="00E23CFB"/>
    <w:rsid w:val="00E23FC2"/>
    <w:rsid w:val="00E24228"/>
    <w:rsid w:val="00E24DCC"/>
    <w:rsid w:val="00E25CCC"/>
    <w:rsid w:val="00E27B5F"/>
    <w:rsid w:val="00E3244A"/>
    <w:rsid w:val="00E32988"/>
    <w:rsid w:val="00E33211"/>
    <w:rsid w:val="00E341FA"/>
    <w:rsid w:val="00E3444E"/>
    <w:rsid w:val="00E3532A"/>
    <w:rsid w:val="00E36A29"/>
    <w:rsid w:val="00E36F30"/>
    <w:rsid w:val="00E3786D"/>
    <w:rsid w:val="00E402CE"/>
    <w:rsid w:val="00E406CD"/>
    <w:rsid w:val="00E40B19"/>
    <w:rsid w:val="00E4146C"/>
    <w:rsid w:val="00E41611"/>
    <w:rsid w:val="00E41E98"/>
    <w:rsid w:val="00E426E9"/>
    <w:rsid w:val="00E441FF"/>
    <w:rsid w:val="00E445D8"/>
    <w:rsid w:val="00E45B42"/>
    <w:rsid w:val="00E45E7B"/>
    <w:rsid w:val="00E46343"/>
    <w:rsid w:val="00E463AA"/>
    <w:rsid w:val="00E46427"/>
    <w:rsid w:val="00E467E5"/>
    <w:rsid w:val="00E46ACA"/>
    <w:rsid w:val="00E46F58"/>
    <w:rsid w:val="00E501D0"/>
    <w:rsid w:val="00E5063C"/>
    <w:rsid w:val="00E5192D"/>
    <w:rsid w:val="00E526F5"/>
    <w:rsid w:val="00E52A0C"/>
    <w:rsid w:val="00E52FD1"/>
    <w:rsid w:val="00E53CED"/>
    <w:rsid w:val="00E544F2"/>
    <w:rsid w:val="00E5471C"/>
    <w:rsid w:val="00E5528B"/>
    <w:rsid w:val="00E5593B"/>
    <w:rsid w:val="00E60A6F"/>
    <w:rsid w:val="00E619F4"/>
    <w:rsid w:val="00E619F6"/>
    <w:rsid w:val="00E61DB4"/>
    <w:rsid w:val="00E61F8B"/>
    <w:rsid w:val="00E629EC"/>
    <w:rsid w:val="00E63429"/>
    <w:rsid w:val="00E63F24"/>
    <w:rsid w:val="00E6531B"/>
    <w:rsid w:val="00E65DC0"/>
    <w:rsid w:val="00E6655C"/>
    <w:rsid w:val="00E66B84"/>
    <w:rsid w:val="00E66D18"/>
    <w:rsid w:val="00E67B53"/>
    <w:rsid w:val="00E67C5F"/>
    <w:rsid w:val="00E70A61"/>
    <w:rsid w:val="00E70C56"/>
    <w:rsid w:val="00E71C1C"/>
    <w:rsid w:val="00E72FA3"/>
    <w:rsid w:val="00E7590B"/>
    <w:rsid w:val="00E77251"/>
    <w:rsid w:val="00E773C3"/>
    <w:rsid w:val="00E776F0"/>
    <w:rsid w:val="00E77867"/>
    <w:rsid w:val="00E77A84"/>
    <w:rsid w:val="00E817EE"/>
    <w:rsid w:val="00E818A4"/>
    <w:rsid w:val="00E818B6"/>
    <w:rsid w:val="00E82247"/>
    <w:rsid w:val="00E82490"/>
    <w:rsid w:val="00E826EE"/>
    <w:rsid w:val="00E829B3"/>
    <w:rsid w:val="00E82D83"/>
    <w:rsid w:val="00E83487"/>
    <w:rsid w:val="00E8537E"/>
    <w:rsid w:val="00E8705B"/>
    <w:rsid w:val="00E90A8E"/>
    <w:rsid w:val="00E90B9C"/>
    <w:rsid w:val="00E90FC9"/>
    <w:rsid w:val="00E9187B"/>
    <w:rsid w:val="00E91B86"/>
    <w:rsid w:val="00E91EAA"/>
    <w:rsid w:val="00E92ABD"/>
    <w:rsid w:val="00E92C8E"/>
    <w:rsid w:val="00E92DE9"/>
    <w:rsid w:val="00E92FD0"/>
    <w:rsid w:val="00E94124"/>
    <w:rsid w:val="00E94338"/>
    <w:rsid w:val="00E947AB"/>
    <w:rsid w:val="00E94BA8"/>
    <w:rsid w:val="00E968BA"/>
    <w:rsid w:val="00E97438"/>
    <w:rsid w:val="00EA070C"/>
    <w:rsid w:val="00EA07C2"/>
    <w:rsid w:val="00EA20DF"/>
    <w:rsid w:val="00EA2976"/>
    <w:rsid w:val="00EA2E1D"/>
    <w:rsid w:val="00EA2E9E"/>
    <w:rsid w:val="00EA4A25"/>
    <w:rsid w:val="00EA57DC"/>
    <w:rsid w:val="00EA6920"/>
    <w:rsid w:val="00EA6938"/>
    <w:rsid w:val="00EA6C76"/>
    <w:rsid w:val="00EA76B3"/>
    <w:rsid w:val="00EA78CD"/>
    <w:rsid w:val="00EA78E3"/>
    <w:rsid w:val="00EA7CFC"/>
    <w:rsid w:val="00EB045D"/>
    <w:rsid w:val="00EB1C43"/>
    <w:rsid w:val="00EB403F"/>
    <w:rsid w:val="00EB41C4"/>
    <w:rsid w:val="00EB4721"/>
    <w:rsid w:val="00EB4AE5"/>
    <w:rsid w:val="00EB4C47"/>
    <w:rsid w:val="00EB55C1"/>
    <w:rsid w:val="00EB55EF"/>
    <w:rsid w:val="00EB6590"/>
    <w:rsid w:val="00EB6988"/>
    <w:rsid w:val="00EB6E0B"/>
    <w:rsid w:val="00EB7202"/>
    <w:rsid w:val="00EB7E30"/>
    <w:rsid w:val="00EB7EE9"/>
    <w:rsid w:val="00EC06BA"/>
    <w:rsid w:val="00EC1909"/>
    <w:rsid w:val="00EC19C3"/>
    <w:rsid w:val="00EC2835"/>
    <w:rsid w:val="00EC4455"/>
    <w:rsid w:val="00EC4C63"/>
    <w:rsid w:val="00EC531E"/>
    <w:rsid w:val="00EC569C"/>
    <w:rsid w:val="00EC7119"/>
    <w:rsid w:val="00EC7BE1"/>
    <w:rsid w:val="00EC7C22"/>
    <w:rsid w:val="00ED1828"/>
    <w:rsid w:val="00ED23F0"/>
    <w:rsid w:val="00ED2444"/>
    <w:rsid w:val="00ED27A2"/>
    <w:rsid w:val="00ED32F1"/>
    <w:rsid w:val="00ED4EEA"/>
    <w:rsid w:val="00ED6403"/>
    <w:rsid w:val="00ED7049"/>
    <w:rsid w:val="00ED78FF"/>
    <w:rsid w:val="00EE0866"/>
    <w:rsid w:val="00EE0F49"/>
    <w:rsid w:val="00EE1729"/>
    <w:rsid w:val="00EE2FDE"/>
    <w:rsid w:val="00EE639F"/>
    <w:rsid w:val="00EE752C"/>
    <w:rsid w:val="00EE75E0"/>
    <w:rsid w:val="00EE7F03"/>
    <w:rsid w:val="00EF0865"/>
    <w:rsid w:val="00EF0C56"/>
    <w:rsid w:val="00EF0DEE"/>
    <w:rsid w:val="00EF13C0"/>
    <w:rsid w:val="00EF166C"/>
    <w:rsid w:val="00EF2A10"/>
    <w:rsid w:val="00EF4E76"/>
    <w:rsid w:val="00EF5F9A"/>
    <w:rsid w:val="00EF601D"/>
    <w:rsid w:val="00F0007F"/>
    <w:rsid w:val="00F00D62"/>
    <w:rsid w:val="00F01D30"/>
    <w:rsid w:val="00F02144"/>
    <w:rsid w:val="00F0305C"/>
    <w:rsid w:val="00F04388"/>
    <w:rsid w:val="00F07323"/>
    <w:rsid w:val="00F10621"/>
    <w:rsid w:val="00F10CD3"/>
    <w:rsid w:val="00F10D93"/>
    <w:rsid w:val="00F11A5B"/>
    <w:rsid w:val="00F12747"/>
    <w:rsid w:val="00F12A25"/>
    <w:rsid w:val="00F12E23"/>
    <w:rsid w:val="00F12E7D"/>
    <w:rsid w:val="00F133E6"/>
    <w:rsid w:val="00F13E82"/>
    <w:rsid w:val="00F142D9"/>
    <w:rsid w:val="00F14ECA"/>
    <w:rsid w:val="00F150B2"/>
    <w:rsid w:val="00F152ED"/>
    <w:rsid w:val="00F162BC"/>
    <w:rsid w:val="00F16722"/>
    <w:rsid w:val="00F1692D"/>
    <w:rsid w:val="00F16B2C"/>
    <w:rsid w:val="00F16BD3"/>
    <w:rsid w:val="00F1708E"/>
    <w:rsid w:val="00F17831"/>
    <w:rsid w:val="00F20325"/>
    <w:rsid w:val="00F20435"/>
    <w:rsid w:val="00F2053D"/>
    <w:rsid w:val="00F220BD"/>
    <w:rsid w:val="00F2262D"/>
    <w:rsid w:val="00F23018"/>
    <w:rsid w:val="00F23229"/>
    <w:rsid w:val="00F23B5F"/>
    <w:rsid w:val="00F23C18"/>
    <w:rsid w:val="00F23FEF"/>
    <w:rsid w:val="00F24E01"/>
    <w:rsid w:val="00F25084"/>
    <w:rsid w:val="00F275F1"/>
    <w:rsid w:val="00F277FF"/>
    <w:rsid w:val="00F30A69"/>
    <w:rsid w:val="00F30A75"/>
    <w:rsid w:val="00F313EB"/>
    <w:rsid w:val="00F33096"/>
    <w:rsid w:val="00F33548"/>
    <w:rsid w:val="00F3514C"/>
    <w:rsid w:val="00F353CA"/>
    <w:rsid w:val="00F35EA1"/>
    <w:rsid w:val="00F36183"/>
    <w:rsid w:val="00F36BBD"/>
    <w:rsid w:val="00F37452"/>
    <w:rsid w:val="00F375E3"/>
    <w:rsid w:val="00F37A2D"/>
    <w:rsid w:val="00F40D25"/>
    <w:rsid w:val="00F4181D"/>
    <w:rsid w:val="00F41D79"/>
    <w:rsid w:val="00F42338"/>
    <w:rsid w:val="00F42876"/>
    <w:rsid w:val="00F44689"/>
    <w:rsid w:val="00F45F28"/>
    <w:rsid w:val="00F47475"/>
    <w:rsid w:val="00F47991"/>
    <w:rsid w:val="00F50C78"/>
    <w:rsid w:val="00F516E9"/>
    <w:rsid w:val="00F52763"/>
    <w:rsid w:val="00F52C48"/>
    <w:rsid w:val="00F52F52"/>
    <w:rsid w:val="00F53785"/>
    <w:rsid w:val="00F5394E"/>
    <w:rsid w:val="00F557E3"/>
    <w:rsid w:val="00F5660C"/>
    <w:rsid w:val="00F56E70"/>
    <w:rsid w:val="00F57EE7"/>
    <w:rsid w:val="00F605EE"/>
    <w:rsid w:val="00F61F4B"/>
    <w:rsid w:val="00F63836"/>
    <w:rsid w:val="00F64399"/>
    <w:rsid w:val="00F64FAD"/>
    <w:rsid w:val="00F65346"/>
    <w:rsid w:val="00F66894"/>
    <w:rsid w:val="00F66C93"/>
    <w:rsid w:val="00F67AB9"/>
    <w:rsid w:val="00F710BC"/>
    <w:rsid w:val="00F7182C"/>
    <w:rsid w:val="00F72218"/>
    <w:rsid w:val="00F729D0"/>
    <w:rsid w:val="00F72B43"/>
    <w:rsid w:val="00F75303"/>
    <w:rsid w:val="00F763DE"/>
    <w:rsid w:val="00F76819"/>
    <w:rsid w:val="00F77F53"/>
    <w:rsid w:val="00F80759"/>
    <w:rsid w:val="00F80D57"/>
    <w:rsid w:val="00F814F0"/>
    <w:rsid w:val="00F81C84"/>
    <w:rsid w:val="00F82DAB"/>
    <w:rsid w:val="00F830D4"/>
    <w:rsid w:val="00F83979"/>
    <w:rsid w:val="00F84685"/>
    <w:rsid w:val="00F85F91"/>
    <w:rsid w:val="00F86092"/>
    <w:rsid w:val="00F8669D"/>
    <w:rsid w:val="00F8686D"/>
    <w:rsid w:val="00F86945"/>
    <w:rsid w:val="00F86BF3"/>
    <w:rsid w:val="00F900CD"/>
    <w:rsid w:val="00F9081A"/>
    <w:rsid w:val="00F90A94"/>
    <w:rsid w:val="00F90A9D"/>
    <w:rsid w:val="00F90C06"/>
    <w:rsid w:val="00F916A9"/>
    <w:rsid w:val="00F92CBB"/>
    <w:rsid w:val="00F942EB"/>
    <w:rsid w:val="00F9451F"/>
    <w:rsid w:val="00F947FE"/>
    <w:rsid w:val="00F949CF"/>
    <w:rsid w:val="00F94AAA"/>
    <w:rsid w:val="00F94DF1"/>
    <w:rsid w:val="00F95827"/>
    <w:rsid w:val="00F96005"/>
    <w:rsid w:val="00F96A8A"/>
    <w:rsid w:val="00FA0E84"/>
    <w:rsid w:val="00FA16D0"/>
    <w:rsid w:val="00FA1864"/>
    <w:rsid w:val="00FA474F"/>
    <w:rsid w:val="00FA494D"/>
    <w:rsid w:val="00FA4ED1"/>
    <w:rsid w:val="00FA5A47"/>
    <w:rsid w:val="00FA5B52"/>
    <w:rsid w:val="00FA73C3"/>
    <w:rsid w:val="00FA7A69"/>
    <w:rsid w:val="00FB2B16"/>
    <w:rsid w:val="00FB7417"/>
    <w:rsid w:val="00FB7861"/>
    <w:rsid w:val="00FB7BB4"/>
    <w:rsid w:val="00FB7FCA"/>
    <w:rsid w:val="00FC05D5"/>
    <w:rsid w:val="00FC0E49"/>
    <w:rsid w:val="00FC2405"/>
    <w:rsid w:val="00FC2FBF"/>
    <w:rsid w:val="00FC3482"/>
    <w:rsid w:val="00FC3D60"/>
    <w:rsid w:val="00FC53BD"/>
    <w:rsid w:val="00FC5898"/>
    <w:rsid w:val="00FC6300"/>
    <w:rsid w:val="00FC6BB9"/>
    <w:rsid w:val="00FC7DF8"/>
    <w:rsid w:val="00FD02F5"/>
    <w:rsid w:val="00FD25D2"/>
    <w:rsid w:val="00FD342D"/>
    <w:rsid w:val="00FD4C02"/>
    <w:rsid w:val="00FD6492"/>
    <w:rsid w:val="00FD6573"/>
    <w:rsid w:val="00FD66A0"/>
    <w:rsid w:val="00FD6EF7"/>
    <w:rsid w:val="00FD73DD"/>
    <w:rsid w:val="00FD746E"/>
    <w:rsid w:val="00FD795C"/>
    <w:rsid w:val="00FD7AA6"/>
    <w:rsid w:val="00FE07DE"/>
    <w:rsid w:val="00FE1916"/>
    <w:rsid w:val="00FE1C67"/>
    <w:rsid w:val="00FE1CDD"/>
    <w:rsid w:val="00FE21C0"/>
    <w:rsid w:val="00FE2447"/>
    <w:rsid w:val="00FE287F"/>
    <w:rsid w:val="00FE35A0"/>
    <w:rsid w:val="00FE475F"/>
    <w:rsid w:val="00FE48EC"/>
    <w:rsid w:val="00FE4B25"/>
    <w:rsid w:val="00FE6504"/>
    <w:rsid w:val="00FE6E90"/>
    <w:rsid w:val="00FE6EFF"/>
    <w:rsid w:val="00FE7348"/>
    <w:rsid w:val="00FF00C2"/>
    <w:rsid w:val="00FF16F0"/>
    <w:rsid w:val="00FF2625"/>
    <w:rsid w:val="00FF2C8D"/>
    <w:rsid w:val="00FF319C"/>
    <w:rsid w:val="00FF4D92"/>
    <w:rsid w:val="00FF4F5F"/>
    <w:rsid w:val="00FF54EC"/>
    <w:rsid w:val="00FF580D"/>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442F0C"/>
    <w:pPr>
      <w:keepLines/>
      <w:numPr>
        <w:numId w:val="8"/>
      </w:numPr>
      <w:autoSpaceDE/>
      <w:autoSpaceDN/>
      <w:spacing w:after="240"/>
      <w:jc w:val="both"/>
      <w:outlineLvl w:val="0"/>
    </w:pPr>
    <w:rPr>
      <w:b/>
      <w:bCs/>
      <w:caps/>
      <w:szCs w:val="32"/>
      <w:u w:val="single"/>
    </w:rPr>
  </w:style>
  <w:style w:type="paragraph" w:styleId="Heading2">
    <w:name w:val="heading 2"/>
    <w:basedOn w:val="Normal"/>
    <w:next w:val="BodyText2"/>
    <w:link w:val="Heading2Char"/>
    <w:semiHidden/>
    <w:unhideWhenUsed/>
    <w:qFormat/>
    <w:rsid w:val="00442F0C"/>
    <w:pPr>
      <w:keepLines/>
      <w:numPr>
        <w:ilvl w:val="1"/>
        <w:numId w:val="8"/>
      </w:numPr>
      <w:autoSpaceDE/>
      <w:autoSpaceDN/>
      <w:spacing w:after="240"/>
      <w:jc w:val="both"/>
      <w:outlineLvl w:val="1"/>
    </w:pPr>
    <w:rPr>
      <w:b/>
      <w:bCs/>
      <w:iCs/>
      <w:caps/>
      <w:szCs w:val="28"/>
    </w:rPr>
  </w:style>
  <w:style w:type="paragraph" w:styleId="Heading3">
    <w:name w:val="heading 3"/>
    <w:basedOn w:val="Normal"/>
    <w:next w:val="BodyText2"/>
    <w:link w:val="Heading3Char"/>
    <w:uiPriority w:val="9"/>
    <w:unhideWhenUsed/>
    <w:qFormat/>
    <w:rsid w:val="00442F0C"/>
    <w:pPr>
      <w:numPr>
        <w:ilvl w:val="2"/>
        <w:numId w:val="8"/>
      </w:numPr>
      <w:autoSpaceDE/>
      <w:autoSpaceDN/>
      <w:spacing w:after="240"/>
      <w:jc w:val="both"/>
      <w:outlineLvl w:val="2"/>
    </w:pPr>
    <w:rPr>
      <w:b/>
      <w:bCs/>
      <w:szCs w:val="26"/>
    </w:rPr>
  </w:style>
  <w:style w:type="paragraph" w:styleId="Heading4">
    <w:name w:val="heading 4"/>
    <w:basedOn w:val="Normal"/>
    <w:next w:val="BodyText2"/>
    <w:link w:val="Heading4Char"/>
    <w:semiHidden/>
    <w:unhideWhenUsed/>
    <w:qFormat/>
    <w:rsid w:val="00442F0C"/>
    <w:pPr>
      <w:numPr>
        <w:ilvl w:val="3"/>
        <w:numId w:val="8"/>
      </w:numPr>
      <w:autoSpaceDE/>
      <w:autoSpaceDN/>
      <w:spacing w:after="240"/>
      <w:jc w:val="both"/>
      <w:outlineLvl w:val="3"/>
    </w:pPr>
    <w:rPr>
      <w:b/>
      <w:bCs/>
      <w:szCs w:val="28"/>
    </w:rPr>
  </w:style>
  <w:style w:type="paragraph" w:styleId="Heading5">
    <w:name w:val="heading 5"/>
    <w:basedOn w:val="Normal"/>
    <w:next w:val="BodyText2"/>
    <w:link w:val="Heading5Char"/>
    <w:uiPriority w:val="9"/>
    <w:unhideWhenUsed/>
    <w:qFormat/>
    <w:rsid w:val="00442F0C"/>
    <w:pPr>
      <w:numPr>
        <w:ilvl w:val="4"/>
        <w:numId w:val="8"/>
      </w:numPr>
      <w:autoSpaceDE/>
      <w:autoSpaceDN/>
      <w:spacing w:after="240"/>
      <w:jc w:val="both"/>
      <w:outlineLvl w:val="4"/>
    </w:pPr>
    <w:rPr>
      <w:b/>
      <w:bCs/>
      <w:iCs/>
      <w:szCs w:val="26"/>
    </w:rPr>
  </w:style>
  <w:style w:type="paragraph" w:styleId="Heading6">
    <w:name w:val="heading 6"/>
    <w:basedOn w:val="Normal"/>
    <w:next w:val="BodyText2"/>
    <w:link w:val="Heading6Char"/>
    <w:uiPriority w:val="9"/>
    <w:semiHidden/>
    <w:unhideWhenUsed/>
    <w:qFormat/>
    <w:rsid w:val="00442F0C"/>
    <w:pPr>
      <w:numPr>
        <w:ilvl w:val="5"/>
        <w:numId w:val="8"/>
      </w:numPr>
      <w:autoSpaceDE/>
      <w:autoSpaceDN/>
      <w:spacing w:after="240"/>
      <w:outlineLvl w:val="5"/>
    </w:pPr>
    <w:rPr>
      <w:b/>
      <w:bCs/>
      <w:szCs w:val="22"/>
    </w:rPr>
  </w:style>
  <w:style w:type="paragraph" w:styleId="Heading7">
    <w:name w:val="heading 7"/>
    <w:basedOn w:val="Normal"/>
    <w:next w:val="BodyText2"/>
    <w:link w:val="Heading7Char"/>
    <w:uiPriority w:val="9"/>
    <w:semiHidden/>
    <w:unhideWhenUsed/>
    <w:qFormat/>
    <w:rsid w:val="00442F0C"/>
    <w:pPr>
      <w:numPr>
        <w:ilvl w:val="6"/>
        <w:numId w:val="8"/>
      </w:numPr>
      <w:autoSpaceDE/>
      <w:autoSpaceDN/>
      <w:spacing w:after="240"/>
      <w:outlineLvl w:val="6"/>
    </w:pPr>
    <w:rPr>
      <w:b/>
    </w:rPr>
  </w:style>
  <w:style w:type="paragraph" w:styleId="Heading8">
    <w:name w:val="heading 8"/>
    <w:basedOn w:val="Normal"/>
    <w:next w:val="BodyText2"/>
    <w:link w:val="Heading8Char"/>
    <w:uiPriority w:val="9"/>
    <w:semiHidden/>
    <w:unhideWhenUsed/>
    <w:qFormat/>
    <w:rsid w:val="00442F0C"/>
    <w:pPr>
      <w:numPr>
        <w:ilvl w:val="7"/>
        <w:numId w:val="8"/>
      </w:numPr>
      <w:autoSpaceDE/>
      <w:autoSpaceDN/>
      <w:spacing w:after="240"/>
      <w:jc w:val="both"/>
      <w:outlineLvl w:val="7"/>
    </w:pPr>
    <w:rPr>
      <w:b/>
      <w:iCs/>
    </w:rPr>
  </w:style>
  <w:style w:type="paragraph" w:styleId="Heading9">
    <w:name w:val="heading 9"/>
    <w:basedOn w:val="Normal"/>
    <w:next w:val="BodyText2"/>
    <w:link w:val="Heading9Char"/>
    <w:uiPriority w:val="9"/>
    <w:semiHidden/>
    <w:unhideWhenUsed/>
    <w:qFormat/>
    <w:rsid w:val="00442F0C"/>
    <w:pPr>
      <w:numPr>
        <w:ilvl w:val="8"/>
        <w:numId w:val="8"/>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7231C5"/>
    <w:pPr>
      <w:keepLines/>
      <w:tabs>
        <w:tab w:val="right" w:leader="dot" w:pos="9288"/>
      </w:tabs>
      <w:autoSpaceDE/>
      <w:autoSpaceDN/>
      <w:ind w:left="720" w:right="720" w:hanging="720"/>
    </w:pPr>
    <w:rPr>
      <w:b/>
      <w:caps/>
      <w:noProof/>
      <w:szCs w:val="20"/>
    </w:rPr>
  </w:style>
  <w:style w:type="paragraph" w:styleId="TOC2">
    <w:name w:val="toc 2"/>
    <w:basedOn w:val="Normal"/>
    <w:next w:val="Normal"/>
    <w:autoRedefine/>
    <w:uiPriority w:val="39"/>
    <w:rsid w:val="008E6311"/>
    <w:pPr>
      <w:keepLines/>
      <w:tabs>
        <w:tab w:val="left" w:pos="1440"/>
        <w:tab w:val="right" w:leader="dot" w:pos="9288"/>
      </w:tabs>
      <w:autoSpaceDE/>
      <w:autoSpaceDN/>
      <w:ind w:left="1440" w:right="720" w:hanging="720"/>
    </w:pPr>
    <w:rPr>
      <w:szCs w:val="20"/>
    </w:rPr>
  </w:style>
  <w:style w:type="paragraph" w:styleId="TOC3">
    <w:name w:val="toc 3"/>
    <w:basedOn w:val="Normal"/>
    <w:next w:val="Normal"/>
    <w:autoRedefine/>
    <w:uiPriority w:val="39"/>
    <w:rsid w:val="007231C5"/>
    <w:pPr>
      <w:keepLines/>
      <w:tabs>
        <w:tab w:val="left" w:pos="2160"/>
        <w:tab w:val="right" w:leader="dot" w:pos="9288"/>
      </w:tabs>
      <w:autoSpaceDE/>
      <w:autoSpaceDN/>
      <w:ind w:left="2160" w:right="720" w:hanging="720"/>
    </w:pPr>
    <w:rPr>
      <w:szCs w:val="20"/>
    </w:rPr>
  </w:style>
  <w:style w:type="paragraph" w:styleId="TOC4">
    <w:name w:val="toc 4"/>
    <w:basedOn w:val="Normal"/>
    <w:next w:val="Normal"/>
    <w:autoRedefine/>
    <w:uiPriority w:val="39"/>
    <w:rsid w:val="006C6975"/>
    <w:pPr>
      <w:keepLines/>
      <w:tabs>
        <w:tab w:val="right" w:leader="dot" w:pos="9288"/>
      </w:tabs>
      <w:autoSpaceDE/>
      <w:autoSpaceDN/>
      <w:spacing w:after="120"/>
      <w:ind w:left="2880" w:right="720" w:hanging="720"/>
    </w:pPr>
    <w:rPr>
      <w:szCs w:val="20"/>
    </w:rPr>
  </w:style>
  <w:style w:type="paragraph" w:styleId="TOC5">
    <w:name w:val="toc 5"/>
    <w:basedOn w:val="Normal"/>
    <w:next w:val="Normal"/>
    <w:autoRedefine/>
    <w:rsid w:val="006C6975"/>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nhideWhenUsed/>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6"/>
      </w:numPr>
      <w:autoSpaceDE/>
      <w:autoSpaceDN/>
      <w:spacing w:after="60"/>
      <w:ind w:left="374" w:hanging="374"/>
    </w:pPr>
    <w:rPr>
      <w:sz w:val="20"/>
      <w:szCs w:val="22"/>
    </w:rPr>
  </w:style>
  <w:style w:type="character" w:customStyle="1" w:styleId="Heading1Char">
    <w:name w:val="Heading 1 Char"/>
    <w:basedOn w:val="DefaultParagraphFont"/>
    <w:link w:val="Heading1"/>
    <w:rsid w:val="00442F0C"/>
    <w:rPr>
      <w:b/>
      <w:bCs/>
      <w:caps/>
      <w:sz w:val="24"/>
      <w:szCs w:val="32"/>
      <w:u w:val="single"/>
    </w:rPr>
  </w:style>
  <w:style w:type="character" w:customStyle="1" w:styleId="Heading2Char">
    <w:name w:val="Heading 2 Char"/>
    <w:basedOn w:val="DefaultParagraphFont"/>
    <w:link w:val="Heading2"/>
    <w:semiHidden/>
    <w:rsid w:val="00442F0C"/>
    <w:rPr>
      <w:b/>
      <w:bCs/>
      <w:iCs/>
      <w:caps/>
      <w:sz w:val="24"/>
      <w:szCs w:val="28"/>
    </w:rPr>
  </w:style>
  <w:style w:type="character" w:customStyle="1" w:styleId="Heading3Char">
    <w:name w:val="Heading 3 Char"/>
    <w:basedOn w:val="DefaultParagraphFont"/>
    <w:link w:val="Heading3"/>
    <w:uiPriority w:val="9"/>
    <w:rsid w:val="00442F0C"/>
    <w:rPr>
      <w:b/>
      <w:bCs/>
      <w:sz w:val="24"/>
      <w:szCs w:val="26"/>
    </w:rPr>
  </w:style>
  <w:style w:type="character" w:customStyle="1" w:styleId="Heading4Char">
    <w:name w:val="Heading 4 Char"/>
    <w:basedOn w:val="DefaultParagraphFont"/>
    <w:link w:val="Heading4"/>
    <w:semiHidden/>
    <w:rsid w:val="00442F0C"/>
    <w:rPr>
      <w:b/>
      <w:bCs/>
      <w:sz w:val="24"/>
      <w:szCs w:val="28"/>
    </w:rPr>
  </w:style>
  <w:style w:type="character" w:customStyle="1" w:styleId="Heading5Char">
    <w:name w:val="Heading 5 Char"/>
    <w:basedOn w:val="DefaultParagraphFont"/>
    <w:link w:val="Heading5"/>
    <w:uiPriority w:val="9"/>
    <w:rsid w:val="00442F0C"/>
    <w:rPr>
      <w:b/>
      <w:bCs/>
      <w:iCs/>
      <w:sz w:val="24"/>
      <w:szCs w:val="26"/>
    </w:rPr>
  </w:style>
  <w:style w:type="character" w:customStyle="1" w:styleId="Heading6Char">
    <w:name w:val="Heading 6 Char"/>
    <w:basedOn w:val="DefaultParagraphFont"/>
    <w:link w:val="Heading6"/>
    <w:uiPriority w:val="9"/>
    <w:semiHidden/>
    <w:rsid w:val="00442F0C"/>
    <w:rPr>
      <w:b/>
      <w:bCs/>
      <w:sz w:val="24"/>
      <w:szCs w:val="22"/>
    </w:rPr>
  </w:style>
  <w:style w:type="character" w:customStyle="1" w:styleId="Heading7Char">
    <w:name w:val="Heading 7 Char"/>
    <w:basedOn w:val="DefaultParagraphFont"/>
    <w:link w:val="Heading7"/>
    <w:uiPriority w:val="9"/>
    <w:semiHidden/>
    <w:rsid w:val="00442F0C"/>
    <w:rPr>
      <w:b/>
      <w:sz w:val="24"/>
      <w:szCs w:val="24"/>
    </w:rPr>
  </w:style>
  <w:style w:type="character" w:customStyle="1" w:styleId="Heading8Char">
    <w:name w:val="Heading 8 Char"/>
    <w:basedOn w:val="DefaultParagraphFont"/>
    <w:link w:val="Heading8"/>
    <w:uiPriority w:val="9"/>
    <w:semiHidden/>
    <w:rsid w:val="00442F0C"/>
    <w:rPr>
      <w:b/>
      <w:iCs/>
      <w:sz w:val="24"/>
      <w:szCs w:val="24"/>
    </w:rPr>
  </w:style>
  <w:style w:type="character" w:customStyle="1" w:styleId="Heading9Char">
    <w:name w:val="Heading 9 Char"/>
    <w:basedOn w:val="DefaultParagraphFont"/>
    <w:link w:val="Heading9"/>
    <w:uiPriority w:val="9"/>
    <w:semiHidden/>
    <w:rsid w:val="00442F0C"/>
    <w:rPr>
      <w:b/>
      <w:sz w:val="24"/>
      <w:szCs w:val="22"/>
    </w:rPr>
  </w:style>
  <w:style w:type="table" w:styleId="TableGrid5">
    <w:name w:val="Table Grid 5"/>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9"/>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9A564A"/>
    <w:rPr>
      <w:sz w:val="24"/>
      <w:szCs w:val="24"/>
    </w:rPr>
  </w:style>
  <w:style w:type="paragraph" w:customStyle="1" w:styleId="Normal1">
    <w:name w:val="Normal1"/>
    <w:basedOn w:val="Normal"/>
    <w:link w:val="NormalChar"/>
    <w:qFormat/>
    <w:rsid w:val="009A564A"/>
    <w:pPr>
      <w:autoSpaceDE/>
      <w:autoSpaceDN/>
      <w:spacing w:line="480" w:lineRule="auto"/>
      <w:ind w:firstLine="720"/>
    </w:p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442F0C"/>
    <w:pPr>
      <w:keepLines/>
      <w:numPr>
        <w:numId w:val="8"/>
      </w:numPr>
      <w:autoSpaceDE/>
      <w:autoSpaceDN/>
      <w:spacing w:after="240"/>
      <w:jc w:val="both"/>
      <w:outlineLvl w:val="0"/>
    </w:pPr>
    <w:rPr>
      <w:b/>
      <w:bCs/>
      <w:caps/>
      <w:szCs w:val="32"/>
      <w:u w:val="single"/>
    </w:rPr>
  </w:style>
  <w:style w:type="paragraph" w:styleId="Heading2">
    <w:name w:val="heading 2"/>
    <w:basedOn w:val="Normal"/>
    <w:next w:val="BodyText2"/>
    <w:link w:val="Heading2Char"/>
    <w:semiHidden/>
    <w:unhideWhenUsed/>
    <w:qFormat/>
    <w:rsid w:val="00442F0C"/>
    <w:pPr>
      <w:keepLines/>
      <w:numPr>
        <w:ilvl w:val="1"/>
        <w:numId w:val="8"/>
      </w:numPr>
      <w:autoSpaceDE/>
      <w:autoSpaceDN/>
      <w:spacing w:after="240"/>
      <w:jc w:val="both"/>
      <w:outlineLvl w:val="1"/>
    </w:pPr>
    <w:rPr>
      <w:b/>
      <w:bCs/>
      <w:iCs/>
      <w:caps/>
      <w:szCs w:val="28"/>
    </w:rPr>
  </w:style>
  <w:style w:type="paragraph" w:styleId="Heading3">
    <w:name w:val="heading 3"/>
    <w:basedOn w:val="Normal"/>
    <w:next w:val="BodyText2"/>
    <w:link w:val="Heading3Char"/>
    <w:uiPriority w:val="9"/>
    <w:unhideWhenUsed/>
    <w:qFormat/>
    <w:rsid w:val="00442F0C"/>
    <w:pPr>
      <w:numPr>
        <w:ilvl w:val="2"/>
        <w:numId w:val="8"/>
      </w:numPr>
      <w:autoSpaceDE/>
      <w:autoSpaceDN/>
      <w:spacing w:after="240"/>
      <w:jc w:val="both"/>
      <w:outlineLvl w:val="2"/>
    </w:pPr>
    <w:rPr>
      <w:b/>
      <w:bCs/>
      <w:szCs w:val="26"/>
    </w:rPr>
  </w:style>
  <w:style w:type="paragraph" w:styleId="Heading4">
    <w:name w:val="heading 4"/>
    <w:basedOn w:val="Normal"/>
    <w:next w:val="BodyText2"/>
    <w:link w:val="Heading4Char"/>
    <w:semiHidden/>
    <w:unhideWhenUsed/>
    <w:qFormat/>
    <w:rsid w:val="00442F0C"/>
    <w:pPr>
      <w:numPr>
        <w:ilvl w:val="3"/>
        <w:numId w:val="8"/>
      </w:numPr>
      <w:autoSpaceDE/>
      <w:autoSpaceDN/>
      <w:spacing w:after="240"/>
      <w:jc w:val="both"/>
      <w:outlineLvl w:val="3"/>
    </w:pPr>
    <w:rPr>
      <w:b/>
      <w:bCs/>
      <w:szCs w:val="28"/>
    </w:rPr>
  </w:style>
  <w:style w:type="paragraph" w:styleId="Heading5">
    <w:name w:val="heading 5"/>
    <w:basedOn w:val="Normal"/>
    <w:next w:val="BodyText2"/>
    <w:link w:val="Heading5Char"/>
    <w:uiPriority w:val="9"/>
    <w:unhideWhenUsed/>
    <w:qFormat/>
    <w:rsid w:val="00442F0C"/>
    <w:pPr>
      <w:numPr>
        <w:ilvl w:val="4"/>
        <w:numId w:val="8"/>
      </w:numPr>
      <w:autoSpaceDE/>
      <w:autoSpaceDN/>
      <w:spacing w:after="240"/>
      <w:jc w:val="both"/>
      <w:outlineLvl w:val="4"/>
    </w:pPr>
    <w:rPr>
      <w:b/>
      <w:bCs/>
      <w:iCs/>
      <w:szCs w:val="26"/>
    </w:rPr>
  </w:style>
  <w:style w:type="paragraph" w:styleId="Heading6">
    <w:name w:val="heading 6"/>
    <w:basedOn w:val="Normal"/>
    <w:next w:val="BodyText2"/>
    <w:link w:val="Heading6Char"/>
    <w:uiPriority w:val="9"/>
    <w:semiHidden/>
    <w:unhideWhenUsed/>
    <w:qFormat/>
    <w:rsid w:val="00442F0C"/>
    <w:pPr>
      <w:numPr>
        <w:ilvl w:val="5"/>
        <w:numId w:val="8"/>
      </w:numPr>
      <w:autoSpaceDE/>
      <w:autoSpaceDN/>
      <w:spacing w:after="240"/>
      <w:outlineLvl w:val="5"/>
    </w:pPr>
    <w:rPr>
      <w:b/>
      <w:bCs/>
      <w:szCs w:val="22"/>
    </w:rPr>
  </w:style>
  <w:style w:type="paragraph" w:styleId="Heading7">
    <w:name w:val="heading 7"/>
    <w:basedOn w:val="Normal"/>
    <w:next w:val="BodyText2"/>
    <w:link w:val="Heading7Char"/>
    <w:uiPriority w:val="9"/>
    <w:semiHidden/>
    <w:unhideWhenUsed/>
    <w:qFormat/>
    <w:rsid w:val="00442F0C"/>
    <w:pPr>
      <w:numPr>
        <w:ilvl w:val="6"/>
        <w:numId w:val="8"/>
      </w:numPr>
      <w:autoSpaceDE/>
      <w:autoSpaceDN/>
      <w:spacing w:after="240"/>
      <w:outlineLvl w:val="6"/>
    </w:pPr>
    <w:rPr>
      <w:b/>
    </w:rPr>
  </w:style>
  <w:style w:type="paragraph" w:styleId="Heading8">
    <w:name w:val="heading 8"/>
    <w:basedOn w:val="Normal"/>
    <w:next w:val="BodyText2"/>
    <w:link w:val="Heading8Char"/>
    <w:uiPriority w:val="9"/>
    <w:semiHidden/>
    <w:unhideWhenUsed/>
    <w:qFormat/>
    <w:rsid w:val="00442F0C"/>
    <w:pPr>
      <w:numPr>
        <w:ilvl w:val="7"/>
        <w:numId w:val="8"/>
      </w:numPr>
      <w:autoSpaceDE/>
      <w:autoSpaceDN/>
      <w:spacing w:after="240"/>
      <w:jc w:val="both"/>
      <w:outlineLvl w:val="7"/>
    </w:pPr>
    <w:rPr>
      <w:b/>
      <w:iCs/>
    </w:rPr>
  </w:style>
  <w:style w:type="paragraph" w:styleId="Heading9">
    <w:name w:val="heading 9"/>
    <w:basedOn w:val="Normal"/>
    <w:next w:val="BodyText2"/>
    <w:link w:val="Heading9Char"/>
    <w:uiPriority w:val="9"/>
    <w:semiHidden/>
    <w:unhideWhenUsed/>
    <w:qFormat/>
    <w:rsid w:val="00442F0C"/>
    <w:pPr>
      <w:numPr>
        <w:ilvl w:val="8"/>
        <w:numId w:val="8"/>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7231C5"/>
    <w:pPr>
      <w:keepLines/>
      <w:tabs>
        <w:tab w:val="right" w:leader="dot" w:pos="9288"/>
      </w:tabs>
      <w:autoSpaceDE/>
      <w:autoSpaceDN/>
      <w:ind w:left="720" w:right="720" w:hanging="720"/>
    </w:pPr>
    <w:rPr>
      <w:b/>
      <w:caps/>
      <w:noProof/>
      <w:szCs w:val="20"/>
    </w:rPr>
  </w:style>
  <w:style w:type="paragraph" w:styleId="TOC2">
    <w:name w:val="toc 2"/>
    <w:basedOn w:val="Normal"/>
    <w:next w:val="Normal"/>
    <w:autoRedefine/>
    <w:uiPriority w:val="39"/>
    <w:rsid w:val="008E6311"/>
    <w:pPr>
      <w:keepLines/>
      <w:tabs>
        <w:tab w:val="left" w:pos="1440"/>
        <w:tab w:val="right" w:leader="dot" w:pos="9288"/>
      </w:tabs>
      <w:autoSpaceDE/>
      <w:autoSpaceDN/>
      <w:ind w:left="1440" w:right="720" w:hanging="720"/>
    </w:pPr>
    <w:rPr>
      <w:szCs w:val="20"/>
    </w:rPr>
  </w:style>
  <w:style w:type="paragraph" w:styleId="TOC3">
    <w:name w:val="toc 3"/>
    <w:basedOn w:val="Normal"/>
    <w:next w:val="Normal"/>
    <w:autoRedefine/>
    <w:uiPriority w:val="39"/>
    <w:rsid w:val="007231C5"/>
    <w:pPr>
      <w:keepLines/>
      <w:tabs>
        <w:tab w:val="left" w:pos="2160"/>
        <w:tab w:val="right" w:leader="dot" w:pos="9288"/>
      </w:tabs>
      <w:autoSpaceDE/>
      <w:autoSpaceDN/>
      <w:ind w:left="2160" w:right="720" w:hanging="720"/>
    </w:pPr>
    <w:rPr>
      <w:szCs w:val="20"/>
    </w:rPr>
  </w:style>
  <w:style w:type="paragraph" w:styleId="TOC4">
    <w:name w:val="toc 4"/>
    <w:basedOn w:val="Normal"/>
    <w:next w:val="Normal"/>
    <w:autoRedefine/>
    <w:uiPriority w:val="39"/>
    <w:rsid w:val="006C6975"/>
    <w:pPr>
      <w:keepLines/>
      <w:tabs>
        <w:tab w:val="right" w:leader="dot" w:pos="9288"/>
      </w:tabs>
      <w:autoSpaceDE/>
      <w:autoSpaceDN/>
      <w:spacing w:after="120"/>
      <w:ind w:left="2880" w:right="720" w:hanging="720"/>
    </w:pPr>
    <w:rPr>
      <w:szCs w:val="20"/>
    </w:rPr>
  </w:style>
  <w:style w:type="paragraph" w:styleId="TOC5">
    <w:name w:val="toc 5"/>
    <w:basedOn w:val="Normal"/>
    <w:next w:val="Normal"/>
    <w:autoRedefine/>
    <w:rsid w:val="006C6975"/>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nhideWhenUsed/>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6"/>
      </w:numPr>
      <w:autoSpaceDE/>
      <w:autoSpaceDN/>
      <w:spacing w:after="60"/>
      <w:ind w:left="374" w:hanging="374"/>
    </w:pPr>
    <w:rPr>
      <w:sz w:val="20"/>
      <w:szCs w:val="22"/>
    </w:rPr>
  </w:style>
  <w:style w:type="character" w:customStyle="1" w:styleId="Heading1Char">
    <w:name w:val="Heading 1 Char"/>
    <w:basedOn w:val="DefaultParagraphFont"/>
    <w:link w:val="Heading1"/>
    <w:rsid w:val="00442F0C"/>
    <w:rPr>
      <w:b/>
      <w:bCs/>
      <w:caps/>
      <w:sz w:val="24"/>
      <w:szCs w:val="32"/>
      <w:u w:val="single"/>
    </w:rPr>
  </w:style>
  <w:style w:type="character" w:customStyle="1" w:styleId="Heading2Char">
    <w:name w:val="Heading 2 Char"/>
    <w:basedOn w:val="DefaultParagraphFont"/>
    <w:link w:val="Heading2"/>
    <w:semiHidden/>
    <w:rsid w:val="00442F0C"/>
    <w:rPr>
      <w:b/>
      <w:bCs/>
      <w:iCs/>
      <w:caps/>
      <w:sz w:val="24"/>
      <w:szCs w:val="28"/>
    </w:rPr>
  </w:style>
  <w:style w:type="character" w:customStyle="1" w:styleId="Heading3Char">
    <w:name w:val="Heading 3 Char"/>
    <w:basedOn w:val="DefaultParagraphFont"/>
    <w:link w:val="Heading3"/>
    <w:uiPriority w:val="9"/>
    <w:rsid w:val="00442F0C"/>
    <w:rPr>
      <w:b/>
      <w:bCs/>
      <w:sz w:val="24"/>
      <w:szCs w:val="26"/>
    </w:rPr>
  </w:style>
  <w:style w:type="character" w:customStyle="1" w:styleId="Heading4Char">
    <w:name w:val="Heading 4 Char"/>
    <w:basedOn w:val="DefaultParagraphFont"/>
    <w:link w:val="Heading4"/>
    <w:semiHidden/>
    <w:rsid w:val="00442F0C"/>
    <w:rPr>
      <w:b/>
      <w:bCs/>
      <w:sz w:val="24"/>
      <w:szCs w:val="28"/>
    </w:rPr>
  </w:style>
  <w:style w:type="character" w:customStyle="1" w:styleId="Heading5Char">
    <w:name w:val="Heading 5 Char"/>
    <w:basedOn w:val="DefaultParagraphFont"/>
    <w:link w:val="Heading5"/>
    <w:uiPriority w:val="9"/>
    <w:rsid w:val="00442F0C"/>
    <w:rPr>
      <w:b/>
      <w:bCs/>
      <w:iCs/>
      <w:sz w:val="24"/>
      <w:szCs w:val="26"/>
    </w:rPr>
  </w:style>
  <w:style w:type="character" w:customStyle="1" w:styleId="Heading6Char">
    <w:name w:val="Heading 6 Char"/>
    <w:basedOn w:val="DefaultParagraphFont"/>
    <w:link w:val="Heading6"/>
    <w:uiPriority w:val="9"/>
    <w:semiHidden/>
    <w:rsid w:val="00442F0C"/>
    <w:rPr>
      <w:b/>
      <w:bCs/>
      <w:sz w:val="24"/>
      <w:szCs w:val="22"/>
    </w:rPr>
  </w:style>
  <w:style w:type="character" w:customStyle="1" w:styleId="Heading7Char">
    <w:name w:val="Heading 7 Char"/>
    <w:basedOn w:val="DefaultParagraphFont"/>
    <w:link w:val="Heading7"/>
    <w:uiPriority w:val="9"/>
    <w:semiHidden/>
    <w:rsid w:val="00442F0C"/>
    <w:rPr>
      <w:b/>
      <w:sz w:val="24"/>
      <w:szCs w:val="24"/>
    </w:rPr>
  </w:style>
  <w:style w:type="character" w:customStyle="1" w:styleId="Heading8Char">
    <w:name w:val="Heading 8 Char"/>
    <w:basedOn w:val="DefaultParagraphFont"/>
    <w:link w:val="Heading8"/>
    <w:uiPriority w:val="9"/>
    <w:semiHidden/>
    <w:rsid w:val="00442F0C"/>
    <w:rPr>
      <w:b/>
      <w:iCs/>
      <w:sz w:val="24"/>
      <w:szCs w:val="24"/>
    </w:rPr>
  </w:style>
  <w:style w:type="character" w:customStyle="1" w:styleId="Heading9Char">
    <w:name w:val="Heading 9 Char"/>
    <w:basedOn w:val="DefaultParagraphFont"/>
    <w:link w:val="Heading9"/>
    <w:uiPriority w:val="9"/>
    <w:semiHidden/>
    <w:rsid w:val="00442F0C"/>
    <w:rPr>
      <w:b/>
      <w:sz w:val="24"/>
      <w:szCs w:val="22"/>
    </w:rPr>
  </w:style>
  <w:style w:type="table" w:styleId="TableGrid5">
    <w:name w:val="Table Grid 5"/>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9"/>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9A564A"/>
    <w:rPr>
      <w:sz w:val="24"/>
      <w:szCs w:val="24"/>
    </w:rPr>
  </w:style>
  <w:style w:type="paragraph" w:customStyle="1" w:styleId="Normal1">
    <w:name w:val="Normal1"/>
    <w:basedOn w:val="Normal"/>
    <w:link w:val="NormalChar"/>
    <w:qFormat/>
    <w:rsid w:val="009A564A"/>
    <w:pPr>
      <w:autoSpaceDE/>
      <w:autoSpaceDN/>
      <w:spacing w:line="480" w:lineRule="auto"/>
      <w:ind w:firstLine="720"/>
    </w:p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14">
      <w:bodyDiv w:val="1"/>
      <w:marLeft w:val="0"/>
      <w:marRight w:val="0"/>
      <w:marTop w:val="0"/>
      <w:marBottom w:val="0"/>
      <w:divBdr>
        <w:top w:val="none" w:sz="0" w:space="0" w:color="auto"/>
        <w:left w:val="none" w:sz="0" w:space="0" w:color="auto"/>
        <w:bottom w:val="none" w:sz="0" w:space="0" w:color="auto"/>
        <w:right w:val="none" w:sz="0" w:space="0" w:color="auto"/>
      </w:divBdr>
    </w:div>
    <w:div w:id="4019432">
      <w:bodyDiv w:val="1"/>
      <w:marLeft w:val="0"/>
      <w:marRight w:val="0"/>
      <w:marTop w:val="0"/>
      <w:marBottom w:val="0"/>
      <w:divBdr>
        <w:top w:val="none" w:sz="0" w:space="0" w:color="auto"/>
        <w:left w:val="none" w:sz="0" w:space="0" w:color="auto"/>
        <w:bottom w:val="none" w:sz="0" w:space="0" w:color="auto"/>
        <w:right w:val="none" w:sz="0" w:space="0" w:color="auto"/>
      </w:divBdr>
    </w:div>
    <w:div w:id="18941223">
      <w:bodyDiv w:val="1"/>
      <w:marLeft w:val="0"/>
      <w:marRight w:val="0"/>
      <w:marTop w:val="0"/>
      <w:marBottom w:val="0"/>
      <w:divBdr>
        <w:top w:val="none" w:sz="0" w:space="0" w:color="auto"/>
        <w:left w:val="none" w:sz="0" w:space="0" w:color="auto"/>
        <w:bottom w:val="none" w:sz="0" w:space="0" w:color="auto"/>
        <w:right w:val="none" w:sz="0" w:space="0" w:color="auto"/>
      </w:divBdr>
    </w:div>
    <w:div w:id="32462679">
      <w:bodyDiv w:val="1"/>
      <w:marLeft w:val="0"/>
      <w:marRight w:val="0"/>
      <w:marTop w:val="0"/>
      <w:marBottom w:val="0"/>
      <w:divBdr>
        <w:top w:val="none" w:sz="0" w:space="0" w:color="auto"/>
        <w:left w:val="none" w:sz="0" w:space="0" w:color="auto"/>
        <w:bottom w:val="none" w:sz="0" w:space="0" w:color="auto"/>
        <w:right w:val="none" w:sz="0" w:space="0" w:color="auto"/>
      </w:divBdr>
    </w:div>
    <w:div w:id="36274082">
      <w:bodyDiv w:val="1"/>
      <w:marLeft w:val="0"/>
      <w:marRight w:val="0"/>
      <w:marTop w:val="0"/>
      <w:marBottom w:val="0"/>
      <w:divBdr>
        <w:top w:val="none" w:sz="0" w:space="0" w:color="auto"/>
        <w:left w:val="none" w:sz="0" w:space="0" w:color="auto"/>
        <w:bottom w:val="none" w:sz="0" w:space="0" w:color="auto"/>
        <w:right w:val="none" w:sz="0" w:space="0" w:color="auto"/>
      </w:divBdr>
    </w:div>
    <w:div w:id="38553348">
      <w:bodyDiv w:val="1"/>
      <w:marLeft w:val="0"/>
      <w:marRight w:val="0"/>
      <w:marTop w:val="0"/>
      <w:marBottom w:val="0"/>
      <w:divBdr>
        <w:top w:val="none" w:sz="0" w:space="0" w:color="auto"/>
        <w:left w:val="none" w:sz="0" w:space="0" w:color="auto"/>
        <w:bottom w:val="none" w:sz="0" w:space="0" w:color="auto"/>
        <w:right w:val="none" w:sz="0" w:space="0" w:color="auto"/>
      </w:divBdr>
    </w:div>
    <w:div w:id="53551236">
      <w:bodyDiv w:val="1"/>
      <w:marLeft w:val="0"/>
      <w:marRight w:val="0"/>
      <w:marTop w:val="0"/>
      <w:marBottom w:val="0"/>
      <w:divBdr>
        <w:top w:val="none" w:sz="0" w:space="0" w:color="auto"/>
        <w:left w:val="none" w:sz="0" w:space="0" w:color="auto"/>
        <w:bottom w:val="none" w:sz="0" w:space="0" w:color="auto"/>
        <w:right w:val="none" w:sz="0" w:space="0" w:color="auto"/>
      </w:divBdr>
    </w:div>
    <w:div w:id="101844638">
      <w:bodyDiv w:val="1"/>
      <w:marLeft w:val="0"/>
      <w:marRight w:val="0"/>
      <w:marTop w:val="0"/>
      <w:marBottom w:val="0"/>
      <w:divBdr>
        <w:top w:val="none" w:sz="0" w:space="0" w:color="auto"/>
        <w:left w:val="none" w:sz="0" w:space="0" w:color="auto"/>
        <w:bottom w:val="none" w:sz="0" w:space="0" w:color="auto"/>
        <w:right w:val="none" w:sz="0" w:space="0" w:color="auto"/>
      </w:divBdr>
    </w:div>
    <w:div w:id="104154846">
      <w:bodyDiv w:val="1"/>
      <w:marLeft w:val="0"/>
      <w:marRight w:val="0"/>
      <w:marTop w:val="0"/>
      <w:marBottom w:val="0"/>
      <w:divBdr>
        <w:top w:val="none" w:sz="0" w:space="0" w:color="auto"/>
        <w:left w:val="none" w:sz="0" w:space="0" w:color="auto"/>
        <w:bottom w:val="none" w:sz="0" w:space="0" w:color="auto"/>
        <w:right w:val="none" w:sz="0" w:space="0" w:color="auto"/>
      </w:divBdr>
    </w:div>
    <w:div w:id="107312951">
      <w:bodyDiv w:val="1"/>
      <w:marLeft w:val="0"/>
      <w:marRight w:val="0"/>
      <w:marTop w:val="0"/>
      <w:marBottom w:val="0"/>
      <w:divBdr>
        <w:top w:val="none" w:sz="0" w:space="0" w:color="auto"/>
        <w:left w:val="none" w:sz="0" w:space="0" w:color="auto"/>
        <w:bottom w:val="none" w:sz="0" w:space="0" w:color="auto"/>
        <w:right w:val="none" w:sz="0" w:space="0" w:color="auto"/>
      </w:divBdr>
    </w:div>
    <w:div w:id="127363914">
      <w:bodyDiv w:val="1"/>
      <w:marLeft w:val="0"/>
      <w:marRight w:val="0"/>
      <w:marTop w:val="0"/>
      <w:marBottom w:val="0"/>
      <w:divBdr>
        <w:top w:val="none" w:sz="0" w:space="0" w:color="auto"/>
        <w:left w:val="none" w:sz="0" w:space="0" w:color="auto"/>
        <w:bottom w:val="none" w:sz="0" w:space="0" w:color="auto"/>
        <w:right w:val="none" w:sz="0" w:space="0" w:color="auto"/>
      </w:divBdr>
    </w:div>
    <w:div w:id="127745273">
      <w:bodyDiv w:val="1"/>
      <w:marLeft w:val="0"/>
      <w:marRight w:val="0"/>
      <w:marTop w:val="0"/>
      <w:marBottom w:val="0"/>
      <w:divBdr>
        <w:top w:val="none" w:sz="0" w:space="0" w:color="auto"/>
        <w:left w:val="none" w:sz="0" w:space="0" w:color="auto"/>
        <w:bottom w:val="none" w:sz="0" w:space="0" w:color="auto"/>
        <w:right w:val="none" w:sz="0" w:space="0" w:color="auto"/>
      </w:divBdr>
    </w:div>
    <w:div w:id="131992659">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148056221">
      <w:bodyDiv w:val="1"/>
      <w:marLeft w:val="0"/>
      <w:marRight w:val="0"/>
      <w:marTop w:val="0"/>
      <w:marBottom w:val="0"/>
      <w:divBdr>
        <w:top w:val="none" w:sz="0" w:space="0" w:color="auto"/>
        <w:left w:val="none" w:sz="0" w:space="0" w:color="auto"/>
        <w:bottom w:val="none" w:sz="0" w:space="0" w:color="auto"/>
        <w:right w:val="none" w:sz="0" w:space="0" w:color="auto"/>
      </w:divBdr>
    </w:div>
    <w:div w:id="170603178">
      <w:bodyDiv w:val="1"/>
      <w:marLeft w:val="0"/>
      <w:marRight w:val="0"/>
      <w:marTop w:val="0"/>
      <w:marBottom w:val="0"/>
      <w:divBdr>
        <w:top w:val="none" w:sz="0" w:space="0" w:color="auto"/>
        <w:left w:val="none" w:sz="0" w:space="0" w:color="auto"/>
        <w:bottom w:val="none" w:sz="0" w:space="0" w:color="auto"/>
        <w:right w:val="none" w:sz="0" w:space="0" w:color="auto"/>
      </w:divBdr>
    </w:div>
    <w:div w:id="191577284">
      <w:bodyDiv w:val="1"/>
      <w:marLeft w:val="0"/>
      <w:marRight w:val="0"/>
      <w:marTop w:val="0"/>
      <w:marBottom w:val="0"/>
      <w:divBdr>
        <w:top w:val="none" w:sz="0" w:space="0" w:color="auto"/>
        <w:left w:val="none" w:sz="0" w:space="0" w:color="auto"/>
        <w:bottom w:val="none" w:sz="0" w:space="0" w:color="auto"/>
        <w:right w:val="none" w:sz="0" w:space="0" w:color="auto"/>
      </w:divBdr>
    </w:div>
    <w:div w:id="201095880">
      <w:bodyDiv w:val="1"/>
      <w:marLeft w:val="0"/>
      <w:marRight w:val="0"/>
      <w:marTop w:val="0"/>
      <w:marBottom w:val="0"/>
      <w:divBdr>
        <w:top w:val="none" w:sz="0" w:space="0" w:color="auto"/>
        <w:left w:val="none" w:sz="0" w:space="0" w:color="auto"/>
        <w:bottom w:val="none" w:sz="0" w:space="0" w:color="auto"/>
        <w:right w:val="none" w:sz="0" w:space="0" w:color="auto"/>
      </w:divBdr>
    </w:div>
    <w:div w:id="208228695">
      <w:bodyDiv w:val="1"/>
      <w:marLeft w:val="0"/>
      <w:marRight w:val="0"/>
      <w:marTop w:val="0"/>
      <w:marBottom w:val="0"/>
      <w:divBdr>
        <w:top w:val="none" w:sz="0" w:space="0" w:color="auto"/>
        <w:left w:val="none" w:sz="0" w:space="0" w:color="auto"/>
        <w:bottom w:val="none" w:sz="0" w:space="0" w:color="auto"/>
        <w:right w:val="none" w:sz="0" w:space="0" w:color="auto"/>
      </w:divBdr>
    </w:div>
    <w:div w:id="214588241">
      <w:bodyDiv w:val="1"/>
      <w:marLeft w:val="0"/>
      <w:marRight w:val="0"/>
      <w:marTop w:val="0"/>
      <w:marBottom w:val="0"/>
      <w:divBdr>
        <w:top w:val="none" w:sz="0" w:space="0" w:color="auto"/>
        <w:left w:val="none" w:sz="0" w:space="0" w:color="auto"/>
        <w:bottom w:val="none" w:sz="0" w:space="0" w:color="auto"/>
        <w:right w:val="none" w:sz="0" w:space="0" w:color="auto"/>
      </w:divBdr>
    </w:div>
    <w:div w:id="223102034">
      <w:bodyDiv w:val="1"/>
      <w:marLeft w:val="0"/>
      <w:marRight w:val="0"/>
      <w:marTop w:val="0"/>
      <w:marBottom w:val="0"/>
      <w:divBdr>
        <w:top w:val="none" w:sz="0" w:space="0" w:color="auto"/>
        <w:left w:val="none" w:sz="0" w:space="0" w:color="auto"/>
        <w:bottom w:val="none" w:sz="0" w:space="0" w:color="auto"/>
        <w:right w:val="none" w:sz="0" w:space="0" w:color="auto"/>
      </w:divBdr>
    </w:div>
    <w:div w:id="231736797">
      <w:bodyDiv w:val="1"/>
      <w:marLeft w:val="0"/>
      <w:marRight w:val="0"/>
      <w:marTop w:val="0"/>
      <w:marBottom w:val="0"/>
      <w:divBdr>
        <w:top w:val="none" w:sz="0" w:space="0" w:color="auto"/>
        <w:left w:val="none" w:sz="0" w:space="0" w:color="auto"/>
        <w:bottom w:val="none" w:sz="0" w:space="0" w:color="auto"/>
        <w:right w:val="none" w:sz="0" w:space="0" w:color="auto"/>
      </w:divBdr>
    </w:div>
    <w:div w:id="257760639">
      <w:bodyDiv w:val="1"/>
      <w:marLeft w:val="0"/>
      <w:marRight w:val="0"/>
      <w:marTop w:val="0"/>
      <w:marBottom w:val="0"/>
      <w:divBdr>
        <w:top w:val="none" w:sz="0" w:space="0" w:color="auto"/>
        <w:left w:val="none" w:sz="0" w:space="0" w:color="auto"/>
        <w:bottom w:val="none" w:sz="0" w:space="0" w:color="auto"/>
        <w:right w:val="none" w:sz="0" w:space="0" w:color="auto"/>
      </w:divBdr>
    </w:div>
    <w:div w:id="284045204">
      <w:bodyDiv w:val="1"/>
      <w:marLeft w:val="0"/>
      <w:marRight w:val="0"/>
      <w:marTop w:val="0"/>
      <w:marBottom w:val="0"/>
      <w:divBdr>
        <w:top w:val="none" w:sz="0" w:space="0" w:color="auto"/>
        <w:left w:val="none" w:sz="0" w:space="0" w:color="auto"/>
        <w:bottom w:val="none" w:sz="0" w:space="0" w:color="auto"/>
        <w:right w:val="none" w:sz="0" w:space="0" w:color="auto"/>
      </w:divBdr>
    </w:div>
    <w:div w:id="292055899">
      <w:bodyDiv w:val="1"/>
      <w:marLeft w:val="0"/>
      <w:marRight w:val="0"/>
      <w:marTop w:val="0"/>
      <w:marBottom w:val="0"/>
      <w:divBdr>
        <w:top w:val="none" w:sz="0" w:space="0" w:color="auto"/>
        <w:left w:val="none" w:sz="0" w:space="0" w:color="auto"/>
        <w:bottom w:val="none" w:sz="0" w:space="0" w:color="auto"/>
        <w:right w:val="none" w:sz="0" w:space="0" w:color="auto"/>
      </w:divBdr>
    </w:div>
    <w:div w:id="301037476">
      <w:bodyDiv w:val="1"/>
      <w:marLeft w:val="0"/>
      <w:marRight w:val="0"/>
      <w:marTop w:val="0"/>
      <w:marBottom w:val="0"/>
      <w:divBdr>
        <w:top w:val="none" w:sz="0" w:space="0" w:color="auto"/>
        <w:left w:val="none" w:sz="0" w:space="0" w:color="auto"/>
        <w:bottom w:val="none" w:sz="0" w:space="0" w:color="auto"/>
        <w:right w:val="none" w:sz="0" w:space="0" w:color="auto"/>
      </w:divBdr>
    </w:div>
    <w:div w:id="343362218">
      <w:bodyDiv w:val="1"/>
      <w:marLeft w:val="0"/>
      <w:marRight w:val="0"/>
      <w:marTop w:val="0"/>
      <w:marBottom w:val="0"/>
      <w:divBdr>
        <w:top w:val="none" w:sz="0" w:space="0" w:color="auto"/>
        <w:left w:val="none" w:sz="0" w:space="0" w:color="auto"/>
        <w:bottom w:val="none" w:sz="0" w:space="0" w:color="auto"/>
        <w:right w:val="none" w:sz="0" w:space="0" w:color="auto"/>
      </w:divBdr>
    </w:div>
    <w:div w:id="350953938">
      <w:bodyDiv w:val="1"/>
      <w:marLeft w:val="0"/>
      <w:marRight w:val="0"/>
      <w:marTop w:val="0"/>
      <w:marBottom w:val="0"/>
      <w:divBdr>
        <w:top w:val="none" w:sz="0" w:space="0" w:color="auto"/>
        <w:left w:val="none" w:sz="0" w:space="0" w:color="auto"/>
        <w:bottom w:val="none" w:sz="0" w:space="0" w:color="auto"/>
        <w:right w:val="none" w:sz="0" w:space="0" w:color="auto"/>
      </w:divBdr>
    </w:div>
    <w:div w:id="370228246">
      <w:bodyDiv w:val="1"/>
      <w:marLeft w:val="0"/>
      <w:marRight w:val="0"/>
      <w:marTop w:val="0"/>
      <w:marBottom w:val="0"/>
      <w:divBdr>
        <w:top w:val="none" w:sz="0" w:space="0" w:color="auto"/>
        <w:left w:val="none" w:sz="0" w:space="0" w:color="auto"/>
        <w:bottom w:val="none" w:sz="0" w:space="0" w:color="auto"/>
        <w:right w:val="none" w:sz="0" w:space="0" w:color="auto"/>
      </w:divBdr>
    </w:div>
    <w:div w:id="392579528">
      <w:bodyDiv w:val="1"/>
      <w:marLeft w:val="0"/>
      <w:marRight w:val="0"/>
      <w:marTop w:val="0"/>
      <w:marBottom w:val="0"/>
      <w:divBdr>
        <w:top w:val="none" w:sz="0" w:space="0" w:color="auto"/>
        <w:left w:val="none" w:sz="0" w:space="0" w:color="auto"/>
        <w:bottom w:val="none" w:sz="0" w:space="0" w:color="auto"/>
        <w:right w:val="none" w:sz="0" w:space="0" w:color="auto"/>
      </w:divBdr>
    </w:div>
    <w:div w:id="405882162">
      <w:bodyDiv w:val="1"/>
      <w:marLeft w:val="0"/>
      <w:marRight w:val="0"/>
      <w:marTop w:val="0"/>
      <w:marBottom w:val="0"/>
      <w:divBdr>
        <w:top w:val="none" w:sz="0" w:space="0" w:color="auto"/>
        <w:left w:val="none" w:sz="0" w:space="0" w:color="auto"/>
        <w:bottom w:val="none" w:sz="0" w:space="0" w:color="auto"/>
        <w:right w:val="none" w:sz="0" w:space="0" w:color="auto"/>
      </w:divBdr>
    </w:div>
    <w:div w:id="418261233">
      <w:bodyDiv w:val="1"/>
      <w:marLeft w:val="0"/>
      <w:marRight w:val="0"/>
      <w:marTop w:val="0"/>
      <w:marBottom w:val="0"/>
      <w:divBdr>
        <w:top w:val="none" w:sz="0" w:space="0" w:color="auto"/>
        <w:left w:val="none" w:sz="0" w:space="0" w:color="auto"/>
        <w:bottom w:val="none" w:sz="0" w:space="0" w:color="auto"/>
        <w:right w:val="none" w:sz="0" w:space="0" w:color="auto"/>
      </w:divBdr>
    </w:div>
    <w:div w:id="440420351">
      <w:bodyDiv w:val="1"/>
      <w:marLeft w:val="0"/>
      <w:marRight w:val="0"/>
      <w:marTop w:val="0"/>
      <w:marBottom w:val="0"/>
      <w:divBdr>
        <w:top w:val="none" w:sz="0" w:space="0" w:color="auto"/>
        <w:left w:val="none" w:sz="0" w:space="0" w:color="auto"/>
        <w:bottom w:val="none" w:sz="0" w:space="0" w:color="auto"/>
        <w:right w:val="none" w:sz="0" w:space="0" w:color="auto"/>
      </w:divBdr>
    </w:div>
    <w:div w:id="453407323">
      <w:bodyDiv w:val="1"/>
      <w:marLeft w:val="0"/>
      <w:marRight w:val="0"/>
      <w:marTop w:val="0"/>
      <w:marBottom w:val="0"/>
      <w:divBdr>
        <w:top w:val="none" w:sz="0" w:space="0" w:color="auto"/>
        <w:left w:val="none" w:sz="0" w:space="0" w:color="auto"/>
        <w:bottom w:val="none" w:sz="0" w:space="0" w:color="auto"/>
        <w:right w:val="none" w:sz="0" w:space="0" w:color="auto"/>
      </w:divBdr>
    </w:div>
    <w:div w:id="461504519">
      <w:bodyDiv w:val="1"/>
      <w:marLeft w:val="0"/>
      <w:marRight w:val="0"/>
      <w:marTop w:val="0"/>
      <w:marBottom w:val="0"/>
      <w:divBdr>
        <w:top w:val="none" w:sz="0" w:space="0" w:color="auto"/>
        <w:left w:val="none" w:sz="0" w:space="0" w:color="auto"/>
        <w:bottom w:val="none" w:sz="0" w:space="0" w:color="auto"/>
        <w:right w:val="none" w:sz="0" w:space="0" w:color="auto"/>
      </w:divBdr>
    </w:div>
    <w:div w:id="470287999">
      <w:bodyDiv w:val="1"/>
      <w:marLeft w:val="0"/>
      <w:marRight w:val="0"/>
      <w:marTop w:val="0"/>
      <w:marBottom w:val="0"/>
      <w:divBdr>
        <w:top w:val="none" w:sz="0" w:space="0" w:color="auto"/>
        <w:left w:val="none" w:sz="0" w:space="0" w:color="auto"/>
        <w:bottom w:val="none" w:sz="0" w:space="0" w:color="auto"/>
        <w:right w:val="none" w:sz="0" w:space="0" w:color="auto"/>
      </w:divBdr>
    </w:div>
    <w:div w:id="485779359">
      <w:bodyDiv w:val="1"/>
      <w:marLeft w:val="0"/>
      <w:marRight w:val="0"/>
      <w:marTop w:val="0"/>
      <w:marBottom w:val="0"/>
      <w:divBdr>
        <w:top w:val="none" w:sz="0" w:space="0" w:color="auto"/>
        <w:left w:val="none" w:sz="0" w:space="0" w:color="auto"/>
        <w:bottom w:val="none" w:sz="0" w:space="0" w:color="auto"/>
        <w:right w:val="none" w:sz="0" w:space="0" w:color="auto"/>
      </w:divBdr>
    </w:div>
    <w:div w:id="494226154">
      <w:bodyDiv w:val="1"/>
      <w:marLeft w:val="0"/>
      <w:marRight w:val="0"/>
      <w:marTop w:val="0"/>
      <w:marBottom w:val="0"/>
      <w:divBdr>
        <w:top w:val="none" w:sz="0" w:space="0" w:color="auto"/>
        <w:left w:val="none" w:sz="0" w:space="0" w:color="auto"/>
        <w:bottom w:val="none" w:sz="0" w:space="0" w:color="auto"/>
        <w:right w:val="none" w:sz="0" w:space="0" w:color="auto"/>
      </w:divBdr>
    </w:div>
    <w:div w:id="530993807">
      <w:bodyDiv w:val="1"/>
      <w:marLeft w:val="0"/>
      <w:marRight w:val="0"/>
      <w:marTop w:val="0"/>
      <w:marBottom w:val="0"/>
      <w:divBdr>
        <w:top w:val="none" w:sz="0" w:space="0" w:color="auto"/>
        <w:left w:val="none" w:sz="0" w:space="0" w:color="auto"/>
        <w:bottom w:val="none" w:sz="0" w:space="0" w:color="auto"/>
        <w:right w:val="none" w:sz="0" w:space="0" w:color="auto"/>
      </w:divBdr>
    </w:div>
    <w:div w:id="537594424">
      <w:bodyDiv w:val="1"/>
      <w:marLeft w:val="0"/>
      <w:marRight w:val="0"/>
      <w:marTop w:val="0"/>
      <w:marBottom w:val="0"/>
      <w:divBdr>
        <w:top w:val="none" w:sz="0" w:space="0" w:color="auto"/>
        <w:left w:val="none" w:sz="0" w:space="0" w:color="auto"/>
        <w:bottom w:val="none" w:sz="0" w:space="0" w:color="auto"/>
        <w:right w:val="none" w:sz="0" w:space="0" w:color="auto"/>
      </w:divBdr>
    </w:div>
    <w:div w:id="540898778">
      <w:bodyDiv w:val="1"/>
      <w:marLeft w:val="0"/>
      <w:marRight w:val="0"/>
      <w:marTop w:val="0"/>
      <w:marBottom w:val="0"/>
      <w:divBdr>
        <w:top w:val="none" w:sz="0" w:space="0" w:color="auto"/>
        <w:left w:val="none" w:sz="0" w:space="0" w:color="auto"/>
        <w:bottom w:val="none" w:sz="0" w:space="0" w:color="auto"/>
        <w:right w:val="none" w:sz="0" w:space="0" w:color="auto"/>
      </w:divBdr>
    </w:div>
    <w:div w:id="543837281">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577253110">
      <w:bodyDiv w:val="1"/>
      <w:marLeft w:val="0"/>
      <w:marRight w:val="0"/>
      <w:marTop w:val="0"/>
      <w:marBottom w:val="0"/>
      <w:divBdr>
        <w:top w:val="none" w:sz="0" w:space="0" w:color="auto"/>
        <w:left w:val="none" w:sz="0" w:space="0" w:color="auto"/>
        <w:bottom w:val="none" w:sz="0" w:space="0" w:color="auto"/>
        <w:right w:val="none" w:sz="0" w:space="0" w:color="auto"/>
      </w:divBdr>
    </w:div>
    <w:div w:id="590891503">
      <w:bodyDiv w:val="1"/>
      <w:marLeft w:val="0"/>
      <w:marRight w:val="0"/>
      <w:marTop w:val="0"/>
      <w:marBottom w:val="0"/>
      <w:divBdr>
        <w:top w:val="none" w:sz="0" w:space="0" w:color="auto"/>
        <w:left w:val="none" w:sz="0" w:space="0" w:color="auto"/>
        <w:bottom w:val="none" w:sz="0" w:space="0" w:color="auto"/>
        <w:right w:val="none" w:sz="0" w:space="0" w:color="auto"/>
      </w:divBdr>
    </w:div>
    <w:div w:id="605505235">
      <w:bodyDiv w:val="1"/>
      <w:marLeft w:val="0"/>
      <w:marRight w:val="0"/>
      <w:marTop w:val="0"/>
      <w:marBottom w:val="0"/>
      <w:divBdr>
        <w:top w:val="none" w:sz="0" w:space="0" w:color="auto"/>
        <w:left w:val="none" w:sz="0" w:space="0" w:color="auto"/>
        <w:bottom w:val="none" w:sz="0" w:space="0" w:color="auto"/>
        <w:right w:val="none" w:sz="0" w:space="0" w:color="auto"/>
      </w:divBdr>
    </w:div>
    <w:div w:id="616176042">
      <w:bodyDiv w:val="1"/>
      <w:marLeft w:val="0"/>
      <w:marRight w:val="0"/>
      <w:marTop w:val="0"/>
      <w:marBottom w:val="0"/>
      <w:divBdr>
        <w:top w:val="none" w:sz="0" w:space="0" w:color="auto"/>
        <w:left w:val="none" w:sz="0" w:space="0" w:color="auto"/>
        <w:bottom w:val="none" w:sz="0" w:space="0" w:color="auto"/>
        <w:right w:val="none" w:sz="0" w:space="0" w:color="auto"/>
      </w:divBdr>
    </w:div>
    <w:div w:id="633029415">
      <w:bodyDiv w:val="1"/>
      <w:marLeft w:val="0"/>
      <w:marRight w:val="0"/>
      <w:marTop w:val="0"/>
      <w:marBottom w:val="0"/>
      <w:divBdr>
        <w:top w:val="none" w:sz="0" w:space="0" w:color="auto"/>
        <w:left w:val="none" w:sz="0" w:space="0" w:color="auto"/>
        <w:bottom w:val="none" w:sz="0" w:space="0" w:color="auto"/>
        <w:right w:val="none" w:sz="0" w:space="0" w:color="auto"/>
      </w:divBdr>
    </w:div>
    <w:div w:id="663512217">
      <w:bodyDiv w:val="1"/>
      <w:marLeft w:val="0"/>
      <w:marRight w:val="0"/>
      <w:marTop w:val="0"/>
      <w:marBottom w:val="0"/>
      <w:divBdr>
        <w:top w:val="none" w:sz="0" w:space="0" w:color="auto"/>
        <w:left w:val="none" w:sz="0" w:space="0" w:color="auto"/>
        <w:bottom w:val="none" w:sz="0" w:space="0" w:color="auto"/>
        <w:right w:val="none" w:sz="0" w:space="0" w:color="auto"/>
      </w:divBdr>
    </w:div>
    <w:div w:id="673386770">
      <w:bodyDiv w:val="1"/>
      <w:marLeft w:val="0"/>
      <w:marRight w:val="0"/>
      <w:marTop w:val="0"/>
      <w:marBottom w:val="0"/>
      <w:divBdr>
        <w:top w:val="none" w:sz="0" w:space="0" w:color="auto"/>
        <w:left w:val="none" w:sz="0" w:space="0" w:color="auto"/>
        <w:bottom w:val="none" w:sz="0" w:space="0" w:color="auto"/>
        <w:right w:val="none" w:sz="0" w:space="0" w:color="auto"/>
      </w:divBdr>
    </w:div>
    <w:div w:id="675690209">
      <w:bodyDiv w:val="1"/>
      <w:marLeft w:val="0"/>
      <w:marRight w:val="0"/>
      <w:marTop w:val="0"/>
      <w:marBottom w:val="0"/>
      <w:divBdr>
        <w:top w:val="none" w:sz="0" w:space="0" w:color="auto"/>
        <w:left w:val="none" w:sz="0" w:space="0" w:color="auto"/>
        <w:bottom w:val="none" w:sz="0" w:space="0" w:color="auto"/>
        <w:right w:val="none" w:sz="0" w:space="0" w:color="auto"/>
      </w:divBdr>
    </w:div>
    <w:div w:id="682900246">
      <w:bodyDiv w:val="1"/>
      <w:marLeft w:val="0"/>
      <w:marRight w:val="0"/>
      <w:marTop w:val="0"/>
      <w:marBottom w:val="0"/>
      <w:divBdr>
        <w:top w:val="none" w:sz="0" w:space="0" w:color="auto"/>
        <w:left w:val="none" w:sz="0" w:space="0" w:color="auto"/>
        <w:bottom w:val="none" w:sz="0" w:space="0" w:color="auto"/>
        <w:right w:val="none" w:sz="0" w:space="0" w:color="auto"/>
      </w:divBdr>
    </w:div>
    <w:div w:id="711922302">
      <w:bodyDiv w:val="1"/>
      <w:marLeft w:val="0"/>
      <w:marRight w:val="0"/>
      <w:marTop w:val="0"/>
      <w:marBottom w:val="0"/>
      <w:divBdr>
        <w:top w:val="none" w:sz="0" w:space="0" w:color="auto"/>
        <w:left w:val="none" w:sz="0" w:space="0" w:color="auto"/>
        <w:bottom w:val="none" w:sz="0" w:space="0" w:color="auto"/>
        <w:right w:val="none" w:sz="0" w:space="0" w:color="auto"/>
      </w:divBdr>
    </w:div>
    <w:div w:id="721098609">
      <w:bodyDiv w:val="1"/>
      <w:marLeft w:val="0"/>
      <w:marRight w:val="0"/>
      <w:marTop w:val="0"/>
      <w:marBottom w:val="0"/>
      <w:divBdr>
        <w:top w:val="none" w:sz="0" w:space="0" w:color="auto"/>
        <w:left w:val="none" w:sz="0" w:space="0" w:color="auto"/>
        <w:bottom w:val="none" w:sz="0" w:space="0" w:color="auto"/>
        <w:right w:val="none" w:sz="0" w:space="0" w:color="auto"/>
      </w:divBdr>
    </w:div>
    <w:div w:id="735855094">
      <w:bodyDiv w:val="1"/>
      <w:marLeft w:val="0"/>
      <w:marRight w:val="0"/>
      <w:marTop w:val="0"/>
      <w:marBottom w:val="0"/>
      <w:divBdr>
        <w:top w:val="none" w:sz="0" w:space="0" w:color="auto"/>
        <w:left w:val="none" w:sz="0" w:space="0" w:color="auto"/>
        <w:bottom w:val="none" w:sz="0" w:space="0" w:color="auto"/>
        <w:right w:val="none" w:sz="0" w:space="0" w:color="auto"/>
      </w:divBdr>
    </w:div>
    <w:div w:id="736899687">
      <w:bodyDiv w:val="1"/>
      <w:marLeft w:val="0"/>
      <w:marRight w:val="0"/>
      <w:marTop w:val="0"/>
      <w:marBottom w:val="0"/>
      <w:divBdr>
        <w:top w:val="none" w:sz="0" w:space="0" w:color="auto"/>
        <w:left w:val="none" w:sz="0" w:space="0" w:color="auto"/>
        <w:bottom w:val="none" w:sz="0" w:space="0" w:color="auto"/>
        <w:right w:val="none" w:sz="0" w:space="0" w:color="auto"/>
      </w:divBdr>
    </w:div>
    <w:div w:id="747963198">
      <w:bodyDiv w:val="1"/>
      <w:marLeft w:val="0"/>
      <w:marRight w:val="0"/>
      <w:marTop w:val="0"/>
      <w:marBottom w:val="0"/>
      <w:divBdr>
        <w:top w:val="none" w:sz="0" w:space="0" w:color="auto"/>
        <w:left w:val="none" w:sz="0" w:space="0" w:color="auto"/>
        <w:bottom w:val="none" w:sz="0" w:space="0" w:color="auto"/>
        <w:right w:val="none" w:sz="0" w:space="0" w:color="auto"/>
      </w:divBdr>
    </w:div>
    <w:div w:id="768427838">
      <w:bodyDiv w:val="1"/>
      <w:marLeft w:val="0"/>
      <w:marRight w:val="0"/>
      <w:marTop w:val="0"/>
      <w:marBottom w:val="0"/>
      <w:divBdr>
        <w:top w:val="none" w:sz="0" w:space="0" w:color="auto"/>
        <w:left w:val="none" w:sz="0" w:space="0" w:color="auto"/>
        <w:bottom w:val="none" w:sz="0" w:space="0" w:color="auto"/>
        <w:right w:val="none" w:sz="0" w:space="0" w:color="auto"/>
      </w:divBdr>
    </w:div>
    <w:div w:id="768505036">
      <w:bodyDiv w:val="1"/>
      <w:marLeft w:val="0"/>
      <w:marRight w:val="0"/>
      <w:marTop w:val="0"/>
      <w:marBottom w:val="0"/>
      <w:divBdr>
        <w:top w:val="none" w:sz="0" w:space="0" w:color="auto"/>
        <w:left w:val="none" w:sz="0" w:space="0" w:color="auto"/>
        <w:bottom w:val="none" w:sz="0" w:space="0" w:color="auto"/>
        <w:right w:val="none" w:sz="0" w:space="0" w:color="auto"/>
      </w:divBdr>
    </w:div>
    <w:div w:id="792284015">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8570649">
      <w:bodyDiv w:val="1"/>
      <w:marLeft w:val="0"/>
      <w:marRight w:val="0"/>
      <w:marTop w:val="0"/>
      <w:marBottom w:val="0"/>
      <w:divBdr>
        <w:top w:val="none" w:sz="0" w:space="0" w:color="auto"/>
        <w:left w:val="none" w:sz="0" w:space="0" w:color="auto"/>
        <w:bottom w:val="none" w:sz="0" w:space="0" w:color="auto"/>
        <w:right w:val="none" w:sz="0" w:space="0" w:color="auto"/>
      </w:divBdr>
    </w:div>
    <w:div w:id="804658367">
      <w:bodyDiv w:val="1"/>
      <w:marLeft w:val="0"/>
      <w:marRight w:val="0"/>
      <w:marTop w:val="0"/>
      <w:marBottom w:val="0"/>
      <w:divBdr>
        <w:top w:val="none" w:sz="0" w:space="0" w:color="auto"/>
        <w:left w:val="none" w:sz="0" w:space="0" w:color="auto"/>
        <w:bottom w:val="none" w:sz="0" w:space="0" w:color="auto"/>
        <w:right w:val="none" w:sz="0" w:space="0" w:color="auto"/>
      </w:divBdr>
    </w:div>
    <w:div w:id="806359949">
      <w:bodyDiv w:val="1"/>
      <w:marLeft w:val="0"/>
      <w:marRight w:val="0"/>
      <w:marTop w:val="0"/>
      <w:marBottom w:val="0"/>
      <w:divBdr>
        <w:top w:val="none" w:sz="0" w:space="0" w:color="auto"/>
        <w:left w:val="none" w:sz="0" w:space="0" w:color="auto"/>
        <w:bottom w:val="none" w:sz="0" w:space="0" w:color="auto"/>
        <w:right w:val="none" w:sz="0" w:space="0" w:color="auto"/>
      </w:divBdr>
    </w:div>
    <w:div w:id="812140589">
      <w:bodyDiv w:val="1"/>
      <w:marLeft w:val="0"/>
      <w:marRight w:val="0"/>
      <w:marTop w:val="0"/>
      <w:marBottom w:val="0"/>
      <w:divBdr>
        <w:top w:val="none" w:sz="0" w:space="0" w:color="auto"/>
        <w:left w:val="none" w:sz="0" w:space="0" w:color="auto"/>
        <w:bottom w:val="none" w:sz="0" w:space="0" w:color="auto"/>
        <w:right w:val="none" w:sz="0" w:space="0" w:color="auto"/>
      </w:divBdr>
    </w:div>
    <w:div w:id="812911288">
      <w:bodyDiv w:val="1"/>
      <w:marLeft w:val="0"/>
      <w:marRight w:val="0"/>
      <w:marTop w:val="0"/>
      <w:marBottom w:val="0"/>
      <w:divBdr>
        <w:top w:val="none" w:sz="0" w:space="0" w:color="auto"/>
        <w:left w:val="none" w:sz="0" w:space="0" w:color="auto"/>
        <w:bottom w:val="none" w:sz="0" w:space="0" w:color="auto"/>
        <w:right w:val="none" w:sz="0" w:space="0" w:color="auto"/>
      </w:divBdr>
    </w:div>
    <w:div w:id="827750147">
      <w:bodyDiv w:val="1"/>
      <w:marLeft w:val="0"/>
      <w:marRight w:val="0"/>
      <w:marTop w:val="0"/>
      <w:marBottom w:val="0"/>
      <w:divBdr>
        <w:top w:val="none" w:sz="0" w:space="0" w:color="auto"/>
        <w:left w:val="none" w:sz="0" w:space="0" w:color="auto"/>
        <w:bottom w:val="none" w:sz="0" w:space="0" w:color="auto"/>
        <w:right w:val="none" w:sz="0" w:space="0" w:color="auto"/>
      </w:divBdr>
    </w:div>
    <w:div w:id="830147368">
      <w:bodyDiv w:val="1"/>
      <w:marLeft w:val="0"/>
      <w:marRight w:val="0"/>
      <w:marTop w:val="0"/>
      <w:marBottom w:val="0"/>
      <w:divBdr>
        <w:top w:val="none" w:sz="0" w:space="0" w:color="auto"/>
        <w:left w:val="none" w:sz="0" w:space="0" w:color="auto"/>
        <w:bottom w:val="none" w:sz="0" w:space="0" w:color="auto"/>
        <w:right w:val="none" w:sz="0" w:space="0" w:color="auto"/>
      </w:divBdr>
    </w:div>
    <w:div w:id="839470693">
      <w:bodyDiv w:val="1"/>
      <w:marLeft w:val="0"/>
      <w:marRight w:val="0"/>
      <w:marTop w:val="0"/>
      <w:marBottom w:val="0"/>
      <w:divBdr>
        <w:top w:val="none" w:sz="0" w:space="0" w:color="auto"/>
        <w:left w:val="none" w:sz="0" w:space="0" w:color="auto"/>
        <w:bottom w:val="none" w:sz="0" w:space="0" w:color="auto"/>
        <w:right w:val="none" w:sz="0" w:space="0" w:color="auto"/>
      </w:divBdr>
    </w:div>
    <w:div w:id="870264735">
      <w:bodyDiv w:val="1"/>
      <w:marLeft w:val="0"/>
      <w:marRight w:val="0"/>
      <w:marTop w:val="0"/>
      <w:marBottom w:val="0"/>
      <w:divBdr>
        <w:top w:val="none" w:sz="0" w:space="0" w:color="auto"/>
        <w:left w:val="none" w:sz="0" w:space="0" w:color="auto"/>
        <w:bottom w:val="none" w:sz="0" w:space="0" w:color="auto"/>
        <w:right w:val="none" w:sz="0" w:space="0" w:color="auto"/>
      </w:divBdr>
    </w:div>
    <w:div w:id="876701219">
      <w:bodyDiv w:val="1"/>
      <w:marLeft w:val="0"/>
      <w:marRight w:val="0"/>
      <w:marTop w:val="0"/>
      <w:marBottom w:val="0"/>
      <w:divBdr>
        <w:top w:val="none" w:sz="0" w:space="0" w:color="auto"/>
        <w:left w:val="none" w:sz="0" w:space="0" w:color="auto"/>
        <w:bottom w:val="none" w:sz="0" w:space="0" w:color="auto"/>
        <w:right w:val="none" w:sz="0" w:space="0" w:color="auto"/>
      </w:divBdr>
    </w:div>
    <w:div w:id="878592365">
      <w:bodyDiv w:val="1"/>
      <w:marLeft w:val="0"/>
      <w:marRight w:val="0"/>
      <w:marTop w:val="0"/>
      <w:marBottom w:val="0"/>
      <w:divBdr>
        <w:top w:val="none" w:sz="0" w:space="0" w:color="auto"/>
        <w:left w:val="none" w:sz="0" w:space="0" w:color="auto"/>
        <w:bottom w:val="none" w:sz="0" w:space="0" w:color="auto"/>
        <w:right w:val="none" w:sz="0" w:space="0" w:color="auto"/>
      </w:divBdr>
    </w:div>
    <w:div w:id="917176858">
      <w:bodyDiv w:val="1"/>
      <w:marLeft w:val="0"/>
      <w:marRight w:val="0"/>
      <w:marTop w:val="0"/>
      <w:marBottom w:val="0"/>
      <w:divBdr>
        <w:top w:val="none" w:sz="0" w:space="0" w:color="auto"/>
        <w:left w:val="none" w:sz="0" w:space="0" w:color="auto"/>
        <w:bottom w:val="none" w:sz="0" w:space="0" w:color="auto"/>
        <w:right w:val="none" w:sz="0" w:space="0" w:color="auto"/>
      </w:divBdr>
    </w:div>
    <w:div w:id="925919996">
      <w:bodyDiv w:val="1"/>
      <w:marLeft w:val="0"/>
      <w:marRight w:val="0"/>
      <w:marTop w:val="0"/>
      <w:marBottom w:val="0"/>
      <w:divBdr>
        <w:top w:val="none" w:sz="0" w:space="0" w:color="auto"/>
        <w:left w:val="none" w:sz="0" w:space="0" w:color="auto"/>
        <w:bottom w:val="none" w:sz="0" w:space="0" w:color="auto"/>
        <w:right w:val="none" w:sz="0" w:space="0" w:color="auto"/>
      </w:divBdr>
    </w:div>
    <w:div w:id="928151330">
      <w:bodyDiv w:val="1"/>
      <w:marLeft w:val="0"/>
      <w:marRight w:val="0"/>
      <w:marTop w:val="0"/>
      <w:marBottom w:val="0"/>
      <w:divBdr>
        <w:top w:val="none" w:sz="0" w:space="0" w:color="auto"/>
        <w:left w:val="none" w:sz="0" w:space="0" w:color="auto"/>
        <w:bottom w:val="none" w:sz="0" w:space="0" w:color="auto"/>
        <w:right w:val="none" w:sz="0" w:space="0" w:color="auto"/>
      </w:divBdr>
    </w:div>
    <w:div w:id="934627962">
      <w:bodyDiv w:val="1"/>
      <w:marLeft w:val="0"/>
      <w:marRight w:val="0"/>
      <w:marTop w:val="0"/>
      <w:marBottom w:val="0"/>
      <w:divBdr>
        <w:top w:val="none" w:sz="0" w:space="0" w:color="auto"/>
        <w:left w:val="none" w:sz="0" w:space="0" w:color="auto"/>
        <w:bottom w:val="none" w:sz="0" w:space="0" w:color="auto"/>
        <w:right w:val="none" w:sz="0" w:space="0" w:color="auto"/>
      </w:divBdr>
    </w:div>
    <w:div w:id="938754096">
      <w:bodyDiv w:val="1"/>
      <w:marLeft w:val="0"/>
      <w:marRight w:val="0"/>
      <w:marTop w:val="0"/>
      <w:marBottom w:val="0"/>
      <w:divBdr>
        <w:top w:val="none" w:sz="0" w:space="0" w:color="auto"/>
        <w:left w:val="none" w:sz="0" w:space="0" w:color="auto"/>
        <w:bottom w:val="none" w:sz="0" w:space="0" w:color="auto"/>
        <w:right w:val="none" w:sz="0" w:space="0" w:color="auto"/>
      </w:divBdr>
    </w:div>
    <w:div w:id="942809522">
      <w:bodyDiv w:val="1"/>
      <w:marLeft w:val="0"/>
      <w:marRight w:val="0"/>
      <w:marTop w:val="0"/>
      <w:marBottom w:val="0"/>
      <w:divBdr>
        <w:top w:val="none" w:sz="0" w:space="0" w:color="auto"/>
        <w:left w:val="none" w:sz="0" w:space="0" w:color="auto"/>
        <w:bottom w:val="none" w:sz="0" w:space="0" w:color="auto"/>
        <w:right w:val="none" w:sz="0" w:space="0" w:color="auto"/>
      </w:divBdr>
    </w:div>
    <w:div w:id="945816235">
      <w:bodyDiv w:val="1"/>
      <w:marLeft w:val="0"/>
      <w:marRight w:val="0"/>
      <w:marTop w:val="0"/>
      <w:marBottom w:val="0"/>
      <w:divBdr>
        <w:top w:val="none" w:sz="0" w:space="0" w:color="auto"/>
        <w:left w:val="none" w:sz="0" w:space="0" w:color="auto"/>
        <w:bottom w:val="none" w:sz="0" w:space="0" w:color="auto"/>
        <w:right w:val="none" w:sz="0" w:space="0" w:color="auto"/>
      </w:divBdr>
    </w:div>
    <w:div w:id="954140678">
      <w:bodyDiv w:val="1"/>
      <w:marLeft w:val="0"/>
      <w:marRight w:val="0"/>
      <w:marTop w:val="0"/>
      <w:marBottom w:val="0"/>
      <w:divBdr>
        <w:top w:val="none" w:sz="0" w:space="0" w:color="auto"/>
        <w:left w:val="none" w:sz="0" w:space="0" w:color="auto"/>
        <w:bottom w:val="none" w:sz="0" w:space="0" w:color="auto"/>
        <w:right w:val="none" w:sz="0" w:space="0" w:color="auto"/>
      </w:divBdr>
    </w:div>
    <w:div w:id="977370947">
      <w:bodyDiv w:val="1"/>
      <w:marLeft w:val="0"/>
      <w:marRight w:val="0"/>
      <w:marTop w:val="0"/>
      <w:marBottom w:val="0"/>
      <w:divBdr>
        <w:top w:val="none" w:sz="0" w:space="0" w:color="auto"/>
        <w:left w:val="none" w:sz="0" w:space="0" w:color="auto"/>
        <w:bottom w:val="none" w:sz="0" w:space="0" w:color="auto"/>
        <w:right w:val="none" w:sz="0" w:space="0" w:color="auto"/>
      </w:divBdr>
    </w:div>
    <w:div w:id="1003699199">
      <w:bodyDiv w:val="1"/>
      <w:marLeft w:val="0"/>
      <w:marRight w:val="0"/>
      <w:marTop w:val="0"/>
      <w:marBottom w:val="0"/>
      <w:divBdr>
        <w:top w:val="none" w:sz="0" w:space="0" w:color="auto"/>
        <w:left w:val="none" w:sz="0" w:space="0" w:color="auto"/>
        <w:bottom w:val="none" w:sz="0" w:space="0" w:color="auto"/>
        <w:right w:val="none" w:sz="0" w:space="0" w:color="auto"/>
      </w:divBdr>
    </w:div>
    <w:div w:id="1005549698">
      <w:bodyDiv w:val="1"/>
      <w:marLeft w:val="0"/>
      <w:marRight w:val="0"/>
      <w:marTop w:val="0"/>
      <w:marBottom w:val="0"/>
      <w:divBdr>
        <w:top w:val="none" w:sz="0" w:space="0" w:color="auto"/>
        <w:left w:val="none" w:sz="0" w:space="0" w:color="auto"/>
        <w:bottom w:val="none" w:sz="0" w:space="0" w:color="auto"/>
        <w:right w:val="none" w:sz="0" w:space="0" w:color="auto"/>
      </w:divBdr>
    </w:div>
    <w:div w:id="1013652801">
      <w:bodyDiv w:val="1"/>
      <w:marLeft w:val="0"/>
      <w:marRight w:val="0"/>
      <w:marTop w:val="0"/>
      <w:marBottom w:val="0"/>
      <w:divBdr>
        <w:top w:val="none" w:sz="0" w:space="0" w:color="auto"/>
        <w:left w:val="none" w:sz="0" w:space="0" w:color="auto"/>
        <w:bottom w:val="none" w:sz="0" w:space="0" w:color="auto"/>
        <w:right w:val="none" w:sz="0" w:space="0" w:color="auto"/>
      </w:divBdr>
    </w:div>
    <w:div w:id="1019814724">
      <w:bodyDiv w:val="1"/>
      <w:marLeft w:val="0"/>
      <w:marRight w:val="0"/>
      <w:marTop w:val="0"/>
      <w:marBottom w:val="0"/>
      <w:divBdr>
        <w:top w:val="none" w:sz="0" w:space="0" w:color="auto"/>
        <w:left w:val="none" w:sz="0" w:space="0" w:color="auto"/>
        <w:bottom w:val="none" w:sz="0" w:space="0" w:color="auto"/>
        <w:right w:val="none" w:sz="0" w:space="0" w:color="auto"/>
      </w:divBdr>
    </w:div>
    <w:div w:id="1036806801">
      <w:bodyDiv w:val="1"/>
      <w:marLeft w:val="0"/>
      <w:marRight w:val="0"/>
      <w:marTop w:val="0"/>
      <w:marBottom w:val="0"/>
      <w:divBdr>
        <w:top w:val="none" w:sz="0" w:space="0" w:color="auto"/>
        <w:left w:val="none" w:sz="0" w:space="0" w:color="auto"/>
        <w:bottom w:val="none" w:sz="0" w:space="0" w:color="auto"/>
        <w:right w:val="none" w:sz="0" w:space="0" w:color="auto"/>
      </w:divBdr>
    </w:div>
    <w:div w:id="1060985263">
      <w:bodyDiv w:val="1"/>
      <w:marLeft w:val="0"/>
      <w:marRight w:val="0"/>
      <w:marTop w:val="0"/>
      <w:marBottom w:val="0"/>
      <w:divBdr>
        <w:top w:val="none" w:sz="0" w:space="0" w:color="auto"/>
        <w:left w:val="none" w:sz="0" w:space="0" w:color="auto"/>
        <w:bottom w:val="none" w:sz="0" w:space="0" w:color="auto"/>
        <w:right w:val="none" w:sz="0" w:space="0" w:color="auto"/>
      </w:divBdr>
    </w:div>
    <w:div w:id="1069573090">
      <w:bodyDiv w:val="1"/>
      <w:marLeft w:val="0"/>
      <w:marRight w:val="0"/>
      <w:marTop w:val="0"/>
      <w:marBottom w:val="0"/>
      <w:divBdr>
        <w:top w:val="none" w:sz="0" w:space="0" w:color="auto"/>
        <w:left w:val="none" w:sz="0" w:space="0" w:color="auto"/>
        <w:bottom w:val="none" w:sz="0" w:space="0" w:color="auto"/>
        <w:right w:val="none" w:sz="0" w:space="0" w:color="auto"/>
      </w:divBdr>
    </w:div>
    <w:div w:id="1077433998">
      <w:bodyDiv w:val="1"/>
      <w:marLeft w:val="0"/>
      <w:marRight w:val="0"/>
      <w:marTop w:val="0"/>
      <w:marBottom w:val="0"/>
      <w:divBdr>
        <w:top w:val="none" w:sz="0" w:space="0" w:color="auto"/>
        <w:left w:val="none" w:sz="0" w:space="0" w:color="auto"/>
        <w:bottom w:val="none" w:sz="0" w:space="0" w:color="auto"/>
        <w:right w:val="none" w:sz="0" w:space="0" w:color="auto"/>
      </w:divBdr>
    </w:div>
    <w:div w:id="1078944718">
      <w:bodyDiv w:val="1"/>
      <w:marLeft w:val="0"/>
      <w:marRight w:val="0"/>
      <w:marTop w:val="0"/>
      <w:marBottom w:val="0"/>
      <w:divBdr>
        <w:top w:val="none" w:sz="0" w:space="0" w:color="auto"/>
        <w:left w:val="none" w:sz="0" w:space="0" w:color="auto"/>
        <w:bottom w:val="none" w:sz="0" w:space="0" w:color="auto"/>
        <w:right w:val="none" w:sz="0" w:space="0" w:color="auto"/>
      </w:divBdr>
    </w:div>
    <w:div w:id="1079408108">
      <w:bodyDiv w:val="1"/>
      <w:marLeft w:val="0"/>
      <w:marRight w:val="0"/>
      <w:marTop w:val="0"/>
      <w:marBottom w:val="0"/>
      <w:divBdr>
        <w:top w:val="none" w:sz="0" w:space="0" w:color="auto"/>
        <w:left w:val="none" w:sz="0" w:space="0" w:color="auto"/>
        <w:bottom w:val="none" w:sz="0" w:space="0" w:color="auto"/>
        <w:right w:val="none" w:sz="0" w:space="0" w:color="auto"/>
      </w:divBdr>
    </w:div>
    <w:div w:id="1079525729">
      <w:bodyDiv w:val="1"/>
      <w:marLeft w:val="0"/>
      <w:marRight w:val="0"/>
      <w:marTop w:val="0"/>
      <w:marBottom w:val="0"/>
      <w:divBdr>
        <w:top w:val="none" w:sz="0" w:space="0" w:color="auto"/>
        <w:left w:val="none" w:sz="0" w:space="0" w:color="auto"/>
        <w:bottom w:val="none" w:sz="0" w:space="0" w:color="auto"/>
        <w:right w:val="none" w:sz="0" w:space="0" w:color="auto"/>
      </w:divBdr>
    </w:div>
    <w:div w:id="1108935581">
      <w:bodyDiv w:val="1"/>
      <w:marLeft w:val="0"/>
      <w:marRight w:val="0"/>
      <w:marTop w:val="0"/>
      <w:marBottom w:val="0"/>
      <w:divBdr>
        <w:top w:val="none" w:sz="0" w:space="0" w:color="auto"/>
        <w:left w:val="none" w:sz="0" w:space="0" w:color="auto"/>
        <w:bottom w:val="none" w:sz="0" w:space="0" w:color="auto"/>
        <w:right w:val="none" w:sz="0" w:space="0" w:color="auto"/>
      </w:divBdr>
    </w:div>
    <w:div w:id="1121261359">
      <w:bodyDiv w:val="1"/>
      <w:marLeft w:val="0"/>
      <w:marRight w:val="0"/>
      <w:marTop w:val="0"/>
      <w:marBottom w:val="0"/>
      <w:divBdr>
        <w:top w:val="none" w:sz="0" w:space="0" w:color="auto"/>
        <w:left w:val="none" w:sz="0" w:space="0" w:color="auto"/>
        <w:bottom w:val="none" w:sz="0" w:space="0" w:color="auto"/>
        <w:right w:val="none" w:sz="0" w:space="0" w:color="auto"/>
      </w:divBdr>
    </w:div>
    <w:div w:id="1158107820">
      <w:bodyDiv w:val="1"/>
      <w:marLeft w:val="0"/>
      <w:marRight w:val="0"/>
      <w:marTop w:val="0"/>
      <w:marBottom w:val="0"/>
      <w:divBdr>
        <w:top w:val="none" w:sz="0" w:space="0" w:color="auto"/>
        <w:left w:val="none" w:sz="0" w:space="0" w:color="auto"/>
        <w:bottom w:val="none" w:sz="0" w:space="0" w:color="auto"/>
        <w:right w:val="none" w:sz="0" w:space="0" w:color="auto"/>
      </w:divBdr>
    </w:div>
    <w:div w:id="1160535913">
      <w:bodyDiv w:val="1"/>
      <w:marLeft w:val="0"/>
      <w:marRight w:val="0"/>
      <w:marTop w:val="0"/>
      <w:marBottom w:val="0"/>
      <w:divBdr>
        <w:top w:val="none" w:sz="0" w:space="0" w:color="auto"/>
        <w:left w:val="none" w:sz="0" w:space="0" w:color="auto"/>
        <w:bottom w:val="none" w:sz="0" w:space="0" w:color="auto"/>
        <w:right w:val="none" w:sz="0" w:space="0" w:color="auto"/>
      </w:divBdr>
    </w:div>
    <w:div w:id="1190946609">
      <w:bodyDiv w:val="1"/>
      <w:marLeft w:val="0"/>
      <w:marRight w:val="0"/>
      <w:marTop w:val="0"/>
      <w:marBottom w:val="0"/>
      <w:divBdr>
        <w:top w:val="none" w:sz="0" w:space="0" w:color="auto"/>
        <w:left w:val="none" w:sz="0" w:space="0" w:color="auto"/>
        <w:bottom w:val="none" w:sz="0" w:space="0" w:color="auto"/>
        <w:right w:val="none" w:sz="0" w:space="0" w:color="auto"/>
      </w:divBdr>
    </w:div>
    <w:div w:id="1192035477">
      <w:bodyDiv w:val="1"/>
      <w:marLeft w:val="0"/>
      <w:marRight w:val="0"/>
      <w:marTop w:val="0"/>
      <w:marBottom w:val="0"/>
      <w:divBdr>
        <w:top w:val="none" w:sz="0" w:space="0" w:color="auto"/>
        <w:left w:val="none" w:sz="0" w:space="0" w:color="auto"/>
        <w:bottom w:val="none" w:sz="0" w:space="0" w:color="auto"/>
        <w:right w:val="none" w:sz="0" w:space="0" w:color="auto"/>
      </w:divBdr>
    </w:div>
    <w:div w:id="1196431530">
      <w:bodyDiv w:val="1"/>
      <w:marLeft w:val="0"/>
      <w:marRight w:val="0"/>
      <w:marTop w:val="0"/>
      <w:marBottom w:val="0"/>
      <w:divBdr>
        <w:top w:val="none" w:sz="0" w:space="0" w:color="auto"/>
        <w:left w:val="none" w:sz="0" w:space="0" w:color="auto"/>
        <w:bottom w:val="none" w:sz="0" w:space="0" w:color="auto"/>
        <w:right w:val="none" w:sz="0" w:space="0" w:color="auto"/>
      </w:divBdr>
    </w:div>
    <w:div w:id="1200044196">
      <w:bodyDiv w:val="1"/>
      <w:marLeft w:val="0"/>
      <w:marRight w:val="0"/>
      <w:marTop w:val="0"/>
      <w:marBottom w:val="0"/>
      <w:divBdr>
        <w:top w:val="none" w:sz="0" w:space="0" w:color="auto"/>
        <w:left w:val="none" w:sz="0" w:space="0" w:color="auto"/>
        <w:bottom w:val="none" w:sz="0" w:space="0" w:color="auto"/>
        <w:right w:val="none" w:sz="0" w:space="0" w:color="auto"/>
      </w:divBdr>
    </w:div>
    <w:div w:id="1221483874">
      <w:bodyDiv w:val="1"/>
      <w:marLeft w:val="0"/>
      <w:marRight w:val="0"/>
      <w:marTop w:val="0"/>
      <w:marBottom w:val="0"/>
      <w:divBdr>
        <w:top w:val="none" w:sz="0" w:space="0" w:color="auto"/>
        <w:left w:val="none" w:sz="0" w:space="0" w:color="auto"/>
        <w:bottom w:val="none" w:sz="0" w:space="0" w:color="auto"/>
        <w:right w:val="none" w:sz="0" w:space="0" w:color="auto"/>
      </w:divBdr>
    </w:div>
    <w:div w:id="1221744748">
      <w:bodyDiv w:val="1"/>
      <w:marLeft w:val="0"/>
      <w:marRight w:val="0"/>
      <w:marTop w:val="0"/>
      <w:marBottom w:val="0"/>
      <w:divBdr>
        <w:top w:val="none" w:sz="0" w:space="0" w:color="auto"/>
        <w:left w:val="none" w:sz="0" w:space="0" w:color="auto"/>
        <w:bottom w:val="none" w:sz="0" w:space="0" w:color="auto"/>
        <w:right w:val="none" w:sz="0" w:space="0" w:color="auto"/>
      </w:divBdr>
    </w:div>
    <w:div w:id="1240945124">
      <w:bodyDiv w:val="1"/>
      <w:marLeft w:val="0"/>
      <w:marRight w:val="0"/>
      <w:marTop w:val="0"/>
      <w:marBottom w:val="0"/>
      <w:divBdr>
        <w:top w:val="none" w:sz="0" w:space="0" w:color="auto"/>
        <w:left w:val="none" w:sz="0" w:space="0" w:color="auto"/>
        <w:bottom w:val="none" w:sz="0" w:space="0" w:color="auto"/>
        <w:right w:val="none" w:sz="0" w:space="0" w:color="auto"/>
      </w:divBdr>
    </w:div>
    <w:div w:id="1241716231">
      <w:bodyDiv w:val="1"/>
      <w:marLeft w:val="0"/>
      <w:marRight w:val="0"/>
      <w:marTop w:val="0"/>
      <w:marBottom w:val="0"/>
      <w:divBdr>
        <w:top w:val="none" w:sz="0" w:space="0" w:color="auto"/>
        <w:left w:val="none" w:sz="0" w:space="0" w:color="auto"/>
        <w:bottom w:val="none" w:sz="0" w:space="0" w:color="auto"/>
        <w:right w:val="none" w:sz="0" w:space="0" w:color="auto"/>
      </w:divBdr>
    </w:div>
    <w:div w:id="1248230347">
      <w:bodyDiv w:val="1"/>
      <w:marLeft w:val="0"/>
      <w:marRight w:val="0"/>
      <w:marTop w:val="0"/>
      <w:marBottom w:val="0"/>
      <w:divBdr>
        <w:top w:val="none" w:sz="0" w:space="0" w:color="auto"/>
        <w:left w:val="none" w:sz="0" w:space="0" w:color="auto"/>
        <w:bottom w:val="none" w:sz="0" w:space="0" w:color="auto"/>
        <w:right w:val="none" w:sz="0" w:space="0" w:color="auto"/>
      </w:divBdr>
    </w:div>
    <w:div w:id="1267617821">
      <w:bodyDiv w:val="1"/>
      <w:marLeft w:val="0"/>
      <w:marRight w:val="0"/>
      <w:marTop w:val="0"/>
      <w:marBottom w:val="0"/>
      <w:divBdr>
        <w:top w:val="none" w:sz="0" w:space="0" w:color="auto"/>
        <w:left w:val="none" w:sz="0" w:space="0" w:color="auto"/>
        <w:bottom w:val="none" w:sz="0" w:space="0" w:color="auto"/>
        <w:right w:val="none" w:sz="0" w:space="0" w:color="auto"/>
      </w:divBdr>
    </w:div>
    <w:div w:id="1291546758">
      <w:bodyDiv w:val="1"/>
      <w:marLeft w:val="0"/>
      <w:marRight w:val="0"/>
      <w:marTop w:val="0"/>
      <w:marBottom w:val="0"/>
      <w:divBdr>
        <w:top w:val="none" w:sz="0" w:space="0" w:color="auto"/>
        <w:left w:val="none" w:sz="0" w:space="0" w:color="auto"/>
        <w:bottom w:val="none" w:sz="0" w:space="0" w:color="auto"/>
        <w:right w:val="none" w:sz="0" w:space="0" w:color="auto"/>
      </w:divBdr>
    </w:div>
    <w:div w:id="1300768729">
      <w:bodyDiv w:val="1"/>
      <w:marLeft w:val="0"/>
      <w:marRight w:val="0"/>
      <w:marTop w:val="0"/>
      <w:marBottom w:val="0"/>
      <w:divBdr>
        <w:top w:val="none" w:sz="0" w:space="0" w:color="auto"/>
        <w:left w:val="none" w:sz="0" w:space="0" w:color="auto"/>
        <w:bottom w:val="none" w:sz="0" w:space="0" w:color="auto"/>
        <w:right w:val="none" w:sz="0" w:space="0" w:color="auto"/>
      </w:divBdr>
    </w:div>
    <w:div w:id="1319069668">
      <w:bodyDiv w:val="1"/>
      <w:marLeft w:val="0"/>
      <w:marRight w:val="0"/>
      <w:marTop w:val="0"/>
      <w:marBottom w:val="0"/>
      <w:divBdr>
        <w:top w:val="none" w:sz="0" w:space="0" w:color="auto"/>
        <w:left w:val="none" w:sz="0" w:space="0" w:color="auto"/>
        <w:bottom w:val="none" w:sz="0" w:space="0" w:color="auto"/>
        <w:right w:val="none" w:sz="0" w:space="0" w:color="auto"/>
      </w:divBdr>
    </w:div>
    <w:div w:id="1324897233">
      <w:bodyDiv w:val="1"/>
      <w:marLeft w:val="0"/>
      <w:marRight w:val="0"/>
      <w:marTop w:val="0"/>
      <w:marBottom w:val="0"/>
      <w:divBdr>
        <w:top w:val="none" w:sz="0" w:space="0" w:color="auto"/>
        <w:left w:val="none" w:sz="0" w:space="0" w:color="auto"/>
        <w:bottom w:val="none" w:sz="0" w:space="0" w:color="auto"/>
        <w:right w:val="none" w:sz="0" w:space="0" w:color="auto"/>
      </w:divBdr>
    </w:div>
    <w:div w:id="1327367963">
      <w:bodyDiv w:val="1"/>
      <w:marLeft w:val="0"/>
      <w:marRight w:val="0"/>
      <w:marTop w:val="0"/>
      <w:marBottom w:val="0"/>
      <w:divBdr>
        <w:top w:val="none" w:sz="0" w:space="0" w:color="auto"/>
        <w:left w:val="none" w:sz="0" w:space="0" w:color="auto"/>
        <w:bottom w:val="none" w:sz="0" w:space="0" w:color="auto"/>
        <w:right w:val="none" w:sz="0" w:space="0" w:color="auto"/>
      </w:divBdr>
    </w:div>
    <w:div w:id="1351953167">
      <w:bodyDiv w:val="1"/>
      <w:marLeft w:val="0"/>
      <w:marRight w:val="0"/>
      <w:marTop w:val="0"/>
      <w:marBottom w:val="0"/>
      <w:divBdr>
        <w:top w:val="none" w:sz="0" w:space="0" w:color="auto"/>
        <w:left w:val="none" w:sz="0" w:space="0" w:color="auto"/>
        <w:bottom w:val="none" w:sz="0" w:space="0" w:color="auto"/>
        <w:right w:val="none" w:sz="0" w:space="0" w:color="auto"/>
      </w:divBdr>
    </w:div>
    <w:div w:id="1355886858">
      <w:bodyDiv w:val="1"/>
      <w:marLeft w:val="0"/>
      <w:marRight w:val="0"/>
      <w:marTop w:val="0"/>
      <w:marBottom w:val="0"/>
      <w:divBdr>
        <w:top w:val="none" w:sz="0" w:space="0" w:color="auto"/>
        <w:left w:val="none" w:sz="0" w:space="0" w:color="auto"/>
        <w:bottom w:val="none" w:sz="0" w:space="0" w:color="auto"/>
        <w:right w:val="none" w:sz="0" w:space="0" w:color="auto"/>
      </w:divBdr>
    </w:div>
    <w:div w:id="1360083560">
      <w:bodyDiv w:val="1"/>
      <w:marLeft w:val="0"/>
      <w:marRight w:val="0"/>
      <w:marTop w:val="0"/>
      <w:marBottom w:val="0"/>
      <w:divBdr>
        <w:top w:val="none" w:sz="0" w:space="0" w:color="auto"/>
        <w:left w:val="none" w:sz="0" w:space="0" w:color="auto"/>
        <w:bottom w:val="none" w:sz="0" w:space="0" w:color="auto"/>
        <w:right w:val="none" w:sz="0" w:space="0" w:color="auto"/>
      </w:divBdr>
    </w:div>
    <w:div w:id="1369181338">
      <w:bodyDiv w:val="1"/>
      <w:marLeft w:val="0"/>
      <w:marRight w:val="0"/>
      <w:marTop w:val="0"/>
      <w:marBottom w:val="0"/>
      <w:divBdr>
        <w:top w:val="none" w:sz="0" w:space="0" w:color="auto"/>
        <w:left w:val="none" w:sz="0" w:space="0" w:color="auto"/>
        <w:bottom w:val="none" w:sz="0" w:space="0" w:color="auto"/>
        <w:right w:val="none" w:sz="0" w:space="0" w:color="auto"/>
      </w:divBdr>
    </w:div>
    <w:div w:id="1386104613">
      <w:bodyDiv w:val="1"/>
      <w:marLeft w:val="0"/>
      <w:marRight w:val="0"/>
      <w:marTop w:val="0"/>
      <w:marBottom w:val="0"/>
      <w:divBdr>
        <w:top w:val="none" w:sz="0" w:space="0" w:color="auto"/>
        <w:left w:val="none" w:sz="0" w:space="0" w:color="auto"/>
        <w:bottom w:val="none" w:sz="0" w:space="0" w:color="auto"/>
        <w:right w:val="none" w:sz="0" w:space="0" w:color="auto"/>
      </w:divBdr>
    </w:div>
    <w:div w:id="1393458220">
      <w:bodyDiv w:val="1"/>
      <w:marLeft w:val="0"/>
      <w:marRight w:val="0"/>
      <w:marTop w:val="0"/>
      <w:marBottom w:val="0"/>
      <w:divBdr>
        <w:top w:val="none" w:sz="0" w:space="0" w:color="auto"/>
        <w:left w:val="none" w:sz="0" w:space="0" w:color="auto"/>
        <w:bottom w:val="none" w:sz="0" w:space="0" w:color="auto"/>
        <w:right w:val="none" w:sz="0" w:space="0" w:color="auto"/>
      </w:divBdr>
    </w:div>
    <w:div w:id="1398170256">
      <w:bodyDiv w:val="1"/>
      <w:marLeft w:val="0"/>
      <w:marRight w:val="0"/>
      <w:marTop w:val="0"/>
      <w:marBottom w:val="0"/>
      <w:divBdr>
        <w:top w:val="none" w:sz="0" w:space="0" w:color="auto"/>
        <w:left w:val="none" w:sz="0" w:space="0" w:color="auto"/>
        <w:bottom w:val="none" w:sz="0" w:space="0" w:color="auto"/>
        <w:right w:val="none" w:sz="0" w:space="0" w:color="auto"/>
      </w:divBdr>
    </w:div>
    <w:div w:id="1401369939">
      <w:bodyDiv w:val="1"/>
      <w:marLeft w:val="0"/>
      <w:marRight w:val="0"/>
      <w:marTop w:val="0"/>
      <w:marBottom w:val="0"/>
      <w:divBdr>
        <w:top w:val="none" w:sz="0" w:space="0" w:color="auto"/>
        <w:left w:val="none" w:sz="0" w:space="0" w:color="auto"/>
        <w:bottom w:val="none" w:sz="0" w:space="0" w:color="auto"/>
        <w:right w:val="none" w:sz="0" w:space="0" w:color="auto"/>
      </w:divBdr>
    </w:div>
    <w:div w:id="1404257434">
      <w:bodyDiv w:val="1"/>
      <w:marLeft w:val="0"/>
      <w:marRight w:val="0"/>
      <w:marTop w:val="0"/>
      <w:marBottom w:val="0"/>
      <w:divBdr>
        <w:top w:val="none" w:sz="0" w:space="0" w:color="auto"/>
        <w:left w:val="none" w:sz="0" w:space="0" w:color="auto"/>
        <w:bottom w:val="none" w:sz="0" w:space="0" w:color="auto"/>
        <w:right w:val="none" w:sz="0" w:space="0" w:color="auto"/>
      </w:divBdr>
    </w:div>
    <w:div w:id="1406340114">
      <w:bodyDiv w:val="1"/>
      <w:marLeft w:val="0"/>
      <w:marRight w:val="0"/>
      <w:marTop w:val="0"/>
      <w:marBottom w:val="0"/>
      <w:divBdr>
        <w:top w:val="none" w:sz="0" w:space="0" w:color="auto"/>
        <w:left w:val="none" w:sz="0" w:space="0" w:color="auto"/>
        <w:bottom w:val="none" w:sz="0" w:space="0" w:color="auto"/>
        <w:right w:val="none" w:sz="0" w:space="0" w:color="auto"/>
      </w:divBdr>
    </w:div>
    <w:div w:id="1418942166">
      <w:bodyDiv w:val="1"/>
      <w:marLeft w:val="0"/>
      <w:marRight w:val="0"/>
      <w:marTop w:val="0"/>
      <w:marBottom w:val="0"/>
      <w:divBdr>
        <w:top w:val="none" w:sz="0" w:space="0" w:color="auto"/>
        <w:left w:val="none" w:sz="0" w:space="0" w:color="auto"/>
        <w:bottom w:val="none" w:sz="0" w:space="0" w:color="auto"/>
        <w:right w:val="none" w:sz="0" w:space="0" w:color="auto"/>
      </w:divBdr>
    </w:div>
    <w:div w:id="1437023644">
      <w:bodyDiv w:val="1"/>
      <w:marLeft w:val="0"/>
      <w:marRight w:val="0"/>
      <w:marTop w:val="0"/>
      <w:marBottom w:val="0"/>
      <w:divBdr>
        <w:top w:val="none" w:sz="0" w:space="0" w:color="auto"/>
        <w:left w:val="none" w:sz="0" w:space="0" w:color="auto"/>
        <w:bottom w:val="none" w:sz="0" w:space="0" w:color="auto"/>
        <w:right w:val="none" w:sz="0" w:space="0" w:color="auto"/>
      </w:divBdr>
    </w:div>
    <w:div w:id="1438911774">
      <w:bodyDiv w:val="1"/>
      <w:marLeft w:val="0"/>
      <w:marRight w:val="0"/>
      <w:marTop w:val="0"/>
      <w:marBottom w:val="0"/>
      <w:divBdr>
        <w:top w:val="none" w:sz="0" w:space="0" w:color="auto"/>
        <w:left w:val="none" w:sz="0" w:space="0" w:color="auto"/>
        <w:bottom w:val="none" w:sz="0" w:space="0" w:color="auto"/>
        <w:right w:val="none" w:sz="0" w:space="0" w:color="auto"/>
      </w:divBdr>
    </w:div>
    <w:div w:id="1457989844">
      <w:bodyDiv w:val="1"/>
      <w:marLeft w:val="0"/>
      <w:marRight w:val="0"/>
      <w:marTop w:val="0"/>
      <w:marBottom w:val="0"/>
      <w:divBdr>
        <w:top w:val="none" w:sz="0" w:space="0" w:color="auto"/>
        <w:left w:val="none" w:sz="0" w:space="0" w:color="auto"/>
        <w:bottom w:val="none" w:sz="0" w:space="0" w:color="auto"/>
        <w:right w:val="none" w:sz="0" w:space="0" w:color="auto"/>
      </w:divBdr>
    </w:div>
    <w:div w:id="1473674392">
      <w:bodyDiv w:val="1"/>
      <w:marLeft w:val="0"/>
      <w:marRight w:val="0"/>
      <w:marTop w:val="0"/>
      <w:marBottom w:val="0"/>
      <w:divBdr>
        <w:top w:val="none" w:sz="0" w:space="0" w:color="auto"/>
        <w:left w:val="none" w:sz="0" w:space="0" w:color="auto"/>
        <w:bottom w:val="none" w:sz="0" w:space="0" w:color="auto"/>
        <w:right w:val="none" w:sz="0" w:space="0" w:color="auto"/>
      </w:divBdr>
    </w:div>
    <w:div w:id="1482771648">
      <w:bodyDiv w:val="1"/>
      <w:marLeft w:val="0"/>
      <w:marRight w:val="0"/>
      <w:marTop w:val="0"/>
      <w:marBottom w:val="0"/>
      <w:divBdr>
        <w:top w:val="none" w:sz="0" w:space="0" w:color="auto"/>
        <w:left w:val="none" w:sz="0" w:space="0" w:color="auto"/>
        <w:bottom w:val="none" w:sz="0" w:space="0" w:color="auto"/>
        <w:right w:val="none" w:sz="0" w:space="0" w:color="auto"/>
      </w:divBdr>
    </w:div>
    <w:div w:id="1493986106">
      <w:bodyDiv w:val="1"/>
      <w:marLeft w:val="0"/>
      <w:marRight w:val="0"/>
      <w:marTop w:val="0"/>
      <w:marBottom w:val="0"/>
      <w:divBdr>
        <w:top w:val="none" w:sz="0" w:space="0" w:color="auto"/>
        <w:left w:val="none" w:sz="0" w:space="0" w:color="auto"/>
        <w:bottom w:val="none" w:sz="0" w:space="0" w:color="auto"/>
        <w:right w:val="none" w:sz="0" w:space="0" w:color="auto"/>
      </w:divBdr>
    </w:div>
    <w:div w:id="1502357461">
      <w:bodyDiv w:val="1"/>
      <w:marLeft w:val="0"/>
      <w:marRight w:val="0"/>
      <w:marTop w:val="0"/>
      <w:marBottom w:val="0"/>
      <w:divBdr>
        <w:top w:val="none" w:sz="0" w:space="0" w:color="auto"/>
        <w:left w:val="none" w:sz="0" w:space="0" w:color="auto"/>
        <w:bottom w:val="none" w:sz="0" w:space="0" w:color="auto"/>
        <w:right w:val="none" w:sz="0" w:space="0" w:color="auto"/>
      </w:divBdr>
    </w:div>
    <w:div w:id="1509518698">
      <w:bodyDiv w:val="1"/>
      <w:marLeft w:val="0"/>
      <w:marRight w:val="0"/>
      <w:marTop w:val="0"/>
      <w:marBottom w:val="0"/>
      <w:divBdr>
        <w:top w:val="none" w:sz="0" w:space="0" w:color="auto"/>
        <w:left w:val="none" w:sz="0" w:space="0" w:color="auto"/>
        <w:bottom w:val="none" w:sz="0" w:space="0" w:color="auto"/>
        <w:right w:val="none" w:sz="0" w:space="0" w:color="auto"/>
      </w:divBdr>
    </w:div>
    <w:div w:id="1509711186">
      <w:bodyDiv w:val="1"/>
      <w:marLeft w:val="0"/>
      <w:marRight w:val="0"/>
      <w:marTop w:val="0"/>
      <w:marBottom w:val="0"/>
      <w:divBdr>
        <w:top w:val="none" w:sz="0" w:space="0" w:color="auto"/>
        <w:left w:val="none" w:sz="0" w:space="0" w:color="auto"/>
        <w:bottom w:val="none" w:sz="0" w:space="0" w:color="auto"/>
        <w:right w:val="none" w:sz="0" w:space="0" w:color="auto"/>
      </w:divBdr>
    </w:div>
    <w:div w:id="1514151298">
      <w:bodyDiv w:val="1"/>
      <w:marLeft w:val="0"/>
      <w:marRight w:val="0"/>
      <w:marTop w:val="0"/>
      <w:marBottom w:val="0"/>
      <w:divBdr>
        <w:top w:val="none" w:sz="0" w:space="0" w:color="auto"/>
        <w:left w:val="none" w:sz="0" w:space="0" w:color="auto"/>
        <w:bottom w:val="none" w:sz="0" w:space="0" w:color="auto"/>
        <w:right w:val="none" w:sz="0" w:space="0" w:color="auto"/>
      </w:divBdr>
    </w:div>
    <w:div w:id="1536890611">
      <w:bodyDiv w:val="1"/>
      <w:marLeft w:val="0"/>
      <w:marRight w:val="0"/>
      <w:marTop w:val="0"/>
      <w:marBottom w:val="0"/>
      <w:divBdr>
        <w:top w:val="none" w:sz="0" w:space="0" w:color="auto"/>
        <w:left w:val="none" w:sz="0" w:space="0" w:color="auto"/>
        <w:bottom w:val="none" w:sz="0" w:space="0" w:color="auto"/>
        <w:right w:val="none" w:sz="0" w:space="0" w:color="auto"/>
      </w:divBdr>
    </w:div>
    <w:div w:id="1539657095">
      <w:bodyDiv w:val="1"/>
      <w:marLeft w:val="0"/>
      <w:marRight w:val="0"/>
      <w:marTop w:val="0"/>
      <w:marBottom w:val="0"/>
      <w:divBdr>
        <w:top w:val="none" w:sz="0" w:space="0" w:color="auto"/>
        <w:left w:val="none" w:sz="0" w:space="0" w:color="auto"/>
        <w:bottom w:val="none" w:sz="0" w:space="0" w:color="auto"/>
        <w:right w:val="none" w:sz="0" w:space="0" w:color="auto"/>
      </w:divBdr>
    </w:div>
    <w:div w:id="1544369435">
      <w:bodyDiv w:val="1"/>
      <w:marLeft w:val="0"/>
      <w:marRight w:val="0"/>
      <w:marTop w:val="0"/>
      <w:marBottom w:val="0"/>
      <w:divBdr>
        <w:top w:val="none" w:sz="0" w:space="0" w:color="auto"/>
        <w:left w:val="none" w:sz="0" w:space="0" w:color="auto"/>
        <w:bottom w:val="none" w:sz="0" w:space="0" w:color="auto"/>
        <w:right w:val="none" w:sz="0" w:space="0" w:color="auto"/>
      </w:divBdr>
    </w:div>
    <w:div w:id="1557618781">
      <w:bodyDiv w:val="1"/>
      <w:marLeft w:val="0"/>
      <w:marRight w:val="0"/>
      <w:marTop w:val="0"/>
      <w:marBottom w:val="0"/>
      <w:divBdr>
        <w:top w:val="none" w:sz="0" w:space="0" w:color="auto"/>
        <w:left w:val="none" w:sz="0" w:space="0" w:color="auto"/>
        <w:bottom w:val="none" w:sz="0" w:space="0" w:color="auto"/>
        <w:right w:val="none" w:sz="0" w:space="0" w:color="auto"/>
      </w:divBdr>
    </w:div>
    <w:div w:id="1564637555">
      <w:bodyDiv w:val="1"/>
      <w:marLeft w:val="0"/>
      <w:marRight w:val="0"/>
      <w:marTop w:val="0"/>
      <w:marBottom w:val="0"/>
      <w:divBdr>
        <w:top w:val="none" w:sz="0" w:space="0" w:color="auto"/>
        <w:left w:val="none" w:sz="0" w:space="0" w:color="auto"/>
        <w:bottom w:val="none" w:sz="0" w:space="0" w:color="auto"/>
        <w:right w:val="none" w:sz="0" w:space="0" w:color="auto"/>
      </w:divBdr>
    </w:div>
    <w:div w:id="1567569714">
      <w:bodyDiv w:val="1"/>
      <w:marLeft w:val="0"/>
      <w:marRight w:val="0"/>
      <w:marTop w:val="0"/>
      <w:marBottom w:val="0"/>
      <w:divBdr>
        <w:top w:val="none" w:sz="0" w:space="0" w:color="auto"/>
        <w:left w:val="none" w:sz="0" w:space="0" w:color="auto"/>
        <w:bottom w:val="none" w:sz="0" w:space="0" w:color="auto"/>
        <w:right w:val="none" w:sz="0" w:space="0" w:color="auto"/>
      </w:divBdr>
    </w:div>
    <w:div w:id="1568033334">
      <w:bodyDiv w:val="1"/>
      <w:marLeft w:val="0"/>
      <w:marRight w:val="0"/>
      <w:marTop w:val="0"/>
      <w:marBottom w:val="0"/>
      <w:divBdr>
        <w:top w:val="none" w:sz="0" w:space="0" w:color="auto"/>
        <w:left w:val="none" w:sz="0" w:space="0" w:color="auto"/>
        <w:bottom w:val="none" w:sz="0" w:space="0" w:color="auto"/>
        <w:right w:val="none" w:sz="0" w:space="0" w:color="auto"/>
      </w:divBdr>
    </w:div>
    <w:div w:id="1578250663">
      <w:bodyDiv w:val="1"/>
      <w:marLeft w:val="0"/>
      <w:marRight w:val="0"/>
      <w:marTop w:val="0"/>
      <w:marBottom w:val="0"/>
      <w:divBdr>
        <w:top w:val="none" w:sz="0" w:space="0" w:color="auto"/>
        <w:left w:val="none" w:sz="0" w:space="0" w:color="auto"/>
        <w:bottom w:val="none" w:sz="0" w:space="0" w:color="auto"/>
        <w:right w:val="none" w:sz="0" w:space="0" w:color="auto"/>
      </w:divBdr>
    </w:div>
    <w:div w:id="1579442908">
      <w:bodyDiv w:val="1"/>
      <w:marLeft w:val="0"/>
      <w:marRight w:val="0"/>
      <w:marTop w:val="0"/>
      <w:marBottom w:val="0"/>
      <w:divBdr>
        <w:top w:val="none" w:sz="0" w:space="0" w:color="auto"/>
        <w:left w:val="none" w:sz="0" w:space="0" w:color="auto"/>
        <w:bottom w:val="none" w:sz="0" w:space="0" w:color="auto"/>
        <w:right w:val="none" w:sz="0" w:space="0" w:color="auto"/>
      </w:divBdr>
    </w:div>
    <w:div w:id="1600605899">
      <w:bodyDiv w:val="1"/>
      <w:marLeft w:val="0"/>
      <w:marRight w:val="0"/>
      <w:marTop w:val="0"/>
      <w:marBottom w:val="0"/>
      <w:divBdr>
        <w:top w:val="none" w:sz="0" w:space="0" w:color="auto"/>
        <w:left w:val="none" w:sz="0" w:space="0" w:color="auto"/>
        <w:bottom w:val="none" w:sz="0" w:space="0" w:color="auto"/>
        <w:right w:val="none" w:sz="0" w:space="0" w:color="auto"/>
      </w:divBdr>
    </w:div>
    <w:div w:id="1606965037">
      <w:bodyDiv w:val="1"/>
      <w:marLeft w:val="0"/>
      <w:marRight w:val="0"/>
      <w:marTop w:val="0"/>
      <w:marBottom w:val="0"/>
      <w:divBdr>
        <w:top w:val="none" w:sz="0" w:space="0" w:color="auto"/>
        <w:left w:val="none" w:sz="0" w:space="0" w:color="auto"/>
        <w:bottom w:val="none" w:sz="0" w:space="0" w:color="auto"/>
        <w:right w:val="none" w:sz="0" w:space="0" w:color="auto"/>
      </w:divBdr>
    </w:div>
    <w:div w:id="1666350574">
      <w:bodyDiv w:val="1"/>
      <w:marLeft w:val="0"/>
      <w:marRight w:val="0"/>
      <w:marTop w:val="0"/>
      <w:marBottom w:val="0"/>
      <w:divBdr>
        <w:top w:val="none" w:sz="0" w:space="0" w:color="auto"/>
        <w:left w:val="none" w:sz="0" w:space="0" w:color="auto"/>
        <w:bottom w:val="none" w:sz="0" w:space="0" w:color="auto"/>
        <w:right w:val="none" w:sz="0" w:space="0" w:color="auto"/>
      </w:divBdr>
    </w:div>
    <w:div w:id="1671055893">
      <w:bodyDiv w:val="1"/>
      <w:marLeft w:val="0"/>
      <w:marRight w:val="0"/>
      <w:marTop w:val="0"/>
      <w:marBottom w:val="0"/>
      <w:divBdr>
        <w:top w:val="none" w:sz="0" w:space="0" w:color="auto"/>
        <w:left w:val="none" w:sz="0" w:space="0" w:color="auto"/>
        <w:bottom w:val="none" w:sz="0" w:space="0" w:color="auto"/>
        <w:right w:val="none" w:sz="0" w:space="0" w:color="auto"/>
      </w:divBdr>
    </w:div>
    <w:div w:id="1689603338">
      <w:bodyDiv w:val="1"/>
      <w:marLeft w:val="0"/>
      <w:marRight w:val="0"/>
      <w:marTop w:val="0"/>
      <w:marBottom w:val="0"/>
      <w:divBdr>
        <w:top w:val="none" w:sz="0" w:space="0" w:color="auto"/>
        <w:left w:val="none" w:sz="0" w:space="0" w:color="auto"/>
        <w:bottom w:val="none" w:sz="0" w:space="0" w:color="auto"/>
        <w:right w:val="none" w:sz="0" w:space="0" w:color="auto"/>
      </w:divBdr>
    </w:div>
    <w:div w:id="1700473654">
      <w:bodyDiv w:val="1"/>
      <w:marLeft w:val="0"/>
      <w:marRight w:val="0"/>
      <w:marTop w:val="0"/>
      <w:marBottom w:val="0"/>
      <w:divBdr>
        <w:top w:val="none" w:sz="0" w:space="0" w:color="auto"/>
        <w:left w:val="none" w:sz="0" w:space="0" w:color="auto"/>
        <w:bottom w:val="none" w:sz="0" w:space="0" w:color="auto"/>
        <w:right w:val="none" w:sz="0" w:space="0" w:color="auto"/>
      </w:divBdr>
    </w:div>
    <w:div w:id="1705903561">
      <w:bodyDiv w:val="1"/>
      <w:marLeft w:val="0"/>
      <w:marRight w:val="0"/>
      <w:marTop w:val="0"/>
      <w:marBottom w:val="0"/>
      <w:divBdr>
        <w:top w:val="none" w:sz="0" w:space="0" w:color="auto"/>
        <w:left w:val="none" w:sz="0" w:space="0" w:color="auto"/>
        <w:bottom w:val="none" w:sz="0" w:space="0" w:color="auto"/>
        <w:right w:val="none" w:sz="0" w:space="0" w:color="auto"/>
      </w:divBdr>
    </w:div>
    <w:div w:id="1729307507">
      <w:bodyDiv w:val="1"/>
      <w:marLeft w:val="0"/>
      <w:marRight w:val="0"/>
      <w:marTop w:val="0"/>
      <w:marBottom w:val="0"/>
      <w:divBdr>
        <w:top w:val="none" w:sz="0" w:space="0" w:color="auto"/>
        <w:left w:val="none" w:sz="0" w:space="0" w:color="auto"/>
        <w:bottom w:val="none" w:sz="0" w:space="0" w:color="auto"/>
        <w:right w:val="none" w:sz="0" w:space="0" w:color="auto"/>
      </w:divBdr>
    </w:div>
    <w:div w:id="1731416290">
      <w:bodyDiv w:val="1"/>
      <w:marLeft w:val="0"/>
      <w:marRight w:val="0"/>
      <w:marTop w:val="0"/>
      <w:marBottom w:val="0"/>
      <w:divBdr>
        <w:top w:val="none" w:sz="0" w:space="0" w:color="auto"/>
        <w:left w:val="none" w:sz="0" w:space="0" w:color="auto"/>
        <w:bottom w:val="none" w:sz="0" w:space="0" w:color="auto"/>
        <w:right w:val="none" w:sz="0" w:space="0" w:color="auto"/>
      </w:divBdr>
    </w:div>
    <w:div w:id="1740900255">
      <w:bodyDiv w:val="1"/>
      <w:marLeft w:val="0"/>
      <w:marRight w:val="0"/>
      <w:marTop w:val="0"/>
      <w:marBottom w:val="0"/>
      <w:divBdr>
        <w:top w:val="none" w:sz="0" w:space="0" w:color="auto"/>
        <w:left w:val="none" w:sz="0" w:space="0" w:color="auto"/>
        <w:bottom w:val="none" w:sz="0" w:space="0" w:color="auto"/>
        <w:right w:val="none" w:sz="0" w:space="0" w:color="auto"/>
      </w:divBdr>
    </w:div>
    <w:div w:id="1760829954">
      <w:bodyDiv w:val="1"/>
      <w:marLeft w:val="0"/>
      <w:marRight w:val="0"/>
      <w:marTop w:val="0"/>
      <w:marBottom w:val="0"/>
      <w:divBdr>
        <w:top w:val="none" w:sz="0" w:space="0" w:color="auto"/>
        <w:left w:val="none" w:sz="0" w:space="0" w:color="auto"/>
        <w:bottom w:val="none" w:sz="0" w:space="0" w:color="auto"/>
        <w:right w:val="none" w:sz="0" w:space="0" w:color="auto"/>
      </w:divBdr>
    </w:div>
    <w:div w:id="1772624987">
      <w:bodyDiv w:val="1"/>
      <w:marLeft w:val="0"/>
      <w:marRight w:val="0"/>
      <w:marTop w:val="0"/>
      <w:marBottom w:val="0"/>
      <w:divBdr>
        <w:top w:val="none" w:sz="0" w:space="0" w:color="auto"/>
        <w:left w:val="none" w:sz="0" w:space="0" w:color="auto"/>
        <w:bottom w:val="none" w:sz="0" w:space="0" w:color="auto"/>
        <w:right w:val="none" w:sz="0" w:space="0" w:color="auto"/>
      </w:divBdr>
    </w:div>
    <w:div w:id="1792436386">
      <w:bodyDiv w:val="1"/>
      <w:marLeft w:val="0"/>
      <w:marRight w:val="0"/>
      <w:marTop w:val="0"/>
      <w:marBottom w:val="0"/>
      <w:divBdr>
        <w:top w:val="none" w:sz="0" w:space="0" w:color="auto"/>
        <w:left w:val="none" w:sz="0" w:space="0" w:color="auto"/>
        <w:bottom w:val="none" w:sz="0" w:space="0" w:color="auto"/>
        <w:right w:val="none" w:sz="0" w:space="0" w:color="auto"/>
      </w:divBdr>
    </w:div>
    <w:div w:id="1826509242">
      <w:bodyDiv w:val="1"/>
      <w:marLeft w:val="0"/>
      <w:marRight w:val="0"/>
      <w:marTop w:val="0"/>
      <w:marBottom w:val="0"/>
      <w:divBdr>
        <w:top w:val="none" w:sz="0" w:space="0" w:color="auto"/>
        <w:left w:val="none" w:sz="0" w:space="0" w:color="auto"/>
        <w:bottom w:val="none" w:sz="0" w:space="0" w:color="auto"/>
        <w:right w:val="none" w:sz="0" w:space="0" w:color="auto"/>
      </w:divBdr>
    </w:div>
    <w:div w:id="1866871144">
      <w:bodyDiv w:val="1"/>
      <w:marLeft w:val="0"/>
      <w:marRight w:val="0"/>
      <w:marTop w:val="0"/>
      <w:marBottom w:val="0"/>
      <w:divBdr>
        <w:top w:val="none" w:sz="0" w:space="0" w:color="auto"/>
        <w:left w:val="none" w:sz="0" w:space="0" w:color="auto"/>
        <w:bottom w:val="none" w:sz="0" w:space="0" w:color="auto"/>
        <w:right w:val="none" w:sz="0" w:space="0" w:color="auto"/>
      </w:divBdr>
    </w:div>
    <w:div w:id="1875582224">
      <w:bodyDiv w:val="1"/>
      <w:marLeft w:val="0"/>
      <w:marRight w:val="0"/>
      <w:marTop w:val="0"/>
      <w:marBottom w:val="0"/>
      <w:divBdr>
        <w:top w:val="none" w:sz="0" w:space="0" w:color="auto"/>
        <w:left w:val="none" w:sz="0" w:space="0" w:color="auto"/>
        <w:bottom w:val="none" w:sz="0" w:space="0" w:color="auto"/>
        <w:right w:val="none" w:sz="0" w:space="0" w:color="auto"/>
      </w:divBdr>
    </w:div>
    <w:div w:id="1887831866">
      <w:bodyDiv w:val="1"/>
      <w:marLeft w:val="0"/>
      <w:marRight w:val="0"/>
      <w:marTop w:val="0"/>
      <w:marBottom w:val="0"/>
      <w:divBdr>
        <w:top w:val="none" w:sz="0" w:space="0" w:color="auto"/>
        <w:left w:val="none" w:sz="0" w:space="0" w:color="auto"/>
        <w:bottom w:val="none" w:sz="0" w:space="0" w:color="auto"/>
        <w:right w:val="none" w:sz="0" w:space="0" w:color="auto"/>
      </w:divBdr>
    </w:div>
    <w:div w:id="1915702635">
      <w:bodyDiv w:val="1"/>
      <w:marLeft w:val="0"/>
      <w:marRight w:val="0"/>
      <w:marTop w:val="0"/>
      <w:marBottom w:val="0"/>
      <w:divBdr>
        <w:top w:val="none" w:sz="0" w:space="0" w:color="auto"/>
        <w:left w:val="none" w:sz="0" w:space="0" w:color="auto"/>
        <w:bottom w:val="none" w:sz="0" w:space="0" w:color="auto"/>
        <w:right w:val="none" w:sz="0" w:space="0" w:color="auto"/>
      </w:divBdr>
    </w:div>
    <w:div w:id="1921401122">
      <w:bodyDiv w:val="1"/>
      <w:marLeft w:val="0"/>
      <w:marRight w:val="0"/>
      <w:marTop w:val="0"/>
      <w:marBottom w:val="0"/>
      <w:divBdr>
        <w:top w:val="none" w:sz="0" w:space="0" w:color="auto"/>
        <w:left w:val="none" w:sz="0" w:space="0" w:color="auto"/>
        <w:bottom w:val="none" w:sz="0" w:space="0" w:color="auto"/>
        <w:right w:val="none" w:sz="0" w:space="0" w:color="auto"/>
      </w:divBdr>
    </w:div>
    <w:div w:id="1922596111">
      <w:bodyDiv w:val="1"/>
      <w:marLeft w:val="0"/>
      <w:marRight w:val="0"/>
      <w:marTop w:val="0"/>
      <w:marBottom w:val="0"/>
      <w:divBdr>
        <w:top w:val="none" w:sz="0" w:space="0" w:color="auto"/>
        <w:left w:val="none" w:sz="0" w:space="0" w:color="auto"/>
        <w:bottom w:val="none" w:sz="0" w:space="0" w:color="auto"/>
        <w:right w:val="none" w:sz="0" w:space="0" w:color="auto"/>
      </w:divBdr>
    </w:div>
    <w:div w:id="1939871121">
      <w:bodyDiv w:val="1"/>
      <w:marLeft w:val="0"/>
      <w:marRight w:val="0"/>
      <w:marTop w:val="0"/>
      <w:marBottom w:val="0"/>
      <w:divBdr>
        <w:top w:val="none" w:sz="0" w:space="0" w:color="auto"/>
        <w:left w:val="none" w:sz="0" w:space="0" w:color="auto"/>
        <w:bottom w:val="none" w:sz="0" w:space="0" w:color="auto"/>
        <w:right w:val="none" w:sz="0" w:space="0" w:color="auto"/>
      </w:divBdr>
    </w:div>
    <w:div w:id="1947151820">
      <w:bodyDiv w:val="1"/>
      <w:marLeft w:val="0"/>
      <w:marRight w:val="0"/>
      <w:marTop w:val="0"/>
      <w:marBottom w:val="0"/>
      <w:divBdr>
        <w:top w:val="none" w:sz="0" w:space="0" w:color="auto"/>
        <w:left w:val="none" w:sz="0" w:space="0" w:color="auto"/>
        <w:bottom w:val="none" w:sz="0" w:space="0" w:color="auto"/>
        <w:right w:val="none" w:sz="0" w:space="0" w:color="auto"/>
      </w:divBdr>
    </w:div>
    <w:div w:id="1953705675">
      <w:bodyDiv w:val="1"/>
      <w:marLeft w:val="0"/>
      <w:marRight w:val="0"/>
      <w:marTop w:val="0"/>
      <w:marBottom w:val="0"/>
      <w:divBdr>
        <w:top w:val="none" w:sz="0" w:space="0" w:color="auto"/>
        <w:left w:val="none" w:sz="0" w:space="0" w:color="auto"/>
        <w:bottom w:val="none" w:sz="0" w:space="0" w:color="auto"/>
        <w:right w:val="none" w:sz="0" w:space="0" w:color="auto"/>
      </w:divBdr>
    </w:div>
    <w:div w:id="1955094642">
      <w:bodyDiv w:val="1"/>
      <w:marLeft w:val="0"/>
      <w:marRight w:val="0"/>
      <w:marTop w:val="0"/>
      <w:marBottom w:val="0"/>
      <w:divBdr>
        <w:top w:val="none" w:sz="0" w:space="0" w:color="auto"/>
        <w:left w:val="none" w:sz="0" w:space="0" w:color="auto"/>
        <w:bottom w:val="none" w:sz="0" w:space="0" w:color="auto"/>
        <w:right w:val="none" w:sz="0" w:space="0" w:color="auto"/>
      </w:divBdr>
    </w:div>
    <w:div w:id="1957516013">
      <w:bodyDiv w:val="1"/>
      <w:marLeft w:val="0"/>
      <w:marRight w:val="0"/>
      <w:marTop w:val="0"/>
      <w:marBottom w:val="0"/>
      <w:divBdr>
        <w:top w:val="none" w:sz="0" w:space="0" w:color="auto"/>
        <w:left w:val="none" w:sz="0" w:space="0" w:color="auto"/>
        <w:bottom w:val="none" w:sz="0" w:space="0" w:color="auto"/>
        <w:right w:val="none" w:sz="0" w:space="0" w:color="auto"/>
      </w:divBdr>
    </w:div>
    <w:div w:id="1958290099">
      <w:bodyDiv w:val="1"/>
      <w:marLeft w:val="0"/>
      <w:marRight w:val="0"/>
      <w:marTop w:val="0"/>
      <w:marBottom w:val="0"/>
      <w:divBdr>
        <w:top w:val="none" w:sz="0" w:space="0" w:color="auto"/>
        <w:left w:val="none" w:sz="0" w:space="0" w:color="auto"/>
        <w:bottom w:val="none" w:sz="0" w:space="0" w:color="auto"/>
        <w:right w:val="none" w:sz="0" w:space="0" w:color="auto"/>
      </w:divBdr>
    </w:div>
    <w:div w:id="1969507857">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6830790">
      <w:bodyDiv w:val="1"/>
      <w:marLeft w:val="0"/>
      <w:marRight w:val="0"/>
      <w:marTop w:val="0"/>
      <w:marBottom w:val="0"/>
      <w:divBdr>
        <w:top w:val="none" w:sz="0" w:space="0" w:color="auto"/>
        <w:left w:val="none" w:sz="0" w:space="0" w:color="auto"/>
        <w:bottom w:val="none" w:sz="0" w:space="0" w:color="auto"/>
        <w:right w:val="none" w:sz="0" w:space="0" w:color="auto"/>
      </w:divBdr>
    </w:div>
    <w:div w:id="1987780915">
      <w:bodyDiv w:val="1"/>
      <w:marLeft w:val="0"/>
      <w:marRight w:val="0"/>
      <w:marTop w:val="0"/>
      <w:marBottom w:val="0"/>
      <w:divBdr>
        <w:top w:val="none" w:sz="0" w:space="0" w:color="auto"/>
        <w:left w:val="none" w:sz="0" w:space="0" w:color="auto"/>
        <w:bottom w:val="none" w:sz="0" w:space="0" w:color="auto"/>
        <w:right w:val="none" w:sz="0" w:space="0" w:color="auto"/>
      </w:divBdr>
    </w:div>
    <w:div w:id="1991014569">
      <w:bodyDiv w:val="1"/>
      <w:marLeft w:val="0"/>
      <w:marRight w:val="0"/>
      <w:marTop w:val="0"/>
      <w:marBottom w:val="0"/>
      <w:divBdr>
        <w:top w:val="none" w:sz="0" w:space="0" w:color="auto"/>
        <w:left w:val="none" w:sz="0" w:space="0" w:color="auto"/>
        <w:bottom w:val="none" w:sz="0" w:space="0" w:color="auto"/>
        <w:right w:val="none" w:sz="0" w:space="0" w:color="auto"/>
      </w:divBdr>
    </w:div>
    <w:div w:id="1992368234">
      <w:bodyDiv w:val="1"/>
      <w:marLeft w:val="0"/>
      <w:marRight w:val="0"/>
      <w:marTop w:val="0"/>
      <w:marBottom w:val="0"/>
      <w:divBdr>
        <w:top w:val="none" w:sz="0" w:space="0" w:color="auto"/>
        <w:left w:val="none" w:sz="0" w:space="0" w:color="auto"/>
        <w:bottom w:val="none" w:sz="0" w:space="0" w:color="auto"/>
        <w:right w:val="none" w:sz="0" w:space="0" w:color="auto"/>
      </w:divBdr>
    </w:div>
    <w:div w:id="2044792240">
      <w:bodyDiv w:val="1"/>
      <w:marLeft w:val="0"/>
      <w:marRight w:val="0"/>
      <w:marTop w:val="0"/>
      <w:marBottom w:val="0"/>
      <w:divBdr>
        <w:top w:val="none" w:sz="0" w:space="0" w:color="auto"/>
        <w:left w:val="none" w:sz="0" w:space="0" w:color="auto"/>
        <w:bottom w:val="none" w:sz="0" w:space="0" w:color="auto"/>
        <w:right w:val="none" w:sz="0" w:space="0" w:color="auto"/>
      </w:divBdr>
    </w:div>
    <w:div w:id="2057658632">
      <w:bodyDiv w:val="1"/>
      <w:marLeft w:val="0"/>
      <w:marRight w:val="0"/>
      <w:marTop w:val="0"/>
      <w:marBottom w:val="0"/>
      <w:divBdr>
        <w:top w:val="none" w:sz="0" w:space="0" w:color="auto"/>
        <w:left w:val="none" w:sz="0" w:space="0" w:color="auto"/>
        <w:bottom w:val="none" w:sz="0" w:space="0" w:color="auto"/>
        <w:right w:val="none" w:sz="0" w:space="0" w:color="auto"/>
      </w:divBdr>
    </w:div>
    <w:div w:id="2057772749">
      <w:bodyDiv w:val="1"/>
      <w:marLeft w:val="0"/>
      <w:marRight w:val="0"/>
      <w:marTop w:val="0"/>
      <w:marBottom w:val="0"/>
      <w:divBdr>
        <w:top w:val="none" w:sz="0" w:space="0" w:color="auto"/>
        <w:left w:val="none" w:sz="0" w:space="0" w:color="auto"/>
        <w:bottom w:val="none" w:sz="0" w:space="0" w:color="auto"/>
        <w:right w:val="none" w:sz="0" w:space="0" w:color="auto"/>
      </w:divBdr>
    </w:div>
    <w:div w:id="2060321062">
      <w:bodyDiv w:val="1"/>
      <w:marLeft w:val="0"/>
      <w:marRight w:val="0"/>
      <w:marTop w:val="0"/>
      <w:marBottom w:val="0"/>
      <w:divBdr>
        <w:top w:val="none" w:sz="0" w:space="0" w:color="auto"/>
        <w:left w:val="none" w:sz="0" w:space="0" w:color="auto"/>
        <w:bottom w:val="none" w:sz="0" w:space="0" w:color="auto"/>
        <w:right w:val="none" w:sz="0" w:space="0" w:color="auto"/>
      </w:divBdr>
    </w:div>
    <w:div w:id="2078891969">
      <w:bodyDiv w:val="1"/>
      <w:marLeft w:val="0"/>
      <w:marRight w:val="0"/>
      <w:marTop w:val="0"/>
      <w:marBottom w:val="0"/>
      <w:divBdr>
        <w:top w:val="none" w:sz="0" w:space="0" w:color="auto"/>
        <w:left w:val="none" w:sz="0" w:space="0" w:color="auto"/>
        <w:bottom w:val="none" w:sz="0" w:space="0" w:color="auto"/>
        <w:right w:val="none" w:sz="0" w:space="0" w:color="auto"/>
      </w:divBdr>
    </w:div>
    <w:div w:id="2080977125">
      <w:bodyDiv w:val="1"/>
      <w:marLeft w:val="0"/>
      <w:marRight w:val="0"/>
      <w:marTop w:val="0"/>
      <w:marBottom w:val="0"/>
      <w:divBdr>
        <w:top w:val="none" w:sz="0" w:space="0" w:color="auto"/>
        <w:left w:val="none" w:sz="0" w:space="0" w:color="auto"/>
        <w:bottom w:val="none" w:sz="0" w:space="0" w:color="auto"/>
        <w:right w:val="none" w:sz="0" w:space="0" w:color="auto"/>
      </w:divBdr>
    </w:div>
    <w:div w:id="2100060089">
      <w:bodyDiv w:val="1"/>
      <w:marLeft w:val="0"/>
      <w:marRight w:val="0"/>
      <w:marTop w:val="0"/>
      <w:marBottom w:val="0"/>
      <w:divBdr>
        <w:top w:val="none" w:sz="0" w:space="0" w:color="auto"/>
        <w:left w:val="none" w:sz="0" w:space="0" w:color="auto"/>
        <w:bottom w:val="none" w:sz="0" w:space="0" w:color="auto"/>
        <w:right w:val="none" w:sz="0" w:space="0" w:color="auto"/>
      </w:divBdr>
    </w:div>
    <w:div w:id="2104063480">
      <w:bodyDiv w:val="1"/>
      <w:marLeft w:val="0"/>
      <w:marRight w:val="0"/>
      <w:marTop w:val="0"/>
      <w:marBottom w:val="0"/>
      <w:divBdr>
        <w:top w:val="none" w:sz="0" w:space="0" w:color="auto"/>
        <w:left w:val="none" w:sz="0" w:space="0" w:color="auto"/>
        <w:bottom w:val="none" w:sz="0" w:space="0" w:color="auto"/>
        <w:right w:val="none" w:sz="0" w:space="0" w:color="auto"/>
      </w:divBdr>
    </w:div>
    <w:div w:id="2105764571">
      <w:bodyDiv w:val="1"/>
      <w:marLeft w:val="0"/>
      <w:marRight w:val="0"/>
      <w:marTop w:val="0"/>
      <w:marBottom w:val="0"/>
      <w:divBdr>
        <w:top w:val="none" w:sz="0" w:space="0" w:color="auto"/>
        <w:left w:val="none" w:sz="0" w:space="0" w:color="auto"/>
        <w:bottom w:val="none" w:sz="0" w:space="0" w:color="auto"/>
        <w:right w:val="none" w:sz="0" w:space="0" w:color="auto"/>
      </w:divBdr>
    </w:div>
    <w:div w:id="212153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general/publications_reports/pdf/EDC_NGDC_UniServ_Rpt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91EB9-7D0D-4629-A3AA-37697F2D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176</Pages>
  <Words>60010</Words>
  <Characters>342062</Characters>
  <Application>Microsoft Office Word</Application>
  <DocSecurity>0</DocSecurity>
  <Lines>2850</Lines>
  <Paragraphs>802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401270</CharactersWithSpaces>
  <SharedDoc>false</SharedDoc>
  <HLinks>
    <vt:vector size="192" baseType="variant">
      <vt:variant>
        <vt:i4>1114166</vt:i4>
      </vt:variant>
      <vt:variant>
        <vt:i4>191</vt:i4>
      </vt:variant>
      <vt:variant>
        <vt:i4>0</vt:i4>
      </vt:variant>
      <vt:variant>
        <vt:i4>5</vt:i4>
      </vt:variant>
      <vt:variant>
        <vt:lpwstr/>
      </vt:variant>
      <vt:variant>
        <vt:lpwstr>_Toc327439190</vt:lpwstr>
      </vt:variant>
      <vt:variant>
        <vt:i4>1048630</vt:i4>
      </vt:variant>
      <vt:variant>
        <vt:i4>185</vt:i4>
      </vt:variant>
      <vt:variant>
        <vt:i4>0</vt:i4>
      </vt:variant>
      <vt:variant>
        <vt:i4>5</vt:i4>
      </vt:variant>
      <vt:variant>
        <vt:lpwstr/>
      </vt:variant>
      <vt:variant>
        <vt:lpwstr>_Toc327439189</vt:lpwstr>
      </vt:variant>
      <vt:variant>
        <vt:i4>1048630</vt:i4>
      </vt:variant>
      <vt:variant>
        <vt:i4>179</vt:i4>
      </vt:variant>
      <vt:variant>
        <vt:i4>0</vt:i4>
      </vt:variant>
      <vt:variant>
        <vt:i4>5</vt:i4>
      </vt:variant>
      <vt:variant>
        <vt:lpwstr/>
      </vt:variant>
      <vt:variant>
        <vt:lpwstr>_Toc327439188</vt:lpwstr>
      </vt:variant>
      <vt:variant>
        <vt:i4>1048630</vt:i4>
      </vt:variant>
      <vt:variant>
        <vt:i4>173</vt:i4>
      </vt:variant>
      <vt:variant>
        <vt:i4>0</vt:i4>
      </vt:variant>
      <vt:variant>
        <vt:i4>5</vt:i4>
      </vt:variant>
      <vt:variant>
        <vt:lpwstr/>
      </vt:variant>
      <vt:variant>
        <vt:lpwstr>_Toc327439187</vt:lpwstr>
      </vt:variant>
      <vt:variant>
        <vt:i4>1048630</vt:i4>
      </vt:variant>
      <vt:variant>
        <vt:i4>167</vt:i4>
      </vt:variant>
      <vt:variant>
        <vt:i4>0</vt:i4>
      </vt:variant>
      <vt:variant>
        <vt:i4>5</vt:i4>
      </vt:variant>
      <vt:variant>
        <vt:lpwstr/>
      </vt:variant>
      <vt:variant>
        <vt:lpwstr>_Toc327439186</vt:lpwstr>
      </vt:variant>
      <vt:variant>
        <vt:i4>1048630</vt:i4>
      </vt:variant>
      <vt:variant>
        <vt:i4>161</vt:i4>
      </vt:variant>
      <vt:variant>
        <vt:i4>0</vt:i4>
      </vt:variant>
      <vt:variant>
        <vt:i4>5</vt:i4>
      </vt:variant>
      <vt:variant>
        <vt:lpwstr/>
      </vt:variant>
      <vt:variant>
        <vt:lpwstr>_Toc327439185</vt:lpwstr>
      </vt:variant>
      <vt:variant>
        <vt:i4>1048630</vt:i4>
      </vt:variant>
      <vt:variant>
        <vt:i4>155</vt:i4>
      </vt:variant>
      <vt:variant>
        <vt:i4>0</vt:i4>
      </vt:variant>
      <vt:variant>
        <vt:i4>5</vt:i4>
      </vt:variant>
      <vt:variant>
        <vt:lpwstr/>
      </vt:variant>
      <vt:variant>
        <vt:lpwstr>_Toc327439184</vt:lpwstr>
      </vt:variant>
      <vt:variant>
        <vt:i4>1048630</vt:i4>
      </vt:variant>
      <vt:variant>
        <vt:i4>149</vt:i4>
      </vt:variant>
      <vt:variant>
        <vt:i4>0</vt:i4>
      </vt:variant>
      <vt:variant>
        <vt:i4>5</vt:i4>
      </vt:variant>
      <vt:variant>
        <vt:lpwstr/>
      </vt:variant>
      <vt:variant>
        <vt:lpwstr>_Toc327439183</vt:lpwstr>
      </vt:variant>
      <vt:variant>
        <vt:i4>1048630</vt:i4>
      </vt:variant>
      <vt:variant>
        <vt:i4>143</vt:i4>
      </vt:variant>
      <vt:variant>
        <vt:i4>0</vt:i4>
      </vt:variant>
      <vt:variant>
        <vt:i4>5</vt:i4>
      </vt:variant>
      <vt:variant>
        <vt:lpwstr/>
      </vt:variant>
      <vt:variant>
        <vt:lpwstr>_Toc327439182</vt:lpwstr>
      </vt:variant>
      <vt:variant>
        <vt:i4>1048630</vt:i4>
      </vt:variant>
      <vt:variant>
        <vt:i4>137</vt:i4>
      </vt:variant>
      <vt:variant>
        <vt:i4>0</vt:i4>
      </vt:variant>
      <vt:variant>
        <vt:i4>5</vt:i4>
      </vt:variant>
      <vt:variant>
        <vt:lpwstr/>
      </vt:variant>
      <vt:variant>
        <vt:lpwstr>_Toc327439181</vt:lpwstr>
      </vt:variant>
      <vt:variant>
        <vt:i4>1048630</vt:i4>
      </vt:variant>
      <vt:variant>
        <vt:i4>131</vt:i4>
      </vt:variant>
      <vt:variant>
        <vt:i4>0</vt:i4>
      </vt:variant>
      <vt:variant>
        <vt:i4>5</vt:i4>
      </vt:variant>
      <vt:variant>
        <vt:lpwstr/>
      </vt:variant>
      <vt:variant>
        <vt:lpwstr>_Toc327439180</vt:lpwstr>
      </vt:variant>
      <vt:variant>
        <vt:i4>2031670</vt:i4>
      </vt:variant>
      <vt:variant>
        <vt:i4>125</vt:i4>
      </vt:variant>
      <vt:variant>
        <vt:i4>0</vt:i4>
      </vt:variant>
      <vt:variant>
        <vt:i4>5</vt:i4>
      </vt:variant>
      <vt:variant>
        <vt:lpwstr/>
      </vt:variant>
      <vt:variant>
        <vt:lpwstr>_Toc327439179</vt:lpwstr>
      </vt:variant>
      <vt:variant>
        <vt:i4>2031670</vt:i4>
      </vt:variant>
      <vt:variant>
        <vt:i4>119</vt:i4>
      </vt:variant>
      <vt:variant>
        <vt:i4>0</vt:i4>
      </vt:variant>
      <vt:variant>
        <vt:i4>5</vt:i4>
      </vt:variant>
      <vt:variant>
        <vt:lpwstr/>
      </vt:variant>
      <vt:variant>
        <vt:lpwstr>_Toc327439178</vt:lpwstr>
      </vt:variant>
      <vt:variant>
        <vt:i4>2031670</vt:i4>
      </vt:variant>
      <vt:variant>
        <vt:i4>113</vt:i4>
      </vt:variant>
      <vt:variant>
        <vt:i4>0</vt:i4>
      </vt:variant>
      <vt:variant>
        <vt:i4>5</vt:i4>
      </vt:variant>
      <vt:variant>
        <vt:lpwstr/>
      </vt:variant>
      <vt:variant>
        <vt:lpwstr>_Toc327439177</vt:lpwstr>
      </vt:variant>
      <vt:variant>
        <vt:i4>2031670</vt:i4>
      </vt:variant>
      <vt:variant>
        <vt:i4>107</vt:i4>
      </vt:variant>
      <vt:variant>
        <vt:i4>0</vt:i4>
      </vt:variant>
      <vt:variant>
        <vt:i4>5</vt:i4>
      </vt:variant>
      <vt:variant>
        <vt:lpwstr/>
      </vt:variant>
      <vt:variant>
        <vt:lpwstr>_Toc327439176</vt:lpwstr>
      </vt:variant>
      <vt:variant>
        <vt:i4>2031670</vt:i4>
      </vt:variant>
      <vt:variant>
        <vt:i4>101</vt:i4>
      </vt:variant>
      <vt:variant>
        <vt:i4>0</vt:i4>
      </vt:variant>
      <vt:variant>
        <vt:i4>5</vt:i4>
      </vt:variant>
      <vt:variant>
        <vt:lpwstr/>
      </vt:variant>
      <vt:variant>
        <vt:lpwstr>_Toc327439175</vt:lpwstr>
      </vt:variant>
      <vt:variant>
        <vt:i4>2031670</vt:i4>
      </vt:variant>
      <vt:variant>
        <vt:i4>95</vt:i4>
      </vt:variant>
      <vt:variant>
        <vt:i4>0</vt:i4>
      </vt:variant>
      <vt:variant>
        <vt:i4>5</vt:i4>
      </vt:variant>
      <vt:variant>
        <vt:lpwstr/>
      </vt:variant>
      <vt:variant>
        <vt:lpwstr>_Toc327439174</vt:lpwstr>
      </vt:variant>
      <vt:variant>
        <vt:i4>2031670</vt:i4>
      </vt:variant>
      <vt:variant>
        <vt:i4>89</vt:i4>
      </vt:variant>
      <vt:variant>
        <vt:i4>0</vt:i4>
      </vt:variant>
      <vt:variant>
        <vt:i4>5</vt:i4>
      </vt:variant>
      <vt:variant>
        <vt:lpwstr/>
      </vt:variant>
      <vt:variant>
        <vt:lpwstr>_Toc327439173</vt:lpwstr>
      </vt:variant>
      <vt:variant>
        <vt:i4>2031670</vt:i4>
      </vt:variant>
      <vt:variant>
        <vt:i4>83</vt:i4>
      </vt:variant>
      <vt:variant>
        <vt:i4>0</vt:i4>
      </vt:variant>
      <vt:variant>
        <vt:i4>5</vt:i4>
      </vt:variant>
      <vt:variant>
        <vt:lpwstr/>
      </vt:variant>
      <vt:variant>
        <vt:lpwstr>_Toc327439172</vt:lpwstr>
      </vt:variant>
      <vt:variant>
        <vt:i4>2031670</vt:i4>
      </vt:variant>
      <vt:variant>
        <vt:i4>77</vt:i4>
      </vt:variant>
      <vt:variant>
        <vt:i4>0</vt:i4>
      </vt:variant>
      <vt:variant>
        <vt:i4>5</vt:i4>
      </vt:variant>
      <vt:variant>
        <vt:lpwstr/>
      </vt:variant>
      <vt:variant>
        <vt:lpwstr>_Toc327439171</vt:lpwstr>
      </vt:variant>
      <vt:variant>
        <vt:i4>2031670</vt:i4>
      </vt:variant>
      <vt:variant>
        <vt:i4>71</vt:i4>
      </vt:variant>
      <vt:variant>
        <vt:i4>0</vt:i4>
      </vt:variant>
      <vt:variant>
        <vt:i4>5</vt:i4>
      </vt:variant>
      <vt:variant>
        <vt:lpwstr/>
      </vt:variant>
      <vt:variant>
        <vt:lpwstr>_Toc327439170</vt:lpwstr>
      </vt:variant>
      <vt:variant>
        <vt:i4>1966134</vt:i4>
      </vt:variant>
      <vt:variant>
        <vt:i4>65</vt:i4>
      </vt:variant>
      <vt:variant>
        <vt:i4>0</vt:i4>
      </vt:variant>
      <vt:variant>
        <vt:i4>5</vt:i4>
      </vt:variant>
      <vt:variant>
        <vt:lpwstr/>
      </vt:variant>
      <vt:variant>
        <vt:lpwstr>_Toc327439169</vt:lpwstr>
      </vt:variant>
      <vt:variant>
        <vt:i4>1966134</vt:i4>
      </vt:variant>
      <vt:variant>
        <vt:i4>59</vt:i4>
      </vt:variant>
      <vt:variant>
        <vt:i4>0</vt:i4>
      </vt:variant>
      <vt:variant>
        <vt:i4>5</vt:i4>
      </vt:variant>
      <vt:variant>
        <vt:lpwstr/>
      </vt:variant>
      <vt:variant>
        <vt:lpwstr>_Toc327439168</vt:lpwstr>
      </vt:variant>
      <vt:variant>
        <vt:i4>1966134</vt:i4>
      </vt:variant>
      <vt:variant>
        <vt:i4>53</vt:i4>
      </vt:variant>
      <vt:variant>
        <vt:i4>0</vt:i4>
      </vt:variant>
      <vt:variant>
        <vt:i4>5</vt:i4>
      </vt:variant>
      <vt:variant>
        <vt:lpwstr/>
      </vt:variant>
      <vt:variant>
        <vt:lpwstr>_Toc327439167</vt:lpwstr>
      </vt:variant>
      <vt:variant>
        <vt:i4>1966134</vt:i4>
      </vt:variant>
      <vt:variant>
        <vt:i4>47</vt:i4>
      </vt:variant>
      <vt:variant>
        <vt:i4>0</vt:i4>
      </vt:variant>
      <vt:variant>
        <vt:i4>5</vt:i4>
      </vt:variant>
      <vt:variant>
        <vt:lpwstr/>
      </vt:variant>
      <vt:variant>
        <vt:lpwstr>_Toc327439166</vt:lpwstr>
      </vt:variant>
      <vt:variant>
        <vt:i4>1966134</vt:i4>
      </vt:variant>
      <vt:variant>
        <vt:i4>41</vt:i4>
      </vt:variant>
      <vt:variant>
        <vt:i4>0</vt:i4>
      </vt:variant>
      <vt:variant>
        <vt:i4>5</vt:i4>
      </vt:variant>
      <vt:variant>
        <vt:lpwstr/>
      </vt:variant>
      <vt:variant>
        <vt:lpwstr>_Toc327439165</vt:lpwstr>
      </vt:variant>
      <vt:variant>
        <vt:i4>1966134</vt:i4>
      </vt:variant>
      <vt:variant>
        <vt:i4>35</vt:i4>
      </vt:variant>
      <vt:variant>
        <vt:i4>0</vt:i4>
      </vt:variant>
      <vt:variant>
        <vt:i4>5</vt:i4>
      </vt:variant>
      <vt:variant>
        <vt:lpwstr/>
      </vt:variant>
      <vt:variant>
        <vt:lpwstr>_Toc327439164</vt:lpwstr>
      </vt:variant>
      <vt:variant>
        <vt:i4>1966134</vt:i4>
      </vt:variant>
      <vt:variant>
        <vt:i4>29</vt:i4>
      </vt:variant>
      <vt:variant>
        <vt:i4>0</vt:i4>
      </vt:variant>
      <vt:variant>
        <vt:i4>5</vt:i4>
      </vt:variant>
      <vt:variant>
        <vt:lpwstr/>
      </vt:variant>
      <vt:variant>
        <vt:lpwstr>_Toc327439163</vt:lpwstr>
      </vt:variant>
      <vt:variant>
        <vt:i4>1966134</vt:i4>
      </vt:variant>
      <vt:variant>
        <vt:i4>23</vt:i4>
      </vt:variant>
      <vt:variant>
        <vt:i4>0</vt:i4>
      </vt:variant>
      <vt:variant>
        <vt:i4>5</vt:i4>
      </vt:variant>
      <vt:variant>
        <vt:lpwstr/>
      </vt:variant>
      <vt:variant>
        <vt:lpwstr>_Toc327439162</vt:lpwstr>
      </vt:variant>
      <vt:variant>
        <vt:i4>1966134</vt:i4>
      </vt:variant>
      <vt:variant>
        <vt:i4>17</vt:i4>
      </vt:variant>
      <vt:variant>
        <vt:i4>0</vt:i4>
      </vt:variant>
      <vt:variant>
        <vt:i4>5</vt:i4>
      </vt:variant>
      <vt:variant>
        <vt:lpwstr/>
      </vt:variant>
      <vt:variant>
        <vt:lpwstr>_Toc327439161</vt:lpwstr>
      </vt:variant>
      <vt:variant>
        <vt:i4>1966134</vt:i4>
      </vt:variant>
      <vt:variant>
        <vt:i4>11</vt:i4>
      </vt:variant>
      <vt:variant>
        <vt:i4>0</vt:i4>
      </vt:variant>
      <vt:variant>
        <vt:i4>5</vt:i4>
      </vt:variant>
      <vt:variant>
        <vt:lpwstr/>
      </vt:variant>
      <vt:variant>
        <vt:lpwstr>_Toc327439160</vt:lpwstr>
      </vt:variant>
      <vt:variant>
        <vt:i4>1900598</vt:i4>
      </vt:variant>
      <vt:variant>
        <vt:i4>5</vt:i4>
      </vt:variant>
      <vt:variant>
        <vt:i4>0</vt:i4>
      </vt:variant>
      <vt:variant>
        <vt:i4>5</vt:i4>
      </vt:variant>
      <vt:variant>
        <vt:lpwstr/>
      </vt:variant>
      <vt:variant>
        <vt:lpwstr>_Toc327439159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sandra elizabeth oldynski</cp:lastModifiedBy>
  <cp:revision>2</cp:revision>
  <cp:lastPrinted>2012-11-15T14:16:00Z</cp:lastPrinted>
  <dcterms:created xsi:type="dcterms:W3CDTF">2012-11-15T14:30:00Z</dcterms:created>
  <dcterms:modified xsi:type="dcterms:W3CDTF">2012-11-15T14:30:00Z</dcterms:modified>
</cp:coreProperties>
</file>