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57291C" w:rsidRDefault="008E4FD6" w:rsidP="008E4FD6">
      <w:pPr>
        <w:jc w:val="center"/>
        <w:rPr>
          <w:b/>
        </w:rPr>
      </w:pPr>
      <w:r w:rsidRPr="0057291C">
        <w:rPr>
          <w:b/>
        </w:rPr>
        <w:t>BEFORE THE</w:t>
      </w:r>
    </w:p>
    <w:p w:rsidR="008E4FD6" w:rsidRPr="00B06020" w:rsidRDefault="008E4FD6" w:rsidP="008E4FD6">
      <w:pPr>
        <w:jc w:val="center"/>
      </w:pPr>
      <w:r w:rsidRPr="0057291C">
        <w:rPr>
          <w:b/>
        </w:rPr>
        <w:t>PENNSYLVANIA PUBLIC UTILITY COMMISSION</w:t>
      </w:r>
    </w:p>
    <w:p w:rsidR="008E4FD6" w:rsidRPr="00B06020" w:rsidRDefault="008E4FD6" w:rsidP="008E4FD6">
      <w:pPr>
        <w:jc w:val="center"/>
      </w:pPr>
    </w:p>
    <w:p w:rsidR="008E4FD6" w:rsidRPr="00B06020" w:rsidRDefault="008E4FD6" w:rsidP="008E4FD6">
      <w:pPr>
        <w:jc w:val="center"/>
      </w:pPr>
    </w:p>
    <w:p w:rsidR="008E4FD6" w:rsidRPr="00B06020" w:rsidRDefault="008E4FD6" w:rsidP="008E4FD6">
      <w:pPr>
        <w:jc w:val="center"/>
      </w:pPr>
    </w:p>
    <w:p w:rsidR="00F9732A" w:rsidRPr="00B06020" w:rsidRDefault="0012177E" w:rsidP="00F9732A">
      <w:r w:rsidRPr="00B06020">
        <w:t xml:space="preserve">John </w:t>
      </w:r>
      <w:proofErr w:type="spellStart"/>
      <w:r w:rsidRPr="00B06020">
        <w:t>Rotthoff</w:t>
      </w:r>
      <w:proofErr w:type="spellEnd"/>
      <w:r w:rsidRPr="00B06020">
        <w:tab/>
      </w:r>
      <w:r w:rsidRPr="00B06020">
        <w:tab/>
      </w:r>
      <w:r w:rsidR="00BC7989" w:rsidRPr="00B06020">
        <w:tab/>
      </w:r>
      <w:r w:rsidR="00F9732A" w:rsidRPr="00B06020">
        <w:tab/>
      </w:r>
      <w:r w:rsidR="00EF7BB1" w:rsidRPr="00B06020">
        <w:tab/>
      </w:r>
      <w:r w:rsidR="00F9732A" w:rsidRPr="00B06020">
        <w:tab/>
        <w:t>:</w:t>
      </w:r>
      <w:r w:rsidR="00F9732A" w:rsidRPr="00B06020">
        <w:tab/>
      </w:r>
    </w:p>
    <w:p w:rsidR="00F9732A" w:rsidRPr="00B06020" w:rsidRDefault="00F9732A" w:rsidP="00F9732A">
      <w:r w:rsidRPr="00B06020">
        <w:tab/>
      </w:r>
      <w:r w:rsidRPr="00B06020">
        <w:tab/>
      </w:r>
      <w:r w:rsidRPr="00B06020">
        <w:tab/>
      </w:r>
      <w:r w:rsidRPr="00B06020">
        <w:tab/>
      </w:r>
      <w:r w:rsidRPr="00B06020">
        <w:tab/>
      </w:r>
      <w:r w:rsidRPr="00B06020">
        <w:tab/>
      </w:r>
      <w:r w:rsidRPr="00B06020">
        <w:tab/>
        <w:t>:</w:t>
      </w:r>
    </w:p>
    <w:p w:rsidR="00F9732A" w:rsidRPr="00B06020" w:rsidRDefault="00F9732A" w:rsidP="00F6612B">
      <w:pPr>
        <w:numPr>
          <w:ilvl w:val="0"/>
          <w:numId w:val="5"/>
        </w:numPr>
        <w:ind w:hanging="4320"/>
      </w:pPr>
      <w:r w:rsidRPr="00B06020">
        <w:t>:</w:t>
      </w:r>
      <w:r w:rsidRPr="00B06020">
        <w:tab/>
      </w:r>
      <w:r w:rsidR="00F6612B" w:rsidRPr="00B06020">
        <w:tab/>
      </w:r>
      <w:r w:rsidR="0012177E" w:rsidRPr="00B06020">
        <w:t>C-2012-2305684</w:t>
      </w:r>
    </w:p>
    <w:p w:rsidR="00F9732A" w:rsidRPr="00B06020" w:rsidRDefault="00F9732A" w:rsidP="00F9732A">
      <w:pPr>
        <w:ind w:left="5040"/>
      </w:pPr>
      <w:r w:rsidRPr="00B06020">
        <w:t>:</w:t>
      </w:r>
    </w:p>
    <w:p w:rsidR="00F9732A" w:rsidRPr="00B06020" w:rsidRDefault="00F9732A" w:rsidP="00F9732A">
      <w:r w:rsidRPr="00B06020">
        <w:t>Duquesne Light Company</w:t>
      </w:r>
      <w:r w:rsidRPr="00B06020">
        <w:tab/>
      </w:r>
      <w:r w:rsidRPr="00B06020">
        <w:tab/>
        <w:t xml:space="preserve"> </w:t>
      </w:r>
      <w:r w:rsidRPr="00B06020">
        <w:tab/>
      </w:r>
      <w:r w:rsidRPr="00B06020">
        <w:tab/>
        <w:t>:</w:t>
      </w:r>
    </w:p>
    <w:p w:rsidR="00F9732A" w:rsidRPr="00B06020" w:rsidRDefault="00F9732A" w:rsidP="00F9732A">
      <w:r w:rsidRPr="00B06020">
        <w:tab/>
      </w:r>
      <w:r w:rsidRPr="00B06020">
        <w:tab/>
      </w:r>
      <w:r w:rsidRPr="00B06020">
        <w:tab/>
      </w:r>
      <w:r w:rsidRPr="00B06020">
        <w:tab/>
      </w:r>
      <w:r w:rsidRPr="00B06020">
        <w:tab/>
      </w:r>
      <w:r w:rsidRPr="00B06020">
        <w:tab/>
      </w:r>
      <w:r w:rsidRPr="00B06020">
        <w:tab/>
      </w:r>
    </w:p>
    <w:p w:rsidR="008E4FD6" w:rsidRPr="00B06020" w:rsidRDefault="008E4FD6" w:rsidP="008E4FD6">
      <w:pPr>
        <w:tabs>
          <w:tab w:val="left" w:pos="1076"/>
        </w:tabs>
      </w:pPr>
    </w:p>
    <w:p w:rsidR="008E4FD6" w:rsidRPr="00B06020" w:rsidRDefault="008E4FD6" w:rsidP="008E4FD6">
      <w:pPr>
        <w:tabs>
          <w:tab w:val="left" w:pos="1076"/>
        </w:tabs>
      </w:pPr>
    </w:p>
    <w:p w:rsidR="008E4FD6" w:rsidRPr="0057291C" w:rsidRDefault="008E4FD6" w:rsidP="008E4FD6">
      <w:pPr>
        <w:jc w:val="center"/>
        <w:rPr>
          <w:b/>
          <w:u w:val="single"/>
        </w:rPr>
      </w:pPr>
      <w:r w:rsidRPr="0057291C">
        <w:rPr>
          <w:b/>
          <w:u w:val="single"/>
        </w:rPr>
        <w:t>INITIAL DECISION</w:t>
      </w:r>
    </w:p>
    <w:p w:rsidR="008E4FD6" w:rsidRPr="00B06020" w:rsidRDefault="008E4FD6" w:rsidP="008E4FD6">
      <w:pPr>
        <w:jc w:val="center"/>
      </w:pPr>
    </w:p>
    <w:p w:rsidR="009D47A5" w:rsidRPr="00B06020" w:rsidRDefault="009D47A5" w:rsidP="008E4FD6">
      <w:pPr>
        <w:jc w:val="center"/>
      </w:pPr>
    </w:p>
    <w:p w:rsidR="008E4FD6" w:rsidRPr="00B06020" w:rsidRDefault="008E4FD6" w:rsidP="008E4FD6">
      <w:pPr>
        <w:jc w:val="center"/>
      </w:pPr>
      <w:r w:rsidRPr="00B06020">
        <w:t>Before</w:t>
      </w:r>
    </w:p>
    <w:p w:rsidR="008E4FD6" w:rsidRPr="00B06020" w:rsidRDefault="00DF0974" w:rsidP="008E4FD6">
      <w:pPr>
        <w:jc w:val="center"/>
      </w:pPr>
      <w:r w:rsidRPr="00B06020">
        <w:t>Katrina L. Dunderdale</w:t>
      </w:r>
    </w:p>
    <w:p w:rsidR="008E4FD6" w:rsidRPr="00B06020" w:rsidRDefault="008E4FD6" w:rsidP="008E4FD6">
      <w:pPr>
        <w:jc w:val="center"/>
      </w:pPr>
      <w:r w:rsidRPr="00B06020">
        <w:t>Administrative Law Judge</w:t>
      </w:r>
    </w:p>
    <w:p w:rsidR="008E4FD6" w:rsidRPr="00B06020" w:rsidRDefault="008E4FD6" w:rsidP="008E4FD6">
      <w:pPr>
        <w:jc w:val="center"/>
      </w:pPr>
    </w:p>
    <w:p w:rsidR="008E4FD6" w:rsidRPr="00B06020" w:rsidRDefault="008E4FD6" w:rsidP="008E4FD6">
      <w:pPr>
        <w:jc w:val="center"/>
      </w:pPr>
    </w:p>
    <w:p w:rsidR="00F9732A" w:rsidRDefault="008E4FD6" w:rsidP="00F9732A">
      <w:pPr>
        <w:jc w:val="center"/>
        <w:rPr>
          <w:u w:val="single"/>
        </w:rPr>
      </w:pPr>
      <w:r w:rsidRPr="00B06020">
        <w:rPr>
          <w:u w:val="single"/>
        </w:rPr>
        <w:t>HISTORY OF THE PROCEEDING</w:t>
      </w:r>
    </w:p>
    <w:p w:rsidR="0057291C" w:rsidRPr="00B06020" w:rsidRDefault="0057291C" w:rsidP="00F9732A">
      <w:pPr>
        <w:jc w:val="center"/>
        <w:rPr>
          <w:u w:val="single"/>
        </w:rPr>
      </w:pPr>
    </w:p>
    <w:p w:rsidR="00F9732A" w:rsidRPr="00B06020" w:rsidRDefault="00F9732A" w:rsidP="00F9732A">
      <w:pPr>
        <w:jc w:val="center"/>
        <w:rPr>
          <w:u w:val="single"/>
        </w:rPr>
      </w:pPr>
    </w:p>
    <w:p w:rsidR="00F84892" w:rsidRDefault="00F84892" w:rsidP="00F84892">
      <w:pPr>
        <w:spacing w:line="360" w:lineRule="auto"/>
        <w:ind w:firstLine="1440"/>
      </w:pPr>
      <w:r w:rsidRPr="00E007DC">
        <w:t xml:space="preserve">On </w:t>
      </w:r>
      <w:r>
        <w:t>May 21, 2012</w:t>
      </w:r>
      <w:r w:rsidRPr="00E007DC">
        <w:t xml:space="preserve">, </w:t>
      </w:r>
      <w:r>
        <w:t xml:space="preserve">John </w:t>
      </w:r>
      <w:proofErr w:type="spellStart"/>
      <w:r>
        <w:t>Rotthoff</w:t>
      </w:r>
      <w:proofErr w:type="spellEnd"/>
      <w:r>
        <w:t xml:space="preserve"> (“Complainant”) </w:t>
      </w:r>
      <w:r w:rsidRPr="00E007DC">
        <w:t xml:space="preserve">filed </w:t>
      </w:r>
      <w:r>
        <w:t xml:space="preserve">a formal complaint </w:t>
      </w:r>
      <w:r w:rsidR="00341B7A">
        <w:t xml:space="preserve">with the Pennsylvania Public Utility Commission </w:t>
      </w:r>
      <w:r w:rsidR="00293B46">
        <w:t xml:space="preserve">(“Commission”) </w:t>
      </w:r>
      <w:r w:rsidR="00341B7A">
        <w:t>alleging</w:t>
      </w:r>
      <w:r>
        <w:t xml:space="preserve"> Duquesne Light Company (“Respondent” or “Duquesne Light”) </w:t>
      </w:r>
      <w:r w:rsidR="00706B58">
        <w:t xml:space="preserve">terminated service for an improper reason and in an improper manner.  In addition, Complainant alleged he was charged an excessive amount for electric service.  </w:t>
      </w:r>
      <w:r>
        <w:t>On June 12, 2012, Respondent filed an Answer with the Commission.</w:t>
      </w:r>
    </w:p>
    <w:p w:rsidR="00F84892" w:rsidRDefault="00F84892" w:rsidP="00F84892">
      <w:pPr>
        <w:spacing w:line="360" w:lineRule="auto"/>
        <w:ind w:firstLine="1440"/>
      </w:pPr>
    </w:p>
    <w:p w:rsidR="00F84892" w:rsidRDefault="00F84892" w:rsidP="00F84892">
      <w:pPr>
        <w:spacing w:line="360" w:lineRule="auto"/>
        <w:ind w:firstLine="1440"/>
      </w:pPr>
      <w:r>
        <w:t>On July 9, 2012, the Commission issued a Telephone Hearing Notice scheduling this matter for an initial telephonic hearing on Wednesday, August 15, 2012 from the Commission’s offices in Pittsburgh, Pennsylvania.  On July 11, 2012, the undersigned issued a Prehearing Order to the parties directing the parties on various preliminary matters.</w:t>
      </w:r>
    </w:p>
    <w:p w:rsidR="00F84892" w:rsidRDefault="00F84892" w:rsidP="00F84892">
      <w:pPr>
        <w:spacing w:line="360" w:lineRule="auto"/>
        <w:ind w:firstLine="1440"/>
      </w:pPr>
    </w:p>
    <w:p w:rsidR="00F84892" w:rsidRDefault="00F84892" w:rsidP="00F84892">
      <w:pPr>
        <w:spacing w:line="360" w:lineRule="auto"/>
        <w:ind w:firstLine="1440"/>
      </w:pPr>
      <w:r>
        <w:t xml:space="preserve">On July 23, 2012, Complainant submitted a written request for a continuance because he previously scheduled a vacation in Hawaii on August 15, 2012.  Thereafter, on </w:t>
      </w:r>
    </w:p>
    <w:p w:rsidR="00B06020" w:rsidRPr="00B06020" w:rsidRDefault="00F84892" w:rsidP="00B06020">
      <w:pPr>
        <w:spacing w:line="360" w:lineRule="auto"/>
      </w:pPr>
      <w:r>
        <w:lastRenderedPageBreak/>
        <w:t>July 27, 2012</w:t>
      </w:r>
      <w:r w:rsidR="00B06020" w:rsidRPr="00B06020">
        <w:t xml:space="preserve">, the Office of Administrative Law Judge issued a </w:t>
      </w:r>
      <w:r>
        <w:t>Hearing Cancellation/Reschedule</w:t>
      </w:r>
      <w:r w:rsidR="00B06020" w:rsidRPr="00B06020">
        <w:t xml:space="preserve"> Notice, which scheduled </w:t>
      </w:r>
      <w:r>
        <w:t>the</w:t>
      </w:r>
      <w:r w:rsidR="00B06020" w:rsidRPr="00B06020">
        <w:t xml:space="preserve"> initial telephonic hearing to be conducted on </w:t>
      </w:r>
      <w:r>
        <w:t>Monday, September</w:t>
      </w:r>
      <w:r w:rsidR="0033342F">
        <w:t> </w:t>
      </w:r>
      <w:r>
        <w:t>10, 2012</w:t>
      </w:r>
      <w:r w:rsidR="00B06020" w:rsidRPr="00B06020">
        <w:t xml:space="preserve">.  </w:t>
      </w:r>
    </w:p>
    <w:p w:rsidR="00B06020" w:rsidRPr="00B06020" w:rsidRDefault="00B06020" w:rsidP="00B06020">
      <w:pPr>
        <w:spacing w:line="360" w:lineRule="auto"/>
      </w:pPr>
    </w:p>
    <w:p w:rsidR="00B06020" w:rsidRPr="00B06020" w:rsidRDefault="00B06020" w:rsidP="00B06020">
      <w:pPr>
        <w:spacing w:line="360" w:lineRule="auto"/>
        <w:ind w:firstLine="1440"/>
      </w:pPr>
      <w:r w:rsidRPr="00B06020">
        <w:t xml:space="preserve">The presiding officer convened the initial telephonic hearing as scheduled on </w:t>
      </w:r>
      <w:r w:rsidR="00F84892">
        <w:t>September 10, 2012</w:t>
      </w:r>
      <w:r w:rsidRPr="00B06020">
        <w:t xml:space="preserve">.  Complainant appeared </w:t>
      </w:r>
      <w:r w:rsidRPr="00B06020">
        <w:rPr>
          <w:i/>
        </w:rPr>
        <w:t>pro se</w:t>
      </w:r>
      <w:r w:rsidRPr="00B06020">
        <w:t xml:space="preserve"> and testified on his own behalf.  Respondent was represented by </w:t>
      </w:r>
      <w:r w:rsidR="00F84892">
        <w:t>Jennifer L. Allison</w:t>
      </w:r>
      <w:r w:rsidRPr="00B06020">
        <w:t xml:space="preserve">, Esquire.  Attorney </w:t>
      </w:r>
      <w:r w:rsidR="00F84892">
        <w:t>Allison</w:t>
      </w:r>
      <w:r w:rsidRPr="00B06020">
        <w:t xml:space="preserve"> presented the testimony of </w:t>
      </w:r>
      <w:r w:rsidR="00F84892">
        <w:t>one</w:t>
      </w:r>
      <w:r w:rsidRPr="00B06020">
        <w:t xml:space="preserve"> witness, and offered </w:t>
      </w:r>
      <w:r w:rsidR="00F84892">
        <w:t>four</w:t>
      </w:r>
      <w:r w:rsidRPr="00B06020">
        <w:t xml:space="preserve"> exhibits, marked </w:t>
      </w:r>
      <w:r w:rsidR="00F84892">
        <w:t>Duquesne Light</w:t>
      </w:r>
      <w:r w:rsidRPr="00B06020">
        <w:t xml:space="preserve"> Exhibits 1</w:t>
      </w:r>
      <w:r w:rsidR="00F84892">
        <w:t xml:space="preserve"> through 4</w:t>
      </w:r>
      <w:r w:rsidRPr="00B06020">
        <w:t>, which exhibit</w:t>
      </w:r>
      <w:r w:rsidR="00F84892">
        <w:t xml:space="preserve">s were admitted into evidence at the hearing.  </w:t>
      </w:r>
      <w:r w:rsidRPr="00B06020">
        <w:t xml:space="preserve">The transcript of the hearing contains </w:t>
      </w:r>
      <w:r w:rsidR="00F84892">
        <w:t>sixty</w:t>
      </w:r>
      <w:r w:rsidR="00545F7B">
        <w:noBreakHyphen/>
      </w:r>
      <w:r w:rsidR="00F84892">
        <w:t>eight (6</w:t>
      </w:r>
      <w:r w:rsidRPr="00B06020">
        <w:t xml:space="preserve">8) pages and was received by the presiding officer on </w:t>
      </w:r>
      <w:r w:rsidR="00F84892">
        <w:t>September</w:t>
      </w:r>
      <w:r w:rsidRPr="00B06020">
        <w:t xml:space="preserve"> </w:t>
      </w:r>
      <w:r w:rsidR="00F84892">
        <w:t>2</w:t>
      </w:r>
      <w:r w:rsidRPr="00B06020">
        <w:t xml:space="preserve">4, 2012.  Complainant and Respondent issued final statements on the hearing record in lieu of filing briefs.  </w:t>
      </w:r>
    </w:p>
    <w:p w:rsidR="00B06020" w:rsidRPr="00B06020" w:rsidRDefault="00B06020" w:rsidP="00B06020">
      <w:pPr>
        <w:tabs>
          <w:tab w:val="left" w:pos="2160"/>
        </w:tabs>
        <w:spacing w:line="360" w:lineRule="auto"/>
        <w:ind w:firstLine="1440"/>
      </w:pPr>
    </w:p>
    <w:p w:rsidR="00B06020" w:rsidRPr="00B06020" w:rsidRDefault="00B06020" w:rsidP="00B06020">
      <w:pPr>
        <w:tabs>
          <w:tab w:val="left" w:pos="2160"/>
        </w:tabs>
        <w:spacing w:line="360" w:lineRule="auto"/>
        <w:ind w:firstLine="1440"/>
      </w:pPr>
      <w:r w:rsidRPr="00B06020">
        <w:t xml:space="preserve">On </w:t>
      </w:r>
      <w:r w:rsidR="00F84892">
        <w:t>October 1</w:t>
      </w:r>
      <w:r w:rsidRPr="00B06020">
        <w:t>, 2012, the presiding officer closed the hearing record by Interim Order Closing the Hearing Record.</w:t>
      </w:r>
    </w:p>
    <w:p w:rsidR="00B06020" w:rsidRPr="00B06020" w:rsidRDefault="00B06020" w:rsidP="00F84892">
      <w:pPr>
        <w:tabs>
          <w:tab w:val="left" w:pos="2160"/>
        </w:tabs>
        <w:spacing w:line="360" w:lineRule="auto"/>
      </w:pPr>
    </w:p>
    <w:p w:rsidR="00B06020" w:rsidRPr="00B06020" w:rsidRDefault="00B06020" w:rsidP="00F84892">
      <w:pPr>
        <w:tabs>
          <w:tab w:val="left" w:pos="2160"/>
        </w:tabs>
        <w:spacing w:line="360" w:lineRule="auto"/>
        <w:jc w:val="center"/>
        <w:rPr>
          <w:u w:val="single"/>
        </w:rPr>
      </w:pPr>
      <w:r w:rsidRPr="00B06020">
        <w:rPr>
          <w:u w:val="single"/>
        </w:rPr>
        <w:t>FINDINGS OF FACT</w:t>
      </w:r>
    </w:p>
    <w:p w:rsidR="00B06020" w:rsidRPr="00B06020" w:rsidRDefault="00B06020" w:rsidP="00B06020">
      <w:pPr>
        <w:tabs>
          <w:tab w:val="left" w:pos="2160"/>
        </w:tabs>
        <w:spacing w:line="360" w:lineRule="auto"/>
        <w:rPr>
          <w:u w:val="single"/>
        </w:rPr>
      </w:pPr>
    </w:p>
    <w:p w:rsidR="00B06020" w:rsidRPr="00B06020" w:rsidRDefault="00B06020" w:rsidP="00B06020">
      <w:pPr>
        <w:tabs>
          <w:tab w:val="left" w:pos="2160"/>
        </w:tabs>
        <w:spacing w:line="360" w:lineRule="auto"/>
        <w:ind w:firstLine="1440"/>
      </w:pPr>
      <w:r w:rsidRPr="00B06020">
        <w:t>1.</w:t>
      </w:r>
      <w:r w:rsidRPr="00B06020">
        <w:tab/>
        <w:t xml:space="preserve">Complainant, </w:t>
      </w:r>
      <w:r w:rsidR="00F84892">
        <w:t xml:space="preserve">John </w:t>
      </w:r>
      <w:proofErr w:type="spellStart"/>
      <w:r w:rsidR="00F84892">
        <w:t>Rotthoff</w:t>
      </w:r>
      <w:proofErr w:type="spellEnd"/>
      <w:r w:rsidRPr="00B06020">
        <w:t>, resides</w:t>
      </w:r>
      <w:r w:rsidR="00F84892">
        <w:t xml:space="preserve"> at 312 </w:t>
      </w:r>
      <w:proofErr w:type="spellStart"/>
      <w:r w:rsidR="00F84892">
        <w:t>Lavina</w:t>
      </w:r>
      <w:proofErr w:type="spellEnd"/>
      <w:r w:rsidR="00F84892">
        <w:t xml:space="preserve"> Avenue,</w:t>
      </w:r>
      <w:r w:rsidRPr="00B06020">
        <w:t xml:space="preserve"> </w:t>
      </w:r>
      <w:r w:rsidR="00F84892">
        <w:t>Pittsburgh, Pennsylvania</w:t>
      </w:r>
      <w:r w:rsidRPr="00B06020">
        <w:t xml:space="preserve"> </w:t>
      </w:r>
      <w:r w:rsidR="0032538F">
        <w:t>(“service address”).</w:t>
      </w:r>
      <w:r w:rsidRPr="00B06020">
        <w:t xml:space="preserve">  </w:t>
      </w:r>
      <w:proofErr w:type="gramStart"/>
      <w:r w:rsidR="00D44935">
        <w:t>(Tr. 9).</w:t>
      </w:r>
      <w:proofErr w:type="gramEnd"/>
    </w:p>
    <w:p w:rsidR="00B06020" w:rsidRPr="00B06020" w:rsidRDefault="00B06020" w:rsidP="00B06020">
      <w:pPr>
        <w:tabs>
          <w:tab w:val="left" w:pos="2160"/>
        </w:tabs>
        <w:spacing w:line="360" w:lineRule="auto"/>
        <w:ind w:firstLine="1440"/>
      </w:pPr>
    </w:p>
    <w:p w:rsidR="00B06020" w:rsidRDefault="00B06020" w:rsidP="00B06020">
      <w:pPr>
        <w:tabs>
          <w:tab w:val="left" w:pos="2160"/>
        </w:tabs>
        <w:spacing w:line="360" w:lineRule="auto"/>
        <w:ind w:firstLine="1440"/>
      </w:pPr>
      <w:r w:rsidRPr="00B06020">
        <w:t>2.</w:t>
      </w:r>
      <w:r w:rsidRPr="00B06020">
        <w:tab/>
      </w:r>
      <w:r w:rsidR="00D44935">
        <w:t xml:space="preserve">Respondent currently provides electric service to Complainant at the service address.  </w:t>
      </w:r>
      <w:proofErr w:type="gramStart"/>
      <w:r w:rsidR="00D44935">
        <w:t>(Tr. 10).</w:t>
      </w:r>
      <w:proofErr w:type="gramEnd"/>
    </w:p>
    <w:p w:rsidR="00432AAC" w:rsidRDefault="00432AAC" w:rsidP="00B06020">
      <w:pPr>
        <w:tabs>
          <w:tab w:val="left" w:pos="2160"/>
        </w:tabs>
        <w:spacing w:line="360" w:lineRule="auto"/>
        <w:ind w:firstLine="1440"/>
      </w:pPr>
    </w:p>
    <w:p w:rsidR="00432AAC" w:rsidRDefault="00432AAC" w:rsidP="00B06020">
      <w:pPr>
        <w:tabs>
          <w:tab w:val="left" w:pos="2160"/>
        </w:tabs>
        <w:spacing w:line="360" w:lineRule="auto"/>
        <w:ind w:firstLine="1440"/>
      </w:pPr>
      <w:r>
        <w:t>3.</w:t>
      </w:r>
      <w:r>
        <w:tab/>
        <w:t xml:space="preserve">On December 10, 2010, Complainant’s residence caught fire and was not habitable until January 16, 2012.  </w:t>
      </w:r>
      <w:proofErr w:type="gramStart"/>
      <w:r>
        <w:t>(Tr. 19, 20).</w:t>
      </w:r>
      <w:proofErr w:type="gramEnd"/>
    </w:p>
    <w:p w:rsidR="00706B58" w:rsidRDefault="00706B58" w:rsidP="00B06020">
      <w:pPr>
        <w:tabs>
          <w:tab w:val="left" w:pos="2160"/>
        </w:tabs>
        <w:spacing w:line="360" w:lineRule="auto"/>
        <w:ind w:firstLine="1440"/>
      </w:pPr>
    </w:p>
    <w:p w:rsidR="00706B58" w:rsidRDefault="00706B58" w:rsidP="00B06020">
      <w:pPr>
        <w:tabs>
          <w:tab w:val="left" w:pos="2160"/>
        </w:tabs>
        <w:spacing w:line="360" w:lineRule="auto"/>
        <w:ind w:firstLine="1440"/>
      </w:pPr>
      <w:r>
        <w:t>4.</w:t>
      </w:r>
      <w:r>
        <w:tab/>
        <w:t xml:space="preserve">To make his residence habitable again, Complainant hired contractors to “gut” the residence and restore it back into a residence.  </w:t>
      </w:r>
      <w:proofErr w:type="gramStart"/>
      <w:r>
        <w:t>(Tr. 30).</w:t>
      </w:r>
      <w:proofErr w:type="gramEnd"/>
    </w:p>
    <w:p w:rsidR="00706B58" w:rsidRDefault="00706B58" w:rsidP="00B06020">
      <w:pPr>
        <w:tabs>
          <w:tab w:val="left" w:pos="2160"/>
        </w:tabs>
        <w:spacing w:line="360" w:lineRule="auto"/>
        <w:ind w:firstLine="1440"/>
      </w:pPr>
    </w:p>
    <w:p w:rsidR="00706B58" w:rsidRDefault="00706B58" w:rsidP="00B06020">
      <w:pPr>
        <w:tabs>
          <w:tab w:val="left" w:pos="2160"/>
        </w:tabs>
        <w:spacing w:line="360" w:lineRule="auto"/>
        <w:ind w:firstLine="1440"/>
      </w:pPr>
      <w:r>
        <w:t>5.</w:t>
      </w:r>
      <w:r>
        <w:tab/>
        <w:t xml:space="preserve">The contractors used a two-plug receptacle provided by Respondent during the restoration work in addition to using their own generator.  </w:t>
      </w:r>
      <w:proofErr w:type="gramStart"/>
      <w:r>
        <w:t>(Tr. 31).</w:t>
      </w:r>
      <w:proofErr w:type="gramEnd"/>
    </w:p>
    <w:p w:rsidR="00432AAC" w:rsidRDefault="0032538F" w:rsidP="00B06020">
      <w:pPr>
        <w:tabs>
          <w:tab w:val="left" w:pos="2160"/>
        </w:tabs>
        <w:spacing w:line="360" w:lineRule="auto"/>
        <w:ind w:firstLine="1440"/>
      </w:pPr>
      <w:r>
        <w:lastRenderedPageBreak/>
        <w:t>6</w:t>
      </w:r>
      <w:r w:rsidR="00432AAC">
        <w:t>.</w:t>
      </w:r>
      <w:r w:rsidR="00432AAC">
        <w:tab/>
        <w:t>Complainant found the money Respondent said was owed for his electric service from December 2010 until January 2012 to be “ridiculous” because there was only one two-plug receptacle available for use at the service address duri</w:t>
      </w:r>
      <w:r w:rsidR="00950B5B">
        <w:t xml:space="preserve">ng reconstruction.  </w:t>
      </w:r>
      <w:proofErr w:type="gramStart"/>
      <w:r w:rsidR="00950B5B">
        <w:t>(Tr. 20, 21</w:t>
      </w:r>
      <w:r w:rsidR="00432AAC">
        <w:t>).</w:t>
      </w:r>
      <w:proofErr w:type="gramEnd"/>
    </w:p>
    <w:p w:rsidR="00A04046" w:rsidRDefault="00A04046" w:rsidP="00B06020">
      <w:pPr>
        <w:tabs>
          <w:tab w:val="left" w:pos="2160"/>
        </w:tabs>
        <w:spacing w:line="360" w:lineRule="auto"/>
        <w:ind w:firstLine="1440"/>
      </w:pPr>
    </w:p>
    <w:p w:rsidR="00A04046" w:rsidRDefault="0032538F" w:rsidP="00B06020">
      <w:pPr>
        <w:tabs>
          <w:tab w:val="left" w:pos="2160"/>
        </w:tabs>
        <w:spacing w:line="360" w:lineRule="auto"/>
        <w:ind w:firstLine="1440"/>
      </w:pPr>
      <w:r>
        <w:t>7</w:t>
      </w:r>
      <w:r w:rsidR="00A04046">
        <w:t>.</w:t>
      </w:r>
      <w:r w:rsidR="00A04046">
        <w:tab/>
        <w:t xml:space="preserve">During reconstruction, Complainant asked Respondent to forward his billing statements to his daughter’s residence where he resided temporarily.  </w:t>
      </w:r>
      <w:proofErr w:type="gramStart"/>
      <w:r w:rsidR="00A04046">
        <w:t>(Tr. 33).</w:t>
      </w:r>
      <w:proofErr w:type="gramEnd"/>
    </w:p>
    <w:p w:rsidR="00950B5B" w:rsidRDefault="00950B5B" w:rsidP="00B06020">
      <w:pPr>
        <w:tabs>
          <w:tab w:val="left" w:pos="2160"/>
        </w:tabs>
        <w:spacing w:line="360" w:lineRule="auto"/>
        <w:ind w:firstLine="1440"/>
      </w:pPr>
    </w:p>
    <w:p w:rsidR="00950B5B" w:rsidRDefault="00950B5B" w:rsidP="00B06020">
      <w:pPr>
        <w:tabs>
          <w:tab w:val="left" w:pos="2160"/>
        </w:tabs>
        <w:spacing w:line="360" w:lineRule="auto"/>
        <w:ind w:firstLine="1440"/>
      </w:pPr>
      <w:r>
        <w:t>8.</w:t>
      </w:r>
      <w:r>
        <w:tab/>
        <w:t xml:space="preserve">Complainant made regular payments on his electric service account with Duquesne Light from the time of the fire (December 2010) until August 2011.  </w:t>
      </w:r>
      <w:proofErr w:type="gramStart"/>
      <w:r>
        <w:t>(Respondent Exhibit 1).</w:t>
      </w:r>
      <w:proofErr w:type="gramEnd"/>
    </w:p>
    <w:p w:rsidR="00950B5B" w:rsidRDefault="00950B5B" w:rsidP="00B06020">
      <w:pPr>
        <w:tabs>
          <w:tab w:val="left" w:pos="2160"/>
        </w:tabs>
        <w:spacing w:line="360" w:lineRule="auto"/>
        <w:ind w:firstLine="1440"/>
      </w:pPr>
    </w:p>
    <w:p w:rsidR="00950B5B" w:rsidRDefault="00950B5B" w:rsidP="00B06020">
      <w:pPr>
        <w:tabs>
          <w:tab w:val="left" w:pos="2160"/>
        </w:tabs>
        <w:spacing w:line="360" w:lineRule="auto"/>
        <w:ind w:firstLine="1440"/>
      </w:pPr>
      <w:r>
        <w:t>9.</w:t>
      </w:r>
      <w:r>
        <w:tab/>
        <w:t xml:space="preserve">From December 2010 through August 2011, Complainant’s billing statements fluctuated from approximately $30 upwards to $200 each month, and averaged $104 per month over the nine month period.  </w:t>
      </w:r>
      <w:proofErr w:type="gramStart"/>
      <w:r>
        <w:t>(Respondent Exhibit 1).</w:t>
      </w:r>
      <w:proofErr w:type="gramEnd"/>
    </w:p>
    <w:p w:rsidR="001D7739" w:rsidRDefault="001D7739" w:rsidP="00B06020">
      <w:pPr>
        <w:tabs>
          <w:tab w:val="left" w:pos="2160"/>
        </w:tabs>
        <w:spacing w:line="360" w:lineRule="auto"/>
        <w:ind w:firstLine="1440"/>
      </w:pPr>
    </w:p>
    <w:p w:rsidR="001D7739" w:rsidRDefault="001D7739" w:rsidP="00B06020">
      <w:pPr>
        <w:tabs>
          <w:tab w:val="left" w:pos="2160"/>
        </w:tabs>
        <w:spacing w:line="360" w:lineRule="auto"/>
        <w:ind w:firstLine="1440"/>
      </w:pPr>
      <w:r>
        <w:t>10.</w:t>
      </w:r>
      <w:r>
        <w:tab/>
        <w:t xml:space="preserve">From August 2011 until May 2012, Complainant did not make a payment on the electric service account with Respondent.  </w:t>
      </w:r>
      <w:proofErr w:type="gramStart"/>
      <w:r>
        <w:t>(Respondent Exhibit 1).</w:t>
      </w:r>
      <w:proofErr w:type="gramEnd"/>
    </w:p>
    <w:p w:rsidR="001D7739" w:rsidRDefault="001D7739" w:rsidP="00B06020">
      <w:pPr>
        <w:tabs>
          <w:tab w:val="left" w:pos="2160"/>
        </w:tabs>
        <w:spacing w:line="360" w:lineRule="auto"/>
        <w:ind w:firstLine="1440"/>
      </w:pPr>
    </w:p>
    <w:p w:rsidR="001D7739" w:rsidRPr="00B06020" w:rsidRDefault="001D7739" w:rsidP="00B06020">
      <w:pPr>
        <w:tabs>
          <w:tab w:val="left" w:pos="2160"/>
        </w:tabs>
        <w:spacing w:line="360" w:lineRule="auto"/>
        <w:ind w:firstLine="1440"/>
      </w:pPr>
      <w:r>
        <w:t>11.</w:t>
      </w:r>
      <w:r>
        <w:tab/>
        <w:t xml:space="preserve">From September 2011 through May 2012, Complainant’s billing statements fluctuated from approximately $135 upwards to $270 each month, and averaged $175 per month over the eight month period.  </w:t>
      </w:r>
      <w:proofErr w:type="gramStart"/>
      <w:r>
        <w:t>(Respondent Exhibit 1).</w:t>
      </w:r>
      <w:proofErr w:type="gramEnd"/>
    </w:p>
    <w:p w:rsidR="00B06020" w:rsidRDefault="00B06020" w:rsidP="00B06020">
      <w:pPr>
        <w:tabs>
          <w:tab w:val="left" w:pos="2160"/>
        </w:tabs>
        <w:spacing w:line="360" w:lineRule="auto"/>
        <w:ind w:firstLine="1440"/>
      </w:pPr>
    </w:p>
    <w:p w:rsidR="00B06020" w:rsidRPr="00B06020" w:rsidRDefault="001D7739" w:rsidP="00B06020">
      <w:pPr>
        <w:tabs>
          <w:tab w:val="left" w:pos="2160"/>
        </w:tabs>
        <w:spacing w:line="360" w:lineRule="auto"/>
        <w:ind w:firstLine="1440"/>
      </w:pPr>
      <w:r>
        <w:t>12</w:t>
      </w:r>
      <w:r w:rsidR="00B06020" w:rsidRPr="00B06020">
        <w:t>.</w:t>
      </w:r>
      <w:r w:rsidR="00B06020" w:rsidRPr="00B06020">
        <w:tab/>
      </w:r>
      <w:r w:rsidR="00432AAC">
        <w:t>Complainant switched to a ne</w:t>
      </w:r>
      <w:r w:rsidR="00BA332A">
        <w:t xml:space="preserve">w electric generation supplier, </w:t>
      </w:r>
      <w:proofErr w:type="spellStart"/>
      <w:r w:rsidR="00BA332A">
        <w:t>Clearview</w:t>
      </w:r>
      <w:proofErr w:type="spellEnd"/>
      <w:r w:rsidR="00BA332A">
        <w:t>, o</w:t>
      </w:r>
      <w:r w:rsidR="00432AAC">
        <w:t xml:space="preserve">n January </w:t>
      </w:r>
      <w:r w:rsidR="00BA332A">
        <w:t xml:space="preserve">17, </w:t>
      </w:r>
      <w:r w:rsidR="00432AAC">
        <w:t>2012</w:t>
      </w:r>
      <w:r w:rsidR="00BA332A">
        <w:t>, with an effective start date on March 15, 2012</w:t>
      </w:r>
      <w:r w:rsidR="00432AAC">
        <w:t xml:space="preserve">.  </w:t>
      </w:r>
      <w:proofErr w:type="gramStart"/>
      <w:r w:rsidR="00432AAC">
        <w:t>(Tr. 16, 18</w:t>
      </w:r>
      <w:r w:rsidR="00BA332A">
        <w:t>, 47</w:t>
      </w:r>
      <w:r w:rsidR="00432AAC">
        <w:t xml:space="preserve">; </w:t>
      </w:r>
      <w:r w:rsidR="00950B5B">
        <w:t xml:space="preserve">Respondent </w:t>
      </w:r>
      <w:r w:rsidR="00432AAC">
        <w:t>Exhibit 1).</w:t>
      </w:r>
      <w:proofErr w:type="gramEnd"/>
    </w:p>
    <w:p w:rsidR="00B06020" w:rsidRDefault="00B06020" w:rsidP="00B06020">
      <w:pPr>
        <w:tabs>
          <w:tab w:val="left" w:pos="2160"/>
        </w:tabs>
        <w:spacing w:line="360" w:lineRule="auto"/>
        <w:ind w:firstLine="1440"/>
      </w:pPr>
    </w:p>
    <w:p w:rsidR="002F0DD9" w:rsidRDefault="002F0DD9" w:rsidP="002F0DD9">
      <w:pPr>
        <w:tabs>
          <w:tab w:val="left" w:pos="2160"/>
        </w:tabs>
        <w:spacing w:line="360" w:lineRule="auto"/>
        <w:ind w:firstLine="1440"/>
      </w:pPr>
      <w:r>
        <w:t>13.</w:t>
      </w:r>
      <w:r>
        <w:tab/>
        <w:t xml:space="preserve">On March 13, 2012, Respondent issued a Termination Notice for the service address and </w:t>
      </w:r>
      <w:r w:rsidR="00FD4E19">
        <w:t>notified Complainant it</w:t>
      </w:r>
      <w:r>
        <w:t xml:space="preserve"> would terminate for non-payment on or after March</w:t>
      </w:r>
      <w:r w:rsidR="00FD4E19">
        <w:t> </w:t>
      </w:r>
      <w:r>
        <w:t xml:space="preserve">23, 2012.  </w:t>
      </w:r>
      <w:proofErr w:type="gramStart"/>
      <w:r>
        <w:t>(Tr. 37, 46).</w:t>
      </w:r>
      <w:proofErr w:type="gramEnd"/>
    </w:p>
    <w:p w:rsidR="002F0DD9" w:rsidRPr="00B06020" w:rsidRDefault="002F0DD9" w:rsidP="00B06020">
      <w:pPr>
        <w:tabs>
          <w:tab w:val="left" w:pos="2160"/>
        </w:tabs>
        <w:spacing w:line="360" w:lineRule="auto"/>
        <w:ind w:firstLine="1440"/>
      </w:pPr>
    </w:p>
    <w:p w:rsidR="00B06020" w:rsidRPr="00B06020" w:rsidRDefault="001D7739" w:rsidP="00B06020">
      <w:pPr>
        <w:tabs>
          <w:tab w:val="left" w:pos="2160"/>
        </w:tabs>
        <w:spacing w:line="360" w:lineRule="auto"/>
        <w:ind w:firstLine="1440"/>
      </w:pPr>
      <w:r>
        <w:lastRenderedPageBreak/>
        <w:t>1</w:t>
      </w:r>
      <w:r w:rsidR="002F0DD9">
        <w:t>4</w:t>
      </w:r>
      <w:r>
        <w:t>.</w:t>
      </w:r>
      <w:r w:rsidR="00B06020" w:rsidRPr="00B06020">
        <w:tab/>
        <w:t xml:space="preserve">  </w:t>
      </w:r>
      <w:r w:rsidR="00432AAC">
        <w:t xml:space="preserve">On March 14, 2012, Complainant received a billing statement from Respondent which listed $1,551 as due from Complainant.  </w:t>
      </w:r>
      <w:proofErr w:type="gramStart"/>
      <w:r w:rsidR="00432AAC">
        <w:t>(Tr. 12; Exhibit 1).</w:t>
      </w:r>
      <w:proofErr w:type="gramEnd"/>
    </w:p>
    <w:p w:rsidR="00B06020" w:rsidRPr="00B06020" w:rsidRDefault="00B06020" w:rsidP="00B06020">
      <w:pPr>
        <w:tabs>
          <w:tab w:val="left" w:pos="2160"/>
        </w:tabs>
        <w:spacing w:line="360" w:lineRule="auto"/>
        <w:ind w:firstLine="1440"/>
      </w:pPr>
    </w:p>
    <w:p w:rsidR="00B06020" w:rsidRDefault="001D7739" w:rsidP="00B06020">
      <w:pPr>
        <w:tabs>
          <w:tab w:val="left" w:pos="2160"/>
        </w:tabs>
        <w:spacing w:line="360" w:lineRule="auto"/>
        <w:ind w:firstLine="1440"/>
      </w:pPr>
      <w:r>
        <w:t>1</w:t>
      </w:r>
      <w:r w:rsidR="002F0DD9">
        <w:t>5</w:t>
      </w:r>
      <w:r w:rsidR="00B06020" w:rsidRPr="00B06020">
        <w:t>.</w:t>
      </w:r>
      <w:r w:rsidR="00B06020" w:rsidRPr="00B06020">
        <w:tab/>
      </w:r>
      <w:r w:rsidR="00432AAC">
        <w:t xml:space="preserve">Complainant contacted Respondent </w:t>
      </w:r>
      <w:r w:rsidR="00A04046">
        <w:t>on</w:t>
      </w:r>
      <w:r w:rsidR="00432AAC">
        <w:t xml:space="preserve"> March </w:t>
      </w:r>
      <w:r w:rsidR="00A04046">
        <w:t xml:space="preserve">16, </w:t>
      </w:r>
      <w:r w:rsidR="00432AAC">
        <w:t>2012 because he disagreed with a billing statement he believed was excessive</w:t>
      </w:r>
      <w:r w:rsidR="00395CCF">
        <w:t xml:space="preserve"> in amount</w:t>
      </w:r>
      <w:r w:rsidR="00432AAC">
        <w:t xml:space="preserve">.  </w:t>
      </w:r>
      <w:proofErr w:type="gramStart"/>
      <w:r w:rsidR="00432AAC">
        <w:t>(Tr. 12, 19</w:t>
      </w:r>
      <w:r w:rsidR="00A04046">
        <w:t>, 31</w:t>
      </w:r>
      <w:r w:rsidR="00432AAC">
        <w:t>).</w:t>
      </w:r>
      <w:proofErr w:type="gramEnd"/>
    </w:p>
    <w:p w:rsidR="00395CCF" w:rsidRDefault="00395CCF" w:rsidP="00B06020">
      <w:pPr>
        <w:tabs>
          <w:tab w:val="left" w:pos="2160"/>
        </w:tabs>
        <w:spacing w:line="360" w:lineRule="auto"/>
        <w:ind w:firstLine="1440"/>
      </w:pPr>
    </w:p>
    <w:p w:rsidR="00395CCF" w:rsidRDefault="00395CCF" w:rsidP="00B06020">
      <w:pPr>
        <w:tabs>
          <w:tab w:val="left" w:pos="2160"/>
        </w:tabs>
        <w:spacing w:line="360" w:lineRule="auto"/>
        <w:ind w:firstLine="1440"/>
      </w:pPr>
      <w:r>
        <w:t>16.</w:t>
      </w:r>
      <w:r>
        <w:tab/>
        <w:t xml:space="preserve">Respondent attempted to provide 72-hour notices to Complainant on March 30, 2012 at 12:53 p.m. and again on April 2, 2012 at 6:11 p.m.  </w:t>
      </w:r>
      <w:proofErr w:type="gramStart"/>
      <w:r>
        <w:t>(Tr. 46, 59, 60).</w:t>
      </w:r>
      <w:proofErr w:type="gramEnd"/>
      <w:r>
        <w:t xml:space="preserve">  </w:t>
      </w:r>
    </w:p>
    <w:p w:rsidR="00BA332A" w:rsidRDefault="00BA332A" w:rsidP="00B06020">
      <w:pPr>
        <w:tabs>
          <w:tab w:val="left" w:pos="2160"/>
        </w:tabs>
        <w:spacing w:line="360" w:lineRule="auto"/>
        <w:ind w:firstLine="1440"/>
      </w:pPr>
    </w:p>
    <w:p w:rsidR="00BA332A" w:rsidRPr="00B06020" w:rsidRDefault="001D7739" w:rsidP="00B06020">
      <w:pPr>
        <w:tabs>
          <w:tab w:val="left" w:pos="2160"/>
        </w:tabs>
        <w:spacing w:line="360" w:lineRule="auto"/>
        <w:ind w:firstLine="1440"/>
      </w:pPr>
      <w:r>
        <w:t>1</w:t>
      </w:r>
      <w:r w:rsidR="00395CCF">
        <w:t>7</w:t>
      </w:r>
      <w:r w:rsidR="00BA332A">
        <w:t>.</w:t>
      </w:r>
      <w:r w:rsidR="00BA332A">
        <w:tab/>
        <w:t xml:space="preserve">Complainant contacted Respondent on April 9, 2012 and spoke with Respondent’s General Business Department about his new supplier, </w:t>
      </w:r>
      <w:proofErr w:type="spellStart"/>
      <w:r w:rsidR="00BA332A">
        <w:t>Clearview</w:t>
      </w:r>
      <w:proofErr w:type="spellEnd"/>
      <w:r w:rsidR="00BA332A">
        <w:t xml:space="preserve">.  </w:t>
      </w:r>
      <w:proofErr w:type="gramStart"/>
      <w:r w:rsidR="00BA332A">
        <w:t>(Tr. 46, 47).</w:t>
      </w:r>
      <w:proofErr w:type="gramEnd"/>
    </w:p>
    <w:p w:rsidR="00B06020" w:rsidRPr="00B06020" w:rsidRDefault="00B06020" w:rsidP="00B06020">
      <w:pPr>
        <w:tabs>
          <w:tab w:val="left" w:pos="2160"/>
        </w:tabs>
        <w:spacing w:line="360" w:lineRule="auto"/>
        <w:ind w:firstLine="1440"/>
      </w:pPr>
    </w:p>
    <w:p w:rsidR="00B06020" w:rsidRDefault="001D7739" w:rsidP="00B06020">
      <w:pPr>
        <w:tabs>
          <w:tab w:val="left" w:pos="2160"/>
        </w:tabs>
        <w:spacing w:line="360" w:lineRule="auto"/>
        <w:ind w:firstLine="1440"/>
      </w:pPr>
      <w:r>
        <w:t>1</w:t>
      </w:r>
      <w:r w:rsidR="00395CCF">
        <w:t>8</w:t>
      </w:r>
      <w:r w:rsidR="00B06020" w:rsidRPr="00B06020">
        <w:t>.</w:t>
      </w:r>
      <w:r w:rsidR="00B06020" w:rsidRPr="00B06020">
        <w:tab/>
      </w:r>
      <w:r w:rsidR="00706B58">
        <w:t xml:space="preserve">Respondent terminated electric service to the service address on April </w:t>
      </w:r>
      <w:r w:rsidR="00A04046">
        <w:t>10</w:t>
      </w:r>
      <w:r w:rsidR="00706B58">
        <w:t xml:space="preserve">, 2012 </w:t>
      </w:r>
      <w:r w:rsidR="00BA332A">
        <w:t xml:space="preserve">after leaving a notice on Complainant’s door knob </w:t>
      </w:r>
      <w:r w:rsidR="00706B58">
        <w:t xml:space="preserve">and resumed service on the same date </w:t>
      </w:r>
      <w:r w:rsidR="00BA332A">
        <w:t>because Respondent thought Complainant might have been confused about information Complainant received from Respondent</w:t>
      </w:r>
      <w:r w:rsidR="00706B58" w:rsidRPr="00A04046">
        <w:t xml:space="preserve">.  </w:t>
      </w:r>
      <w:r w:rsidR="0032538F">
        <w:t xml:space="preserve">Respondent did not note a final consumption reading in its records for that day.  </w:t>
      </w:r>
      <w:proofErr w:type="gramStart"/>
      <w:r w:rsidR="00706B58" w:rsidRPr="00A04046">
        <w:t>(Tr. 22, 27, 28</w:t>
      </w:r>
      <w:r w:rsidR="00A04046" w:rsidRPr="00A04046">
        <w:t>, 34</w:t>
      </w:r>
      <w:r w:rsidR="00BA332A">
        <w:t>, 48, 49</w:t>
      </w:r>
      <w:r w:rsidR="0032538F">
        <w:t>, 59</w:t>
      </w:r>
      <w:r w:rsidR="00706B58" w:rsidRPr="00A04046">
        <w:t>).</w:t>
      </w:r>
      <w:proofErr w:type="gramEnd"/>
    </w:p>
    <w:p w:rsidR="00A04046" w:rsidRDefault="00A04046" w:rsidP="00B06020">
      <w:pPr>
        <w:tabs>
          <w:tab w:val="left" w:pos="2160"/>
        </w:tabs>
        <w:spacing w:line="360" w:lineRule="auto"/>
        <w:ind w:firstLine="1440"/>
      </w:pPr>
    </w:p>
    <w:p w:rsidR="00A04046" w:rsidRDefault="001D7739" w:rsidP="00B06020">
      <w:pPr>
        <w:tabs>
          <w:tab w:val="left" w:pos="2160"/>
        </w:tabs>
        <w:spacing w:line="360" w:lineRule="auto"/>
        <w:ind w:firstLine="1440"/>
      </w:pPr>
      <w:r>
        <w:t>1</w:t>
      </w:r>
      <w:r w:rsidR="00395CCF">
        <w:t>9</w:t>
      </w:r>
      <w:r w:rsidR="00A04046">
        <w:t>.</w:t>
      </w:r>
      <w:r w:rsidR="00A04046">
        <w:tab/>
        <w:t xml:space="preserve">On April 18, 2012, Respondent issued a Termination Notice for the service address and </w:t>
      </w:r>
      <w:r w:rsidR="00E50797">
        <w:t>notified Complainant it</w:t>
      </w:r>
      <w:r w:rsidR="00A04046">
        <w:t xml:space="preserve"> would terminate for </w:t>
      </w:r>
      <w:r w:rsidR="00CB1A1E">
        <w:t>non-payment</w:t>
      </w:r>
      <w:r w:rsidR="00A04046">
        <w:t xml:space="preserve"> on or after April 30, 2012.  </w:t>
      </w:r>
      <w:proofErr w:type="gramStart"/>
      <w:r w:rsidR="00A04046">
        <w:t>(Tr. 37</w:t>
      </w:r>
      <w:r w:rsidR="00BA332A">
        <w:t>, 45, 49</w:t>
      </w:r>
      <w:r w:rsidR="00A04046">
        <w:t>).</w:t>
      </w:r>
      <w:proofErr w:type="gramEnd"/>
    </w:p>
    <w:p w:rsidR="00395CCF" w:rsidRDefault="00395CCF" w:rsidP="00B06020">
      <w:pPr>
        <w:tabs>
          <w:tab w:val="left" w:pos="2160"/>
        </w:tabs>
        <w:spacing w:line="360" w:lineRule="auto"/>
        <w:ind w:firstLine="1440"/>
      </w:pPr>
    </w:p>
    <w:p w:rsidR="00395CCF" w:rsidRPr="00A04046" w:rsidRDefault="00395CCF" w:rsidP="00B06020">
      <w:pPr>
        <w:tabs>
          <w:tab w:val="left" w:pos="2160"/>
        </w:tabs>
        <w:spacing w:line="360" w:lineRule="auto"/>
        <w:ind w:firstLine="1440"/>
      </w:pPr>
      <w:r>
        <w:t>20.</w:t>
      </w:r>
      <w:r>
        <w:tab/>
        <w:t>Respondent attempted to provide 72-hour notices to Complainant on April</w:t>
      </w:r>
      <w:r w:rsidR="003B0E82">
        <w:t> </w:t>
      </w:r>
      <w:r>
        <w:t xml:space="preserve">25, 2012 at 9:22 a.m. and again on April 26, 2012 at 6:09 p.m.  </w:t>
      </w:r>
      <w:proofErr w:type="gramStart"/>
      <w:r>
        <w:t>(Tr. 49, 59, 60).</w:t>
      </w:r>
      <w:proofErr w:type="gramEnd"/>
    </w:p>
    <w:p w:rsidR="00B06020" w:rsidRPr="00A04046" w:rsidRDefault="00B06020" w:rsidP="00B06020">
      <w:pPr>
        <w:pStyle w:val="BodyText"/>
        <w:jc w:val="left"/>
        <w:rPr>
          <w:sz w:val="24"/>
          <w:szCs w:val="24"/>
        </w:rPr>
      </w:pPr>
    </w:p>
    <w:p w:rsidR="00B06020" w:rsidRDefault="00395CCF" w:rsidP="00FB2B8F">
      <w:pPr>
        <w:pStyle w:val="BodyText"/>
        <w:jc w:val="left"/>
        <w:rPr>
          <w:sz w:val="24"/>
          <w:szCs w:val="24"/>
        </w:rPr>
      </w:pPr>
      <w:r>
        <w:rPr>
          <w:sz w:val="24"/>
          <w:szCs w:val="24"/>
        </w:rPr>
        <w:tab/>
      </w:r>
      <w:r>
        <w:rPr>
          <w:sz w:val="24"/>
          <w:szCs w:val="24"/>
        </w:rPr>
        <w:tab/>
        <w:t>21</w:t>
      </w:r>
      <w:r w:rsidR="00B06020" w:rsidRPr="00A04046">
        <w:rPr>
          <w:sz w:val="24"/>
          <w:szCs w:val="24"/>
        </w:rPr>
        <w:t>.</w:t>
      </w:r>
      <w:r w:rsidR="00B06020" w:rsidRPr="00A04046">
        <w:rPr>
          <w:sz w:val="24"/>
          <w:szCs w:val="24"/>
        </w:rPr>
        <w:tab/>
      </w:r>
      <w:r w:rsidR="00A04046">
        <w:rPr>
          <w:sz w:val="24"/>
          <w:szCs w:val="24"/>
        </w:rPr>
        <w:t xml:space="preserve">On May 2, 2012, </w:t>
      </w:r>
      <w:r w:rsidR="00A04046" w:rsidRPr="00A04046">
        <w:rPr>
          <w:sz w:val="24"/>
          <w:szCs w:val="24"/>
        </w:rPr>
        <w:t xml:space="preserve">Respondent terminated electric service to the service address </w:t>
      </w:r>
      <w:r w:rsidR="00A04046">
        <w:rPr>
          <w:sz w:val="24"/>
          <w:szCs w:val="24"/>
        </w:rPr>
        <w:t xml:space="preserve">a second time </w:t>
      </w:r>
      <w:r w:rsidR="00A04046" w:rsidRPr="00A04046">
        <w:rPr>
          <w:sz w:val="24"/>
          <w:szCs w:val="24"/>
        </w:rPr>
        <w:t xml:space="preserve">after </w:t>
      </w:r>
      <w:r w:rsidR="00BA332A">
        <w:rPr>
          <w:sz w:val="24"/>
          <w:szCs w:val="24"/>
        </w:rPr>
        <w:t>Complainant did not make a payment on the account.  Also on the same date, Complainant filed an informal complaint against Respondent with the Commission</w:t>
      </w:r>
      <w:r w:rsidR="00A04046" w:rsidRPr="00A04046">
        <w:rPr>
          <w:sz w:val="24"/>
          <w:szCs w:val="24"/>
        </w:rPr>
        <w:t xml:space="preserve">.  </w:t>
      </w:r>
      <w:proofErr w:type="gramStart"/>
      <w:r w:rsidR="00A04046" w:rsidRPr="00A04046">
        <w:rPr>
          <w:sz w:val="24"/>
          <w:szCs w:val="24"/>
        </w:rPr>
        <w:t xml:space="preserve">(Tr. </w:t>
      </w:r>
      <w:r w:rsidR="00A04046">
        <w:rPr>
          <w:sz w:val="24"/>
          <w:szCs w:val="24"/>
        </w:rPr>
        <w:t>37</w:t>
      </w:r>
      <w:r w:rsidR="00BA332A">
        <w:rPr>
          <w:sz w:val="24"/>
          <w:szCs w:val="24"/>
        </w:rPr>
        <w:t>, 49, 50</w:t>
      </w:r>
      <w:r w:rsidR="00A04046" w:rsidRPr="00A04046">
        <w:rPr>
          <w:sz w:val="24"/>
          <w:szCs w:val="24"/>
        </w:rPr>
        <w:t>).</w:t>
      </w:r>
      <w:proofErr w:type="gramEnd"/>
    </w:p>
    <w:p w:rsidR="00BA332A" w:rsidRDefault="00BA332A" w:rsidP="00FB2B8F">
      <w:pPr>
        <w:pStyle w:val="BodyText"/>
        <w:jc w:val="left"/>
        <w:rPr>
          <w:sz w:val="24"/>
          <w:szCs w:val="24"/>
        </w:rPr>
      </w:pPr>
    </w:p>
    <w:p w:rsidR="00BA332A" w:rsidRDefault="00BA332A" w:rsidP="00FB2B8F">
      <w:pPr>
        <w:pStyle w:val="BodyText"/>
        <w:jc w:val="left"/>
        <w:rPr>
          <w:sz w:val="24"/>
          <w:szCs w:val="24"/>
        </w:rPr>
      </w:pPr>
      <w:r>
        <w:rPr>
          <w:sz w:val="24"/>
          <w:szCs w:val="24"/>
        </w:rPr>
        <w:lastRenderedPageBreak/>
        <w:tab/>
      </w:r>
      <w:r>
        <w:rPr>
          <w:sz w:val="24"/>
          <w:szCs w:val="24"/>
        </w:rPr>
        <w:tab/>
      </w:r>
      <w:r w:rsidR="00395CCF">
        <w:rPr>
          <w:sz w:val="24"/>
          <w:szCs w:val="24"/>
        </w:rPr>
        <w:t>22</w:t>
      </w:r>
      <w:r>
        <w:rPr>
          <w:sz w:val="24"/>
          <w:szCs w:val="24"/>
        </w:rPr>
        <w:t>.</w:t>
      </w:r>
      <w:r>
        <w:rPr>
          <w:sz w:val="24"/>
          <w:szCs w:val="24"/>
        </w:rPr>
        <w:tab/>
        <w:t xml:space="preserve">On May 3, 2012, Complainant contacted Respondent about his discontinued electric service.  </w:t>
      </w:r>
      <w:proofErr w:type="gramStart"/>
      <w:r>
        <w:rPr>
          <w:sz w:val="24"/>
          <w:szCs w:val="24"/>
        </w:rPr>
        <w:t>(Tr. 50).</w:t>
      </w:r>
      <w:proofErr w:type="gramEnd"/>
    </w:p>
    <w:p w:rsidR="00BA332A" w:rsidRDefault="00BA332A" w:rsidP="00FB2B8F">
      <w:pPr>
        <w:pStyle w:val="BodyText"/>
        <w:jc w:val="left"/>
        <w:rPr>
          <w:sz w:val="24"/>
          <w:szCs w:val="24"/>
        </w:rPr>
      </w:pPr>
    </w:p>
    <w:p w:rsidR="00BA332A" w:rsidRDefault="00BA332A" w:rsidP="00FB2B8F">
      <w:pPr>
        <w:pStyle w:val="BodyText"/>
        <w:jc w:val="left"/>
        <w:rPr>
          <w:sz w:val="24"/>
          <w:szCs w:val="24"/>
        </w:rPr>
      </w:pPr>
      <w:r>
        <w:rPr>
          <w:sz w:val="24"/>
          <w:szCs w:val="24"/>
        </w:rPr>
        <w:tab/>
      </w:r>
      <w:r>
        <w:rPr>
          <w:sz w:val="24"/>
          <w:szCs w:val="24"/>
        </w:rPr>
        <w:tab/>
      </w:r>
      <w:r w:rsidR="00395CCF">
        <w:rPr>
          <w:sz w:val="24"/>
          <w:szCs w:val="24"/>
        </w:rPr>
        <w:t>23</w:t>
      </w:r>
      <w:r>
        <w:rPr>
          <w:sz w:val="24"/>
          <w:szCs w:val="24"/>
        </w:rPr>
        <w:t>.</w:t>
      </w:r>
      <w:r>
        <w:rPr>
          <w:sz w:val="24"/>
          <w:szCs w:val="24"/>
        </w:rPr>
        <w:tab/>
        <w:t xml:space="preserve">On May 9, 2012, Respondent sent a final bill to Complainant.  </w:t>
      </w:r>
      <w:proofErr w:type="gramStart"/>
      <w:r>
        <w:rPr>
          <w:sz w:val="24"/>
          <w:szCs w:val="24"/>
        </w:rPr>
        <w:t>(Tr. 50).</w:t>
      </w:r>
      <w:proofErr w:type="gramEnd"/>
    </w:p>
    <w:p w:rsidR="00433DE3" w:rsidRDefault="00433DE3" w:rsidP="00FB2B8F">
      <w:pPr>
        <w:pStyle w:val="BodyText"/>
        <w:jc w:val="left"/>
        <w:rPr>
          <w:sz w:val="24"/>
          <w:szCs w:val="24"/>
        </w:rPr>
      </w:pPr>
    </w:p>
    <w:p w:rsidR="00433DE3" w:rsidRDefault="00433DE3" w:rsidP="00FB2B8F">
      <w:pPr>
        <w:pStyle w:val="BodyText"/>
        <w:jc w:val="left"/>
        <w:rPr>
          <w:sz w:val="24"/>
          <w:szCs w:val="24"/>
        </w:rPr>
      </w:pPr>
      <w:r>
        <w:rPr>
          <w:sz w:val="24"/>
          <w:szCs w:val="24"/>
        </w:rPr>
        <w:tab/>
      </w:r>
      <w:r>
        <w:rPr>
          <w:sz w:val="24"/>
          <w:szCs w:val="24"/>
        </w:rPr>
        <w:tab/>
      </w:r>
      <w:r w:rsidR="00395CCF">
        <w:rPr>
          <w:sz w:val="24"/>
          <w:szCs w:val="24"/>
        </w:rPr>
        <w:t>24</w:t>
      </w:r>
      <w:r>
        <w:rPr>
          <w:sz w:val="24"/>
          <w:szCs w:val="24"/>
        </w:rPr>
        <w:t>.</w:t>
      </w:r>
      <w:r>
        <w:rPr>
          <w:sz w:val="24"/>
          <w:szCs w:val="24"/>
        </w:rPr>
        <w:tab/>
        <w:t xml:space="preserve">On May 10, 2012, Complainant paid $177.75 to Respondent and filed a high bill complaint with Respondent.  </w:t>
      </w:r>
      <w:proofErr w:type="gramStart"/>
      <w:r>
        <w:rPr>
          <w:sz w:val="24"/>
          <w:szCs w:val="24"/>
        </w:rPr>
        <w:t>(Tr. 51, 57).</w:t>
      </w:r>
      <w:proofErr w:type="gramEnd"/>
    </w:p>
    <w:p w:rsidR="00433DE3" w:rsidRDefault="00433DE3" w:rsidP="00FB2B8F">
      <w:pPr>
        <w:pStyle w:val="BodyText"/>
        <w:jc w:val="left"/>
        <w:rPr>
          <w:sz w:val="24"/>
          <w:szCs w:val="24"/>
        </w:rPr>
      </w:pPr>
    </w:p>
    <w:p w:rsidR="006E027A" w:rsidRDefault="00433DE3" w:rsidP="00FB2B8F">
      <w:pPr>
        <w:pStyle w:val="BodyText"/>
        <w:jc w:val="left"/>
        <w:rPr>
          <w:sz w:val="24"/>
          <w:szCs w:val="24"/>
        </w:rPr>
      </w:pPr>
      <w:r>
        <w:rPr>
          <w:sz w:val="24"/>
          <w:szCs w:val="24"/>
        </w:rPr>
        <w:tab/>
      </w:r>
      <w:r>
        <w:rPr>
          <w:sz w:val="24"/>
          <w:szCs w:val="24"/>
        </w:rPr>
        <w:tab/>
      </w:r>
      <w:r w:rsidR="00395CCF">
        <w:rPr>
          <w:sz w:val="24"/>
          <w:szCs w:val="24"/>
        </w:rPr>
        <w:t>25</w:t>
      </w:r>
      <w:r>
        <w:rPr>
          <w:sz w:val="24"/>
          <w:szCs w:val="24"/>
        </w:rPr>
        <w:t>.</w:t>
      </w:r>
      <w:r>
        <w:rPr>
          <w:sz w:val="24"/>
          <w:szCs w:val="24"/>
        </w:rPr>
        <w:tab/>
        <w:t>Respondent did not restore e</w:t>
      </w:r>
      <w:r w:rsidR="006E027A">
        <w:rPr>
          <w:sz w:val="24"/>
          <w:szCs w:val="24"/>
        </w:rPr>
        <w:t xml:space="preserve">lectric service </w:t>
      </w:r>
      <w:r>
        <w:rPr>
          <w:sz w:val="24"/>
          <w:szCs w:val="24"/>
        </w:rPr>
        <w:t>to</w:t>
      </w:r>
      <w:r w:rsidR="006E027A">
        <w:rPr>
          <w:sz w:val="24"/>
          <w:szCs w:val="24"/>
        </w:rPr>
        <w:t xml:space="preserve"> the service address until June 18, 2012 when Complainant made a payment of $</w:t>
      </w:r>
      <w:r>
        <w:rPr>
          <w:sz w:val="24"/>
          <w:szCs w:val="24"/>
        </w:rPr>
        <w:t>1,605.72 on the delinquent balance, plus $143.00 for a security deposit and $50.00 for a reconnect fee</w:t>
      </w:r>
      <w:r w:rsidR="006E027A">
        <w:rPr>
          <w:sz w:val="24"/>
          <w:szCs w:val="24"/>
        </w:rPr>
        <w:t xml:space="preserve">.  </w:t>
      </w:r>
      <w:proofErr w:type="gramStart"/>
      <w:r w:rsidR="006E027A">
        <w:rPr>
          <w:sz w:val="24"/>
          <w:szCs w:val="24"/>
        </w:rPr>
        <w:t>(Tr. 43</w:t>
      </w:r>
      <w:r>
        <w:rPr>
          <w:sz w:val="24"/>
          <w:szCs w:val="24"/>
        </w:rPr>
        <w:t>, 51</w:t>
      </w:r>
      <w:r w:rsidR="006E027A">
        <w:rPr>
          <w:sz w:val="24"/>
          <w:szCs w:val="24"/>
        </w:rPr>
        <w:t>).</w:t>
      </w:r>
      <w:proofErr w:type="gramEnd"/>
    </w:p>
    <w:p w:rsidR="006E027A" w:rsidRDefault="006E027A" w:rsidP="00FB2B8F">
      <w:pPr>
        <w:pStyle w:val="BodyText"/>
        <w:jc w:val="left"/>
        <w:rPr>
          <w:sz w:val="24"/>
          <w:szCs w:val="24"/>
        </w:rPr>
      </w:pPr>
    </w:p>
    <w:p w:rsidR="006E027A" w:rsidRDefault="006E027A" w:rsidP="00FB2B8F">
      <w:pPr>
        <w:pStyle w:val="BodyText"/>
        <w:jc w:val="left"/>
        <w:rPr>
          <w:sz w:val="24"/>
          <w:szCs w:val="24"/>
        </w:rPr>
      </w:pPr>
      <w:r>
        <w:rPr>
          <w:sz w:val="24"/>
          <w:szCs w:val="24"/>
        </w:rPr>
        <w:tab/>
      </w:r>
      <w:r>
        <w:rPr>
          <w:sz w:val="24"/>
          <w:szCs w:val="24"/>
        </w:rPr>
        <w:tab/>
      </w:r>
      <w:r w:rsidR="001D7739">
        <w:rPr>
          <w:sz w:val="24"/>
          <w:szCs w:val="24"/>
        </w:rPr>
        <w:t>2</w:t>
      </w:r>
      <w:r w:rsidR="00395CCF">
        <w:rPr>
          <w:sz w:val="24"/>
          <w:szCs w:val="24"/>
        </w:rPr>
        <w:t>6</w:t>
      </w:r>
      <w:r>
        <w:rPr>
          <w:sz w:val="24"/>
          <w:szCs w:val="24"/>
        </w:rPr>
        <w:t>.</w:t>
      </w:r>
      <w:r>
        <w:rPr>
          <w:sz w:val="24"/>
          <w:szCs w:val="24"/>
        </w:rPr>
        <w:tab/>
        <w:t xml:space="preserve">Respondent issued Complainant a new account number on June 18, 2012 because Respondent considered Complainant to be a new applicant because his discontinued service had been “for so long” after the final bill date on May 30, 2012.  </w:t>
      </w:r>
      <w:proofErr w:type="gramStart"/>
      <w:r>
        <w:rPr>
          <w:sz w:val="24"/>
          <w:szCs w:val="24"/>
        </w:rPr>
        <w:t>(Tr. 42, 43).</w:t>
      </w:r>
      <w:proofErr w:type="gramEnd"/>
    </w:p>
    <w:p w:rsidR="006E027A" w:rsidRDefault="006E027A" w:rsidP="00FB2B8F">
      <w:pPr>
        <w:pStyle w:val="BodyText"/>
        <w:jc w:val="left"/>
        <w:rPr>
          <w:sz w:val="24"/>
          <w:szCs w:val="24"/>
        </w:rPr>
      </w:pPr>
    </w:p>
    <w:p w:rsidR="006E027A" w:rsidRDefault="006E027A" w:rsidP="00FB2B8F">
      <w:pPr>
        <w:pStyle w:val="BodyText"/>
        <w:jc w:val="left"/>
        <w:rPr>
          <w:sz w:val="24"/>
          <w:szCs w:val="24"/>
        </w:rPr>
      </w:pPr>
      <w:r>
        <w:rPr>
          <w:sz w:val="24"/>
          <w:szCs w:val="24"/>
        </w:rPr>
        <w:tab/>
      </w:r>
      <w:r>
        <w:rPr>
          <w:sz w:val="24"/>
          <w:szCs w:val="24"/>
        </w:rPr>
        <w:tab/>
      </w:r>
      <w:r w:rsidR="001D7739">
        <w:rPr>
          <w:sz w:val="24"/>
          <w:szCs w:val="24"/>
        </w:rPr>
        <w:t>2</w:t>
      </w:r>
      <w:r w:rsidR="00395CCF">
        <w:rPr>
          <w:sz w:val="24"/>
          <w:szCs w:val="24"/>
        </w:rPr>
        <w:t>7</w:t>
      </w:r>
      <w:r>
        <w:rPr>
          <w:sz w:val="24"/>
          <w:szCs w:val="24"/>
        </w:rPr>
        <w:t>.</w:t>
      </w:r>
      <w:r>
        <w:rPr>
          <w:sz w:val="24"/>
          <w:szCs w:val="24"/>
        </w:rPr>
        <w:tab/>
        <w:t>Complainant had an excellent payment histor</w:t>
      </w:r>
      <w:r w:rsidR="001D7739">
        <w:rPr>
          <w:sz w:val="24"/>
          <w:szCs w:val="24"/>
        </w:rPr>
        <w:t>y with Respondent until August</w:t>
      </w:r>
      <w:r>
        <w:rPr>
          <w:sz w:val="24"/>
          <w:szCs w:val="24"/>
        </w:rPr>
        <w:t xml:space="preserve"> 2011 when a payment of $302.29 was returned to Respondent due to insufficient funds.  </w:t>
      </w:r>
      <w:proofErr w:type="gramStart"/>
      <w:r>
        <w:rPr>
          <w:sz w:val="24"/>
          <w:szCs w:val="24"/>
        </w:rPr>
        <w:t>(Tr. 40; Respondent Exhibit 1).</w:t>
      </w:r>
      <w:proofErr w:type="gramEnd"/>
    </w:p>
    <w:p w:rsidR="00433DE3" w:rsidRDefault="00433DE3" w:rsidP="00FB2B8F">
      <w:pPr>
        <w:pStyle w:val="BodyText"/>
        <w:jc w:val="left"/>
        <w:rPr>
          <w:sz w:val="24"/>
          <w:szCs w:val="24"/>
        </w:rPr>
      </w:pPr>
    </w:p>
    <w:p w:rsidR="00433DE3" w:rsidRPr="00A04046" w:rsidRDefault="00433DE3" w:rsidP="00FB2B8F">
      <w:pPr>
        <w:pStyle w:val="BodyText"/>
        <w:jc w:val="left"/>
        <w:rPr>
          <w:sz w:val="24"/>
          <w:szCs w:val="24"/>
        </w:rPr>
      </w:pPr>
      <w:r>
        <w:rPr>
          <w:sz w:val="24"/>
          <w:szCs w:val="24"/>
        </w:rPr>
        <w:tab/>
      </w:r>
      <w:r>
        <w:rPr>
          <w:sz w:val="24"/>
          <w:szCs w:val="24"/>
        </w:rPr>
        <w:tab/>
      </w:r>
      <w:r w:rsidR="001D7739">
        <w:rPr>
          <w:sz w:val="24"/>
          <w:szCs w:val="24"/>
        </w:rPr>
        <w:t>2</w:t>
      </w:r>
      <w:r w:rsidR="00395CCF">
        <w:rPr>
          <w:sz w:val="24"/>
          <w:szCs w:val="24"/>
        </w:rPr>
        <w:t>8</w:t>
      </w:r>
      <w:r>
        <w:rPr>
          <w:sz w:val="24"/>
          <w:szCs w:val="24"/>
        </w:rPr>
        <w:t>.</w:t>
      </w:r>
      <w:r>
        <w:rPr>
          <w:sz w:val="24"/>
          <w:szCs w:val="24"/>
        </w:rPr>
        <w:tab/>
        <w:t>On May 24, 2012, Respondent tested Complainant’s meter</w:t>
      </w:r>
      <w:r w:rsidR="00395CCF">
        <w:rPr>
          <w:sz w:val="24"/>
          <w:szCs w:val="24"/>
        </w:rPr>
        <w:t xml:space="preserve"> after Complainant made a statement about his bill being too high</w:t>
      </w:r>
      <w:r>
        <w:rPr>
          <w:sz w:val="24"/>
          <w:szCs w:val="24"/>
        </w:rPr>
        <w:t xml:space="preserve"> on May 10, 2012, using a meter accuracy verifier (MAV) test while the electric service was discontinued.  </w:t>
      </w:r>
      <w:proofErr w:type="gramStart"/>
      <w:r>
        <w:rPr>
          <w:sz w:val="24"/>
          <w:szCs w:val="24"/>
        </w:rPr>
        <w:t>(Tr. 55-57; Respondent Exhibit 4).</w:t>
      </w:r>
      <w:proofErr w:type="gramEnd"/>
    </w:p>
    <w:p w:rsidR="007E27C5" w:rsidRDefault="007E27C5">
      <w:pPr>
        <w:rPr>
          <w:u w:val="single"/>
        </w:rPr>
      </w:pPr>
    </w:p>
    <w:p w:rsidR="00B06020" w:rsidRPr="00B06020" w:rsidRDefault="00B06020" w:rsidP="0032538F">
      <w:pPr>
        <w:spacing w:line="360" w:lineRule="auto"/>
        <w:jc w:val="center"/>
      </w:pPr>
      <w:r w:rsidRPr="00B06020">
        <w:rPr>
          <w:u w:val="single"/>
        </w:rPr>
        <w:t>DISCUSSION</w:t>
      </w:r>
    </w:p>
    <w:p w:rsidR="00B06020" w:rsidRPr="00B06020" w:rsidRDefault="00B06020" w:rsidP="00B06020">
      <w:pPr>
        <w:spacing w:line="360" w:lineRule="auto"/>
      </w:pPr>
    </w:p>
    <w:p w:rsidR="00B06020" w:rsidRPr="00B06020" w:rsidRDefault="00B06020" w:rsidP="00B06020">
      <w:pPr>
        <w:tabs>
          <w:tab w:val="left" w:pos="-1440"/>
          <w:tab w:val="left" w:pos="-720"/>
        </w:tabs>
        <w:suppressAutoHyphens/>
        <w:spacing w:line="360" w:lineRule="auto"/>
        <w:rPr>
          <w:spacing w:val="-3"/>
        </w:rPr>
      </w:pPr>
      <w:r w:rsidRPr="00B06020">
        <w:tab/>
      </w:r>
      <w:r w:rsidRPr="00B06020">
        <w:tab/>
        <w:t xml:space="preserve">In this matter, Complainant alleges </w:t>
      </w:r>
      <w:r w:rsidR="000367DE">
        <w:t xml:space="preserve">Duquesne Light terminated electric service to his residence for an improper reason and in an improper manner.  </w:t>
      </w:r>
      <w:r w:rsidRPr="00B06020">
        <w:t xml:space="preserve">Complainant requests the Commission order Respondent </w:t>
      </w:r>
      <w:r w:rsidR="00FB2B8F">
        <w:t>to</w:t>
      </w:r>
      <w:r w:rsidR="000367DE">
        <w:t xml:space="preserve"> restore electric service and repay him for his financial losses totaling $130,000.00</w:t>
      </w:r>
      <w:r w:rsidRPr="00B06020">
        <w:t xml:space="preserve">.  </w:t>
      </w:r>
    </w:p>
    <w:p w:rsidR="00B06020" w:rsidRPr="00B06020" w:rsidRDefault="00B06020" w:rsidP="00B06020">
      <w:pPr>
        <w:tabs>
          <w:tab w:val="left" w:pos="-1440"/>
          <w:tab w:val="left" w:pos="-720"/>
        </w:tabs>
        <w:suppressAutoHyphens/>
        <w:spacing w:line="360" w:lineRule="auto"/>
      </w:pPr>
      <w:r w:rsidRPr="00B06020">
        <w:rPr>
          <w:u w:val="single"/>
        </w:rPr>
        <w:lastRenderedPageBreak/>
        <w:t>Complainant’s Position</w:t>
      </w:r>
    </w:p>
    <w:p w:rsidR="00B06020" w:rsidRPr="00B06020" w:rsidRDefault="00B06020" w:rsidP="00B06020">
      <w:pPr>
        <w:tabs>
          <w:tab w:val="left" w:pos="-1440"/>
          <w:tab w:val="left" w:pos="-720"/>
        </w:tabs>
        <w:suppressAutoHyphens/>
        <w:spacing w:line="360" w:lineRule="auto"/>
      </w:pPr>
    </w:p>
    <w:p w:rsidR="00B06020" w:rsidRPr="00B06020" w:rsidRDefault="00B06020" w:rsidP="00B06020">
      <w:pPr>
        <w:tabs>
          <w:tab w:val="left" w:pos="-1440"/>
          <w:tab w:val="left" w:pos="-720"/>
        </w:tabs>
        <w:suppressAutoHyphens/>
        <w:spacing w:line="360" w:lineRule="auto"/>
        <w:rPr>
          <w:spacing w:val="-3"/>
        </w:rPr>
      </w:pPr>
      <w:r w:rsidRPr="00B06020">
        <w:rPr>
          <w:spacing w:val="-3"/>
        </w:rPr>
        <w:tab/>
      </w:r>
      <w:r w:rsidRPr="00B06020">
        <w:rPr>
          <w:spacing w:val="-3"/>
        </w:rPr>
        <w:tab/>
        <w:t xml:space="preserve">Complainant testified </w:t>
      </w:r>
      <w:r w:rsidR="000367DE">
        <w:rPr>
          <w:spacing w:val="-3"/>
        </w:rPr>
        <w:t>Duquesne Light had no right to terminate service to his residence for non-payment on two occasions in April and May of 2012.  In addition, he testified Duquesne Light did not notify him on either occasion prior to actually discontinuing service.  Complainant originally requested the Commission order Duquesne Light pay him the sum of $130,000.00 for financial losses he incurred due to the improper termination</w:t>
      </w:r>
      <w:r w:rsidR="00C12FDF">
        <w:rPr>
          <w:spacing w:val="-3"/>
        </w:rPr>
        <w:t xml:space="preserve"> </w:t>
      </w:r>
      <w:r w:rsidR="000367DE">
        <w:rPr>
          <w:spacing w:val="-3"/>
        </w:rPr>
        <w:t>but withdrew that request during the hearing after advised by the presiding officer that the Commission lacks the authority to grant damages to him.</w:t>
      </w:r>
      <w:r w:rsidR="00C12FDF">
        <w:rPr>
          <w:rStyle w:val="FootnoteReference"/>
          <w:spacing w:val="-3"/>
        </w:rPr>
        <w:footnoteReference w:id="1"/>
      </w:r>
      <w:r w:rsidR="000367DE">
        <w:rPr>
          <w:spacing w:val="-3"/>
        </w:rPr>
        <w:t xml:space="preserve">  </w:t>
      </w:r>
    </w:p>
    <w:p w:rsidR="00B06020" w:rsidRPr="00B06020" w:rsidRDefault="00B06020" w:rsidP="00B06020">
      <w:pPr>
        <w:tabs>
          <w:tab w:val="left" w:pos="-1440"/>
          <w:tab w:val="left" w:pos="-720"/>
        </w:tabs>
        <w:suppressAutoHyphens/>
        <w:spacing w:line="360" w:lineRule="auto"/>
        <w:rPr>
          <w:spacing w:val="-3"/>
        </w:rPr>
      </w:pPr>
    </w:p>
    <w:p w:rsidR="00B06020" w:rsidRPr="00B06020" w:rsidRDefault="00B06020" w:rsidP="00B06020">
      <w:pPr>
        <w:tabs>
          <w:tab w:val="left" w:pos="-1440"/>
          <w:tab w:val="left" w:pos="-720"/>
        </w:tabs>
        <w:suppressAutoHyphens/>
        <w:spacing w:line="360" w:lineRule="auto"/>
        <w:rPr>
          <w:spacing w:val="-3"/>
          <w:u w:val="single"/>
        </w:rPr>
      </w:pPr>
      <w:r w:rsidRPr="00B06020">
        <w:rPr>
          <w:spacing w:val="-3"/>
          <w:u w:val="single"/>
        </w:rPr>
        <w:t>Respondent’s Position</w:t>
      </w:r>
    </w:p>
    <w:p w:rsidR="00B06020" w:rsidRPr="00B06020" w:rsidRDefault="00B06020" w:rsidP="00B06020">
      <w:pPr>
        <w:tabs>
          <w:tab w:val="left" w:pos="-1440"/>
          <w:tab w:val="left" w:pos="-720"/>
        </w:tabs>
        <w:suppressAutoHyphens/>
        <w:spacing w:line="360" w:lineRule="auto"/>
        <w:rPr>
          <w:spacing w:val="-3"/>
          <w:u w:val="single"/>
        </w:rPr>
      </w:pPr>
    </w:p>
    <w:p w:rsidR="00B06020" w:rsidRPr="00B06020" w:rsidRDefault="00FB2B8F" w:rsidP="00B06020">
      <w:pPr>
        <w:tabs>
          <w:tab w:val="left" w:pos="-1440"/>
          <w:tab w:val="left" w:pos="-720"/>
        </w:tabs>
        <w:suppressAutoHyphens/>
        <w:spacing w:line="360" w:lineRule="auto"/>
        <w:rPr>
          <w:spacing w:val="-3"/>
        </w:rPr>
      </w:pPr>
      <w:r>
        <w:rPr>
          <w:spacing w:val="-3"/>
        </w:rPr>
        <w:tab/>
      </w:r>
      <w:r>
        <w:rPr>
          <w:spacing w:val="-3"/>
        </w:rPr>
        <w:tab/>
        <w:t>Respondent contends</w:t>
      </w:r>
      <w:r w:rsidR="00C12FDF">
        <w:rPr>
          <w:spacing w:val="-3"/>
        </w:rPr>
        <w:t xml:space="preserve"> it properly discontinued service to Complainant’s residence on April 10, 2012 and again on May 2, 2012 because Complainant’s electric service account was delinquent due to non-payment.  </w:t>
      </w:r>
      <w:r w:rsidR="001D7739">
        <w:rPr>
          <w:spacing w:val="-3"/>
        </w:rPr>
        <w:t xml:space="preserve">Respondent also contends the manner in which the service was discontinued was appropriate, in that Respondent made telephonic attempts to notify Complainant each time, each time knocked on the front door before </w:t>
      </w:r>
      <w:r w:rsidR="00852D5B">
        <w:rPr>
          <w:spacing w:val="-3"/>
        </w:rPr>
        <w:t xml:space="preserve">it </w:t>
      </w:r>
      <w:r w:rsidR="001D7739">
        <w:rPr>
          <w:spacing w:val="-3"/>
        </w:rPr>
        <w:t>terminat</w:t>
      </w:r>
      <w:r w:rsidR="00852D5B">
        <w:rPr>
          <w:spacing w:val="-3"/>
        </w:rPr>
        <w:t>ed</w:t>
      </w:r>
      <w:r w:rsidR="001D7739">
        <w:rPr>
          <w:spacing w:val="-3"/>
        </w:rPr>
        <w:t xml:space="preserve"> service and each time left a door knob notice when Complainant did not come to the front door.</w:t>
      </w:r>
    </w:p>
    <w:p w:rsidR="00B06020" w:rsidRPr="00B06020" w:rsidRDefault="00B06020" w:rsidP="00B06020">
      <w:pPr>
        <w:tabs>
          <w:tab w:val="left" w:pos="-1440"/>
          <w:tab w:val="left" w:pos="-720"/>
        </w:tabs>
        <w:suppressAutoHyphens/>
        <w:spacing w:line="360" w:lineRule="auto"/>
        <w:rPr>
          <w:spacing w:val="-3"/>
        </w:rPr>
      </w:pPr>
    </w:p>
    <w:p w:rsidR="00B06020" w:rsidRPr="00B06020" w:rsidRDefault="00B06020" w:rsidP="00B06020">
      <w:pPr>
        <w:tabs>
          <w:tab w:val="left" w:pos="-1440"/>
          <w:tab w:val="left" w:pos="-720"/>
        </w:tabs>
        <w:suppressAutoHyphens/>
        <w:spacing w:line="360" w:lineRule="auto"/>
      </w:pPr>
      <w:r w:rsidRPr="00B06020">
        <w:rPr>
          <w:u w:val="single"/>
        </w:rPr>
        <w:t xml:space="preserve">Burden of Proof </w:t>
      </w:r>
    </w:p>
    <w:p w:rsidR="00B06020" w:rsidRPr="00B06020" w:rsidRDefault="00B06020" w:rsidP="00B06020">
      <w:pPr>
        <w:tabs>
          <w:tab w:val="left" w:pos="-1440"/>
          <w:tab w:val="left" w:pos="-720"/>
        </w:tabs>
        <w:suppressAutoHyphens/>
        <w:spacing w:line="360" w:lineRule="auto"/>
      </w:pPr>
    </w:p>
    <w:p w:rsidR="00D70DA7" w:rsidRDefault="00B06020" w:rsidP="004933D7">
      <w:pPr>
        <w:tabs>
          <w:tab w:val="left" w:pos="-1440"/>
          <w:tab w:val="left" w:pos="-720"/>
        </w:tabs>
        <w:suppressAutoHyphens/>
        <w:spacing w:line="360" w:lineRule="auto"/>
      </w:pPr>
      <w:r w:rsidRPr="00B06020">
        <w:tab/>
      </w:r>
      <w:r w:rsidRPr="00B06020">
        <w:tab/>
        <w:t xml:space="preserve">As the party seeking intervention from this Commission, Complainant bears the burden of proving Respondent violated provisions of the Public Utility Code or the Public Utility </w:t>
      </w:r>
    </w:p>
    <w:p w:rsidR="00B06020" w:rsidRPr="00B06020" w:rsidRDefault="00B06020" w:rsidP="004933D7">
      <w:pPr>
        <w:tabs>
          <w:tab w:val="left" w:pos="-1440"/>
          <w:tab w:val="left" w:pos="-720"/>
        </w:tabs>
        <w:suppressAutoHyphens/>
        <w:spacing w:line="360" w:lineRule="auto"/>
        <w:rPr>
          <w:spacing w:val="-3"/>
        </w:rPr>
      </w:pPr>
      <w:proofErr w:type="gramStart"/>
      <w:r w:rsidRPr="00B06020">
        <w:lastRenderedPageBreak/>
        <w:t>Commission’s regulations in some fashion.</w:t>
      </w:r>
      <w:proofErr w:type="gramEnd"/>
      <w:r w:rsidRPr="00B06020">
        <w:rPr>
          <w:rStyle w:val="FootnoteReference"/>
        </w:rPr>
        <w:footnoteReference w:id="2"/>
      </w:r>
      <w:r w:rsidRPr="00B06020">
        <w:t xml:space="preserve">  </w:t>
      </w:r>
      <w:r w:rsidRPr="00B06020">
        <w:rPr>
          <w:spacing w:val="-3"/>
        </w:rPr>
        <w:t>To establish a sufficient case and satisfy the burden of proof, Complainant must show the public utility is responsible or accountable for the problem described in the Complaint.</w:t>
      </w:r>
      <w:r w:rsidRPr="00B06020">
        <w:rPr>
          <w:rStyle w:val="FootnoteReference"/>
          <w:spacing w:val="-3"/>
        </w:rPr>
        <w:footnoteReference w:id="3"/>
      </w:r>
      <w:r w:rsidRPr="00B06020">
        <w:rPr>
          <w:spacing w:val="-3"/>
        </w:rPr>
        <w:t xml:space="preserve">  Such a showing must be by a preponderance of the evidence.</w:t>
      </w:r>
      <w:r w:rsidRPr="00B06020">
        <w:rPr>
          <w:rStyle w:val="FootnoteReference"/>
          <w:spacing w:val="-3"/>
        </w:rPr>
        <w:footnoteReference w:id="4"/>
      </w:r>
      <w:r w:rsidRPr="00B06020">
        <w:rPr>
          <w:spacing w:val="-3"/>
        </w:rPr>
        <w:t xml:space="preserve">  Complainant can meet that burden if he presents evidence more convincing, by even the smallest amount, than that evidence presented by Respondent.</w:t>
      </w:r>
      <w:r w:rsidRPr="00B06020">
        <w:rPr>
          <w:rStyle w:val="FootnoteReference"/>
          <w:spacing w:val="-3"/>
        </w:rPr>
        <w:footnoteReference w:id="5"/>
      </w:r>
      <w:r w:rsidRPr="00B06020">
        <w:rPr>
          <w:spacing w:val="-3"/>
        </w:rPr>
        <w:t xml:space="preserve">  </w:t>
      </w:r>
    </w:p>
    <w:p w:rsidR="00B06020" w:rsidRDefault="00B06020" w:rsidP="004933D7">
      <w:pPr>
        <w:tabs>
          <w:tab w:val="left" w:pos="-1440"/>
          <w:tab w:val="left" w:pos="-720"/>
        </w:tabs>
        <w:suppressAutoHyphens/>
        <w:spacing w:line="360" w:lineRule="auto"/>
      </w:pPr>
    </w:p>
    <w:p w:rsidR="004933D7" w:rsidRPr="00CF2338" w:rsidRDefault="004933D7" w:rsidP="004933D7">
      <w:pPr>
        <w:spacing w:line="360" w:lineRule="auto"/>
        <w:rPr>
          <w:u w:val="single"/>
        </w:rPr>
      </w:pPr>
      <w:r w:rsidRPr="00CF2338">
        <w:rPr>
          <w:u w:val="single"/>
        </w:rPr>
        <w:t>Applicable Regulations</w:t>
      </w:r>
    </w:p>
    <w:p w:rsidR="004933D7" w:rsidRPr="00CF2338" w:rsidRDefault="004933D7" w:rsidP="004933D7">
      <w:pPr>
        <w:spacing w:line="360" w:lineRule="auto"/>
        <w:rPr>
          <w:u w:val="single"/>
        </w:rPr>
      </w:pPr>
    </w:p>
    <w:p w:rsidR="004933D7" w:rsidRPr="00CF2338" w:rsidRDefault="004933D7" w:rsidP="004933D7">
      <w:pPr>
        <w:spacing w:line="360" w:lineRule="auto"/>
      </w:pPr>
      <w:r w:rsidRPr="00CF2338">
        <w:tab/>
      </w:r>
      <w:r w:rsidRPr="00CF2338">
        <w:tab/>
        <w:t>A violation of the Code may occur when a utility company fails to provide reasonable service, such as failure to correctly bill a customer.  The reasonable service requirement found in Section 1501 of the Code, 66 Pa. C.S. §1501, reads in pertinent part:</w:t>
      </w:r>
    </w:p>
    <w:p w:rsidR="004933D7" w:rsidRPr="00CF2338" w:rsidRDefault="004933D7" w:rsidP="004933D7">
      <w:pPr>
        <w:ind w:left="1440" w:right="1440"/>
      </w:pPr>
    </w:p>
    <w:p w:rsidR="004933D7" w:rsidRPr="00CF2338" w:rsidRDefault="004933D7" w:rsidP="004933D7">
      <w:pPr>
        <w:ind w:left="1440" w:right="1440"/>
      </w:pPr>
      <w:r w:rsidRPr="00CF2338">
        <w:t xml:space="preserve">Every public utility shall furnish and maintain adequate, efficient, safe, and reasonable service </w:t>
      </w:r>
      <w:r w:rsidRPr="004933D7">
        <w:t>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w:t>
      </w:r>
      <w:r w:rsidRPr="00CF2338">
        <w:t xml:space="preserve"> without unreasonable interruptions or delay.  Such service and facilities shall be in conformity with the regulations and orders of the commission.  </w:t>
      </w:r>
    </w:p>
    <w:p w:rsidR="00CB1A1E" w:rsidRDefault="00CB1A1E" w:rsidP="004933D7">
      <w:pPr>
        <w:spacing w:line="360" w:lineRule="auto"/>
      </w:pPr>
    </w:p>
    <w:p w:rsidR="004933D7" w:rsidRPr="00CF2338" w:rsidRDefault="004933D7" w:rsidP="004933D7">
      <w:pPr>
        <w:spacing w:line="360" w:lineRule="auto"/>
      </w:pPr>
      <w:r w:rsidRPr="00CF2338">
        <w:tab/>
      </w:r>
      <w:r w:rsidRPr="00CF2338">
        <w:tab/>
      </w:r>
      <w:r w:rsidR="005B0FDE">
        <w:t>The</w:t>
      </w:r>
      <w:r w:rsidRPr="00CF2338">
        <w:t xml:space="preserve"> Commission has exclusive jurisdiction to determine the reasonableness, adequacy and sufficiency of a public utility’s services and facilities.  </w:t>
      </w:r>
      <w:proofErr w:type="gramStart"/>
      <w:r w:rsidRPr="005801FB">
        <w:rPr>
          <w:u w:val="single"/>
        </w:rPr>
        <w:t>Elkin</w:t>
      </w:r>
      <w:r>
        <w:rPr>
          <w:u w:val="single"/>
        </w:rPr>
        <w:t> </w:t>
      </w:r>
      <w:r w:rsidRPr="005801FB">
        <w:rPr>
          <w:u w:val="single"/>
        </w:rPr>
        <w:t>v.</w:t>
      </w:r>
      <w:r>
        <w:rPr>
          <w:u w:val="single"/>
        </w:rPr>
        <w:t> </w:t>
      </w:r>
      <w:r w:rsidRPr="005801FB">
        <w:rPr>
          <w:u w:val="single"/>
        </w:rPr>
        <w:t>Bell of Pa.</w:t>
      </w:r>
      <w:r w:rsidRPr="00CF2338">
        <w:t>, 491 Pa. 123, 420 A.2d 371 (1980).</w:t>
      </w:r>
      <w:proofErr w:type="gramEnd"/>
      <w:r w:rsidRPr="00CF2338">
        <w:t xml:space="preserve">  The term “service” is “used in its broadest and most inclusive sense, </w:t>
      </w:r>
      <w:proofErr w:type="spellStart"/>
      <w:r w:rsidRPr="00CF2338">
        <w:t>includ</w:t>
      </w:r>
      <w:proofErr w:type="spellEnd"/>
      <w:r w:rsidRPr="00CF2338">
        <w:t>[</w:t>
      </w:r>
      <w:proofErr w:type="spellStart"/>
      <w:r w:rsidRPr="00CF2338">
        <w:t>ing</w:t>
      </w:r>
      <w:proofErr w:type="spellEnd"/>
      <w:r w:rsidRPr="00CF2338">
        <w:t>] any and all acts done, rendered, or performed, and any and all things furnished or supplied...by public utilities...in the performance of their duties under [the Public Utility Code]....”  66 Pa. C.S. §102.  Thus a utility company’s practice of billing its customers must be reasonable, adequate and sufficient.</w:t>
      </w:r>
    </w:p>
    <w:p w:rsidR="004933D7" w:rsidRPr="00CF2338" w:rsidRDefault="004933D7" w:rsidP="004933D7">
      <w:pPr>
        <w:spacing w:line="360" w:lineRule="auto"/>
      </w:pPr>
      <w:r w:rsidRPr="00CF2338">
        <w:lastRenderedPageBreak/>
        <w:tab/>
      </w:r>
      <w:r w:rsidRPr="00CF2338">
        <w:tab/>
        <w:t xml:space="preserve">Billing procedures for public utilities are governed by Section 1509 of the Code.  </w:t>
      </w:r>
      <w:proofErr w:type="gramStart"/>
      <w:r w:rsidRPr="00CF2338">
        <w:t>66 Pa. C.S. §1509.</w:t>
      </w:r>
      <w:proofErr w:type="gramEnd"/>
      <w:r w:rsidRPr="00CF2338">
        <w:t xml:space="preserve">  This section, in relevant part, states:</w:t>
      </w:r>
    </w:p>
    <w:p w:rsidR="004933D7" w:rsidRPr="00CF2338" w:rsidRDefault="004933D7" w:rsidP="004933D7"/>
    <w:p w:rsidR="004933D7" w:rsidRPr="00CF2338" w:rsidRDefault="004933D7" w:rsidP="004933D7">
      <w:pPr>
        <w:ind w:left="1440" w:right="1080"/>
        <w:contextualSpacing/>
      </w:pPr>
      <w:r w:rsidRPr="00CF2338">
        <w:t>All customers shall be permitted to receive bills monthly and shall be notified of their right thereto.  All bills shall be itemized to separately show amounts for basic service, Federal excise taxes, applicable State sales and gross receipts taxes, to the extent practicable, fuel adjustment charge, if any, State tax adjustment charge or such other similar components of the total bill as the commission may order.</w:t>
      </w:r>
    </w:p>
    <w:p w:rsidR="005B0FDE" w:rsidRDefault="005B0FDE" w:rsidP="004933D7"/>
    <w:p w:rsidR="003014EE" w:rsidRDefault="003014EE" w:rsidP="004933D7"/>
    <w:p w:rsidR="005B0FDE" w:rsidRDefault="005B0FDE" w:rsidP="005B0FDE">
      <w:pPr>
        <w:spacing w:line="360" w:lineRule="auto"/>
      </w:pPr>
      <w:r>
        <w:tab/>
      </w:r>
      <w:r>
        <w:tab/>
        <w:t xml:space="preserve">A public utility is permitted to terminate service to a service address if there is </w:t>
      </w:r>
      <w:r>
        <w:br/>
      </w:r>
      <w:r w:rsidR="00C76073">
        <w:t>“</w:t>
      </w:r>
      <w:r>
        <w:t>nonpayment on an undisputed delinquent account” provided the public utility has given notice to the ratepayer.</w:t>
      </w:r>
      <w:r>
        <w:rPr>
          <w:rStyle w:val="FootnoteReference"/>
        </w:rPr>
        <w:footnoteReference w:id="6"/>
      </w:r>
      <w:r>
        <w:t xml:space="preserve">  Service may only be terminated during the work week (Monday through Friday) as long as the public utility is open to accept a payment to restore service on the day of termination and on the day following the termination.</w:t>
      </w:r>
      <w:r>
        <w:rPr>
          <w:rStyle w:val="FootnoteReference"/>
        </w:rPr>
        <w:footnoteReference w:id="7"/>
      </w:r>
      <w:r>
        <w:t xml:space="preserve">    </w:t>
      </w:r>
    </w:p>
    <w:p w:rsidR="005B0FDE" w:rsidRDefault="005B0FDE" w:rsidP="005B0FDE">
      <w:pPr>
        <w:spacing w:line="360" w:lineRule="auto"/>
      </w:pPr>
    </w:p>
    <w:p w:rsidR="005B0FDE" w:rsidRPr="005B0FDE" w:rsidRDefault="005B0FDE" w:rsidP="005B0FDE">
      <w:pPr>
        <w:spacing w:line="360" w:lineRule="auto"/>
      </w:pPr>
      <w:r>
        <w:tab/>
      </w:r>
      <w:r>
        <w:tab/>
        <w:t>The Public Utility Code specifi</w:t>
      </w:r>
      <w:r w:rsidR="00B53DE9">
        <w:t>e</w:t>
      </w:r>
      <w:r w:rsidR="002802EE">
        <w:t>s</w:t>
      </w:r>
      <w:r>
        <w:t xml:space="preserve"> how a public utility must notify a ratepayer about an impending termination.</w:t>
      </w:r>
      <w:r w:rsidR="007E27C5">
        <w:rPr>
          <w:rStyle w:val="FootnoteReference"/>
        </w:rPr>
        <w:footnoteReference w:id="8"/>
      </w:r>
      <w:r>
        <w:t xml:space="preserve">  In addition, the Public Utility Code requires a public utility to make an attempt to contact the ratepayer or an adult occupant at least three days before a termination can take place using either a personal attempt and/or a telephonic attempt.</w:t>
      </w:r>
      <w:r w:rsidR="007E27C5">
        <w:rPr>
          <w:rStyle w:val="FootnoteReference"/>
        </w:rPr>
        <w:footnoteReference w:id="9"/>
      </w:r>
      <w:r>
        <w:t xml:space="preserve">  </w:t>
      </w:r>
    </w:p>
    <w:p w:rsidR="005B0FDE" w:rsidRDefault="005B0FDE" w:rsidP="005B0FDE">
      <w:pPr>
        <w:spacing w:line="360" w:lineRule="auto"/>
        <w:rPr>
          <w:u w:val="single"/>
        </w:rPr>
      </w:pPr>
    </w:p>
    <w:p w:rsidR="00B06020" w:rsidRPr="00B06020" w:rsidRDefault="00B06020" w:rsidP="00B06020">
      <w:pPr>
        <w:tabs>
          <w:tab w:val="left" w:pos="-1440"/>
          <w:tab w:val="left" w:pos="-720"/>
        </w:tabs>
        <w:suppressAutoHyphens/>
        <w:spacing w:line="360" w:lineRule="auto"/>
      </w:pPr>
      <w:r w:rsidRPr="00B06020">
        <w:rPr>
          <w:u w:val="single"/>
        </w:rPr>
        <w:t xml:space="preserve">Conclusion </w:t>
      </w:r>
    </w:p>
    <w:p w:rsidR="00B06020" w:rsidRPr="00B06020" w:rsidRDefault="00B06020" w:rsidP="00B06020">
      <w:pPr>
        <w:tabs>
          <w:tab w:val="left" w:pos="-1440"/>
          <w:tab w:val="left" w:pos="-720"/>
        </w:tabs>
        <w:suppressAutoHyphens/>
        <w:spacing w:line="360" w:lineRule="auto"/>
      </w:pPr>
    </w:p>
    <w:p w:rsidR="00B06020" w:rsidRPr="00B06020" w:rsidRDefault="00B06020" w:rsidP="00B06020">
      <w:pPr>
        <w:spacing w:line="360" w:lineRule="auto"/>
        <w:ind w:firstLine="720"/>
      </w:pPr>
      <w:r w:rsidRPr="00B06020">
        <w:tab/>
        <w:t xml:space="preserve">Complainant’s complaint </w:t>
      </w:r>
      <w:r w:rsidR="00E76BB4">
        <w:t>–</w:t>
      </w:r>
      <w:r w:rsidR="00FB2B8F">
        <w:t xml:space="preserve"> </w:t>
      </w:r>
      <w:r w:rsidRPr="00B06020">
        <w:t xml:space="preserve">that </w:t>
      </w:r>
      <w:r w:rsidR="004933D7">
        <w:t xml:space="preserve">Duquesne Light </w:t>
      </w:r>
      <w:r w:rsidR="0035370A">
        <w:t xml:space="preserve">failed to provide reasonable customer service when it </w:t>
      </w:r>
      <w:r w:rsidR="004933D7">
        <w:t>improperly terminated his electric service in April 2012 and May 2012</w:t>
      </w:r>
      <w:r w:rsidR="00E76BB4">
        <w:t> –</w:t>
      </w:r>
      <w:r w:rsidR="004933D7">
        <w:t xml:space="preserve"> </w:t>
      </w:r>
      <w:r w:rsidRPr="00B06020">
        <w:t xml:space="preserve">must fail for </w:t>
      </w:r>
      <w:r w:rsidR="004933D7">
        <w:t>two</w:t>
      </w:r>
      <w:r w:rsidRPr="00B06020">
        <w:t xml:space="preserve"> simple reason</w:t>
      </w:r>
      <w:r w:rsidR="004933D7">
        <w:t>s</w:t>
      </w:r>
      <w:r w:rsidR="00FB2B8F">
        <w:t xml:space="preserve">: </w:t>
      </w:r>
      <w:r w:rsidR="00A13D73">
        <w:t xml:space="preserve"> </w:t>
      </w:r>
      <w:r w:rsidRPr="00B06020">
        <w:t xml:space="preserve">he did not show </w:t>
      </w:r>
      <w:r w:rsidR="00FB2B8F">
        <w:t xml:space="preserve">Duquesne Light </w:t>
      </w:r>
      <w:r w:rsidR="004933D7">
        <w:t>terminated for an inappropriate reason (non-payment) and he did not show Duquesne Light failed to take reasonable efforts to provide him with prior notice of the impending terminations</w:t>
      </w:r>
      <w:r w:rsidR="00FB2B8F">
        <w:t>.</w:t>
      </w:r>
      <w:r w:rsidRPr="00B06020">
        <w:t xml:space="preserve">    </w:t>
      </w:r>
    </w:p>
    <w:p w:rsidR="00207B7F" w:rsidRDefault="00207B7F" w:rsidP="00B06020">
      <w:pPr>
        <w:spacing w:line="360" w:lineRule="auto"/>
        <w:ind w:firstLine="1440"/>
      </w:pPr>
      <w:r>
        <w:lastRenderedPageBreak/>
        <w:t xml:space="preserve">The evidence presented showed Complainant’s problems began when he stopped paying for the cost of electric service to the service address in August 2011.  By August 2011, reconstruction on the service address continued.  For the first eight to nine months after the house fire, Complainant paid his monthly bills on time.  Presumably, he continued to receive his monthly statements at his temporary residence during reconstruction.  Then in August 2011, for some reason, Complainant’s payment was returned for insufficient funds and Complainant stopped making payments of any kind.  </w:t>
      </w:r>
    </w:p>
    <w:p w:rsidR="00E3628F" w:rsidRDefault="00E3628F" w:rsidP="00B06020">
      <w:pPr>
        <w:spacing w:line="360" w:lineRule="auto"/>
        <w:ind w:firstLine="1440"/>
      </w:pPr>
    </w:p>
    <w:p w:rsidR="00E3628F" w:rsidRPr="00E3628F" w:rsidRDefault="00E3628F" w:rsidP="00E3628F">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628F">
        <w:rPr>
          <w:rFonts w:ascii="Times New Roman" w:hAnsi="Times New Roman" w:cs="Times New Roman"/>
          <w:sz w:val="24"/>
          <w:szCs w:val="24"/>
        </w:rPr>
        <w:t xml:space="preserve">Complainant testified inconsistently.  First he testified he thought the bills were too high when there was only one outlet in use during the reconstruction.  Later he testified he didn't get any monthly statements during reconstruction and that absence of statements is why he didn't pay his bills.  Complainant did not inform the public utility about his claim of excessive bills until after he filed his formal complaint in May 2012.  He presented no evidence at the hearing other than the inconsistent testimony.  Therefore, Complainant failed to meet his burden of proof on this issue.  </w:t>
      </w:r>
    </w:p>
    <w:p w:rsidR="00E3628F" w:rsidRDefault="00E3628F" w:rsidP="00B06020">
      <w:pPr>
        <w:spacing w:line="360" w:lineRule="auto"/>
        <w:ind w:firstLine="1440"/>
      </w:pPr>
    </w:p>
    <w:p w:rsidR="00207B7F" w:rsidRDefault="00207B7F" w:rsidP="00B06020">
      <w:pPr>
        <w:spacing w:line="360" w:lineRule="auto"/>
        <w:ind w:firstLine="1440"/>
      </w:pPr>
      <w:r>
        <w:t>After more than seven months with no payments received, Respondent initiated termination procedures</w:t>
      </w:r>
      <w:r w:rsidR="007E27C5">
        <w:t xml:space="preserve"> consistent with the termination provisions found in Chapter 56 of the Pennsylvania Code</w:t>
      </w:r>
      <w:r>
        <w:t xml:space="preserve">.  Respondent sent a letter demanding payment within ten days.  Respondent made two telephone call attempts.  After receiving no information or payment from Complainant, Respondent terminated service.  Respondent reconnected service on the same day after realizing Complainant might have been confused by information sent in anticipation of using a new electricity supplier.  </w:t>
      </w:r>
    </w:p>
    <w:p w:rsidR="00207B7F" w:rsidRDefault="00207B7F" w:rsidP="00B06020">
      <w:pPr>
        <w:spacing w:line="360" w:lineRule="auto"/>
        <w:ind w:firstLine="1440"/>
      </w:pPr>
    </w:p>
    <w:p w:rsidR="00B06020" w:rsidRPr="00B06020" w:rsidRDefault="00207B7F" w:rsidP="00B06020">
      <w:pPr>
        <w:spacing w:line="360" w:lineRule="auto"/>
        <w:ind w:firstLine="1440"/>
      </w:pPr>
      <w:r>
        <w:t xml:space="preserve">However, despite the reprieve, Complainant still refused to make monthly payments on the account and Respondent initiated termination procedures again at the end of April.  Eventually, Respondent discontinued service on May 2, 2012 and the electric service remained off until Complainant paid the account balance in full.  </w:t>
      </w:r>
    </w:p>
    <w:p w:rsidR="00B06020" w:rsidRDefault="00B06020" w:rsidP="00B06020">
      <w:pPr>
        <w:spacing w:line="360" w:lineRule="auto"/>
        <w:ind w:firstLine="1440"/>
      </w:pPr>
    </w:p>
    <w:p w:rsidR="00FF1384" w:rsidRDefault="00FF1384" w:rsidP="00B06020">
      <w:pPr>
        <w:spacing w:line="360" w:lineRule="auto"/>
        <w:ind w:firstLine="1440"/>
      </w:pPr>
    </w:p>
    <w:p w:rsidR="00207B7F" w:rsidRPr="00B06020" w:rsidRDefault="00207B7F" w:rsidP="00B06020">
      <w:pPr>
        <w:spacing w:line="360" w:lineRule="auto"/>
        <w:ind w:firstLine="1440"/>
      </w:pPr>
      <w:r>
        <w:lastRenderedPageBreak/>
        <w:t xml:space="preserve">Respondent acted appropriately under the circumstances.  Complainant was in error to refuse to make a payment on his account.  Therefore, Complainant has failed to meet the burden of proof in this proceeding.  Accordingly, his formal complaint will be dismissed in the ordering paragraphs below. </w:t>
      </w:r>
    </w:p>
    <w:p w:rsidR="00B06020" w:rsidRPr="00B06020" w:rsidRDefault="00B06020" w:rsidP="00B06020">
      <w:pPr>
        <w:suppressAutoHyphens/>
        <w:spacing w:line="360" w:lineRule="auto"/>
        <w:rPr>
          <w:spacing w:val="-3"/>
        </w:rPr>
      </w:pPr>
    </w:p>
    <w:p w:rsidR="00B06020" w:rsidRPr="00B06020" w:rsidRDefault="00B06020" w:rsidP="00FB2B8F">
      <w:pPr>
        <w:pStyle w:val="Heading1"/>
        <w:spacing w:line="360" w:lineRule="auto"/>
        <w:rPr>
          <w:sz w:val="24"/>
          <w:szCs w:val="24"/>
        </w:rPr>
      </w:pPr>
      <w:r w:rsidRPr="00B06020">
        <w:rPr>
          <w:sz w:val="24"/>
          <w:szCs w:val="24"/>
        </w:rPr>
        <w:t>CONCLUSIONS OF LAW</w:t>
      </w:r>
    </w:p>
    <w:p w:rsidR="00B06020" w:rsidRPr="00B06020" w:rsidRDefault="00B06020" w:rsidP="00B06020">
      <w:pPr>
        <w:spacing w:line="360" w:lineRule="auto"/>
      </w:pPr>
    </w:p>
    <w:p w:rsidR="00B06020" w:rsidRDefault="00B06020" w:rsidP="00B06020">
      <w:pPr>
        <w:numPr>
          <w:ilvl w:val="0"/>
          <w:numId w:val="8"/>
        </w:numPr>
        <w:tabs>
          <w:tab w:val="clear" w:pos="1440"/>
          <w:tab w:val="num" w:pos="2160"/>
        </w:tabs>
        <w:spacing w:line="360" w:lineRule="auto"/>
        <w:ind w:left="0" w:firstLine="1440"/>
      </w:pPr>
      <w:r w:rsidRPr="00B06020">
        <w:t>This Commission has jurisdiction over the parties to and subject matter of this case.  66 Pa. C.S. §701.</w:t>
      </w:r>
    </w:p>
    <w:p w:rsidR="00FB2B8F" w:rsidRPr="00B06020" w:rsidRDefault="00FB2B8F" w:rsidP="00FB2B8F">
      <w:pPr>
        <w:tabs>
          <w:tab w:val="num" w:pos="2160"/>
        </w:tabs>
        <w:spacing w:line="360" w:lineRule="auto"/>
        <w:ind w:left="1440"/>
      </w:pPr>
    </w:p>
    <w:p w:rsidR="00B06020" w:rsidRPr="00B06020" w:rsidRDefault="00B06020" w:rsidP="00B06020">
      <w:pPr>
        <w:numPr>
          <w:ilvl w:val="0"/>
          <w:numId w:val="8"/>
        </w:numPr>
        <w:tabs>
          <w:tab w:val="clear" w:pos="1440"/>
          <w:tab w:val="left" w:pos="0"/>
        </w:tabs>
        <w:spacing w:line="360" w:lineRule="auto"/>
        <w:ind w:left="0" w:firstLine="1440"/>
      </w:pPr>
      <w:r w:rsidRPr="00B06020">
        <w:t>Complainant has the burden of proving Respondent did not provide reasonable and adequate service.  66 Pa. C.S.A. §332(a)</w:t>
      </w:r>
      <w:r w:rsidR="0035370A">
        <w:t xml:space="preserve"> and 66 Pa. C.S.A. §1501</w:t>
      </w:r>
      <w:r w:rsidRPr="00B06020">
        <w:t>.</w:t>
      </w:r>
    </w:p>
    <w:p w:rsidR="00B06020" w:rsidRPr="00B06020" w:rsidRDefault="00B06020" w:rsidP="00B06020">
      <w:pPr>
        <w:pStyle w:val="ListParagraph"/>
        <w:ind w:left="0"/>
        <w:rPr>
          <w:sz w:val="24"/>
          <w:szCs w:val="24"/>
        </w:rPr>
      </w:pPr>
    </w:p>
    <w:p w:rsidR="00B06020" w:rsidRPr="00B06020" w:rsidRDefault="00B06020" w:rsidP="00B06020">
      <w:pPr>
        <w:tabs>
          <w:tab w:val="left" w:pos="0"/>
        </w:tabs>
        <w:spacing w:line="360" w:lineRule="auto"/>
      </w:pPr>
      <w:r w:rsidRPr="00B06020">
        <w:tab/>
      </w:r>
      <w:r w:rsidRPr="00B06020">
        <w:tab/>
        <w:t>3.</w:t>
      </w:r>
      <w:r w:rsidRPr="00B06020">
        <w:tab/>
      </w:r>
      <w:r w:rsidR="0035370A" w:rsidRPr="00CF2338">
        <w:t xml:space="preserve">“Burden of proof” means a duty to establish one’s case by a preponderance of the evidence, which requires that the evidence be more convincing by even the smallest degree, than the evidence presented by the other side.  </w:t>
      </w:r>
      <w:proofErr w:type="gramStart"/>
      <w:r w:rsidR="0035370A" w:rsidRPr="00CA01AA">
        <w:rPr>
          <w:u w:val="single"/>
        </w:rPr>
        <w:t>Se-Ling Hosiery, Inc. v. Margulies</w:t>
      </w:r>
      <w:r w:rsidR="0035370A" w:rsidRPr="00CF2338">
        <w:t xml:space="preserve">, 364 </w:t>
      </w:r>
      <w:smartTag w:uri="urn:schemas-microsoft-com:office:smarttags" w:element="time">
        <w:r w:rsidR="0035370A" w:rsidRPr="00CF2338">
          <w:t>Pa.</w:t>
        </w:r>
      </w:smartTag>
      <w:r w:rsidR="0035370A" w:rsidRPr="00CF2338">
        <w:t xml:space="preserve"> 45, 70 A.2d 854 (1950).</w:t>
      </w:r>
      <w:proofErr w:type="gramEnd"/>
      <w:r w:rsidR="00F0662E">
        <w:t xml:space="preserve">  </w:t>
      </w:r>
    </w:p>
    <w:p w:rsidR="00B06020" w:rsidRPr="00B06020" w:rsidRDefault="00B06020" w:rsidP="00B06020">
      <w:pPr>
        <w:tabs>
          <w:tab w:val="left" w:pos="0"/>
        </w:tabs>
        <w:spacing w:line="360" w:lineRule="auto"/>
      </w:pPr>
    </w:p>
    <w:p w:rsidR="00B06020" w:rsidRPr="00B06020" w:rsidRDefault="00B06020" w:rsidP="00B06020">
      <w:pPr>
        <w:tabs>
          <w:tab w:val="left" w:pos="0"/>
        </w:tabs>
        <w:spacing w:line="360" w:lineRule="auto"/>
        <w:rPr>
          <w:spacing w:val="-3"/>
        </w:rPr>
      </w:pPr>
      <w:r w:rsidRPr="00B06020">
        <w:tab/>
      </w:r>
      <w:r w:rsidRPr="00B06020">
        <w:tab/>
        <w:t>4.</w:t>
      </w:r>
      <w:r w:rsidRPr="00B06020">
        <w:tab/>
      </w:r>
      <w:r w:rsidR="0035370A" w:rsidRPr="00B06020">
        <w:t xml:space="preserve">Complainant did not meet the burden of proving </w:t>
      </w:r>
      <w:r w:rsidR="0035370A">
        <w:t>Respondent improperly discontinued service to the service address on April 10, 2012 and May 2, 2012.</w:t>
      </w:r>
    </w:p>
    <w:p w:rsidR="00B06020" w:rsidRPr="00B06020" w:rsidRDefault="00B06020" w:rsidP="00B06020">
      <w:pPr>
        <w:tabs>
          <w:tab w:val="left" w:pos="0"/>
        </w:tabs>
        <w:spacing w:line="360" w:lineRule="auto"/>
        <w:rPr>
          <w:spacing w:val="-3"/>
        </w:rPr>
      </w:pPr>
      <w:r w:rsidRPr="00B06020">
        <w:rPr>
          <w:spacing w:val="-3"/>
        </w:rPr>
        <w:tab/>
      </w:r>
    </w:p>
    <w:p w:rsidR="00B06020" w:rsidRPr="00B06020" w:rsidRDefault="00B06020" w:rsidP="00B06020">
      <w:pPr>
        <w:tabs>
          <w:tab w:val="left" w:pos="0"/>
        </w:tabs>
        <w:spacing w:line="360" w:lineRule="auto"/>
      </w:pPr>
      <w:r w:rsidRPr="00B06020">
        <w:rPr>
          <w:spacing w:val="-3"/>
        </w:rPr>
        <w:tab/>
      </w:r>
      <w:r w:rsidRPr="00B06020">
        <w:rPr>
          <w:spacing w:val="-3"/>
        </w:rPr>
        <w:tab/>
        <w:t>5.</w:t>
      </w:r>
      <w:r w:rsidRPr="00B06020">
        <w:rPr>
          <w:spacing w:val="-3"/>
        </w:rPr>
        <w:tab/>
      </w:r>
      <w:r w:rsidR="0035370A">
        <w:rPr>
          <w:spacing w:val="-3"/>
        </w:rPr>
        <w:t>Respondent discontinued electric service on April</w:t>
      </w:r>
      <w:r w:rsidR="000700B0">
        <w:rPr>
          <w:spacing w:val="-3"/>
        </w:rPr>
        <w:t xml:space="preserve"> </w:t>
      </w:r>
      <w:r w:rsidR="0035370A">
        <w:rPr>
          <w:spacing w:val="-3"/>
        </w:rPr>
        <w:t>10, 2012 and May 2, 2012 due to non-payment on the account, and took reasonable efforts to provide Complainant with prior notice before the terminations occurred</w:t>
      </w:r>
      <w:r w:rsidR="007E27C5">
        <w:rPr>
          <w:spacing w:val="-3"/>
        </w:rPr>
        <w:t xml:space="preserve">, consistent with </w:t>
      </w:r>
      <w:r w:rsidR="00326AFD">
        <w:rPr>
          <w:spacing w:val="-3"/>
        </w:rPr>
        <w:t xml:space="preserve">66 Pa. C.S.A. </w:t>
      </w:r>
      <w:r w:rsidR="007E27C5">
        <w:rPr>
          <w:spacing w:val="-3"/>
        </w:rPr>
        <w:t>§</w:t>
      </w:r>
      <w:r w:rsidR="00326AFD">
        <w:rPr>
          <w:spacing w:val="-3"/>
        </w:rPr>
        <w:t>1406.</w:t>
      </w:r>
    </w:p>
    <w:p w:rsidR="007E27C5" w:rsidRDefault="007E27C5">
      <w:pPr>
        <w:rPr>
          <w:u w:val="single"/>
        </w:rPr>
      </w:pPr>
    </w:p>
    <w:p w:rsidR="00FA32CE" w:rsidRDefault="00FA32CE">
      <w:pPr>
        <w:rPr>
          <w:u w:val="single"/>
        </w:rPr>
      </w:pPr>
    </w:p>
    <w:p w:rsidR="003B76AE" w:rsidRDefault="003B76AE" w:rsidP="00F0662E">
      <w:pPr>
        <w:spacing w:line="360" w:lineRule="auto"/>
        <w:jc w:val="center"/>
        <w:rPr>
          <w:u w:val="single"/>
        </w:rPr>
      </w:pPr>
    </w:p>
    <w:p w:rsidR="003B76AE" w:rsidRDefault="003B76AE" w:rsidP="00F0662E">
      <w:pPr>
        <w:spacing w:line="360" w:lineRule="auto"/>
        <w:jc w:val="center"/>
        <w:rPr>
          <w:u w:val="single"/>
        </w:rPr>
      </w:pPr>
    </w:p>
    <w:p w:rsidR="003B76AE" w:rsidRDefault="003B76AE" w:rsidP="00F0662E">
      <w:pPr>
        <w:spacing w:line="360" w:lineRule="auto"/>
        <w:jc w:val="center"/>
        <w:rPr>
          <w:u w:val="single"/>
        </w:rPr>
      </w:pPr>
    </w:p>
    <w:p w:rsidR="003B76AE" w:rsidRDefault="003B76AE" w:rsidP="00F0662E">
      <w:pPr>
        <w:spacing w:line="360" w:lineRule="auto"/>
        <w:jc w:val="center"/>
        <w:rPr>
          <w:u w:val="single"/>
        </w:rPr>
      </w:pPr>
    </w:p>
    <w:p w:rsidR="003B76AE" w:rsidRDefault="003B76AE" w:rsidP="00F0662E">
      <w:pPr>
        <w:spacing w:line="360" w:lineRule="auto"/>
        <w:jc w:val="center"/>
        <w:rPr>
          <w:u w:val="single"/>
        </w:rPr>
      </w:pPr>
    </w:p>
    <w:p w:rsidR="003B76AE" w:rsidRDefault="003B76AE" w:rsidP="00F0662E">
      <w:pPr>
        <w:spacing w:line="360" w:lineRule="auto"/>
        <w:jc w:val="center"/>
        <w:rPr>
          <w:u w:val="single"/>
        </w:rPr>
      </w:pPr>
    </w:p>
    <w:p w:rsidR="00B06020" w:rsidRPr="00B06020" w:rsidRDefault="00B06020" w:rsidP="00F0662E">
      <w:pPr>
        <w:spacing w:line="360" w:lineRule="auto"/>
        <w:jc w:val="center"/>
        <w:rPr>
          <w:u w:val="single"/>
        </w:rPr>
      </w:pPr>
      <w:bookmarkStart w:id="0" w:name="_GoBack"/>
      <w:bookmarkEnd w:id="0"/>
      <w:r w:rsidRPr="00B06020">
        <w:rPr>
          <w:u w:val="single"/>
        </w:rPr>
        <w:lastRenderedPageBreak/>
        <w:t>ORDER</w:t>
      </w:r>
    </w:p>
    <w:p w:rsidR="00B06020" w:rsidRPr="00B06020" w:rsidRDefault="00B06020" w:rsidP="00B06020">
      <w:pPr>
        <w:spacing w:line="360" w:lineRule="auto"/>
      </w:pPr>
    </w:p>
    <w:p w:rsidR="00B06020" w:rsidRPr="00B06020" w:rsidRDefault="00B06020" w:rsidP="00B06020">
      <w:pPr>
        <w:spacing w:line="360" w:lineRule="auto"/>
      </w:pPr>
    </w:p>
    <w:p w:rsidR="00B06020" w:rsidRPr="00B06020" w:rsidRDefault="00B06020" w:rsidP="00B06020">
      <w:pPr>
        <w:spacing w:line="360" w:lineRule="auto"/>
      </w:pPr>
      <w:r w:rsidRPr="00B06020">
        <w:tab/>
      </w:r>
      <w:r w:rsidRPr="00B06020">
        <w:tab/>
        <w:t>THEREFORE,</w:t>
      </w:r>
    </w:p>
    <w:p w:rsidR="00B06020" w:rsidRPr="00B06020" w:rsidRDefault="00B06020" w:rsidP="00B06020">
      <w:pPr>
        <w:spacing w:line="360" w:lineRule="auto"/>
      </w:pPr>
    </w:p>
    <w:p w:rsidR="00B06020" w:rsidRPr="00B06020" w:rsidRDefault="00B06020" w:rsidP="00B06020">
      <w:pPr>
        <w:spacing w:line="360" w:lineRule="auto"/>
      </w:pPr>
      <w:r w:rsidRPr="00B06020">
        <w:tab/>
      </w:r>
      <w:r w:rsidRPr="00B06020">
        <w:tab/>
        <w:t>IT IS ORDERED:</w:t>
      </w:r>
    </w:p>
    <w:p w:rsidR="00B06020" w:rsidRPr="00B06020" w:rsidRDefault="00B06020" w:rsidP="00B06020">
      <w:pPr>
        <w:spacing w:line="360" w:lineRule="auto"/>
      </w:pPr>
    </w:p>
    <w:p w:rsidR="00B06020" w:rsidRPr="00B06020" w:rsidRDefault="00F0662E" w:rsidP="00B06020">
      <w:pPr>
        <w:spacing w:line="360" w:lineRule="auto"/>
      </w:pPr>
      <w:r>
        <w:tab/>
      </w:r>
      <w:r>
        <w:tab/>
      </w:r>
      <w:r w:rsidR="00B06020" w:rsidRPr="00B06020">
        <w:t xml:space="preserve">That the complaint of </w:t>
      </w:r>
      <w:r w:rsidR="00FB2B8F">
        <w:t xml:space="preserve">John </w:t>
      </w:r>
      <w:proofErr w:type="spellStart"/>
      <w:r w:rsidR="00FB2B8F">
        <w:t>Rotthoff</w:t>
      </w:r>
      <w:proofErr w:type="spellEnd"/>
      <w:r w:rsidR="00B06020" w:rsidRPr="00B06020">
        <w:t xml:space="preserve"> versus </w:t>
      </w:r>
      <w:r w:rsidR="00FB2B8F">
        <w:t>Duquesne Light</w:t>
      </w:r>
      <w:r w:rsidR="00B06020" w:rsidRPr="00B06020">
        <w:t xml:space="preserve"> Company at Docket No. </w:t>
      </w:r>
      <w:r w:rsidR="00FB2B8F">
        <w:t>C-2012-2305684</w:t>
      </w:r>
      <w:r w:rsidR="00B06020" w:rsidRPr="00B06020">
        <w:t xml:space="preserve"> is hereby </w:t>
      </w:r>
      <w:r w:rsidR="0035370A">
        <w:t>dismissed as failing to meet the burden of proof</w:t>
      </w:r>
      <w:r w:rsidR="00B06020" w:rsidRPr="00B06020">
        <w:t>.</w:t>
      </w:r>
    </w:p>
    <w:p w:rsidR="00B06020" w:rsidRPr="00B06020" w:rsidRDefault="00B06020" w:rsidP="00B06020">
      <w:pPr>
        <w:spacing w:line="360" w:lineRule="auto"/>
      </w:pPr>
    </w:p>
    <w:p w:rsidR="00B06020" w:rsidRPr="00B06020" w:rsidRDefault="00B06020" w:rsidP="00FB2B8F">
      <w:pPr>
        <w:suppressAutoHyphens/>
      </w:pPr>
    </w:p>
    <w:p w:rsidR="00B06020" w:rsidRPr="00B06020" w:rsidRDefault="00B06020" w:rsidP="00FB2B8F"/>
    <w:p w:rsidR="00B06020" w:rsidRPr="00B06020" w:rsidRDefault="00B06020" w:rsidP="00FB2B8F"/>
    <w:p w:rsidR="00B06020" w:rsidRPr="00B06020" w:rsidRDefault="00B06020" w:rsidP="00FB2B8F">
      <w:pPr>
        <w:rPr>
          <w:u w:val="single"/>
        </w:rPr>
      </w:pPr>
      <w:r w:rsidRPr="00B06020">
        <w:t xml:space="preserve">Date:  </w:t>
      </w:r>
      <w:r w:rsidR="00FB2B8F">
        <w:rPr>
          <w:u w:val="single"/>
        </w:rPr>
        <w:t xml:space="preserve">October </w:t>
      </w:r>
      <w:r w:rsidR="00F0662E">
        <w:rPr>
          <w:u w:val="single"/>
        </w:rPr>
        <w:t>1</w:t>
      </w:r>
      <w:r w:rsidR="00FA32CE">
        <w:rPr>
          <w:u w:val="single"/>
        </w:rPr>
        <w:t>1</w:t>
      </w:r>
      <w:r w:rsidRPr="00B06020">
        <w:rPr>
          <w:u w:val="single"/>
        </w:rPr>
        <w:t>, 2012</w:t>
      </w:r>
      <w:r w:rsidRPr="00B06020">
        <w:tab/>
      </w:r>
      <w:r w:rsidRPr="00B06020">
        <w:tab/>
      </w:r>
      <w:r w:rsidRPr="00B06020">
        <w:tab/>
      </w:r>
      <w:r w:rsidRPr="00B06020">
        <w:tab/>
      </w:r>
      <w:r w:rsidRPr="00B06020">
        <w:tab/>
      </w:r>
      <w:r w:rsidRPr="00B06020">
        <w:rPr>
          <w:u w:val="single"/>
        </w:rPr>
        <w:t xml:space="preserve">                                                       </w:t>
      </w:r>
      <w:r w:rsidRPr="00B06020">
        <w:tab/>
      </w:r>
      <w:r w:rsidRPr="00B06020">
        <w:tab/>
      </w:r>
      <w:r w:rsidRPr="00B06020">
        <w:tab/>
      </w:r>
      <w:r w:rsidRPr="00B06020">
        <w:tab/>
      </w:r>
      <w:r w:rsidRPr="00B06020">
        <w:tab/>
      </w:r>
      <w:r w:rsidRPr="00B06020">
        <w:tab/>
      </w:r>
      <w:r w:rsidRPr="00B06020">
        <w:tab/>
      </w:r>
      <w:r w:rsidRPr="00B06020">
        <w:tab/>
      </w:r>
      <w:r w:rsidRPr="00B06020">
        <w:tab/>
        <w:t>Katrina L. Dunderdale</w:t>
      </w:r>
    </w:p>
    <w:p w:rsidR="00B06020" w:rsidRPr="00B06020" w:rsidRDefault="00B06020" w:rsidP="00FB2B8F">
      <w:r w:rsidRPr="00B06020">
        <w:tab/>
      </w:r>
      <w:r w:rsidRPr="00B06020">
        <w:tab/>
      </w:r>
      <w:r w:rsidRPr="00B06020">
        <w:tab/>
      </w:r>
      <w:r w:rsidRPr="00B06020">
        <w:tab/>
      </w:r>
      <w:r w:rsidRPr="00B06020">
        <w:tab/>
      </w:r>
      <w:r w:rsidRPr="00B06020">
        <w:tab/>
      </w:r>
      <w:r w:rsidRPr="00B06020">
        <w:tab/>
      </w:r>
      <w:r w:rsidRPr="00B06020">
        <w:tab/>
        <w:t>Administrative Law Judge</w:t>
      </w:r>
    </w:p>
    <w:p w:rsidR="00CA57BA" w:rsidRPr="00B06020" w:rsidRDefault="00CA57BA" w:rsidP="00B06020">
      <w:pPr>
        <w:spacing w:line="360" w:lineRule="auto"/>
      </w:pPr>
    </w:p>
    <w:sectPr w:rsidR="00CA57BA" w:rsidRPr="00B06020"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7A" w:rsidRDefault="0088507A">
      <w:r>
        <w:separator/>
      </w:r>
    </w:p>
  </w:endnote>
  <w:endnote w:type="continuationSeparator" w:id="0">
    <w:p w:rsidR="0088507A" w:rsidRDefault="0088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5C6D4A"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5C6D4A"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3B76AE">
      <w:rPr>
        <w:rStyle w:val="PageNumber"/>
        <w:noProof/>
        <w:sz w:val="20"/>
        <w:szCs w:val="20"/>
      </w:rPr>
      <w:t>11</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7A" w:rsidRDefault="0088507A">
      <w:r>
        <w:separator/>
      </w:r>
    </w:p>
  </w:footnote>
  <w:footnote w:type="continuationSeparator" w:id="0">
    <w:p w:rsidR="0088507A" w:rsidRDefault="0088507A">
      <w:r>
        <w:continuationSeparator/>
      </w:r>
    </w:p>
  </w:footnote>
  <w:footnote w:id="1">
    <w:p w:rsidR="00C12FDF" w:rsidRDefault="00C12FDF" w:rsidP="00C12FDF">
      <w:pPr>
        <w:pStyle w:val="FootnoteText"/>
        <w:ind w:firstLine="720"/>
      </w:pPr>
      <w:r>
        <w:rPr>
          <w:rStyle w:val="FootnoteReference"/>
        </w:rPr>
        <w:footnoteRef/>
      </w:r>
      <w:r>
        <w:t xml:space="preserve"> </w:t>
      </w:r>
      <w:r>
        <w:tab/>
      </w:r>
      <w:r w:rsidR="00CB1A1E">
        <w:t xml:space="preserve">The Commission is not empowered to order Respondent to pay damages because the Commission only can consider such matters as are expressly, or by necessary implication, given to it by the legislature.  The Public Utility Code, 66 Pa. C.S. §101 </w:t>
      </w:r>
      <w:r w:rsidR="00CB1A1E" w:rsidRPr="004E1577">
        <w:rPr>
          <w:i/>
        </w:rPr>
        <w:t>et seq</w:t>
      </w:r>
      <w:r w:rsidR="00CB1A1E">
        <w:t xml:space="preserve">. does not give the Commission jurisdiction over claims for damages.  </w:t>
      </w:r>
      <w:proofErr w:type="spellStart"/>
      <w:proofErr w:type="gramStart"/>
      <w:r w:rsidR="00CB1A1E">
        <w:rPr>
          <w:u w:val="single"/>
        </w:rPr>
        <w:t>Behrend</w:t>
      </w:r>
      <w:proofErr w:type="spellEnd"/>
      <w:r w:rsidR="00CB1A1E">
        <w:rPr>
          <w:u w:val="single"/>
        </w:rPr>
        <w:t xml:space="preserve"> v. Bell Telephone Co.</w:t>
      </w:r>
      <w:r w:rsidR="00CB1A1E">
        <w:t>, 242 Pa</w:t>
      </w:r>
      <w:r w:rsidR="006C0009">
        <w:t>.</w:t>
      </w:r>
      <w:r w:rsidR="00CB1A1E">
        <w:t xml:space="preserve"> Superior Ct. 47, 363 A.2d 1152 (1976).</w:t>
      </w:r>
      <w:proofErr w:type="gramEnd"/>
      <w:r w:rsidR="00CB1A1E">
        <w:t xml:space="preserve">  The remedial and enforcement powers vested in the Commission are designed to allow the Commission to enforce its orders and regulations, but not to empower it to award damages or to litigate a private action for damages on behalf of a complainant.  </w:t>
      </w:r>
      <w:r w:rsidR="00CB1A1E" w:rsidRPr="0064100D">
        <w:t>See</w:t>
      </w:r>
      <w:r w:rsidR="00CB1A1E">
        <w:t xml:space="preserve"> </w:t>
      </w:r>
      <w:r w:rsidR="00CB1A1E">
        <w:rPr>
          <w:u w:val="single"/>
        </w:rPr>
        <w:t>Elkin v. Bell Telephone Company of Pennsylvania</w:t>
      </w:r>
      <w:r w:rsidR="00CB1A1E">
        <w:t xml:space="preserve">, 491 Pa. 123, 420 A.2d 371 (1980); </w:t>
      </w:r>
      <w:proofErr w:type="spellStart"/>
      <w:r w:rsidR="00CB1A1E">
        <w:rPr>
          <w:u w:val="single"/>
        </w:rPr>
        <w:t>Poorbaugh</w:t>
      </w:r>
      <w:proofErr w:type="spellEnd"/>
      <w:r w:rsidR="00CB1A1E">
        <w:rPr>
          <w:u w:val="single"/>
        </w:rPr>
        <w:t xml:space="preserve"> v. PA Public Utility Comm.,</w:t>
      </w:r>
      <w:r w:rsidR="00CB1A1E">
        <w:t xml:space="preserve"> 666 A.2d 744 (Pa. </w:t>
      </w:r>
      <w:proofErr w:type="spellStart"/>
      <w:r w:rsidR="00CB1A1E">
        <w:t>Commw</w:t>
      </w:r>
      <w:proofErr w:type="spellEnd"/>
      <w:r w:rsidR="00CB1A1E">
        <w:t xml:space="preserve">. 1995); and </w:t>
      </w:r>
      <w:proofErr w:type="spellStart"/>
      <w:r w:rsidR="00CB1A1E">
        <w:rPr>
          <w:u w:val="single"/>
        </w:rPr>
        <w:t>DeFrancesco</w:t>
      </w:r>
      <w:proofErr w:type="spellEnd"/>
      <w:r w:rsidR="00CB1A1E">
        <w:rPr>
          <w:u w:val="single"/>
        </w:rPr>
        <w:t xml:space="preserve"> v. Western Pennsylvania Water Company</w:t>
      </w:r>
      <w:r w:rsidR="00CB1A1E">
        <w:t xml:space="preserve">, 499 Pa. 374, 453 A.2d 595 (1982).  The Courts of Common Pleas retain original jurisdiction over suits for damages.  </w:t>
      </w:r>
      <w:r>
        <w:t xml:space="preserve">See 66 Pa. C.S. §501; and </w:t>
      </w:r>
      <w:r w:rsidRPr="00A86D73">
        <w:rPr>
          <w:u w:val="single"/>
        </w:rPr>
        <w:t>Fairview Water Company v. Pa. P.U.C.</w:t>
      </w:r>
      <w:r>
        <w:t xml:space="preserve">, 509 Pa. 384, 502 A.2d 162 (1985).  </w:t>
      </w:r>
    </w:p>
  </w:footnote>
  <w:footnote w:id="2">
    <w:p w:rsidR="00B06020" w:rsidRDefault="00B06020" w:rsidP="00B06020">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B06020" w:rsidRPr="00EC0D25" w:rsidRDefault="00B06020" w:rsidP="00B06020">
      <w:pPr>
        <w:pStyle w:val="FootnoteText"/>
        <w:ind w:firstLine="720"/>
      </w:pPr>
    </w:p>
  </w:footnote>
  <w:footnote w:id="3">
    <w:p w:rsidR="00B06020" w:rsidRDefault="00B06020" w:rsidP="00B06020">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 w:id="4">
    <w:p w:rsidR="00B06020" w:rsidRDefault="00B06020" w:rsidP="00B06020">
      <w:pPr>
        <w:pStyle w:val="FootnoteText"/>
        <w:ind w:firstLine="720"/>
      </w:pPr>
    </w:p>
    <w:p w:rsidR="00B06020" w:rsidRDefault="00B06020" w:rsidP="00B06020">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B06020" w:rsidRPr="00EC0D25" w:rsidRDefault="00B06020" w:rsidP="00B06020">
      <w:pPr>
        <w:pStyle w:val="FootnoteText"/>
        <w:ind w:firstLine="720"/>
      </w:pPr>
    </w:p>
  </w:footnote>
  <w:footnote w:id="5">
    <w:p w:rsidR="00B06020" w:rsidRPr="00A964A8" w:rsidRDefault="00B06020" w:rsidP="00B06020">
      <w:pPr>
        <w:tabs>
          <w:tab w:val="left" w:pos="-1440"/>
          <w:tab w:val="left" w:pos="-720"/>
        </w:tabs>
        <w:suppressAutoHyphens/>
      </w:pPr>
      <w:r>
        <w:tab/>
      </w:r>
      <w:r w:rsidRPr="000120B2">
        <w:rPr>
          <w:rStyle w:val="FootnoteReference"/>
          <w:sz w:val="20"/>
        </w:rPr>
        <w:footnoteRef/>
      </w:r>
      <w:r w:rsidRPr="000120B2">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 w:id="6">
    <w:p w:rsidR="005B0FDE" w:rsidRDefault="005B0FDE" w:rsidP="005B0FDE">
      <w:pPr>
        <w:pStyle w:val="FootnoteText"/>
        <w:ind w:firstLine="720"/>
      </w:pPr>
      <w:r>
        <w:rPr>
          <w:rStyle w:val="FootnoteReference"/>
        </w:rPr>
        <w:footnoteRef/>
      </w:r>
      <w:r>
        <w:t xml:space="preserve"> </w:t>
      </w:r>
      <w:r>
        <w:tab/>
        <w:t xml:space="preserve">See </w:t>
      </w:r>
      <w:r w:rsidR="008546E4">
        <w:t xml:space="preserve">66 Pa. C.S.A. </w:t>
      </w:r>
      <w:r>
        <w:t>§</w:t>
      </w:r>
      <w:r w:rsidR="008546E4">
        <w:t>1406(a</w:t>
      </w:r>
      <w:proofErr w:type="gramStart"/>
      <w:r w:rsidR="008546E4">
        <w:t>)(</w:t>
      </w:r>
      <w:proofErr w:type="gramEnd"/>
      <w:r w:rsidR="008546E4">
        <w:t>1).</w:t>
      </w:r>
    </w:p>
  </w:footnote>
  <w:footnote w:id="7">
    <w:p w:rsidR="005B0FDE" w:rsidRDefault="005B0FDE">
      <w:pPr>
        <w:pStyle w:val="FootnoteText"/>
      </w:pPr>
    </w:p>
    <w:p w:rsidR="005B0FDE" w:rsidRDefault="005B0FDE" w:rsidP="005B0FDE">
      <w:pPr>
        <w:pStyle w:val="FootnoteText"/>
        <w:ind w:firstLine="720"/>
      </w:pPr>
      <w:r>
        <w:rPr>
          <w:rStyle w:val="FootnoteReference"/>
        </w:rPr>
        <w:footnoteRef/>
      </w:r>
      <w:r>
        <w:t xml:space="preserve"> </w:t>
      </w:r>
      <w:r>
        <w:tab/>
        <w:t xml:space="preserve">See </w:t>
      </w:r>
      <w:r w:rsidR="00C54029">
        <w:t>66 Pa. C.S.A. §1406(d)</w:t>
      </w:r>
      <w:r>
        <w:t>.</w:t>
      </w:r>
    </w:p>
  </w:footnote>
  <w:footnote w:id="8">
    <w:p w:rsidR="007E27C5" w:rsidRDefault="007E27C5">
      <w:pPr>
        <w:pStyle w:val="FootnoteText"/>
      </w:pPr>
    </w:p>
    <w:p w:rsidR="007E27C5" w:rsidRDefault="007E27C5" w:rsidP="007E27C5">
      <w:pPr>
        <w:pStyle w:val="FootnoteText"/>
        <w:ind w:firstLine="720"/>
      </w:pPr>
      <w:r>
        <w:rPr>
          <w:rStyle w:val="FootnoteReference"/>
        </w:rPr>
        <w:footnoteRef/>
      </w:r>
      <w:r>
        <w:t xml:space="preserve"> </w:t>
      </w:r>
      <w:r>
        <w:tab/>
        <w:t xml:space="preserve">See </w:t>
      </w:r>
      <w:r w:rsidR="00C54029">
        <w:t>66 Pa. C.S.A. §1406(</w:t>
      </w:r>
      <w:r w:rsidR="00817391">
        <w:t>b</w:t>
      </w:r>
      <w:r w:rsidR="00C54029">
        <w:t>)</w:t>
      </w:r>
      <w:r>
        <w:t>.</w:t>
      </w:r>
    </w:p>
  </w:footnote>
  <w:footnote w:id="9">
    <w:p w:rsidR="007E27C5" w:rsidRDefault="007E27C5">
      <w:pPr>
        <w:pStyle w:val="FootnoteText"/>
      </w:pPr>
    </w:p>
    <w:p w:rsidR="007E27C5" w:rsidRDefault="007E27C5" w:rsidP="007E27C5">
      <w:pPr>
        <w:pStyle w:val="FootnoteText"/>
        <w:ind w:firstLine="720"/>
      </w:pPr>
      <w:r>
        <w:rPr>
          <w:rStyle w:val="FootnoteReference"/>
        </w:rPr>
        <w:footnoteRef/>
      </w:r>
      <w:r>
        <w:t xml:space="preserve"> </w:t>
      </w:r>
      <w:r>
        <w:tab/>
        <w:t xml:space="preserve">See </w:t>
      </w:r>
      <w:r w:rsidR="00C54029">
        <w:t>66 Pa. C.S.A. §1406(</w:t>
      </w:r>
      <w:r w:rsidR="00AC141D">
        <w:t>b</w:t>
      </w:r>
      <w:proofErr w:type="gramStart"/>
      <w:r w:rsidR="00C54029">
        <w:t>)(</w:t>
      </w:r>
      <w:proofErr w:type="spellStart"/>
      <w:proofErr w:type="gramEnd"/>
      <w:r w:rsidR="00AC141D">
        <w:t>i</w:t>
      </w:r>
      <w:proofErr w:type="spellEnd"/>
      <w:r w:rsidR="00C54029">
        <w:t>)</w:t>
      </w:r>
      <w:r w:rsidR="00AC141D">
        <w:t>(ii)</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933"/>
    <w:rsid w:val="00004CAB"/>
    <w:rsid w:val="00010C1B"/>
    <w:rsid w:val="00014CD9"/>
    <w:rsid w:val="00015B93"/>
    <w:rsid w:val="00015E77"/>
    <w:rsid w:val="000218E1"/>
    <w:rsid w:val="0002562B"/>
    <w:rsid w:val="00030A0C"/>
    <w:rsid w:val="00032447"/>
    <w:rsid w:val="0003254A"/>
    <w:rsid w:val="0003345F"/>
    <w:rsid w:val="00034D3C"/>
    <w:rsid w:val="000367DE"/>
    <w:rsid w:val="0003750C"/>
    <w:rsid w:val="00042684"/>
    <w:rsid w:val="00051FFD"/>
    <w:rsid w:val="000539E5"/>
    <w:rsid w:val="00055267"/>
    <w:rsid w:val="00060974"/>
    <w:rsid w:val="00065B67"/>
    <w:rsid w:val="00066099"/>
    <w:rsid w:val="00067DC6"/>
    <w:rsid w:val="000700B0"/>
    <w:rsid w:val="00081933"/>
    <w:rsid w:val="0008418F"/>
    <w:rsid w:val="000841E3"/>
    <w:rsid w:val="000919E3"/>
    <w:rsid w:val="000920B0"/>
    <w:rsid w:val="000943A5"/>
    <w:rsid w:val="00094EC4"/>
    <w:rsid w:val="00095A48"/>
    <w:rsid w:val="000A7A7E"/>
    <w:rsid w:val="000A7DE2"/>
    <w:rsid w:val="000B0443"/>
    <w:rsid w:val="000B1450"/>
    <w:rsid w:val="000B4044"/>
    <w:rsid w:val="000B575F"/>
    <w:rsid w:val="000B7C98"/>
    <w:rsid w:val="000C22D0"/>
    <w:rsid w:val="000C39FB"/>
    <w:rsid w:val="000C639E"/>
    <w:rsid w:val="000C6633"/>
    <w:rsid w:val="000C736C"/>
    <w:rsid w:val="000D4E83"/>
    <w:rsid w:val="000D6424"/>
    <w:rsid w:val="000D7D68"/>
    <w:rsid w:val="000E0DDA"/>
    <w:rsid w:val="000E33AA"/>
    <w:rsid w:val="000E4C15"/>
    <w:rsid w:val="000E4D29"/>
    <w:rsid w:val="000F0F3C"/>
    <w:rsid w:val="000F45A3"/>
    <w:rsid w:val="000F4D6B"/>
    <w:rsid w:val="0010040A"/>
    <w:rsid w:val="00103B9D"/>
    <w:rsid w:val="0010437D"/>
    <w:rsid w:val="00106746"/>
    <w:rsid w:val="001130C8"/>
    <w:rsid w:val="001140BC"/>
    <w:rsid w:val="001161AA"/>
    <w:rsid w:val="0011788E"/>
    <w:rsid w:val="0012141F"/>
    <w:rsid w:val="0012177E"/>
    <w:rsid w:val="00121AE5"/>
    <w:rsid w:val="0012478B"/>
    <w:rsid w:val="00125CCD"/>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E19"/>
    <w:rsid w:val="00156938"/>
    <w:rsid w:val="00156A90"/>
    <w:rsid w:val="0016133D"/>
    <w:rsid w:val="00165400"/>
    <w:rsid w:val="00166F22"/>
    <w:rsid w:val="00167534"/>
    <w:rsid w:val="00173551"/>
    <w:rsid w:val="00173E6E"/>
    <w:rsid w:val="0017741E"/>
    <w:rsid w:val="00182EDA"/>
    <w:rsid w:val="0018379D"/>
    <w:rsid w:val="00183AE1"/>
    <w:rsid w:val="00185EF9"/>
    <w:rsid w:val="00195561"/>
    <w:rsid w:val="00196E40"/>
    <w:rsid w:val="001B283D"/>
    <w:rsid w:val="001B3B0D"/>
    <w:rsid w:val="001B436F"/>
    <w:rsid w:val="001C3008"/>
    <w:rsid w:val="001C5F76"/>
    <w:rsid w:val="001D1195"/>
    <w:rsid w:val="001D1DC6"/>
    <w:rsid w:val="001D5E87"/>
    <w:rsid w:val="001D67F3"/>
    <w:rsid w:val="001D6F49"/>
    <w:rsid w:val="001D7070"/>
    <w:rsid w:val="001D7739"/>
    <w:rsid w:val="001D79FF"/>
    <w:rsid w:val="001E2C24"/>
    <w:rsid w:val="001F030C"/>
    <w:rsid w:val="00200ED0"/>
    <w:rsid w:val="00203C61"/>
    <w:rsid w:val="00206B04"/>
    <w:rsid w:val="002075E6"/>
    <w:rsid w:val="00207B7F"/>
    <w:rsid w:val="00210334"/>
    <w:rsid w:val="00210460"/>
    <w:rsid w:val="00214A19"/>
    <w:rsid w:val="002154B5"/>
    <w:rsid w:val="002165A2"/>
    <w:rsid w:val="00216A05"/>
    <w:rsid w:val="00230C81"/>
    <w:rsid w:val="0023169E"/>
    <w:rsid w:val="00234C5A"/>
    <w:rsid w:val="00244AD1"/>
    <w:rsid w:val="002520A5"/>
    <w:rsid w:val="00254BFC"/>
    <w:rsid w:val="00254FD1"/>
    <w:rsid w:val="0025557F"/>
    <w:rsid w:val="00263EFE"/>
    <w:rsid w:val="00264C6D"/>
    <w:rsid w:val="00265108"/>
    <w:rsid w:val="0026526F"/>
    <w:rsid w:val="00271E72"/>
    <w:rsid w:val="00271FF1"/>
    <w:rsid w:val="002802EE"/>
    <w:rsid w:val="00280380"/>
    <w:rsid w:val="00280AF0"/>
    <w:rsid w:val="00283A3F"/>
    <w:rsid w:val="00284FA9"/>
    <w:rsid w:val="002867AD"/>
    <w:rsid w:val="0028708F"/>
    <w:rsid w:val="002904BB"/>
    <w:rsid w:val="00291917"/>
    <w:rsid w:val="00293B46"/>
    <w:rsid w:val="00293E92"/>
    <w:rsid w:val="00295403"/>
    <w:rsid w:val="002A78AC"/>
    <w:rsid w:val="002B433A"/>
    <w:rsid w:val="002B4996"/>
    <w:rsid w:val="002B4DFA"/>
    <w:rsid w:val="002C703F"/>
    <w:rsid w:val="002C7AB0"/>
    <w:rsid w:val="002D04F8"/>
    <w:rsid w:val="002D29E7"/>
    <w:rsid w:val="002E2B6E"/>
    <w:rsid w:val="002E597B"/>
    <w:rsid w:val="002E5A74"/>
    <w:rsid w:val="002E6B15"/>
    <w:rsid w:val="002F0DD9"/>
    <w:rsid w:val="002F15F6"/>
    <w:rsid w:val="002F1743"/>
    <w:rsid w:val="002F4F6F"/>
    <w:rsid w:val="002F6CA8"/>
    <w:rsid w:val="002F6DFB"/>
    <w:rsid w:val="003014EE"/>
    <w:rsid w:val="00302C62"/>
    <w:rsid w:val="00302D41"/>
    <w:rsid w:val="00307FF8"/>
    <w:rsid w:val="00311588"/>
    <w:rsid w:val="003121E7"/>
    <w:rsid w:val="00324C80"/>
    <w:rsid w:val="00324D48"/>
    <w:rsid w:val="0032538F"/>
    <w:rsid w:val="00326059"/>
    <w:rsid w:val="00326AFD"/>
    <w:rsid w:val="003275D1"/>
    <w:rsid w:val="00330B01"/>
    <w:rsid w:val="0033183D"/>
    <w:rsid w:val="0033342F"/>
    <w:rsid w:val="00334D84"/>
    <w:rsid w:val="00341B7A"/>
    <w:rsid w:val="0034231B"/>
    <w:rsid w:val="00342B49"/>
    <w:rsid w:val="0034410D"/>
    <w:rsid w:val="0034692A"/>
    <w:rsid w:val="0035370A"/>
    <w:rsid w:val="0035629D"/>
    <w:rsid w:val="003603C7"/>
    <w:rsid w:val="00360EB9"/>
    <w:rsid w:val="00361EAC"/>
    <w:rsid w:val="003649AC"/>
    <w:rsid w:val="00365F7C"/>
    <w:rsid w:val="00370128"/>
    <w:rsid w:val="00373245"/>
    <w:rsid w:val="00373ECC"/>
    <w:rsid w:val="0037694C"/>
    <w:rsid w:val="00380F4B"/>
    <w:rsid w:val="00383822"/>
    <w:rsid w:val="00386C1C"/>
    <w:rsid w:val="00387E50"/>
    <w:rsid w:val="003908EE"/>
    <w:rsid w:val="00391096"/>
    <w:rsid w:val="00394A82"/>
    <w:rsid w:val="00395CCF"/>
    <w:rsid w:val="003B045F"/>
    <w:rsid w:val="003B0E82"/>
    <w:rsid w:val="003B3294"/>
    <w:rsid w:val="003B4F65"/>
    <w:rsid w:val="003B76AE"/>
    <w:rsid w:val="003B7783"/>
    <w:rsid w:val="003C13E7"/>
    <w:rsid w:val="003C2777"/>
    <w:rsid w:val="003C2CD6"/>
    <w:rsid w:val="003C417D"/>
    <w:rsid w:val="003C4E1D"/>
    <w:rsid w:val="003C7776"/>
    <w:rsid w:val="003D0DEF"/>
    <w:rsid w:val="003D374F"/>
    <w:rsid w:val="003D500A"/>
    <w:rsid w:val="003D5173"/>
    <w:rsid w:val="003D67D8"/>
    <w:rsid w:val="003E1EE5"/>
    <w:rsid w:val="003E2BB0"/>
    <w:rsid w:val="003E2D32"/>
    <w:rsid w:val="003E60E7"/>
    <w:rsid w:val="003F1BC1"/>
    <w:rsid w:val="003F56DB"/>
    <w:rsid w:val="003F6E27"/>
    <w:rsid w:val="0040104B"/>
    <w:rsid w:val="0040125C"/>
    <w:rsid w:val="00411416"/>
    <w:rsid w:val="0041637D"/>
    <w:rsid w:val="00421585"/>
    <w:rsid w:val="004219BD"/>
    <w:rsid w:val="00424E72"/>
    <w:rsid w:val="00430437"/>
    <w:rsid w:val="00431883"/>
    <w:rsid w:val="004322BD"/>
    <w:rsid w:val="00432AAC"/>
    <w:rsid w:val="00433DE3"/>
    <w:rsid w:val="00440B6B"/>
    <w:rsid w:val="004455C4"/>
    <w:rsid w:val="00446EE8"/>
    <w:rsid w:val="00452507"/>
    <w:rsid w:val="00462770"/>
    <w:rsid w:val="0046290B"/>
    <w:rsid w:val="004635FD"/>
    <w:rsid w:val="00465878"/>
    <w:rsid w:val="0046652F"/>
    <w:rsid w:val="00470AFC"/>
    <w:rsid w:val="00472A21"/>
    <w:rsid w:val="00474C53"/>
    <w:rsid w:val="00477B44"/>
    <w:rsid w:val="00483A4C"/>
    <w:rsid w:val="004859D0"/>
    <w:rsid w:val="00487AE0"/>
    <w:rsid w:val="004933D7"/>
    <w:rsid w:val="004970DA"/>
    <w:rsid w:val="004A26B6"/>
    <w:rsid w:val="004A6673"/>
    <w:rsid w:val="004B34C6"/>
    <w:rsid w:val="004B422F"/>
    <w:rsid w:val="004B4B53"/>
    <w:rsid w:val="004C32C0"/>
    <w:rsid w:val="004C5FA9"/>
    <w:rsid w:val="004C6202"/>
    <w:rsid w:val="004D2634"/>
    <w:rsid w:val="004D3826"/>
    <w:rsid w:val="004D3A14"/>
    <w:rsid w:val="004D454A"/>
    <w:rsid w:val="004D75D5"/>
    <w:rsid w:val="004E01BD"/>
    <w:rsid w:val="004E3B20"/>
    <w:rsid w:val="004E4252"/>
    <w:rsid w:val="004E605F"/>
    <w:rsid w:val="004E7B43"/>
    <w:rsid w:val="0050181E"/>
    <w:rsid w:val="0050497A"/>
    <w:rsid w:val="00504A1A"/>
    <w:rsid w:val="00507ECF"/>
    <w:rsid w:val="00517217"/>
    <w:rsid w:val="00522985"/>
    <w:rsid w:val="00531E4E"/>
    <w:rsid w:val="00537506"/>
    <w:rsid w:val="0053772F"/>
    <w:rsid w:val="00540E3A"/>
    <w:rsid w:val="00543B7C"/>
    <w:rsid w:val="00543F98"/>
    <w:rsid w:val="005447FE"/>
    <w:rsid w:val="00544F7E"/>
    <w:rsid w:val="00545043"/>
    <w:rsid w:val="005451B0"/>
    <w:rsid w:val="00545F7B"/>
    <w:rsid w:val="00547948"/>
    <w:rsid w:val="00550F87"/>
    <w:rsid w:val="00552C73"/>
    <w:rsid w:val="00553E91"/>
    <w:rsid w:val="00557326"/>
    <w:rsid w:val="00560A07"/>
    <w:rsid w:val="00563142"/>
    <w:rsid w:val="00563254"/>
    <w:rsid w:val="005637DF"/>
    <w:rsid w:val="00563FC3"/>
    <w:rsid w:val="005647C7"/>
    <w:rsid w:val="0057291C"/>
    <w:rsid w:val="005763CB"/>
    <w:rsid w:val="00577567"/>
    <w:rsid w:val="00580981"/>
    <w:rsid w:val="00580D5E"/>
    <w:rsid w:val="0058201B"/>
    <w:rsid w:val="005900D4"/>
    <w:rsid w:val="0059029B"/>
    <w:rsid w:val="00592DDB"/>
    <w:rsid w:val="00596262"/>
    <w:rsid w:val="0059631D"/>
    <w:rsid w:val="005A3E08"/>
    <w:rsid w:val="005A77D0"/>
    <w:rsid w:val="005B0FDE"/>
    <w:rsid w:val="005B64BD"/>
    <w:rsid w:val="005C6D4A"/>
    <w:rsid w:val="005D03F4"/>
    <w:rsid w:val="005D4345"/>
    <w:rsid w:val="005E1CC5"/>
    <w:rsid w:val="005E2935"/>
    <w:rsid w:val="005E636D"/>
    <w:rsid w:val="005E6DB5"/>
    <w:rsid w:val="005F4120"/>
    <w:rsid w:val="00600EE9"/>
    <w:rsid w:val="0060359F"/>
    <w:rsid w:val="00607B04"/>
    <w:rsid w:val="00613AE9"/>
    <w:rsid w:val="00616E73"/>
    <w:rsid w:val="00616FE9"/>
    <w:rsid w:val="00617C29"/>
    <w:rsid w:val="006220FF"/>
    <w:rsid w:val="00623177"/>
    <w:rsid w:val="00632562"/>
    <w:rsid w:val="00633976"/>
    <w:rsid w:val="00633E89"/>
    <w:rsid w:val="0063487E"/>
    <w:rsid w:val="006354D3"/>
    <w:rsid w:val="006360AA"/>
    <w:rsid w:val="00636459"/>
    <w:rsid w:val="00641052"/>
    <w:rsid w:val="00645FE8"/>
    <w:rsid w:val="0065019D"/>
    <w:rsid w:val="006515DB"/>
    <w:rsid w:val="00651AB0"/>
    <w:rsid w:val="0065346D"/>
    <w:rsid w:val="00653FDE"/>
    <w:rsid w:val="006552C8"/>
    <w:rsid w:val="0066212D"/>
    <w:rsid w:val="00664032"/>
    <w:rsid w:val="006663CA"/>
    <w:rsid w:val="0066791C"/>
    <w:rsid w:val="00674B93"/>
    <w:rsid w:val="006771E3"/>
    <w:rsid w:val="006772A2"/>
    <w:rsid w:val="00682B76"/>
    <w:rsid w:val="006869B5"/>
    <w:rsid w:val="00687C7C"/>
    <w:rsid w:val="00691FDA"/>
    <w:rsid w:val="00692E3E"/>
    <w:rsid w:val="00694153"/>
    <w:rsid w:val="0069460C"/>
    <w:rsid w:val="006954BC"/>
    <w:rsid w:val="006A0714"/>
    <w:rsid w:val="006A7864"/>
    <w:rsid w:val="006B0612"/>
    <w:rsid w:val="006B2DFE"/>
    <w:rsid w:val="006B50E8"/>
    <w:rsid w:val="006B629F"/>
    <w:rsid w:val="006B7DE7"/>
    <w:rsid w:val="006C0009"/>
    <w:rsid w:val="006C13BF"/>
    <w:rsid w:val="006C7D49"/>
    <w:rsid w:val="006D2675"/>
    <w:rsid w:val="006D2CFC"/>
    <w:rsid w:val="006D2E25"/>
    <w:rsid w:val="006D2F3E"/>
    <w:rsid w:val="006D3697"/>
    <w:rsid w:val="006D384B"/>
    <w:rsid w:val="006D38B1"/>
    <w:rsid w:val="006D68C8"/>
    <w:rsid w:val="006E027A"/>
    <w:rsid w:val="006E0E78"/>
    <w:rsid w:val="006E12A1"/>
    <w:rsid w:val="006E175B"/>
    <w:rsid w:val="006E59A8"/>
    <w:rsid w:val="006F0249"/>
    <w:rsid w:val="006F10EA"/>
    <w:rsid w:val="006F2B77"/>
    <w:rsid w:val="006F324E"/>
    <w:rsid w:val="006F5FE7"/>
    <w:rsid w:val="006F60DA"/>
    <w:rsid w:val="006F6520"/>
    <w:rsid w:val="006F7393"/>
    <w:rsid w:val="00700704"/>
    <w:rsid w:val="00700E85"/>
    <w:rsid w:val="00706B58"/>
    <w:rsid w:val="00710B17"/>
    <w:rsid w:val="00710CE3"/>
    <w:rsid w:val="0071171E"/>
    <w:rsid w:val="007121EF"/>
    <w:rsid w:val="00714AA5"/>
    <w:rsid w:val="0071586C"/>
    <w:rsid w:val="007172D2"/>
    <w:rsid w:val="00720C39"/>
    <w:rsid w:val="007272A7"/>
    <w:rsid w:val="00732CDD"/>
    <w:rsid w:val="00736DBA"/>
    <w:rsid w:val="0073704C"/>
    <w:rsid w:val="00740BC6"/>
    <w:rsid w:val="007454F2"/>
    <w:rsid w:val="007516D0"/>
    <w:rsid w:val="00751CE0"/>
    <w:rsid w:val="007535C9"/>
    <w:rsid w:val="00753A3F"/>
    <w:rsid w:val="00754FD3"/>
    <w:rsid w:val="00757A01"/>
    <w:rsid w:val="00766B36"/>
    <w:rsid w:val="00767D6D"/>
    <w:rsid w:val="00772949"/>
    <w:rsid w:val="00772CFC"/>
    <w:rsid w:val="00775033"/>
    <w:rsid w:val="00776CD8"/>
    <w:rsid w:val="0078110D"/>
    <w:rsid w:val="00781A81"/>
    <w:rsid w:val="00783095"/>
    <w:rsid w:val="00785AF3"/>
    <w:rsid w:val="0079328F"/>
    <w:rsid w:val="007939B6"/>
    <w:rsid w:val="00794F1B"/>
    <w:rsid w:val="007A32D3"/>
    <w:rsid w:val="007A40D1"/>
    <w:rsid w:val="007A5552"/>
    <w:rsid w:val="007B6775"/>
    <w:rsid w:val="007C06FD"/>
    <w:rsid w:val="007C404E"/>
    <w:rsid w:val="007D2958"/>
    <w:rsid w:val="007D2DA0"/>
    <w:rsid w:val="007D4892"/>
    <w:rsid w:val="007D79D2"/>
    <w:rsid w:val="007E0BB7"/>
    <w:rsid w:val="007E27C5"/>
    <w:rsid w:val="007E7B4E"/>
    <w:rsid w:val="007F02A4"/>
    <w:rsid w:val="007F479E"/>
    <w:rsid w:val="00806E0D"/>
    <w:rsid w:val="00817391"/>
    <w:rsid w:val="00823FCA"/>
    <w:rsid w:val="00824890"/>
    <w:rsid w:val="008251D8"/>
    <w:rsid w:val="00836E65"/>
    <w:rsid w:val="008418FC"/>
    <w:rsid w:val="0084410C"/>
    <w:rsid w:val="00851794"/>
    <w:rsid w:val="00851E2B"/>
    <w:rsid w:val="00852D5B"/>
    <w:rsid w:val="008546E4"/>
    <w:rsid w:val="0085780E"/>
    <w:rsid w:val="008618BE"/>
    <w:rsid w:val="00861DA4"/>
    <w:rsid w:val="00861DF9"/>
    <w:rsid w:val="00862169"/>
    <w:rsid w:val="00862D6B"/>
    <w:rsid w:val="0086399B"/>
    <w:rsid w:val="00863BD5"/>
    <w:rsid w:val="00863CD4"/>
    <w:rsid w:val="0086405E"/>
    <w:rsid w:val="00864EB7"/>
    <w:rsid w:val="0086657E"/>
    <w:rsid w:val="00867F55"/>
    <w:rsid w:val="00873D8A"/>
    <w:rsid w:val="00874177"/>
    <w:rsid w:val="00874953"/>
    <w:rsid w:val="0088507A"/>
    <w:rsid w:val="00891035"/>
    <w:rsid w:val="008927B5"/>
    <w:rsid w:val="00892EA3"/>
    <w:rsid w:val="00894816"/>
    <w:rsid w:val="008A28F8"/>
    <w:rsid w:val="008A63E2"/>
    <w:rsid w:val="008B3879"/>
    <w:rsid w:val="008B445B"/>
    <w:rsid w:val="008B455C"/>
    <w:rsid w:val="008B6587"/>
    <w:rsid w:val="008C17E6"/>
    <w:rsid w:val="008C36F2"/>
    <w:rsid w:val="008D0326"/>
    <w:rsid w:val="008D0D31"/>
    <w:rsid w:val="008D6CA9"/>
    <w:rsid w:val="008D6E2C"/>
    <w:rsid w:val="008D7DC6"/>
    <w:rsid w:val="008E09C6"/>
    <w:rsid w:val="008E0E89"/>
    <w:rsid w:val="008E10FA"/>
    <w:rsid w:val="008E450B"/>
    <w:rsid w:val="008E4FD6"/>
    <w:rsid w:val="008E5C99"/>
    <w:rsid w:val="008F0B1B"/>
    <w:rsid w:val="008F4EF2"/>
    <w:rsid w:val="008F7C99"/>
    <w:rsid w:val="009001C9"/>
    <w:rsid w:val="00906FD4"/>
    <w:rsid w:val="009101FF"/>
    <w:rsid w:val="00910A53"/>
    <w:rsid w:val="00917283"/>
    <w:rsid w:val="0092068A"/>
    <w:rsid w:val="00921285"/>
    <w:rsid w:val="009252B2"/>
    <w:rsid w:val="009310EE"/>
    <w:rsid w:val="00933485"/>
    <w:rsid w:val="0094142D"/>
    <w:rsid w:val="00943CC8"/>
    <w:rsid w:val="00943E53"/>
    <w:rsid w:val="009445CA"/>
    <w:rsid w:val="00950B5B"/>
    <w:rsid w:val="00960580"/>
    <w:rsid w:val="00962EE7"/>
    <w:rsid w:val="00966C36"/>
    <w:rsid w:val="00970027"/>
    <w:rsid w:val="009760CB"/>
    <w:rsid w:val="009901A1"/>
    <w:rsid w:val="009A5AF8"/>
    <w:rsid w:val="009B446B"/>
    <w:rsid w:val="009C05E9"/>
    <w:rsid w:val="009C27D2"/>
    <w:rsid w:val="009C3132"/>
    <w:rsid w:val="009C4526"/>
    <w:rsid w:val="009C5EB5"/>
    <w:rsid w:val="009D227B"/>
    <w:rsid w:val="009D2B67"/>
    <w:rsid w:val="009D47A5"/>
    <w:rsid w:val="009D69B6"/>
    <w:rsid w:val="009E6876"/>
    <w:rsid w:val="009F38D7"/>
    <w:rsid w:val="009F6130"/>
    <w:rsid w:val="009F793A"/>
    <w:rsid w:val="00A00793"/>
    <w:rsid w:val="00A04046"/>
    <w:rsid w:val="00A04076"/>
    <w:rsid w:val="00A10010"/>
    <w:rsid w:val="00A10E1F"/>
    <w:rsid w:val="00A128E0"/>
    <w:rsid w:val="00A13D73"/>
    <w:rsid w:val="00A15866"/>
    <w:rsid w:val="00A16D50"/>
    <w:rsid w:val="00A23CCA"/>
    <w:rsid w:val="00A248FB"/>
    <w:rsid w:val="00A2609D"/>
    <w:rsid w:val="00A2772F"/>
    <w:rsid w:val="00A334E4"/>
    <w:rsid w:val="00A33DF5"/>
    <w:rsid w:val="00A40462"/>
    <w:rsid w:val="00A4355E"/>
    <w:rsid w:val="00A469B4"/>
    <w:rsid w:val="00A46AA1"/>
    <w:rsid w:val="00A50217"/>
    <w:rsid w:val="00A511AD"/>
    <w:rsid w:val="00A52673"/>
    <w:rsid w:val="00A55F7C"/>
    <w:rsid w:val="00A64AC5"/>
    <w:rsid w:val="00A70C75"/>
    <w:rsid w:val="00A733A2"/>
    <w:rsid w:val="00A801E7"/>
    <w:rsid w:val="00A806BC"/>
    <w:rsid w:val="00A80E4E"/>
    <w:rsid w:val="00A831C5"/>
    <w:rsid w:val="00A848BA"/>
    <w:rsid w:val="00A86E3D"/>
    <w:rsid w:val="00A90619"/>
    <w:rsid w:val="00A914E9"/>
    <w:rsid w:val="00A93EC0"/>
    <w:rsid w:val="00A94A48"/>
    <w:rsid w:val="00AA70E2"/>
    <w:rsid w:val="00AB30CF"/>
    <w:rsid w:val="00AB40A9"/>
    <w:rsid w:val="00AC1113"/>
    <w:rsid w:val="00AC141D"/>
    <w:rsid w:val="00AC1F4C"/>
    <w:rsid w:val="00AC3C83"/>
    <w:rsid w:val="00AC6067"/>
    <w:rsid w:val="00AC6745"/>
    <w:rsid w:val="00AC6E5D"/>
    <w:rsid w:val="00AE20FB"/>
    <w:rsid w:val="00AE290D"/>
    <w:rsid w:val="00AE3923"/>
    <w:rsid w:val="00AF04D7"/>
    <w:rsid w:val="00AF4238"/>
    <w:rsid w:val="00AF5FC0"/>
    <w:rsid w:val="00AF63EA"/>
    <w:rsid w:val="00B010E8"/>
    <w:rsid w:val="00B06020"/>
    <w:rsid w:val="00B16875"/>
    <w:rsid w:val="00B219F2"/>
    <w:rsid w:val="00B23445"/>
    <w:rsid w:val="00B33E15"/>
    <w:rsid w:val="00B406E2"/>
    <w:rsid w:val="00B41507"/>
    <w:rsid w:val="00B428F4"/>
    <w:rsid w:val="00B46636"/>
    <w:rsid w:val="00B50814"/>
    <w:rsid w:val="00B50BB3"/>
    <w:rsid w:val="00B5162C"/>
    <w:rsid w:val="00B524A4"/>
    <w:rsid w:val="00B53DE9"/>
    <w:rsid w:val="00B55DDC"/>
    <w:rsid w:val="00B66DDD"/>
    <w:rsid w:val="00B67B97"/>
    <w:rsid w:val="00B721DE"/>
    <w:rsid w:val="00B7377B"/>
    <w:rsid w:val="00B77E42"/>
    <w:rsid w:val="00B81FED"/>
    <w:rsid w:val="00B845F6"/>
    <w:rsid w:val="00B91AD9"/>
    <w:rsid w:val="00B93A4F"/>
    <w:rsid w:val="00B946B2"/>
    <w:rsid w:val="00B94FFF"/>
    <w:rsid w:val="00BA332A"/>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B60"/>
    <w:rsid w:val="00C0572F"/>
    <w:rsid w:val="00C12C25"/>
    <w:rsid w:val="00C12FDF"/>
    <w:rsid w:val="00C13DF0"/>
    <w:rsid w:val="00C14193"/>
    <w:rsid w:val="00C14FBB"/>
    <w:rsid w:val="00C17738"/>
    <w:rsid w:val="00C17AD8"/>
    <w:rsid w:val="00C2330B"/>
    <w:rsid w:val="00C23A79"/>
    <w:rsid w:val="00C23DE7"/>
    <w:rsid w:val="00C26323"/>
    <w:rsid w:val="00C3358D"/>
    <w:rsid w:val="00C378D0"/>
    <w:rsid w:val="00C37FDB"/>
    <w:rsid w:val="00C40364"/>
    <w:rsid w:val="00C44AC9"/>
    <w:rsid w:val="00C45F56"/>
    <w:rsid w:val="00C54029"/>
    <w:rsid w:val="00C57659"/>
    <w:rsid w:val="00C61317"/>
    <w:rsid w:val="00C63894"/>
    <w:rsid w:val="00C655E8"/>
    <w:rsid w:val="00C7117A"/>
    <w:rsid w:val="00C74183"/>
    <w:rsid w:val="00C76073"/>
    <w:rsid w:val="00C800CB"/>
    <w:rsid w:val="00C803A5"/>
    <w:rsid w:val="00C82C14"/>
    <w:rsid w:val="00C85078"/>
    <w:rsid w:val="00C862F8"/>
    <w:rsid w:val="00C907B5"/>
    <w:rsid w:val="00C908DB"/>
    <w:rsid w:val="00C931B6"/>
    <w:rsid w:val="00C93B23"/>
    <w:rsid w:val="00CA0FA9"/>
    <w:rsid w:val="00CA262F"/>
    <w:rsid w:val="00CA57BA"/>
    <w:rsid w:val="00CB1A1E"/>
    <w:rsid w:val="00CB54CC"/>
    <w:rsid w:val="00CB630F"/>
    <w:rsid w:val="00CB7EF0"/>
    <w:rsid w:val="00CC069F"/>
    <w:rsid w:val="00CD4ED5"/>
    <w:rsid w:val="00CD53CA"/>
    <w:rsid w:val="00CD70B5"/>
    <w:rsid w:val="00CE02D2"/>
    <w:rsid w:val="00CE1628"/>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4935"/>
    <w:rsid w:val="00D45250"/>
    <w:rsid w:val="00D45488"/>
    <w:rsid w:val="00D467C6"/>
    <w:rsid w:val="00D57B37"/>
    <w:rsid w:val="00D654B3"/>
    <w:rsid w:val="00D65923"/>
    <w:rsid w:val="00D65D16"/>
    <w:rsid w:val="00D66AFA"/>
    <w:rsid w:val="00D70DA7"/>
    <w:rsid w:val="00D761B6"/>
    <w:rsid w:val="00D76D1C"/>
    <w:rsid w:val="00D76DB8"/>
    <w:rsid w:val="00D838A7"/>
    <w:rsid w:val="00D85A3F"/>
    <w:rsid w:val="00D868FB"/>
    <w:rsid w:val="00D86C43"/>
    <w:rsid w:val="00D86FEA"/>
    <w:rsid w:val="00D94038"/>
    <w:rsid w:val="00DA3335"/>
    <w:rsid w:val="00DA3D69"/>
    <w:rsid w:val="00DA430D"/>
    <w:rsid w:val="00DA5163"/>
    <w:rsid w:val="00DA66D7"/>
    <w:rsid w:val="00DA72B7"/>
    <w:rsid w:val="00DB1053"/>
    <w:rsid w:val="00DB192A"/>
    <w:rsid w:val="00DB40BF"/>
    <w:rsid w:val="00DB4349"/>
    <w:rsid w:val="00DB7463"/>
    <w:rsid w:val="00DC297D"/>
    <w:rsid w:val="00DC3243"/>
    <w:rsid w:val="00DC6EA0"/>
    <w:rsid w:val="00DD020B"/>
    <w:rsid w:val="00DD2547"/>
    <w:rsid w:val="00DD6D12"/>
    <w:rsid w:val="00DD7859"/>
    <w:rsid w:val="00DE608E"/>
    <w:rsid w:val="00DF08BA"/>
    <w:rsid w:val="00DF0974"/>
    <w:rsid w:val="00DF2688"/>
    <w:rsid w:val="00DF26E1"/>
    <w:rsid w:val="00DF3972"/>
    <w:rsid w:val="00DF39F5"/>
    <w:rsid w:val="00DF4B76"/>
    <w:rsid w:val="00E05C97"/>
    <w:rsid w:val="00E109B6"/>
    <w:rsid w:val="00E11F39"/>
    <w:rsid w:val="00E14394"/>
    <w:rsid w:val="00E14693"/>
    <w:rsid w:val="00E14AE5"/>
    <w:rsid w:val="00E16E1F"/>
    <w:rsid w:val="00E16E9D"/>
    <w:rsid w:val="00E305D1"/>
    <w:rsid w:val="00E31B73"/>
    <w:rsid w:val="00E34A6F"/>
    <w:rsid w:val="00E3628F"/>
    <w:rsid w:val="00E36F96"/>
    <w:rsid w:val="00E41DD8"/>
    <w:rsid w:val="00E47B98"/>
    <w:rsid w:val="00E50797"/>
    <w:rsid w:val="00E52B61"/>
    <w:rsid w:val="00E52BA8"/>
    <w:rsid w:val="00E56F54"/>
    <w:rsid w:val="00E57675"/>
    <w:rsid w:val="00E645B5"/>
    <w:rsid w:val="00E701A4"/>
    <w:rsid w:val="00E73280"/>
    <w:rsid w:val="00E75181"/>
    <w:rsid w:val="00E7573A"/>
    <w:rsid w:val="00E76BB4"/>
    <w:rsid w:val="00E7797A"/>
    <w:rsid w:val="00E8182E"/>
    <w:rsid w:val="00E86BB6"/>
    <w:rsid w:val="00E87654"/>
    <w:rsid w:val="00E9039A"/>
    <w:rsid w:val="00E90BC9"/>
    <w:rsid w:val="00E95158"/>
    <w:rsid w:val="00E96CE7"/>
    <w:rsid w:val="00EA075C"/>
    <w:rsid w:val="00EA12C1"/>
    <w:rsid w:val="00EA1752"/>
    <w:rsid w:val="00EA1EDF"/>
    <w:rsid w:val="00EA5CC6"/>
    <w:rsid w:val="00EB08F3"/>
    <w:rsid w:val="00EB2F3A"/>
    <w:rsid w:val="00EB6518"/>
    <w:rsid w:val="00EC1213"/>
    <w:rsid w:val="00EC1C81"/>
    <w:rsid w:val="00EC6DA3"/>
    <w:rsid w:val="00ED0A26"/>
    <w:rsid w:val="00ED13BB"/>
    <w:rsid w:val="00ED6AF6"/>
    <w:rsid w:val="00ED7A75"/>
    <w:rsid w:val="00EE2926"/>
    <w:rsid w:val="00EF0B42"/>
    <w:rsid w:val="00EF0F65"/>
    <w:rsid w:val="00EF2B87"/>
    <w:rsid w:val="00EF49DF"/>
    <w:rsid w:val="00EF4AF1"/>
    <w:rsid w:val="00EF5386"/>
    <w:rsid w:val="00EF6B54"/>
    <w:rsid w:val="00EF6D7D"/>
    <w:rsid w:val="00EF7458"/>
    <w:rsid w:val="00EF7BB1"/>
    <w:rsid w:val="00F0662E"/>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411A"/>
    <w:rsid w:val="00F35726"/>
    <w:rsid w:val="00F35B71"/>
    <w:rsid w:val="00F42A12"/>
    <w:rsid w:val="00F556B2"/>
    <w:rsid w:val="00F606DA"/>
    <w:rsid w:val="00F650AC"/>
    <w:rsid w:val="00F6612B"/>
    <w:rsid w:val="00F67901"/>
    <w:rsid w:val="00F73AC5"/>
    <w:rsid w:val="00F7580A"/>
    <w:rsid w:val="00F768B3"/>
    <w:rsid w:val="00F81937"/>
    <w:rsid w:val="00F83DE6"/>
    <w:rsid w:val="00F8480C"/>
    <w:rsid w:val="00F84892"/>
    <w:rsid w:val="00F85392"/>
    <w:rsid w:val="00F863BA"/>
    <w:rsid w:val="00F866E9"/>
    <w:rsid w:val="00F86FB9"/>
    <w:rsid w:val="00F872F3"/>
    <w:rsid w:val="00F9451C"/>
    <w:rsid w:val="00F9542E"/>
    <w:rsid w:val="00F95F05"/>
    <w:rsid w:val="00F9732A"/>
    <w:rsid w:val="00FA2D82"/>
    <w:rsid w:val="00FA32CE"/>
    <w:rsid w:val="00FA766D"/>
    <w:rsid w:val="00FA7693"/>
    <w:rsid w:val="00FB12D4"/>
    <w:rsid w:val="00FB13F3"/>
    <w:rsid w:val="00FB2B8F"/>
    <w:rsid w:val="00FC0796"/>
    <w:rsid w:val="00FC1DAE"/>
    <w:rsid w:val="00FC23D6"/>
    <w:rsid w:val="00FC4468"/>
    <w:rsid w:val="00FD4E19"/>
    <w:rsid w:val="00FD73AA"/>
    <w:rsid w:val="00FE3E04"/>
    <w:rsid w:val="00FE558E"/>
    <w:rsid w:val="00FE7B1E"/>
    <w:rsid w:val="00FF021A"/>
    <w:rsid w:val="00FF0E78"/>
    <w:rsid w:val="00FF1384"/>
    <w:rsid w:val="00FF31A7"/>
    <w:rsid w:val="00FF467D"/>
    <w:rsid w:val="00FF6166"/>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B06020"/>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Heading1Char">
    <w:name w:val="Heading 1 Char"/>
    <w:basedOn w:val="DefaultParagraphFont"/>
    <w:link w:val="Heading1"/>
    <w:rsid w:val="00B06020"/>
    <w:rPr>
      <w:sz w:val="26"/>
      <w:u w:val="single"/>
    </w:rPr>
  </w:style>
  <w:style w:type="character" w:customStyle="1" w:styleId="FootnoteTextChar">
    <w:name w:val="Footnote Text Char"/>
    <w:basedOn w:val="DefaultParagraphFont"/>
    <w:link w:val="FootnoteText"/>
    <w:semiHidden/>
    <w:rsid w:val="00B06020"/>
  </w:style>
  <w:style w:type="paragraph" w:styleId="ListParagraph">
    <w:name w:val="List Paragraph"/>
    <w:basedOn w:val="Normal"/>
    <w:uiPriority w:val="34"/>
    <w:qFormat/>
    <w:rsid w:val="00B06020"/>
    <w:pPr>
      <w:spacing w:line="360" w:lineRule="auto"/>
      <w:ind w:left="720"/>
      <w:contextualSpacing/>
    </w:pPr>
    <w:rPr>
      <w:sz w:val="26"/>
      <w:szCs w:val="20"/>
    </w:rPr>
  </w:style>
  <w:style w:type="paragraph" w:styleId="BalloonText">
    <w:name w:val="Balloon Text"/>
    <w:basedOn w:val="Normal"/>
    <w:link w:val="BalloonTextChar"/>
    <w:rsid w:val="00862169"/>
    <w:rPr>
      <w:rFonts w:ascii="Tahoma" w:hAnsi="Tahoma" w:cs="Tahoma"/>
      <w:sz w:val="16"/>
      <w:szCs w:val="16"/>
    </w:rPr>
  </w:style>
  <w:style w:type="character" w:customStyle="1" w:styleId="BalloonTextChar">
    <w:name w:val="Balloon Text Char"/>
    <w:basedOn w:val="DefaultParagraphFont"/>
    <w:link w:val="BalloonText"/>
    <w:rsid w:val="00862169"/>
    <w:rPr>
      <w:rFonts w:ascii="Tahoma" w:hAnsi="Tahoma" w:cs="Tahoma"/>
      <w:sz w:val="16"/>
      <w:szCs w:val="16"/>
    </w:rPr>
  </w:style>
  <w:style w:type="paragraph" w:styleId="PlainText">
    <w:name w:val="Plain Text"/>
    <w:basedOn w:val="Normal"/>
    <w:link w:val="PlainTextChar"/>
    <w:uiPriority w:val="99"/>
    <w:unhideWhenUsed/>
    <w:rsid w:val="00E362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3628F"/>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B06020"/>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Heading1Char">
    <w:name w:val="Heading 1 Char"/>
    <w:basedOn w:val="DefaultParagraphFont"/>
    <w:link w:val="Heading1"/>
    <w:rsid w:val="00B06020"/>
    <w:rPr>
      <w:sz w:val="26"/>
      <w:u w:val="single"/>
    </w:rPr>
  </w:style>
  <w:style w:type="character" w:customStyle="1" w:styleId="FootnoteTextChar">
    <w:name w:val="Footnote Text Char"/>
    <w:basedOn w:val="DefaultParagraphFont"/>
    <w:link w:val="FootnoteText"/>
    <w:semiHidden/>
    <w:rsid w:val="00B06020"/>
  </w:style>
  <w:style w:type="paragraph" w:styleId="ListParagraph">
    <w:name w:val="List Paragraph"/>
    <w:basedOn w:val="Normal"/>
    <w:uiPriority w:val="34"/>
    <w:qFormat/>
    <w:rsid w:val="00B06020"/>
    <w:pPr>
      <w:spacing w:line="360" w:lineRule="auto"/>
      <w:ind w:left="720"/>
      <w:contextualSpacing/>
    </w:pPr>
    <w:rPr>
      <w:sz w:val="26"/>
      <w:szCs w:val="20"/>
    </w:rPr>
  </w:style>
  <w:style w:type="paragraph" w:styleId="BalloonText">
    <w:name w:val="Balloon Text"/>
    <w:basedOn w:val="Normal"/>
    <w:link w:val="BalloonTextChar"/>
    <w:rsid w:val="00862169"/>
    <w:rPr>
      <w:rFonts w:ascii="Tahoma" w:hAnsi="Tahoma" w:cs="Tahoma"/>
      <w:sz w:val="16"/>
      <w:szCs w:val="16"/>
    </w:rPr>
  </w:style>
  <w:style w:type="character" w:customStyle="1" w:styleId="BalloonTextChar">
    <w:name w:val="Balloon Text Char"/>
    <w:basedOn w:val="DefaultParagraphFont"/>
    <w:link w:val="BalloonText"/>
    <w:rsid w:val="00862169"/>
    <w:rPr>
      <w:rFonts w:ascii="Tahoma" w:hAnsi="Tahoma" w:cs="Tahoma"/>
      <w:sz w:val="16"/>
      <w:szCs w:val="16"/>
    </w:rPr>
  </w:style>
  <w:style w:type="paragraph" w:styleId="PlainText">
    <w:name w:val="Plain Text"/>
    <w:basedOn w:val="Normal"/>
    <w:link w:val="PlainTextChar"/>
    <w:uiPriority w:val="99"/>
    <w:unhideWhenUsed/>
    <w:rsid w:val="00E3628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3628F"/>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2800">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51FF-758F-4753-B044-92BA722D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54</cp:revision>
  <cp:lastPrinted>2012-10-22T14:50:00Z</cp:lastPrinted>
  <dcterms:created xsi:type="dcterms:W3CDTF">2012-10-10T19:04:00Z</dcterms:created>
  <dcterms:modified xsi:type="dcterms:W3CDTF">2012-10-24T16:00:00Z</dcterms:modified>
</cp:coreProperties>
</file>