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13A" w:rsidRPr="00DA534F" w:rsidRDefault="00D310F5" w:rsidP="00F8224E">
      <w:pPr>
        <w:jc w:val="center"/>
        <w:rPr>
          <w:b/>
          <w:color w:val="000000"/>
        </w:rPr>
      </w:pPr>
      <w:bookmarkStart w:id="0" w:name="_GoBack"/>
      <w:bookmarkEnd w:id="0"/>
      <w:r w:rsidRPr="00DA534F">
        <w:rPr>
          <w:b/>
          <w:color w:val="000000"/>
        </w:rPr>
        <w:t>BEFORE THE</w:t>
      </w:r>
    </w:p>
    <w:p w:rsidR="00B1613A" w:rsidRPr="00DA534F" w:rsidRDefault="00D310F5" w:rsidP="00F8224E">
      <w:pPr>
        <w:jc w:val="center"/>
        <w:rPr>
          <w:b/>
          <w:color w:val="000000"/>
        </w:rPr>
      </w:pPr>
      <w:r w:rsidRPr="00DA534F">
        <w:rPr>
          <w:b/>
          <w:color w:val="000000"/>
        </w:rPr>
        <w:t xml:space="preserve">PENNSYLVANIA </w:t>
      </w:r>
      <w:r w:rsidR="00B1613A" w:rsidRPr="00DA534F">
        <w:rPr>
          <w:b/>
          <w:color w:val="000000"/>
        </w:rPr>
        <w:t>PUBLIC UTILITY COMMISSION</w:t>
      </w:r>
    </w:p>
    <w:p w:rsidR="00E85191" w:rsidRPr="00DA534F" w:rsidRDefault="00E85191" w:rsidP="00F8224E">
      <w:pPr>
        <w:jc w:val="right"/>
        <w:rPr>
          <w:color w:val="000000"/>
        </w:rPr>
      </w:pPr>
      <w:r w:rsidRPr="00DA534F">
        <w:rPr>
          <w:color w:val="000000"/>
        </w:rPr>
        <w:tab/>
      </w:r>
      <w:r w:rsidRPr="00DA534F">
        <w:rPr>
          <w:color w:val="000000"/>
        </w:rPr>
        <w:tab/>
      </w:r>
      <w:r w:rsidR="00B1613A" w:rsidRPr="00DA534F">
        <w:rPr>
          <w:color w:val="000000"/>
        </w:rPr>
        <w:tab/>
      </w:r>
      <w:r w:rsidR="00B1613A" w:rsidRPr="00DA534F">
        <w:rPr>
          <w:color w:val="000000"/>
        </w:rPr>
        <w:tab/>
      </w:r>
      <w:r w:rsidR="00B1613A" w:rsidRPr="00DA534F">
        <w:rPr>
          <w:color w:val="000000"/>
        </w:rPr>
        <w:tab/>
      </w:r>
    </w:p>
    <w:p w:rsidR="00B1613A" w:rsidRPr="00DA534F" w:rsidRDefault="00B1613A" w:rsidP="00F8224E">
      <w:pPr>
        <w:rPr>
          <w:color w:val="000000"/>
        </w:rPr>
      </w:pPr>
    </w:p>
    <w:p w:rsidR="00E85191" w:rsidRPr="00DA534F" w:rsidRDefault="00E85191" w:rsidP="00F8224E">
      <w:pPr>
        <w:rPr>
          <w:color w:val="000000"/>
        </w:rPr>
      </w:pPr>
    </w:p>
    <w:p w:rsidR="00B1613A" w:rsidRPr="00DA534F" w:rsidRDefault="00F8317D" w:rsidP="00F8224E">
      <w:pPr>
        <w:rPr>
          <w:color w:val="000000"/>
        </w:rPr>
      </w:pPr>
      <w:r w:rsidRPr="00DA534F">
        <w:rPr>
          <w:color w:val="000000"/>
        </w:rPr>
        <w:t>Thai Van Thieu</w:t>
      </w:r>
      <w:r w:rsidR="00DC47CE" w:rsidRPr="00DA534F">
        <w:rPr>
          <w:color w:val="000000"/>
        </w:rPr>
        <w:tab/>
      </w:r>
      <w:r w:rsidR="00DC47CE" w:rsidRPr="00DA534F">
        <w:rPr>
          <w:color w:val="000000"/>
        </w:rPr>
        <w:tab/>
      </w:r>
      <w:r w:rsidR="00DC47CE" w:rsidRPr="00DA534F">
        <w:rPr>
          <w:color w:val="000000"/>
        </w:rPr>
        <w:tab/>
      </w:r>
      <w:r w:rsidR="00DC47CE" w:rsidRPr="00DA534F">
        <w:rPr>
          <w:color w:val="000000"/>
        </w:rPr>
        <w:tab/>
      </w:r>
      <w:r w:rsidR="000E5C56" w:rsidRPr="00DA534F">
        <w:rPr>
          <w:color w:val="000000"/>
        </w:rPr>
        <w:tab/>
      </w:r>
      <w:r w:rsidR="00D310F5" w:rsidRPr="00DA534F">
        <w:rPr>
          <w:color w:val="000000"/>
        </w:rPr>
        <w:t>:</w:t>
      </w:r>
      <w:r w:rsidR="000E5C56" w:rsidRPr="00DA534F">
        <w:rPr>
          <w:color w:val="000000"/>
        </w:rPr>
        <w:tab/>
      </w:r>
    </w:p>
    <w:p w:rsidR="00DC47CE" w:rsidRPr="00DA534F" w:rsidRDefault="00DC47CE" w:rsidP="00F8224E">
      <w:pPr>
        <w:rPr>
          <w:color w:val="000000"/>
        </w:rPr>
      </w:pPr>
      <w:r w:rsidRPr="00DA534F">
        <w:rPr>
          <w:color w:val="000000"/>
        </w:rPr>
        <w:tab/>
      </w:r>
      <w:r w:rsidRPr="00DA534F">
        <w:rPr>
          <w:color w:val="000000"/>
        </w:rPr>
        <w:tab/>
      </w:r>
      <w:r w:rsidRPr="00DA534F">
        <w:rPr>
          <w:color w:val="000000"/>
        </w:rPr>
        <w:tab/>
      </w:r>
      <w:r w:rsidRPr="00DA534F">
        <w:rPr>
          <w:color w:val="000000"/>
        </w:rPr>
        <w:tab/>
      </w:r>
      <w:r w:rsidRPr="00DA534F">
        <w:rPr>
          <w:color w:val="000000"/>
        </w:rPr>
        <w:tab/>
      </w:r>
      <w:r w:rsidRPr="00DA534F">
        <w:rPr>
          <w:color w:val="000000"/>
        </w:rPr>
        <w:tab/>
      </w:r>
      <w:r w:rsidRPr="00DA534F">
        <w:rPr>
          <w:color w:val="000000"/>
        </w:rPr>
        <w:tab/>
        <w:t>:</w:t>
      </w:r>
    </w:p>
    <w:p w:rsidR="00B1613A" w:rsidRPr="00DA534F" w:rsidRDefault="00DC47CE" w:rsidP="00F8224E">
      <w:pPr>
        <w:rPr>
          <w:color w:val="000000"/>
        </w:rPr>
      </w:pPr>
      <w:r w:rsidRPr="00DA534F">
        <w:rPr>
          <w:color w:val="000000"/>
        </w:rPr>
        <w:tab/>
        <w:t>v.</w:t>
      </w:r>
      <w:r w:rsidRPr="00DA534F">
        <w:rPr>
          <w:color w:val="000000"/>
        </w:rPr>
        <w:tab/>
      </w:r>
      <w:r w:rsidRPr="00DA534F">
        <w:rPr>
          <w:color w:val="000000"/>
        </w:rPr>
        <w:tab/>
      </w:r>
      <w:r w:rsidRPr="00DA534F">
        <w:rPr>
          <w:color w:val="000000"/>
        </w:rPr>
        <w:tab/>
      </w:r>
      <w:r w:rsidRPr="00DA534F">
        <w:rPr>
          <w:color w:val="000000"/>
        </w:rPr>
        <w:tab/>
      </w:r>
      <w:r w:rsidRPr="00DA534F">
        <w:rPr>
          <w:color w:val="000000"/>
        </w:rPr>
        <w:tab/>
      </w:r>
      <w:r w:rsidR="00163A08" w:rsidRPr="00DA534F">
        <w:rPr>
          <w:color w:val="000000"/>
        </w:rPr>
        <w:tab/>
        <w:t>:</w:t>
      </w:r>
      <w:r w:rsidR="00B1613A" w:rsidRPr="00DA534F">
        <w:rPr>
          <w:color w:val="000000"/>
        </w:rPr>
        <w:tab/>
      </w:r>
      <w:r w:rsidR="00DA534F">
        <w:rPr>
          <w:color w:val="000000"/>
        </w:rPr>
        <w:tab/>
      </w:r>
      <w:r w:rsidR="008A3D91" w:rsidRPr="00DA534F">
        <w:rPr>
          <w:color w:val="000000"/>
        </w:rPr>
        <w:t>C</w:t>
      </w:r>
      <w:r w:rsidRPr="00DA534F">
        <w:rPr>
          <w:color w:val="000000"/>
        </w:rPr>
        <w:t>-20</w:t>
      </w:r>
      <w:r w:rsidR="00F8317D" w:rsidRPr="00DA534F">
        <w:rPr>
          <w:color w:val="000000"/>
        </w:rPr>
        <w:t>12</w:t>
      </w:r>
      <w:r w:rsidRPr="00DA534F">
        <w:rPr>
          <w:color w:val="000000"/>
        </w:rPr>
        <w:t>-</w:t>
      </w:r>
      <w:r w:rsidR="00F8317D" w:rsidRPr="00DA534F">
        <w:rPr>
          <w:color w:val="000000"/>
        </w:rPr>
        <w:t>2326598</w:t>
      </w:r>
    </w:p>
    <w:p w:rsidR="00DC47CE" w:rsidRPr="00DA534F" w:rsidRDefault="00DC47CE" w:rsidP="00F8224E">
      <w:pPr>
        <w:rPr>
          <w:color w:val="000000"/>
        </w:rPr>
      </w:pPr>
      <w:r w:rsidRPr="00DA534F">
        <w:rPr>
          <w:color w:val="000000"/>
        </w:rPr>
        <w:tab/>
      </w:r>
      <w:r w:rsidRPr="00DA534F">
        <w:rPr>
          <w:color w:val="000000"/>
        </w:rPr>
        <w:tab/>
      </w:r>
      <w:r w:rsidRPr="00DA534F">
        <w:rPr>
          <w:color w:val="000000"/>
        </w:rPr>
        <w:tab/>
      </w:r>
      <w:r w:rsidRPr="00DA534F">
        <w:rPr>
          <w:color w:val="000000"/>
        </w:rPr>
        <w:tab/>
      </w:r>
      <w:r w:rsidRPr="00DA534F">
        <w:rPr>
          <w:color w:val="000000"/>
        </w:rPr>
        <w:tab/>
      </w:r>
      <w:r w:rsidRPr="00DA534F">
        <w:rPr>
          <w:color w:val="000000"/>
        </w:rPr>
        <w:tab/>
      </w:r>
      <w:r w:rsidRPr="00DA534F">
        <w:rPr>
          <w:color w:val="000000"/>
        </w:rPr>
        <w:tab/>
        <w:t>:</w:t>
      </w:r>
    </w:p>
    <w:p w:rsidR="00B1613A" w:rsidRPr="00DA534F" w:rsidRDefault="003406BD" w:rsidP="00F8224E">
      <w:pPr>
        <w:rPr>
          <w:color w:val="000000"/>
        </w:rPr>
      </w:pPr>
      <w:r w:rsidRPr="00DA534F">
        <w:rPr>
          <w:color w:val="000000"/>
        </w:rPr>
        <w:t>Philadelphia Gas Works</w:t>
      </w:r>
      <w:r w:rsidR="00D310F5" w:rsidRPr="00DA534F">
        <w:rPr>
          <w:color w:val="000000"/>
        </w:rPr>
        <w:tab/>
      </w:r>
      <w:r w:rsidR="00D310F5" w:rsidRPr="00DA534F">
        <w:rPr>
          <w:color w:val="000000"/>
        </w:rPr>
        <w:tab/>
      </w:r>
      <w:r w:rsidR="00D310F5" w:rsidRPr="00DA534F">
        <w:rPr>
          <w:color w:val="000000"/>
        </w:rPr>
        <w:tab/>
      </w:r>
      <w:r w:rsidR="00D310F5" w:rsidRPr="00DA534F">
        <w:rPr>
          <w:color w:val="000000"/>
        </w:rPr>
        <w:tab/>
        <w:t>:</w:t>
      </w:r>
    </w:p>
    <w:p w:rsidR="00B1613A" w:rsidRPr="00DA534F" w:rsidRDefault="00B1613A" w:rsidP="00F8224E">
      <w:pPr>
        <w:rPr>
          <w:color w:val="000000"/>
        </w:rPr>
      </w:pPr>
    </w:p>
    <w:p w:rsidR="00163A08" w:rsidRPr="00DA534F" w:rsidRDefault="00163A08" w:rsidP="00F8224E">
      <w:pPr>
        <w:rPr>
          <w:color w:val="000000"/>
        </w:rPr>
      </w:pPr>
    </w:p>
    <w:p w:rsidR="00E85191" w:rsidRPr="00DA534F" w:rsidRDefault="00E85191" w:rsidP="00F8224E">
      <w:pPr>
        <w:rPr>
          <w:color w:val="000000"/>
        </w:rPr>
      </w:pPr>
    </w:p>
    <w:p w:rsidR="00B1613A" w:rsidRPr="00DA534F" w:rsidRDefault="00DC47CE" w:rsidP="00F8224E">
      <w:pPr>
        <w:jc w:val="center"/>
        <w:rPr>
          <w:b/>
          <w:color w:val="000000"/>
          <w:u w:val="single"/>
        </w:rPr>
      </w:pPr>
      <w:r w:rsidRPr="00DA534F">
        <w:rPr>
          <w:b/>
          <w:color w:val="000000"/>
          <w:u w:val="single"/>
        </w:rPr>
        <w:t>INITIAL DECISION</w:t>
      </w:r>
    </w:p>
    <w:p w:rsidR="00F8224E" w:rsidRPr="00DA534F" w:rsidRDefault="00F8224E" w:rsidP="00F8224E">
      <w:pPr>
        <w:jc w:val="center"/>
        <w:rPr>
          <w:b/>
          <w:color w:val="000000"/>
          <w:u w:val="single"/>
        </w:rPr>
      </w:pPr>
    </w:p>
    <w:p w:rsidR="009D2B87" w:rsidRPr="00DA534F" w:rsidRDefault="009D2B87" w:rsidP="00F8224E">
      <w:pPr>
        <w:jc w:val="center"/>
        <w:rPr>
          <w:color w:val="000000"/>
        </w:rPr>
      </w:pPr>
    </w:p>
    <w:p w:rsidR="00780B4C" w:rsidRPr="00DA534F" w:rsidRDefault="00780B4C" w:rsidP="00F8224E">
      <w:pPr>
        <w:jc w:val="center"/>
        <w:rPr>
          <w:color w:val="000000"/>
        </w:rPr>
      </w:pPr>
      <w:r w:rsidRPr="00DA534F">
        <w:rPr>
          <w:color w:val="000000"/>
        </w:rPr>
        <w:t>B</w:t>
      </w:r>
      <w:r w:rsidR="00D310F5" w:rsidRPr="00DA534F">
        <w:rPr>
          <w:color w:val="000000"/>
        </w:rPr>
        <w:t>efore</w:t>
      </w:r>
      <w:r w:rsidRPr="00DA534F">
        <w:rPr>
          <w:color w:val="000000"/>
        </w:rPr>
        <w:t xml:space="preserve"> </w:t>
      </w:r>
    </w:p>
    <w:p w:rsidR="00DC47CE" w:rsidRPr="00DA534F" w:rsidRDefault="00780B4C" w:rsidP="00F8224E">
      <w:pPr>
        <w:jc w:val="center"/>
        <w:rPr>
          <w:color w:val="000000"/>
        </w:rPr>
      </w:pPr>
      <w:r w:rsidRPr="00DA534F">
        <w:rPr>
          <w:color w:val="000000"/>
        </w:rPr>
        <w:t>Administrative Law Judge</w:t>
      </w:r>
    </w:p>
    <w:p w:rsidR="00B1613A" w:rsidRPr="00DA534F" w:rsidRDefault="00DC47CE" w:rsidP="00F8224E">
      <w:pPr>
        <w:jc w:val="center"/>
        <w:rPr>
          <w:color w:val="000000"/>
        </w:rPr>
      </w:pPr>
      <w:r w:rsidRPr="00DA534F">
        <w:rPr>
          <w:color w:val="000000"/>
        </w:rPr>
        <w:t>Elizabeth H. Barnes</w:t>
      </w:r>
    </w:p>
    <w:p w:rsidR="00DC47CE" w:rsidRPr="00DA534F" w:rsidRDefault="00DC47CE" w:rsidP="00F8224E">
      <w:pPr>
        <w:jc w:val="center"/>
        <w:rPr>
          <w:color w:val="000000"/>
        </w:rPr>
      </w:pPr>
    </w:p>
    <w:p w:rsidR="00DC47CE" w:rsidRPr="00DA534F" w:rsidRDefault="00DC47CE" w:rsidP="00F8224E">
      <w:pPr>
        <w:jc w:val="center"/>
        <w:rPr>
          <w:color w:val="000000"/>
        </w:rPr>
      </w:pPr>
    </w:p>
    <w:p w:rsidR="00B1613A" w:rsidRPr="00DA534F" w:rsidRDefault="00E26B0D" w:rsidP="00F8224E">
      <w:pPr>
        <w:jc w:val="center"/>
        <w:rPr>
          <w:color w:val="000000"/>
          <w:u w:val="single"/>
        </w:rPr>
      </w:pPr>
      <w:r w:rsidRPr="00DA534F">
        <w:rPr>
          <w:color w:val="000000"/>
          <w:u w:val="single"/>
        </w:rPr>
        <w:t>HISTORY OF THE PROCEEDING</w:t>
      </w:r>
    </w:p>
    <w:p w:rsidR="00F8224E" w:rsidRPr="00DA534F" w:rsidRDefault="00F8224E" w:rsidP="00F8224E">
      <w:pPr>
        <w:jc w:val="center"/>
        <w:rPr>
          <w:color w:val="000000"/>
          <w:u w:val="single"/>
        </w:rPr>
      </w:pPr>
    </w:p>
    <w:p w:rsidR="00E26B0D" w:rsidRPr="00DA534F" w:rsidRDefault="00E26B0D" w:rsidP="00F8224E">
      <w:pPr>
        <w:jc w:val="center"/>
        <w:rPr>
          <w:color w:val="000000"/>
          <w:u w:val="single"/>
        </w:rPr>
      </w:pPr>
    </w:p>
    <w:p w:rsidR="000F5FB6" w:rsidRPr="00DA534F" w:rsidRDefault="00B10E31" w:rsidP="007F10D4">
      <w:pPr>
        <w:spacing w:line="360" w:lineRule="auto"/>
        <w:ind w:firstLine="1440"/>
        <w:rPr>
          <w:color w:val="000000"/>
        </w:rPr>
      </w:pPr>
      <w:r w:rsidRPr="00DA534F">
        <w:rPr>
          <w:color w:val="000000"/>
        </w:rPr>
        <w:t xml:space="preserve">This Decision </w:t>
      </w:r>
      <w:r w:rsidR="008B10B8" w:rsidRPr="00DA534F">
        <w:rPr>
          <w:color w:val="000000"/>
        </w:rPr>
        <w:t xml:space="preserve">dismisses a formal Complaint that </w:t>
      </w:r>
      <w:r w:rsidR="00F8317D" w:rsidRPr="00DA534F">
        <w:rPr>
          <w:color w:val="000000"/>
        </w:rPr>
        <w:t>Thai Van Thieu</w:t>
      </w:r>
      <w:r w:rsidR="008A3D91" w:rsidRPr="00DA534F">
        <w:rPr>
          <w:color w:val="000000"/>
        </w:rPr>
        <w:t xml:space="preserve"> </w:t>
      </w:r>
      <w:r w:rsidR="008B10B8" w:rsidRPr="00DA534F">
        <w:rPr>
          <w:color w:val="000000"/>
        </w:rPr>
        <w:t xml:space="preserve">(Complainant) filed with the </w:t>
      </w:r>
      <w:r w:rsidRPr="00DA534F">
        <w:rPr>
          <w:color w:val="000000"/>
        </w:rPr>
        <w:t xml:space="preserve">Pennsylvania Public Utility Commission (Commission) </w:t>
      </w:r>
      <w:r w:rsidR="008B10B8" w:rsidRPr="00DA534F">
        <w:rPr>
          <w:color w:val="000000"/>
        </w:rPr>
        <w:t xml:space="preserve">on </w:t>
      </w:r>
      <w:r w:rsidR="00F8317D" w:rsidRPr="00DA534F">
        <w:rPr>
          <w:color w:val="000000"/>
        </w:rPr>
        <w:t>September 20, 2012</w:t>
      </w:r>
      <w:r w:rsidR="008B10B8" w:rsidRPr="00DA534F">
        <w:rPr>
          <w:color w:val="000000"/>
        </w:rPr>
        <w:t>.</w:t>
      </w:r>
    </w:p>
    <w:p w:rsidR="000F5FB6" w:rsidRPr="00DA534F" w:rsidRDefault="000F5FB6" w:rsidP="00F8224E">
      <w:pPr>
        <w:spacing w:line="360" w:lineRule="auto"/>
        <w:ind w:firstLine="1440"/>
        <w:rPr>
          <w:color w:val="000000"/>
        </w:rPr>
      </w:pPr>
    </w:p>
    <w:p w:rsidR="00251633" w:rsidRPr="00DA534F" w:rsidRDefault="00FD537C" w:rsidP="00F8224E">
      <w:pPr>
        <w:spacing w:line="360" w:lineRule="auto"/>
        <w:ind w:firstLine="1440"/>
        <w:rPr>
          <w:color w:val="000000"/>
        </w:rPr>
      </w:pPr>
      <w:r w:rsidRPr="00DA534F">
        <w:rPr>
          <w:color w:val="000000"/>
        </w:rPr>
        <w:t xml:space="preserve">Complainant </w:t>
      </w:r>
      <w:r w:rsidR="00D55C89" w:rsidRPr="00DA534F">
        <w:rPr>
          <w:color w:val="000000"/>
        </w:rPr>
        <w:t xml:space="preserve">claims </w:t>
      </w:r>
      <w:r w:rsidR="003F7789" w:rsidRPr="00DA534F">
        <w:rPr>
          <w:color w:val="000000"/>
        </w:rPr>
        <w:t xml:space="preserve">PGW </w:t>
      </w:r>
      <w:r w:rsidR="000F3E44" w:rsidRPr="00DA534F">
        <w:rPr>
          <w:color w:val="000000"/>
        </w:rPr>
        <w:t xml:space="preserve">mailed him a pre-lien letter on June 15, 2012, informing him that a municipal lien would be placed on his </w:t>
      </w:r>
      <w:r w:rsidR="00D32A4D" w:rsidRPr="00DA534F">
        <w:rPr>
          <w:color w:val="000000"/>
        </w:rPr>
        <w:t xml:space="preserve">service property at </w:t>
      </w:r>
      <w:r w:rsidR="00F8317D" w:rsidRPr="00DA534F">
        <w:rPr>
          <w:color w:val="000000"/>
        </w:rPr>
        <w:t xml:space="preserve">6519 Saybrook Avenue, </w:t>
      </w:r>
      <w:r w:rsidR="00D32A4D" w:rsidRPr="00DA534F">
        <w:rPr>
          <w:color w:val="000000"/>
        </w:rPr>
        <w:t>Philadelphia, PA</w:t>
      </w:r>
      <w:r w:rsidR="000F3E44" w:rsidRPr="00DA534F">
        <w:rPr>
          <w:color w:val="000000"/>
        </w:rPr>
        <w:t>, unless full payment of $4,672 was received.</w:t>
      </w:r>
      <w:r w:rsidR="00D32A4D" w:rsidRPr="00DA534F">
        <w:rPr>
          <w:color w:val="000000"/>
        </w:rPr>
        <w:t xml:space="preserve">  Complainant</w:t>
      </w:r>
      <w:r w:rsidR="00F8317D" w:rsidRPr="00DA534F">
        <w:rPr>
          <w:color w:val="000000"/>
        </w:rPr>
        <w:t xml:space="preserve"> </w:t>
      </w:r>
      <w:r w:rsidR="00D55C89" w:rsidRPr="00DA534F">
        <w:rPr>
          <w:color w:val="000000"/>
        </w:rPr>
        <w:t xml:space="preserve">claims </w:t>
      </w:r>
      <w:r w:rsidR="00446565" w:rsidRPr="00DA534F">
        <w:rPr>
          <w:color w:val="000000"/>
        </w:rPr>
        <w:t xml:space="preserve">that </w:t>
      </w:r>
      <w:r w:rsidR="00F8317D" w:rsidRPr="00DA534F">
        <w:rPr>
          <w:color w:val="000000"/>
        </w:rPr>
        <w:t xml:space="preserve">he is the owner of the service property and </w:t>
      </w:r>
      <w:r w:rsidR="000F3E44" w:rsidRPr="00DA534F">
        <w:rPr>
          <w:color w:val="000000"/>
        </w:rPr>
        <w:t xml:space="preserve">that </w:t>
      </w:r>
      <w:r w:rsidR="00F8317D" w:rsidRPr="00DA534F">
        <w:rPr>
          <w:color w:val="000000"/>
        </w:rPr>
        <w:t xml:space="preserve">he leased the house to </w:t>
      </w:r>
      <w:r w:rsidR="000F3E44" w:rsidRPr="00DA534F">
        <w:rPr>
          <w:color w:val="000000"/>
        </w:rPr>
        <w:t>t</w:t>
      </w:r>
      <w:r w:rsidR="00F8317D" w:rsidRPr="00DA534F">
        <w:rPr>
          <w:color w:val="000000"/>
        </w:rPr>
        <w:t>enant Martha Scott</w:t>
      </w:r>
      <w:r w:rsidR="00684391" w:rsidRPr="00DA534F">
        <w:rPr>
          <w:color w:val="000000"/>
        </w:rPr>
        <w:t xml:space="preserve"> during the time period the arrearage was accrued</w:t>
      </w:r>
      <w:r w:rsidR="00F8317D" w:rsidRPr="00DA534F">
        <w:rPr>
          <w:color w:val="000000"/>
        </w:rPr>
        <w:t>.  Complainant claims he was erroneously billed for $4,672 for gas service from January 1, 2007 through September, 2012, which the ten</w:t>
      </w:r>
      <w:r w:rsidR="00C8089A">
        <w:rPr>
          <w:color w:val="000000"/>
        </w:rPr>
        <w:t xml:space="preserve">ant used.  </w:t>
      </w:r>
      <w:r w:rsidR="00F8317D" w:rsidRPr="00DA534F">
        <w:rPr>
          <w:color w:val="000000"/>
        </w:rPr>
        <w:t xml:space="preserve">Complainant questions why PGW allowed the debt to accrue over 7 years instead of shutting off gas service to the tenant.  Also, Complainant </w:t>
      </w:r>
      <w:r w:rsidR="00251633" w:rsidRPr="00DA534F">
        <w:rPr>
          <w:color w:val="000000"/>
        </w:rPr>
        <w:t>avers</w:t>
      </w:r>
      <w:r w:rsidR="00F8317D" w:rsidRPr="00DA534F">
        <w:rPr>
          <w:color w:val="000000"/>
        </w:rPr>
        <w:t xml:space="preserve"> that PGW never notified him that the tenant was not paying h</w:t>
      </w:r>
      <w:r w:rsidR="00251633" w:rsidRPr="00DA534F">
        <w:rPr>
          <w:color w:val="000000"/>
        </w:rPr>
        <w:t>er</w:t>
      </w:r>
      <w:r w:rsidR="00F8317D" w:rsidRPr="00DA534F">
        <w:rPr>
          <w:color w:val="000000"/>
        </w:rPr>
        <w:t xml:space="preserve"> gas bills over the years in question.  </w:t>
      </w:r>
      <w:r w:rsidR="00251633" w:rsidRPr="00DA534F">
        <w:rPr>
          <w:color w:val="000000"/>
        </w:rPr>
        <w:t xml:space="preserve">He stated that if he had known about a delinquency earlier, the financial arrearage would not have grown to such a large amount and he requests the Commission investigate this problem between PGW and landlords.  Complainant </w:t>
      </w:r>
      <w:r w:rsidR="00251633" w:rsidRPr="00DA534F">
        <w:rPr>
          <w:color w:val="000000"/>
        </w:rPr>
        <w:lastRenderedPageBreak/>
        <w:t>further requests he not be held responsible for the $4,672 debt that his tenant accrued because Complainant did not use any of the gas service.</w:t>
      </w:r>
    </w:p>
    <w:p w:rsidR="00251633" w:rsidRPr="00DA534F" w:rsidRDefault="00251633" w:rsidP="00F8224E">
      <w:pPr>
        <w:spacing w:line="360" w:lineRule="auto"/>
        <w:ind w:firstLine="1440"/>
        <w:rPr>
          <w:color w:val="000000"/>
        </w:rPr>
      </w:pPr>
    </w:p>
    <w:p w:rsidR="000A0EB0" w:rsidRPr="00DA534F" w:rsidRDefault="00CB55F0" w:rsidP="00F8224E">
      <w:pPr>
        <w:spacing w:line="360" w:lineRule="auto"/>
        <w:ind w:firstLine="1440"/>
        <w:rPr>
          <w:color w:val="000000"/>
        </w:rPr>
      </w:pPr>
      <w:r w:rsidRPr="00DA534F">
        <w:rPr>
          <w:color w:val="000000"/>
        </w:rPr>
        <w:t xml:space="preserve">On </w:t>
      </w:r>
      <w:r w:rsidR="00251633" w:rsidRPr="00DA534F">
        <w:rPr>
          <w:color w:val="000000"/>
        </w:rPr>
        <w:t>October 18, 2012</w:t>
      </w:r>
      <w:r w:rsidRPr="00DA534F">
        <w:rPr>
          <w:color w:val="000000"/>
        </w:rPr>
        <w:t>, P</w:t>
      </w:r>
      <w:r w:rsidR="00D32A4D" w:rsidRPr="00DA534F">
        <w:rPr>
          <w:color w:val="000000"/>
        </w:rPr>
        <w:t>GW</w:t>
      </w:r>
      <w:r w:rsidRPr="00DA534F">
        <w:rPr>
          <w:color w:val="000000"/>
        </w:rPr>
        <w:t xml:space="preserve"> filed an Answer denying the material allegations of the Complaint.  </w:t>
      </w:r>
      <w:r w:rsidR="00D32A4D" w:rsidRPr="00DA534F">
        <w:rPr>
          <w:color w:val="000000"/>
        </w:rPr>
        <w:t xml:space="preserve">PGW </w:t>
      </w:r>
      <w:r w:rsidR="0003396C" w:rsidRPr="00DA534F">
        <w:rPr>
          <w:color w:val="000000"/>
        </w:rPr>
        <w:t xml:space="preserve">does not dispute that </w:t>
      </w:r>
      <w:r w:rsidR="00251633" w:rsidRPr="00DA534F">
        <w:rPr>
          <w:color w:val="000000"/>
        </w:rPr>
        <w:t>a tenant (Martha McCrea from January 1, 2007 through February 28, 2012 when the bill was assumed by Joseph McCrea</w:t>
      </w:r>
      <w:r w:rsidR="006759C1" w:rsidRPr="00DA534F">
        <w:rPr>
          <w:color w:val="000000"/>
        </w:rPr>
        <w:t xml:space="preserve">) </w:t>
      </w:r>
      <w:r w:rsidR="00251633" w:rsidRPr="00DA534F">
        <w:rPr>
          <w:color w:val="000000"/>
        </w:rPr>
        <w:t>had been the customer of record at the service address since 2007 and that Complainant is the owner of the service property.  PGW avers it sent Complainant a letter on June 15, 2012, which was a pre-lien notification lett</w:t>
      </w:r>
      <w:r w:rsidR="00EE7BA9">
        <w:rPr>
          <w:color w:val="000000"/>
        </w:rPr>
        <w:t xml:space="preserve">er for a debt of $4,672 owed.  </w:t>
      </w:r>
      <w:r w:rsidR="006759C1" w:rsidRPr="00DA534F">
        <w:rPr>
          <w:color w:val="000000"/>
        </w:rPr>
        <w:t xml:space="preserve">PGW admits it mailed a lien notification to Complainant explaining that PGW was filing a lien against the service address in the amount of $4,672.  </w:t>
      </w:r>
      <w:r w:rsidR="00251633" w:rsidRPr="00DA534F">
        <w:rPr>
          <w:color w:val="000000"/>
        </w:rPr>
        <w:t xml:space="preserve">PGW admits that it did not notify Complainant </w:t>
      </w:r>
      <w:r w:rsidR="006759C1" w:rsidRPr="00DA534F">
        <w:rPr>
          <w:color w:val="000000"/>
        </w:rPr>
        <w:t xml:space="preserve">earlier </w:t>
      </w:r>
      <w:r w:rsidR="00251633" w:rsidRPr="00DA534F">
        <w:rPr>
          <w:color w:val="000000"/>
        </w:rPr>
        <w:t>about the delinquent tenant because the information is considered private and confidential.</w:t>
      </w:r>
      <w:r w:rsidR="006759C1" w:rsidRPr="00DA534F">
        <w:rPr>
          <w:color w:val="000000"/>
        </w:rPr>
        <w:t xml:space="preserve"> </w:t>
      </w:r>
      <w:r w:rsidR="00251633" w:rsidRPr="00DA534F">
        <w:rPr>
          <w:color w:val="000000"/>
        </w:rPr>
        <w:t xml:space="preserve"> </w:t>
      </w:r>
      <w:r w:rsidR="006759C1" w:rsidRPr="00DA534F">
        <w:rPr>
          <w:color w:val="000000"/>
        </w:rPr>
        <w:t xml:space="preserve">PGW further avers that Complainant is not a registered </w:t>
      </w:r>
      <w:r w:rsidR="0047242C">
        <w:rPr>
          <w:color w:val="000000"/>
        </w:rPr>
        <w:t xml:space="preserve">participant in the </w:t>
      </w:r>
      <w:r w:rsidR="006759C1" w:rsidRPr="00DA534F">
        <w:rPr>
          <w:color w:val="000000"/>
        </w:rPr>
        <w:t>Landlord Cooperation Program (LCP).</w:t>
      </w:r>
    </w:p>
    <w:p w:rsidR="003F4AB2" w:rsidRPr="00DA534F" w:rsidRDefault="003F4AB2" w:rsidP="00F8224E">
      <w:pPr>
        <w:spacing w:line="360" w:lineRule="auto"/>
        <w:ind w:firstLine="1440"/>
        <w:rPr>
          <w:color w:val="000000"/>
        </w:rPr>
      </w:pPr>
    </w:p>
    <w:p w:rsidR="00684391" w:rsidRPr="00DA534F" w:rsidRDefault="00684391" w:rsidP="00F8224E">
      <w:pPr>
        <w:spacing w:line="360" w:lineRule="auto"/>
        <w:ind w:firstLine="1440"/>
        <w:rPr>
          <w:color w:val="000000"/>
        </w:rPr>
      </w:pPr>
      <w:r w:rsidRPr="00DA534F">
        <w:rPr>
          <w:color w:val="000000"/>
        </w:rPr>
        <w:t>Also on October 18, 2012, PGW f</w:t>
      </w:r>
      <w:r w:rsidR="009D2F12">
        <w:rPr>
          <w:color w:val="000000"/>
        </w:rPr>
        <w:t xml:space="preserve">iled Preliminary Objections, </w:t>
      </w:r>
      <w:r w:rsidRPr="00DA534F">
        <w:rPr>
          <w:color w:val="000000"/>
        </w:rPr>
        <w:t xml:space="preserve">averring that the City of Philadelphia, as owner of PGW, has already filed a municipal lien upon the service property and </w:t>
      </w:r>
      <w:r w:rsidR="00AD7AA8">
        <w:rPr>
          <w:color w:val="000000"/>
        </w:rPr>
        <w:t>requesting that</w:t>
      </w:r>
      <w:r w:rsidRPr="00DA534F">
        <w:rPr>
          <w:color w:val="000000"/>
        </w:rPr>
        <w:t xml:space="preserve"> the Complaint be dismissed for lack of jurisdiction.</w:t>
      </w:r>
      <w:r w:rsidR="00AD7AA8">
        <w:rPr>
          <w:color w:val="000000"/>
        </w:rPr>
        <w:t xml:space="preserve">  To date, no response to the Preliminary Objections has been </w:t>
      </w:r>
      <w:r w:rsidR="00435A14">
        <w:rPr>
          <w:color w:val="000000"/>
        </w:rPr>
        <w:t>filed</w:t>
      </w:r>
      <w:r w:rsidR="00AD7AA8">
        <w:rPr>
          <w:color w:val="000000"/>
        </w:rPr>
        <w:t>.</w:t>
      </w:r>
    </w:p>
    <w:p w:rsidR="00684391" w:rsidRPr="00DA534F" w:rsidRDefault="00684391" w:rsidP="00F8224E">
      <w:pPr>
        <w:spacing w:line="360" w:lineRule="auto"/>
        <w:ind w:firstLine="1440"/>
        <w:rPr>
          <w:color w:val="000000"/>
        </w:rPr>
      </w:pPr>
    </w:p>
    <w:p w:rsidR="003F4AB2" w:rsidRPr="00DA534F" w:rsidRDefault="003F4AB2" w:rsidP="00F8224E">
      <w:pPr>
        <w:spacing w:line="360" w:lineRule="auto"/>
        <w:ind w:left="2160" w:firstLine="1440"/>
        <w:rPr>
          <w:color w:val="000000"/>
          <w:u w:val="single"/>
        </w:rPr>
      </w:pPr>
      <w:r w:rsidRPr="00DA534F">
        <w:rPr>
          <w:color w:val="000000"/>
          <w:u w:val="single"/>
        </w:rPr>
        <w:t>FINDINGS OF FACT</w:t>
      </w:r>
    </w:p>
    <w:p w:rsidR="003F4AB2" w:rsidRPr="00DA534F" w:rsidRDefault="003F4AB2" w:rsidP="00F8224E">
      <w:pPr>
        <w:spacing w:line="360" w:lineRule="auto"/>
        <w:ind w:firstLine="1440"/>
        <w:jc w:val="center"/>
        <w:rPr>
          <w:color w:val="000000"/>
          <w:u w:val="single"/>
        </w:rPr>
      </w:pPr>
    </w:p>
    <w:p w:rsidR="00A22471" w:rsidRPr="00DA534F" w:rsidRDefault="003F4AB2" w:rsidP="00F8224E">
      <w:pPr>
        <w:spacing w:line="360" w:lineRule="auto"/>
        <w:ind w:firstLine="1440"/>
        <w:rPr>
          <w:color w:val="000000"/>
        </w:rPr>
      </w:pPr>
      <w:r w:rsidRPr="00DA534F">
        <w:rPr>
          <w:color w:val="000000"/>
        </w:rPr>
        <w:t>1.</w:t>
      </w:r>
      <w:r w:rsidRPr="00DA534F">
        <w:rPr>
          <w:color w:val="000000"/>
        </w:rPr>
        <w:tab/>
        <w:t xml:space="preserve">Complainant is </w:t>
      </w:r>
      <w:r w:rsidR="006759C1" w:rsidRPr="00DA534F">
        <w:rPr>
          <w:color w:val="000000"/>
        </w:rPr>
        <w:t>Thai Van Thieu</w:t>
      </w:r>
      <w:r w:rsidR="005643D0" w:rsidRPr="00DA534F">
        <w:rPr>
          <w:color w:val="000000"/>
        </w:rPr>
        <w:t xml:space="preserve">, an individual residing at </w:t>
      </w:r>
      <w:r w:rsidR="006759C1" w:rsidRPr="00DA534F">
        <w:rPr>
          <w:color w:val="000000"/>
        </w:rPr>
        <w:t>7 Englewood Rd., Upper Darby, PA</w:t>
      </w:r>
      <w:r w:rsidR="00A601F4" w:rsidRPr="00DA534F">
        <w:rPr>
          <w:color w:val="000000"/>
        </w:rPr>
        <w:t>.</w:t>
      </w:r>
    </w:p>
    <w:p w:rsidR="0007153C" w:rsidRPr="00DA534F" w:rsidRDefault="0007153C" w:rsidP="00F8224E">
      <w:pPr>
        <w:spacing w:line="360" w:lineRule="auto"/>
        <w:ind w:firstLine="1440"/>
        <w:rPr>
          <w:color w:val="000000"/>
        </w:rPr>
      </w:pPr>
    </w:p>
    <w:p w:rsidR="00DA3C1F" w:rsidRPr="00DA534F" w:rsidRDefault="0007153C" w:rsidP="00F8224E">
      <w:pPr>
        <w:spacing w:line="360" w:lineRule="auto"/>
        <w:ind w:firstLine="1440"/>
        <w:rPr>
          <w:color w:val="000000"/>
        </w:rPr>
      </w:pPr>
      <w:r w:rsidRPr="00DA534F">
        <w:rPr>
          <w:color w:val="000000"/>
        </w:rPr>
        <w:t>2.</w:t>
      </w:r>
      <w:r w:rsidRPr="00DA534F">
        <w:rPr>
          <w:color w:val="000000"/>
        </w:rPr>
        <w:tab/>
      </w:r>
      <w:r w:rsidR="00DA3C1F" w:rsidRPr="00DA534F">
        <w:rPr>
          <w:color w:val="000000"/>
        </w:rPr>
        <w:t>Respondent is P</w:t>
      </w:r>
      <w:r w:rsidR="00A601F4" w:rsidRPr="00DA534F">
        <w:rPr>
          <w:color w:val="000000"/>
        </w:rPr>
        <w:t>hiladelphia Gas Works (PGW)</w:t>
      </w:r>
      <w:r w:rsidR="00DA3C1F" w:rsidRPr="00DA534F">
        <w:rPr>
          <w:color w:val="000000"/>
        </w:rPr>
        <w:t>.</w:t>
      </w:r>
    </w:p>
    <w:p w:rsidR="00CC50E9" w:rsidRPr="00DA534F" w:rsidRDefault="00CC50E9" w:rsidP="00F8224E">
      <w:pPr>
        <w:spacing w:line="360" w:lineRule="auto"/>
        <w:ind w:firstLine="1440"/>
        <w:rPr>
          <w:color w:val="000000"/>
        </w:rPr>
      </w:pPr>
    </w:p>
    <w:p w:rsidR="00924C4E" w:rsidRPr="00DA534F" w:rsidRDefault="00806483" w:rsidP="00924C4E">
      <w:pPr>
        <w:spacing w:line="360" w:lineRule="auto"/>
        <w:ind w:firstLine="1440"/>
      </w:pPr>
      <w:r w:rsidRPr="00DA534F">
        <w:t>3</w:t>
      </w:r>
      <w:r w:rsidR="00EC56AA" w:rsidRPr="00DA534F">
        <w:t>.</w:t>
      </w:r>
      <w:r w:rsidR="00EC56AA" w:rsidRPr="00DA534F">
        <w:tab/>
      </w:r>
      <w:r w:rsidRPr="00DA534F">
        <w:t>PGW mailed Complainant a letter on June 15, 2012, notifying Complainant that PGW would be filing a municipal</w:t>
      </w:r>
      <w:r w:rsidR="00AD7AA8">
        <w:t xml:space="preserve"> lien</w:t>
      </w:r>
      <w:r w:rsidRPr="00DA534F">
        <w:t xml:space="preserve"> in the amount of </w:t>
      </w:r>
      <w:r w:rsidRPr="00DA534F">
        <w:rPr>
          <w:color w:val="000000"/>
        </w:rPr>
        <w:t xml:space="preserve">$4,672 </w:t>
      </w:r>
      <w:r w:rsidR="00924C4E" w:rsidRPr="00DA534F">
        <w:t xml:space="preserve">upon the </w:t>
      </w:r>
      <w:r w:rsidRPr="00DA534F">
        <w:t xml:space="preserve">service property located at </w:t>
      </w:r>
      <w:r w:rsidRPr="00DA534F">
        <w:rPr>
          <w:color w:val="000000"/>
        </w:rPr>
        <w:t>6519 Saybrook Avenue, Philadelphia, PA</w:t>
      </w:r>
      <w:r w:rsidR="00924C4E" w:rsidRPr="00DA534F">
        <w:t xml:space="preserve"> for unpaid natural gas service.</w:t>
      </w:r>
    </w:p>
    <w:p w:rsidR="00806483" w:rsidRPr="00DA534F" w:rsidRDefault="00806483" w:rsidP="00924C4E">
      <w:pPr>
        <w:spacing w:line="360" w:lineRule="auto"/>
        <w:ind w:firstLine="1440"/>
      </w:pPr>
    </w:p>
    <w:p w:rsidR="00806483" w:rsidRPr="00DA534F" w:rsidRDefault="00806483" w:rsidP="00806483">
      <w:pPr>
        <w:spacing w:line="360" w:lineRule="auto"/>
        <w:ind w:firstLine="1440"/>
        <w:rPr>
          <w:color w:val="000000"/>
        </w:rPr>
      </w:pPr>
      <w:r w:rsidRPr="00DA534F">
        <w:t>4.</w:t>
      </w:r>
      <w:r w:rsidRPr="00DA534F">
        <w:rPr>
          <w:color w:val="000000"/>
        </w:rPr>
        <w:tab/>
        <w:t>Complainant requests the pending municipal lien in the amount of $4,672 be stricken.</w:t>
      </w:r>
    </w:p>
    <w:p w:rsidR="00806483" w:rsidRPr="00DA534F" w:rsidRDefault="00806483" w:rsidP="00924C4E">
      <w:pPr>
        <w:spacing w:line="360" w:lineRule="auto"/>
        <w:ind w:firstLine="1440"/>
      </w:pPr>
    </w:p>
    <w:p w:rsidR="00924C4E" w:rsidRPr="00DA534F" w:rsidRDefault="00924C4E" w:rsidP="00924C4E">
      <w:pPr>
        <w:spacing w:line="360" w:lineRule="auto"/>
        <w:ind w:left="2880" w:firstLine="720"/>
        <w:outlineLvl w:val="0"/>
        <w:rPr>
          <w:u w:val="single"/>
        </w:rPr>
      </w:pPr>
      <w:r w:rsidRPr="00DA534F">
        <w:rPr>
          <w:u w:val="single"/>
        </w:rPr>
        <w:t>DISCUSSION</w:t>
      </w:r>
    </w:p>
    <w:p w:rsidR="00924C4E" w:rsidRPr="00DA534F" w:rsidRDefault="00924C4E" w:rsidP="00924C4E">
      <w:pPr>
        <w:spacing w:line="360" w:lineRule="auto"/>
        <w:ind w:firstLine="1440"/>
      </w:pPr>
    </w:p>
    <w:p w:rsidR="00924C4E" w:rsidRPr="00DA534F" w:rsidRDefault="00B325A4" w:rsidP="00924C4E">
      <w:pPr>
        <w:spacing w:line="360" w:lineRule="auto"/>
        <w:ind w:firstLine="1440"/>
      </w:pPr>
      <w:r w:rsidRPr="00DA534F">
        <w:t>Complainant is requesting the Commission order PGW to</w:t>
      </w:r>
      <w:r w:rsidR="00806483" w:rsidRPr="00DA534F">
        <w:t xml:space="preserve"> not place a municipal lien in the amount of $4,672 upon his service property.</w:t>
      </w:r>
      <w:r w:rsidRPr="00DA534F">
        <w:t xml:space="preserve">  </w:t>
      </w:r>
      <w:r w:rsidR="001072E6" w:rsidRPr="00DA534F">
        <w:t>C</w:t>
      </w:r>
      <w:r w:rsidR="00924C4E" w:rsidRPr="00DA534F">
        <w:t>omplainant contest</w:t>
      </w:r>
      <w:r w:rsidR="001072E6" w:rsidRPr="00DA534F">
        <w:t>s</w:t>
      </w:r>
      <w:r w:rsidR="00924C4E" w:rsidRPr="00DA534F">
        <w:t xml:space="preserve"> the</w:t>
      </w:r>
      <w:r w:rsidR="00806483" w:rsidRPr="00DA534F">
        <w:t xml:space="preserve"> pending</w:t>
      </w:r>
      <w:r w:rsidR="00924C4E" w:rsidRPr="00DA534F">
        <w:t xml:space="preserve"> municipal lien </w:t>
      </w:r>
      <w:r w:rsidR="001072E6" w:rsidRPr="00DA534F">
        <w:t xml:space="preserve">because Complainant was not living at the premises in question during the time the arrearages accrued.  </w:t>
      </w:r>
      <w:r w:rsidR="00806483" w:rsidRPr="00DA534F">
        <w:t>He</w:t>
      </w:r>
      <w:r w:rsidR="001072E6" w:rsidRPr="00DA534F">
        <w:t xml:space="preserve"> was renting the house to </w:t>
      </w:r>
      <w:r w:rsidR="00806483" w:rsidRPr="00DA534F">
        <w:t>a</w:t>
      </w:r>
      <w:r w:rsidR="001072E6" w:rsidRPr="00DA534F">
        <w:t xml:space="preserve"> tenant who did not make timely payments on </w:t>
      </w:r>
      <w:r w:rsidR="00806483" w:rsidRPr="00DA534F">
        <w:t>her</w:t>
      </w:r>
      <w:r w:rsidR="001072E6" w:rsidRPr="00DA534F">
        <w:t xml:space="preserve"> gas bills</w:t>
      </w:r>
      <w:r w:rsidR="00924C4E" w:rsidRPr="00DA534F">
        <w:t>.</w:t>
      </w:r>
      <w:r w:rsidR="001072E6" w:rsidRPr="00DA534F">
        <w:t xml:space="preserve">  Further, he claims the tenant w</w:t>
      </w:r>
      <w:r w:rsidR="00806483" w:rsidRPr="00DA534F">
        <w:t>as</w:t>
      </w:r>
      <w:r w:rsidR="001072E6" w:rsidRPr="00DA534F">
        <w:t xml:space="preserve"> responsible for paying for </w:t>
      </w:r>
      <w:r w:rsidR="00806483" w:rsidRPr="00DA534F">
        <w:t>her</w:t>
      </w:r>
      <w:r w:rsidR="001072E6" w:rsidRPr="00DA534F">
        <w:t xml:space="preserve"> own gas and electric bills pursuant to her lease.  </w:t>
      </w:r>
      <w:r w:rsidR="00EC56AA" w:rsidRPr="00DA534F">
        <w:t>Finally, Complainant contends he was unaware of the arrearages</w:t>
      </w:r>
      <w:r w:rsidR="005253F4" w:rsidRPr="00DA534F">
        <w:t xml:space="preserve"> or</w:t>
      </w:r>
      <w:r w:rsidR="00684391" w:rsidRPr="00DA534F">
        <w:t xml:space="preserve"> any pending</w:t>
      </w:r>
      <w:r w:rsidR="005253F4" w:rsidRPr="00DA534F">
        <w:t xml:space="preserve"> lien until 20</w:t>
      </w:r>
      <w:r w:rsidR="000F3E44" w:rsidRPr="00DA534F">
        <w:t>12</w:t>
      </w:r>
      <w:r w:rsidR="00EC56AA" w:rsidRPr="00DA534F">
        <w:t>.</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 xml:space="preserve">The Commission must act within, and cannot exceed, its jurisdiction.  </w:t>
      </w:r>
      <w:r w:rsidRPr="00DA534F">
        <w:rPr>
          <w:i/>
        </w:rPr>
        <w:t>City of Pittsburgh v. Pa. Public Utility Comm’n</w:t>
      </w:r>
      <w:r w:rsidRPr="00DA534F">
        <w:t>, 157 Pa.Super. 595, 43 A.2d 348 (1945).</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 xml:space="preserve">Subject matter jurisdiction is a prerequisite to the exercise of the power to decide a controversy.  </w:t>
      </w:r>
      <w:r w:rsidRPr="00DA534F">
        <w:rPr>
          <w:iCs/>
        </w:rPr>
        <w:t>Cf</w:t>
      </w:r>
      <w:r w:rsidRPr="00DA534F">
        <w:t xml:space="preserve">., </w:t>
      </w:r>
      <w:r w:rsidRPr="00DA534F">
        <w:rPr>
          <w:i/>
        </w:rPr>
        <w:t>Hughes v. Pa. State Police</w:t>
      </w:r>
      <w:r w:rsidRPr="00DA534F">
        <w:t>, 152 Pa.Cmwlth. 409, 619 A.2d 390 (1992), app. denied, 536 Pa. 633, 637 A.2d 293 (1993).</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 xml:space="preserve">Jurisdiction may not be conferred by the parties where none exists.  </w:t>
      </w:r>
      <w:r w:rsidRPr="00DA534F">
        <w:rPr>
          <w:i/>
        </w:rPr>
        <w:t>Roberts v. Martorano</w:t>
      </w:r>
      <w:r w:rsidRPr="00DA534F">
        <w:t xml:space="preserve">, 427 Pa. 581, 235 A.2d 602 (1967).  Neither silence nor agreement of the parties will confer jurisdiction where it otherwise would not exist, </w:t>
      </w:r>
      <w:r w:rsidRPr="00DA534F">
        <w:rPr>
          <w:i/>
        </w:rPr>
        <w:t>Commonwealth v. VanBuskirk</w:t>
      </w:r>
      <w:r w:rsidRPr="00DA534F">
        <w:t xml:space="preserve">, 303 Pa.Super. 148, 449 A.2d 621 (1982), nor can jurisdiction be obtained by waiver or estoppel, </w:t>
      </w:r>
      <w:r w:rsidRPr="00DA534F">
        <w:rPr>
          <w:i/>
        </w:rPr>
        <w:t>Scott v. Bristol Twp. Police Dep’t</w:t>
      </w:r>
      <w:r w:rsidRPr="00DA534F">
        <w:t>, 669 A.2d 457 (Pa.Cmwlth. 1995).</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Keeping the foregoing principles regarding jurisdiction in mind, the issue is whether or not the Commission has jurisdiction with respect to the City</w:t>
      </w:r>
      <w:r w:rsidR="000F3E44" w:rsidRPr="00DA534F">
        <w:t xml:space="preserve"> of Philadelphia</w:t>
      </w:r>
      <w:r w:rsidRPr="00DA534F">
        <w:t>’s municipal lien.</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Acting under the authority and power granted in the Municipal Claim and Tax Lien Law, 53 P.S. § 7101 et seq., the City files a lien to enforce municipal claims against property for unpaid natural gas service rendered by respondent at a specific property.</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Only the City, being a municipality, can file a municipal lien.  Respondent is a municipal utility that is wholly owned by the City</w:t>
      </w:r>
      <w:r w:rsidR="008C0457" w:rsidRPr="00DA534F">
        <w:t xml:space="preserve"> of Philadelphia</w:t>
      </w:r>
      <w:r w:rsidRPr="00DA534F">
        <w:t xml:space="preserve">.  Respondent consists only of the real and personal assets that are used to manufacture and deliver natural gas to entities within the City’s borders.  </w:t>
      </w:r>
      <w:r w:rsidRPr="00DA534F">
        <w:rPr>
          <w:i/>
        </w:rPr>
        <w:t>Public Advocate v. Philadelphia Gas Comm’n</w:t>
      </w:r>
      <w:r w:rsidRPr="00DA534F">
        <w:t>, 544 Pa. 129, 674 A.2d 1056 (1996).</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Respondent does not meet the legal definition of an entity authorized to file a lien to enforce a municipal claim as set forth in the Municipal Claim and Tax Lien Law.  See, 53 P.S. § 7101.  Consequently, when respondent provides natural gas service to an entity within the borders of the City and is not paid, it is the City that has a municipal claim which it can enforce by way of a lien on the property that was provided natural gas service.</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 xml:space="preserve">The procedure which the City must follow to establish a lien on a specific property, such as the Premises, is set forth in the Municipal Claim and Tax Lien Law.  See, 53 P.S. §§ 7106(b), (c), 7143.  The lien is docketed with the Prothonotary (a clerk of the court) and maintained in an </w:t>
      </w:r>
      <w:r w:rsidRPr="00DA534F">
        <w:rPr>
          <w:i/>
        </w:rPr>
        <w:t>in rem</w:t>
      </w:r>
      <w:r w:rsidRPr="00DA534F">
        <w:t xml:space="preserve">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Pr="00DA534F">
        <w:rPr>
          <w:i/>
        </w:rPr>
        <w:t>Newberry Twp. v. Stambaugh</w:t>
      </w:r>
      <w:r w:rsidRPr="00DA534F">
        <w:t>, 848 A.2d 173 (Pa.Cmwlth. 2004), app. denied, 580 Pa. 708, 860 A.2d 491 (2004), 53 P.S. §§ 7106(c), 7283.  Ultimate recovery of the amount of the municipal claims resulting in the lien is effectuated by a court ordered sheriff’s sale.  53 P.S. § 7283.</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The proceeding to obtain and enforce the City’s municipal</w:t>
      </w:r>
      <w:r w:rsidR="00AD7AA8">
        <w:t xml:space="preserve"> lien</w:t>
      </w:r>
      <w:r w:rsidRPr="00DA534F">
        <w:t xml:space="preserve"> claim is an </w:t>
      </w:r>
      <w:r w:rsidRPr="00DA534F">
        <w:rPr>
          <w:i/>
        </w:rPr>
        <w:t>in rem</w:t>
      </w:r>
      <w:r w:rsidRPr="00DA534F">
        <w:t xml:space="preserve"> proceeding.</w:t>
      </w:r>
      <w:r w:rsidRPr="00DA534F">
        <w:rPr>
          <w:rStyle w:val="FootnoteReference"/>
        </w:rPr>
        <w:footnoteReference w:id="1"/>
      </w:r>
      <w:r w:rsidRPr="00DA534F">
        <w:t xml:space="preserve">  “Accordingly, the lien is either valid or invalid as to the property in question rather than as to the respective property interests involved.”  </w:t>
      </w:r>
      <w:r w:rsidRPr="00DA534F">
        <w:rPr>
          <w:i/>
        </w:rPr>
        <w:t>Borough of Towanda v. Brannaka</w:t>
      </w:r>
      <w:r w:rsidRPr="00DA534F">
        <w:t>, 61 Pa.Cmwlth. 622; 625-626, 434 A.2d 889; 891 (1981).  What this means is that the Premises, n</w:t>
      </w:r>
      <w:r w:rsidR="000F3E44" w:rsidRPr="00DA534F">
        <w:t>o</w:t>
      </w:r>
      <w:r w:rsidRPr="00DA534F">
        <w:t xml:space="preserve">t </w:t>
      </w:r>
      <w:r w:rsidR="00AD7AA8">
        <w:t>C</w:t>
      </w:r>
      <w:r w:rsidRPr="00DA534F">
        <w:t xml:space="preserve">omplainant nor </w:t>
      </w:r>
      <w:r w:rsidR="000F3E44" w:rsidRPr="00DA534F">
        <w:t>his</w:t>
      </w:r>
      <w:r w:rsidR="004812B2" w:rsidRPr="00DA534F">
        <w:t xml:space="preserve"> former tenant</w:t>
      </w:r>
      <w:r w:rsidRPr="00DA534F">
        <w:t xml:space="preserve">, </w:t>
      </w:r>
      <w:r w:rsidR="004812B2" w:rsidRPr="00DA534F">
        <w:t>is</w:t>
      </w:r>
      <w:r w:rsidRPr="00DA534F">
        <w:t xml:space="preserve"> responsible for satisfying the claim secured by the municipal lien.  No personal responsibility is asserted against the </w:t>
      </w:r>
      <w:r w:rsidR="00AD7AA8">
        <w:t>C</w:t>
      </w:r>
      <w:r w:rsidRPr="00DA534F">
        <w:t xml:space="preserve">omplainant by the filing of the lien on the Premises.  </w:t>
      </w:r>
      <w:r w:rsidRPr="00DA534F">
        <w:rPr>
          <w:i/>
        </w:rPr>
        <w:t>Philadelphia v. Northwood Textile Mills, Inc.</w:t>
      </w:r>
      <w:r w:rsidRPr="00DA534F">
        <w:t xml:space="preserve">, 395 Pa. 112, 149 A.2d 60 (1959).  See, also, </w:t>
      </w:r>
      <w:r w:rsidRPr="00DA534F">
        <w:rPr>
          <w:i/>
        </w:rPr>
        <w:t>Ransom v. Marrazzo</w:t>
      </w:r>
      <w:r w:rsidRPr="00DA534F">
        <w:t>, 848 F.2d 398 (3d Cir. 1988).</w:t>
      </w:r>
    </w:p>
    <w:p w:rsidR="00924C4E" w:rsidRPr="00DA534F" w:rsidRDefault="00924C4E" w:rsidP="00924C4E">
      <w:pPr>
        <w:spacing w:line="360" w:lineRule="auto"/>
        <w:ind w:firstLine="1440"/>
      </w:pPr>
    </w:p>
    <w:p w:rsidR="00924C4E" w:rsidRPr="00DA534F" w:rsidRDefault="00924C4E" w:rsidP="00924C4E">
      <w:pPr>
        <w:tabs>
          <w:tab w:val="left" w:pos="7020"/>
        </w:tabs>
        <w:spacing w:line="360" w:lineRule="auto"/>
        <w:ind w:firstLine="1440"/>
      </w:pPr>
      <w:r w:rsidRPr="00DA534F">
        <w:t xml:space="preserve">The difference between an </w:t>
      </w:r>
      <w:r w:rsidRPr="00DA534F">
        <w:rPr>
          <w:i/>
        </w:rPr>
        <w:t>in personam</w:t>
      </w:r>
      <w:r w:rsidRPr="00DA534F">
        <w:t xml:space="preserve"> judgment and an </w:t>
      </w:r>
      <w:r w:rsidRPr="00DA534F">
        <w:rPr>
          <w:i/>
        </w:rPr>
        <w:t>in rem</w:t>
      </w:r>
      <w:r w:rsidRPr="00DA534F">
        <w:t xml:space="preserve"> municipal lien is best explained by an example.  If A obtains a personal judgment against B in the amount of $100,000 and enters the judgment in County X, where B owns three pieces of real property worth $25,000 each, A can have all three properties sold by the Sheriff of County X to satisfy the judgment.  However, if City A enters a municipal lien in the amount of $30,000 against Property 1 of three separate pieces of real property worth $25,000 each that B owns in County X, only Property 1 can be sold to satisfy the lien.  The debt can only be recovered from the specific property upon which the </w:t>
      </w:r>
      <w:r w:rsidRPr="00DA534F">
        <w:rPr>
          <w:i/>
        </w:rPr>
        <w:t>in rem</w:t>
      </w:r>
      <w:r w:rsidRPr="00DA534F">
        <w:t xml:space="preserve"> municipal lien has been placed.  If the specific property was being rented by a landlord to a tenant, neither is personally liable for payment of the municipal claim amount.  </w:t>
      </w:r>
      <w:r w:rsidRPr="00DA534F">
        <w:rPr>
          <w:i/>
        </w:rPr>
        <w:t>Philadelphia v. Northwood Textile Mills, Inc.</w:t>
      </w:r>
      <w:r w:rsidRPr="00DA534F">
        <w:t xml:space="preserve">, 395 Pa. 112, 149 A.2d 60 (1959).  Only the </w:t>
      </w:r>
      <w:r w:rsidRPr="00DA534F">
        <w:rPr>
          <w:i/>
        </w:rPr>
        <w:t>thing</w:t>
      </w:r>
      <w:r w:rsidRPr="00DA534F">
        <w:t>, the specific property subject to the municipal lien, is liable for the amount owed.</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 xml:space="preserve">In the instant case, the entire proceeding for </w:t>
      </w:r>
      <w:r w:rsidR="004812B2" w:rsidRPr="00DA534F">
        <w:t>action requesting a lien</w:t>
      </w:r>
      <w:r w:rsidR="000F3E44" w:rsidRPr="00DA534F">
        <w:t xml:space="preserve"> in the</w:t>
      </w:r>
      <w:r w:rsidR="004812B2" w:rsidRPr="00DA534F">
        <w:t xml:space="preserve"> amount of $</w:t>
      </w:r>
      <w:r w:rsidR="000F3E44" w:rsidRPr="00DA534F">
        <w:t>4,672</w:t>
      </w:r>
      <w:r w:rsidR="004812B2" w:rsidRPr="00DA534F">
        <w:t>,</w:t>
      </w:r>
      <w:r w:rsidRPr="00DA534F">
        <w:t xml:space="preserve"> and </w:t>
      </w:r>
      <w:r w:rsidR="00901EFE" w:rsidRPr="00DA534F">
        <w:t xml:space="preserve">this issue and the </w:t>
      </w:r>
      <w:r w:rsidRPr="00DA534F">
        <w:t>defense to the statutory lien of the City is within the jurisdiction of the Court of Common Pleas of Philadelphia County</w:t>
      </w:r>
      <w:r w:rsidRPr="00DA534F">
        <w:rPr>
          <w:rStyle w:val="FootnoteReference"/>
        </w:rPr>
        <w:footnoteReference w:id="2"/>
      </w:r>
      <w:r w:rsidRPr="00DA534F">
        <w:t>, not the Commission.  Municipal lien proceedings are exclusively matters of judicial, not administrative, jurisdiction.</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Additionally, keeping in mind that the lien is that of the City, not respondent, as to the lien proceeding there is no public utility involved.  In obtaining a municipal lien upon the Premises, the City is acting in its capacity as a municipality only.  The Commission is given jurisdiction over public utilities by the Public Utility Code, 66 Pa.C.S.A. § 101 et seq., not over municipalities acting in their municipal capacity.</w:t>
      </w:r>
      <w:r w:rsidRPr="00DA534F">
        <w:rPr>
          <w:rStyle w:val="FootnoteReference"/>
        </w:rPr>
        <w:footnoteReference w:id="3"/>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 xml:space="preserve">The Commission has repeatedly recognized its lack of subject matter jurisdiction in cases involving a dispute over a municipal lien placed upon a property.  See, </w:t>
      </w:r>
      <w:r w:rsidRPr="00DA534F">
        <w:rPr>
          <w:i/>
        </w:rPr>
        <w:t>Josephine Pitt v. Philadelphia Gas Works</w:t>
      </w:r>
      <w:r w:rsidRPr="00DA534F">
        <w:t>, Docket Number C-2009-2140025, Final Order entered April 29, 2010, (</w:t>
      </w:r>
      <w:r w:rsidRPr="00DA534F">
        <w:rPr>
          <w:i/>
        </w:rPr>
        <w:t>Pitt</w:t>
      </w:r>
      <w:r w:rsidRPr="00DA534F">
        <w:t xml:space="preserve">) and cases cited therein.  See, also, </w:t>
      </w:r>
      <w:r w:rsidRPr="00DA534F">
        <w:rPr>
          <w:i/>
        </w:rPr>
        <w:t>Agron Vata v. Philadelphia Gas Works</w:t>
      </w:r>
      <w:r w:rsidRPr="00DA534F">
        <w:t>, Docket Number C-2009-2149960, Opinion and Order adopted August 18, 2010, entered August 24, 2010 (</w:t>
      </w:r>
      <w:r w:rsidRPr="00DA534F">
        <w:rPr>
          <w:i/>
        </w:rPr>
        <w:t>Vata</w:t>
      </w:r>
      <w:r w:rsidRPr="00DA534F">
        <w:t>).</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These Commission decisions are consistent with established principles of jurisdiction and are buttressed by two separate provisions of the Public Utility Code, 66 Pa.C.S.A. § 101 et seq. (Code).</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66 Pa.C.S.A. § 1414(a) provides:</w:t>
      </w:r>
    </w:p>
    <w:p w:rsidR="00924C4E" w:rsidRPr="00DA534F" w:rsidRDefault="00924C4E" w:rsidP="00924C4E">
      <w:pPr>
        <w:ind w:firstLine="1440"/>
      </w:pPr>
    </w:p>
    <w:p w:rsidR="00924C4E" w:rsidRPr="00DA534F" w:rsidRDefault="00924C4E" w:rsidP="00924C4E">
      <w:pPr>
        <w:widowControl w:val="0"/>
        <w:adjustRightInd w:val="0"/>
        <w:ind w:left="1440" w:right="1440"/>
        <w:rPr>
          <w:color w:val="000000"/>
        </w:rPr>
      </w:pPr>
      <w:r w:rsidRPr="00DA534F">
        <w:rPr>
          <w:b/>
          <w:bCs/>
          <w:color w:val="000000"/>
        </w:rPr>
        <w:t>(a)</w:t>
      </w:r>
      <w:r w:rsidRPr="00DA534F">
        <w:rPr>
          <w:b/>
          <w:bCs/>
          <w:color w:val="000000"/>
        </w:rPr>
        <w:tab/>
        <w:t>General rule.--</w:t>
      </w:r>
      <w:r w:rsidRPr="00DA534F">
        <w:rPr>
          <w:color w:val="000000"/>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w:t>
      </w:r>
      <w:bookmarkStart w:id="1" w:name="Document1zz[FN1]"/>
      <w:bookmarkEnd w:id="1"/>
      <w:r w:rsidRPr="00DA534F">
        <w:rPr>
          <w:color w:val="000000"/>
        </w:rPr>
        <w:t xml:space="preserve">referred to as the Municipal Claim and Tax Lien Law, and chapter 22 </w:t>
      </w:r>
      <w:bookmarkStart w:id="2" w:name="Document1zz[FN2]"/>
      <w:bookmarkEnd w:id="2"/>
      <w:r w:rsidRPr="00DA534F">
        <w:rPr>
          <w:color w:val="000000"/>
        </w:rPr>
        <w:t>(relating to natural gas competition).</w:t>
      </w:r>
    </w:p>
    <w:p w:rsidR="00924C4E" w:rsidRPr="00DA534F" w:rsidRDefault="00924C4E" w:rsidP="00924C4E">
      <w:pPr>
        <w:widowControl w:val="0"/>
        <w:adjustRightInd w:val="0"/>
        <w:ind w:left="1440" w:right="1440"/>
        <w:jc w:val="both"/>
        <w:rPr>
          <w:color w:val="000000"/>
        </w:rPr>
      </w:pPr>
      <w:r w:rsidRPr="00DA534F">
        <w:rPr>
          <w:bCs/>
          <w:color w:val="000000"/>
        </w:rPr>
        <w:t>66 Pa.</w:t>
      </w:r>
      <w:r w:rsidRPr="00DA534F">
        <w:rPr>
          <w:color w:val="000000"/>
        </w:rPr>
        <w:t>C.S.A. § 1414(a) (footnotes omitted)</w:t>
      </w:r>
    </w:p>
    <w:p w:rsidR="00924C4E" w:rsidRPr="00DA534F" w:rsidRDefault="00924C4E" w:rsidP="00924C4E">
      <w:pPr>
        <w:spacing w:line="360" w:lineRule="auto"/>
        <w:ind w:firstLine="1440"/>
      </w:pPr>
    </w:p>
    <w:p w:rsidR="00924C4E" w:rsidRPr="00DA534F" w:rsidRDefault="00924C4E" w:rsidP="00924C4E">
      <w:pPr>
        <w:spacing w:line="360" w:lineRule="auto"/>
        <w:ind w:firstLine="1440"/>
        <w:rPr>
          <w:color w:val="000000"/>
        </w:rPr>
      </w:pPr>
      <w:r w:rsidRPr="00DA534F">
        <w:t xml:space="preserve">Code section 1414(a) reiterates the General Assembly’s determination that the previously existing right of the City to enforce payment for natural gas service rendered by the respondent through the municipal claim and lien procedure of the </w:t>
      </w:r>
      <w:r w:rsidRPr="00DA534F">
        <w:rPr>
          <w:color w:val="000000"/>
        </w:rPr>
        <w:t>Municipal Claim and Tax Lien Law remains unabated.</w:t>
      </w:r>
    </w:p>
    <w:p w:rsidR="00924C4E" w:rsidRPr="00DA534F" w:rsidRDefault="00924C4E" w:rsidP="00924C4E">
      <w:pPr>
        <w:spacing w:line="360" w:lineRule="auto"/>
        <w:ind w:firstLine="1440"/>
        <w:rPr>
          <w:color w:val="000000"/>
        </w:rPr>
      </w:pPr>
    </w:p>
    <w:p w:rsidR="00924C4E" w:rsidRPr="00DA534F" w:rsidRDefault="00924C4E" w:rsidP="00924C4E">
      <w:pPr>
        <w:spacing w:line="360" w:lineRule="auto"/>
        <w:ind w:firstLine="1440"/>
        <w:outlineLvl w:val="0"/>
        <w:rPr>
          <w:color w:val="000000"/>
        </w:rPr>
      </w:pPr>
      <w:r w:rsidRPr="00DA534F">
        <w:rPr>
          <w:color w:val="000000"/>
        </w:rPr>
        <w:t xml:space="preserve">The reference to “chapter 22” (of the Code) in section 1414(a) is especially </w:t>
      </w:r>
    </w:p>
    <w:p w:rsidR="00AF4E13" w:rsidRDefault="00924C4E" w:rsidP="00AD7AA8">
      <w:pPr>
        <w:spacing w:line="360" w:lineRule="auto"/>
        <w:rPr>
          <w:color w:val="000000"/>
        </w:rPr>
      </w:pPr>
      <w:r w:rsidRPr="00DA534F">
        <w:rPr>
          <w:color w:val="000000"/>
        </w:rPr>
        <w:t>revealing as to the legislature’s intent.</w:t>
      </w:r>
    </w:p>
    <w:p w:rsidR="00924C4E" w:rsidRPr="00DA534F" w:rsidRDefault="00924C4E" w:rsidP="00924C4E">
      <w:pPr>
        <w:ind w:firstLine="1440"/>
        <w:rPr>
          <w:color w:val="000000"/>
        </w:rPr>
      </w:pPr>
      <w:r w:rsidRPr="00DA534F">
        <w:rPr>
          <w:color w:val="000000"/>
        </w:rPr>
        <w:t>66 Pa.C.S.A. § 2212(n) states:</w:t>
      </w:r>
    </w:p>
    <w:p w:rsidR="00924C4E" w:rsidRPr="00DA534F" w:rsidRDefault="00924C4E" w:rsidP="00924C4E">
      <w:pPr>
        <w:ind w:firstLine="1440"/>
        <w:rPr>
          <w:color w:val="000000"/>
        </w:rPr>
      </w:pPr>
    </w:p>
    <w:p w:rsidR="00924C4E" w:rsidRPr="00DA534F" w:rsidRDefault="00924C4E" w:rsidP="00924C4E">
      <w:pPr>
        <w:widowControl w:val="0"/>
        <w:adjustRightInd w:val="0"/>
        <w:ind w:left="1440" w:right="1440"/>
        <w:jc w:val="both"/>
        <w:rPr>
          <w:color w:val="000000"/>
        </w:rPr>
      </w:pPr>
      <w:r w:rsidRPr="00DA534F">
        <w:rPr>
          <w:b/>
          <w:bCs/>
          <w:color w:val="000000"/>
        </w:rPr>
        <w:t>(n)</w:t>
      </w:r>
      <w:r w:rsidRPr="00DA534F">
        <w:rPr>
          <w:b/>
          <w:bCs/>
          <w:color w:val="000000"/>
        </w:rPr>
        <w:tab/>
        <w:t>Collections.--</w:t>
      </w:r>
      <w:r w:rsidRPr="00DA534F">
        <w:rPr>
          <w:color w:val="000000"/>
        </w:rPr>
        <w:t>Nothing contained in this title shall abrogate the power of a city natural gas distribution operation to collect delinquent receivables through the imposition of liens pursuant to section 3 of the act of May 16, 1923 (P.L. 207, No. 153),</w:t>
      </w:r>
      <w:bookmarkStart w:id="3" w:name="Document1zz[FN6]"/>
      <w:bookmarkEnd w:id="3"/>
      <w:r w:rsidRPr="00DA534F">
        <w:rPr>
          <w:color w:val="000000"/>
        </w:rPr>
        <w:t xml:space="preserve"> referred to as the Municipal Claim and Tax Lien Law, or otherwise.</w:t>
      </w:r>
    </w:p>
    <w:p w:rsidR="00924C4E" w:rsidRPr="00DA534F" w:rsidRDefault="00924C4E" w:rsidP="00924C4E">
      <w:pPr>
        <w:widowControl w:val="0"/>
        <w:adjustRightInd w:val="0"/>
        <w:ind w:left="1440" w:right="1440"/>
        <w:jc w:val="both"/>
        <w:rPr>
          <w:color w:val="000000"/>
        </w:rPr>
      </w:pPr>
      <w:r w:rsidRPr="00DA534F">
        <w:rPr>
          <w:color w:val="000000"/>
        </w:rPr>
        <w:t>66 Pa.C.S.A. § 2212(n) (footnote omitted)</w:t>
      </w:r>
    </w:p>
    <w:p w:rsidR="00924C4E" w:rsidRPr="00DA534F" w:rsidRDefault="00924C4E" w:rsidP="00924C4E">
      <w:pPr>
        <w:spacing w:line="360" w:lineRule="auto"/>
        <w:ind w:firstLine="1440"/>
      </w:pPr>
    </w:p>
    <w:p w:rsidR="00924C4E" w:rsidRPr="00DA534F" w:rsidRDefault="00924C4E" w:rsidP="00924C4E">
      <w:pPr>
        <w:spacing w:line="360" w:lineRule="auto"/>
        <w:ind w:firstLine="1440"/>
        <w:rPr>
          <w:color w:val="000000"/>
        </w:rPr>
      </w:pPr>
      <w:r w:rsidRPr="00DA534F">
        <w:t>Code section 2212(n) specifically states that “[n]othing</w:t>
      </w:r>
      <w:r w:rsidRPr="00DA534F">
        <w:rPr>
          <w:color w:val="000000"/>
        </w:rPr>
        <w:t xml:space="preserve"> contained in this </w:t>
      </w:r>
      <w:r w:rsidRPr="00DA534F">
        <w:rPr>
          <w:color w:val="000000"/>
          <w:u w:val="single"/>
        </w:rPr>
        <w:t>title</w:t>
      </w:r>
      <w:r w:rsidRPr="00DA534F">
        <w:rPr>
          <w:color w:val="000000"/>
        </w:rPr>
        <w:t>”, that is; Title 66, the entire Code, shall abrogate the right of the City to collect unpaid bills for natural gas service through the mechanisms provided by the Municipal Claim and Tax Lien Law.  As explained above, those mechanisms are not within the jurisdiction of the Commission.</w:t>
      </w:r>
    </w:p>
    <w:p w:rsidR="00924C4E" w:rsidRPr="00DA534F" w:rsidRDefault="00924C4E" w:rsidP="00924C4E">
      <w:pPr>
        <w:spacing w:line="360" w:lineRule="auto"/>
        <w:ind w:firstLine="1440"/>
        <w:rPr>
          <w:color w:val="000000"/>
        </w:rPr>
      </w:pPr>
    </w:p>
    <w:p w:rsidR="00924C4E" w:rsidRDefault="00924C4E" w:rsidP="00924C4E">
      <w:pPr>
        <w:spacing w:line="360" w:lineRule="auto"/>
        <w:ind w:firstLine="1440"/>
        <w:rPr>
          <w:color w:val="000000"/>
        </w:rPr>
      </w:pPr>
      <w:r w:rsidRPr="00DA534F">
        <w:rPr>
          <w:color w:val="000000"/>
        </w:rPr>
        <w:t xml:space="preserve">The Commission’s </w:t>
      </w:r>
      <w:r w:rsidRPr="00DA534F">
        <w:t xml:space="preserve">holdings in </w:t>
      </w:r>
      <w:r w:rsidRPr="00DA534F">
        <w:rPr>
          <w:i/>
        </w:rPr>
        <w:t>Pitt</w:t>
      </w:r>
      <w:r w:rsidRPr="00DA534F">
        <w:t xml:space="preserve"> and </w:t>
      </w:r>
      <w:r w:rsidRPr="00DA534F">
        <w:rPr>
          <w:i/>
        </w:rPr>
        <w:t>Vata</w:t>
      </w:r>
      <w:r w:rsidRPr="00DA534F">
        <w:t xml:space="preserve"> that it does not have subject matter jurisdiction over cases such as this one, </w:t>
      </w:r>
      <w:r w:rsidR="0047242C">
        <w:t xml:space="preserve">are </w:t>
      </w:r>
      <w:r w:rsidRPr="00DA534F">
        <w:t xml:space="preserve">legally correct.  Complainant’s relief, if any, must be obtained under the procedures established by </w:t>
      </w:r>
      <w:r w:rsidRPr="00DA534F">
        <w:rPr>
          <w:color w:val="000000"/>
        </w:rPr>
        <w:t>the Mun</w:t>
      </w:r>
      <w:r w:rsidR="00AF4E13">
        <w:rPr>
          <w:color w:val="000000"/>
        </w:rPr>
        <w:t>icipal Claim and Tax Lien Law.</w:t>
      </w:r>
    </w:p>
    <w:p w:rsidR="00435A14" w:rsidRDefault="00435A14" w:rsidP="00924C4E">
      <w:pPr>
        <w:spacing w:line="360" w:lineRule="auto"/>
        <w:ind w:firstLine="1440"/>
        <w:rPr>
          <w:color w:val="000000"/>
        </w:rPr>
      </w:pPr>
    </w:p>
    <w:p w:rsidR="00435A14" w:rsidRPr="00435A14" w:rsidRDefault="00435A14" w:rsidP="00435A14">
      <w:pPr>
        <w:spacing w:line="360" w:lineRule="auto"/>
        <w:rPr>
          <w:rFonts w:eastAsiaTheme="minorHAnsi" w:cs="Calibri"/>
          <w:bCs/>
        </w:rPr>
      </w:pPr>
      <w:r>
        <w:rPr>
          <w:rFonts w:eastAsiaTheme="minorHAnsi" w:cs="Calibri"/>
          <w:bCs/>
          <w:sz w:val="26"/>
          <w:szCs w:val="22"/>
        </w:rPr>
        <w:tab/>
      </w:r>
      <w:r>
        <w:rPr>
          <w:rFonts w:eastAsiaTheme="minorHAnsi" w:cs="Calibri"/>
          <w:bCs/>
          <w:sz w:val="26"/>
          <w:szCs w:val="22"/>
        </w:rPr>
        <w:tab/>
      </w:r>
      <w:r>
        <w:rPr>
          <w:rFonts w:eastAsiaTheme="minorHAnsi" w:cs="Calibri"/>
          <w:bCs/>
        </w:rPr>
        <w:t>Complainant’s s</w:t>
      </w:r>
      <w:r w:rsidRPr="00435A14">
        <w:rPr>
          <w:rFonts w:eastAsiaTheme="minorHAnsi" w:cs="Calibri"/>
          <w:bCs/>
        </w:rPr>
        <w:t xml:space="preserve">econd claim was that PGW did not terminate service for failure to pay and allowed a large arrearage </w:t>
      </w:r>
      <w:r>
        <w:rPr>
          <w:rFonts w:eastAsiaTheme="minorHAnsi" w:cs="Calibri"/>
          <w:bCs/>
        </w:rPr>
        <w:t xml:space="preserve">of over $4,000 </w:t>
      </w:r>
      <w:r w:rsidRPr="00435A14">
        <w:rPr>
          <w:rFonts w:eastAsiaTheme="minorHAnsi" w:cs="Calibri"/>
          <w:bCs/>
        </w:rPr>
        <w:t xml:space="preserve">to accumulate.  </w:t>
      </w:r>
      <w:r>
        <w:rPr>
          <w:rFonts w:eastAsiaTheme="minorHAnsi" w:cs="Calibri"/>
          <w:bCs/>
        </w:rPr>
        <w:t xml:space="preserve">The Commission </w:t>
      </w:r>
      <w:r w:rsidRPr="00435A14">
        <w:rPr>
          <w:rFonts w:eastAsiaTheme="minorHAnsi" w:cs="Calibri"/>
          <w:bCs/>
        </w:rPr>
        <w:t xml:space="preserve">recently addressed a similar issue in </w:t>
      </w:r>
      <w:r w:rsidRPr="0011334E">
        <w:rPr>
          <w:rFonts w:eastAsiaTheme="minorHAnsi" w:cs="Calibri"/>
          <w:bCs/>
          <w:i/>
        </w:rPr>
        <w:t>Faye Payne v. Philadelphia Gas Works</w:t>
      </w:r>
      <w:r>
        <w:rPr>
          <w:rFonts w:eastAsiaTheme="minorHAnsi" w:cs="Calibri"/>
          <w:bCs/>
        </w:rPr>
        <w:t>, Docket No. C-2011-2247124 (Order entered February 16, 2012</w:t>
      </w:r>
      <w:r w:rsidR="0011334E">
        <w:rPr>
          <w:rFonts w:eastAsiaTheme="minorHAnsi" w:cs="Calibri"/>
          <w:bCs/>
        </w:rPr>
        <w:t xml:space="preserve">), and </w:t>
      </w:r>
      <w:r w:rsidRPr="00435A14">
        <w:rPr>
          <w:rFonts w:eastAsiaTheme="minorHAnsi" w:cs="Calibri"/>
          <w:bCs/>
          <w:i/>
        </w:rPr>
        <w:t>Larry and Gail Newman v. Philadelphia Gas Works</w:t>
      </w:r>
      <w:r>
        <w:rPr>
          <w:rFonts w:eastAsiaTheme="minorHAnsi" w:cs="Calibri"/>
          <w:bCs/>
        </w:rPr>
        <w:t xml:space="preserve">, </w:t>
      </w:r>
      <w:r w:rsidR="0011334E">
        <w:rPr>
          <w:rFonts w:eastAsiaTheme="minorHAnsi" w:cs="Calibri"/>
          <w:bCs/>
        </w:rPr>
        <w:t xml:space="preserve">Docket No. </w:t>
      </w:r>
      <w:r>
        <w:rPr>
          <w:rFonts w:eastAsiaTheme="minorHAnsi" w:cs="Calibri"/>
          <w:bCs/>
        </w:rPr>
        <w:t xml:space="preserve">C-2011-2273565, </w:t>
      </w:r>
      <w:r w:rsidR="0011334E">
        <w:rPr>
          <w:rFonts w:eastAsiaTheme="minorHAnsi" w:cs="Calibri"/>
          <w:bCs/>
        </w:rPr>
        <w:t>(</w:t>
      </w:r>
      <w:r>
        <w:rPr>
          <w:rFonts w:eastAsiaTheme="minorHAnsi" w:cs="Calibri"/>
          <w:bCs/>
        </w:rPr>
        <w:t xml:space="preserve">Opinion and Order </w:t>
      </w:r>
      <w:r w:rsidR="0011334E">
        <w:rPr>
          <w:rFonts w:eastAsiaTheme="minorHAnsi" w:cs="Calibri"/>
          <w:bCs/>
        </w:rPr>
        <w:t>entered</w:t>
      </w:r>
      <w:r>
        <w:rPr>
          <w:rFonts w:eastAsiaTheme="minorHAnsi" w:cs="Calibri"/>
          <w:bCs/>
        </w:rPr>
        <w:t xml:space="preserve"> March 29, 2012</w:t>
      </w:r>
      <w:r w:rsidR="0011334E">
        <w:rPr>
          <w:rFonts w:eastAsiaTheme="minorHAnsi" w:cs="Calibri"/>
          <w:bCs/>
        </w:rPr>
        <w:t>)</w:t>
      </w:r>
      <w:r>
        <w:rPr>
          <w:rFonts w:eastAsiaTheme="minorHAnsi" w:cs="Calibri"/>
          <w:bCs/>
        </w:rPr>
        <w:t>.  I</w:t>
      </w:r>
      <w:r w:rsidRPr="00435A14">
        <w:rPr>
          <w:rFonts w:eastAsiaTheme="minorHAnsi" w:cs="Calibri"/>
          <w:bCs/>
        </w:rPr>
        <w:t>n response to the argument that PGW failed to mitigate its damages because it did not terminate service to the complainant’s tenants before the tenants accumulated a large outstanding bill</w:t>
      </w:r>
      <w:r w:rsidR="0011334E">
        <w:rPr>
          <w:rFonts w:eastAsiaTheme="minorHAnsi" w:cs="Calibri"/>
          <w:bCs/>
        </w:rPr>
        <w:t>, the</w:t>
      </w:r>
      <w:r>
        <w:rPr>
          <w:rFonts w:eastAsiaTheme="minorHAnsi" w:cs="Calibri"/>
          <w:bCs/>
        </w:rPr>
        <w:t xml:space="preserve"> Commission held</w:t>
      </w:r>
      <w:r w:rsidRPr="00435A14">
        <w:rPr>
          <w:rFonts w:eastAsiaTheme="minorHAnsi" w:cs="Calibri"/>
          <w:bCs/>
        </w:rPr>
        <w:t xml:space="preserve"> that a "mitigation of damages" defense of this nature is to be raised in the appropriate court:  </w:t>
      </w:r>
    </w:p>
    <w:p w:rsidR="00435A14" w:rsidRPr="00435A14" w:rsidRDefault="00435A14" w:rsidP="00435A14">
      <w:pPr>
        <w:spacing w:line="360" w:lineRule="auto"/>
        <w:rPr>
          <w:rFonts w:eastAsiaTheme="minorHAnsi" w:cs="Calibri"/>
          <w:bCs/>
        </w:rPr>
      </w:pPr>
    </w:p>
    <w:p w:rsidR="00435A14" w:rsidRPr="00435A14" w:rsidRDefault="00435A14" w:rsidP="00435A14">
      <w:pPr>
        <w:ind w:left="1440" w:right="1440"/>
        <w:rPr>
          <w:rFonts w:eastAsiaTheme="minorHAnsi" w:cs="Calibri"/>
          <w:bCs/>
        </w:rPr>
      </w:pPr>
      <w:r w:rsidRPr="00435A14">
        <w:rPr>
          <w:rFonts w:eastAsiaTheme="minorHAnsi" w:cs="Calibri"/>
          <w:bCs/>
        </w:rPr>
        <w:t xml:space="preserve">In the absence of subject matter jurisdiction, we do not have the authority to order the City to remove </w:t>
      </w:r>
      <w:r w:rsidRPr="00435A14">
        <w:rPr>
          <w:rFonts w:eastAsiaTheme="minorHAnsi" w:cs="Calibri"/>
          <w:bCs/>
          <w:i/>
        </w:rPr>
        <w:t>or reduce</w:t>
      </w:r>
      <w:r w:rsidRPr="00435A14">
        <w:rPr>
          <w:rFonts w:eastAsiaTheme="minorHAnsi" w:cs="Calibri"/>
          <w:bCs/>
        </w:rPr>
        <w:t xml:space="preserve"> the lien on the Complainant’s property.  The Complainant’s argument that the lien should be reduced because PGW is partially responsible for her tenants’ arrearage can be raised by the Complainant as a defense in the appropriate court with jurisdiction over the municipal lien in question.  In the alternative, the Complainant may be able to pursue an action against her tenants.  The Complainant, however, has no cause of action before the Commission.  </w:t>
      </w:r>
      <w:r w:rsidRPr="00435A14">
        <w:rPr>
          <w:rFonts w:eastAsiaTheme="minorHAnsi" w:cs="Calibri"/>
          <w:bCs/>
          <w:i/>
        </w:rPr>
        <w:t>Griffin v. Philadelphia Gas Works</w:t>
      </w:r>
      <w:r w:rsidRPr="00435A14">
        <w:rPr>
          <w:rFonts w:eastAsiaTheme="minorHAnsi" w:cs="Calibri"/>
          <w:bCs/>
        </w:rPr>
        <w:t xml:space="preserve">, Docket No. C-2011-2251780 (Order entered November 14, 2011).  </w:t>
      </w:r>
    </w:p>
    <w:p w:rsidR="00435A14" w:rsidRPr="00435A14" w:rsidRDefault="00435A14" w:rsidP="00435A14">
      <w:pPr>
        <w:spacing w:line="360" w:lineRule="auto"/>
        <w:ind w:left="1440" w:right="1440"/>
        <w:rPr>
          <w:rFonts w:eastAsiaTheme="minorHAnsi" w:cs="Calibri"/>
          <w:bCs/>
        </w:rPr>
      </w:pPr>
    </w:p>
    <w:p w:rsidR="00435A14" w:rsidRDefault="0011334E" w:rsidP="0011334E">
      <w:pPr>
        <w:spacing w:line="360" w:lineRule="auto"/>
        <w:rPr>
          <w:rFonts w:eastAsiaTheme="minorHAnsi" w:cs="Calibri"/>
          <w:bCs/>
        </w:rPr>
      </w:pPr>
      <w:r>
        <w:rPr>
          <w:rFonts w:eastAsiaTheme="minorHAnsi" w:cs="Calibri"/>
          <w:bCs/>
          <w:i/>
        </w:rPr>
        <w:t>Newman</w:t>
      </w:r>
      <w:r>
        <w:rPr>
          <w:rFonts w:eastAsiaTheme="minorHAnsi" w:cs="Calibri"/>
          <w:bCs/>
        </w:rPr>
        <w:t xml:space="preserve"> at 9 citing </w:t>
      </w:r>
      <w:r w:rsidRPr="00435A14">
        <w:rPr>
          <w:rFonts w:eastAsiaTheme="minorHAnsi" w:cs="Calibri"/>
          <w:bCs/>
          <w:i/>
        </w:rPr>
        <w:t>Payne</w:t>
      </w:r>
      <w:r w:rsidRPr="00435A14">
        <w:rPr>
          <w:rFonts w:eastAsiaTheme="minorHAnsi" w:cs="Calibri"/>
          <w:bCs/>
        </w:rPr>
        <w:t>, at 9</w:t>
      </w:r>
      <w:r w:rsidR="00435A14" w:rsidRPr="00435A14">
        <w:rPr>
          <w:rFonts w:eastAsiaTheme="minorHAnsi" w:cs="Calibri"/>
          <w:bCs/>
        </w:rPr>
        <w:t xml:space="preserve">.  </w:t>
      </w:r>
    </w:p>
    <w:p w:rsidR="0011334E" w:rsidRPr="00435A14" w:rsidRDefault="0011334E" w:rsidP="0011334E">
      <w:pPr>
        <w:spacing w:line="360" w:lineRule="auto"/>
        <w:rPr>
          <w:rFonts w:eastAsiaTheme="minorHAnsi" w:cs="Calibri"/>
          <w:bCs/>
        </w:rPr>
      </w:pPr>
    </w:p>
    <w:p w:rsidR="00924C4E" w:rsidRPr="00DA534F" w:rsidRDefault="00435A14" w:rsidP="0011334E">
      <w:pPr>
        <w:spacing w:line="360" w:lineRule="auto"/>
        <w:rPr>
          <w:u w:val="single"/>
        </w:rPr>
      </w:pPr>
      <w:r w:rsidRPr="00435A14">
        <w:rPr>
          <w:rFonts w:eastAsiaTheme="minorHAnsi" w:cs="Calibri"/>
          <w:bCs/>
        </w:rPr>
        <w:t xml:space="preserve">                </w:t>
      </w:r>
      <w:r w:rsidRPr="00435A14">
        <w:rPr>
          <w:rFonts w:eastAsiaTheme="minorHAnsi" w:cs="Calibri"/>
          <w:bCs/>
        </w:rPr>
        <w:tab/>
      </w:r>
      <w:r w:rsidR="0011334E">
        <w:rPr>
          <w:rFonts w:eastAsiaTheme="minorHAnsi" w:cs="Calibri"/>
          <w:bCs/>
        </w:rPr>
        <w:tab/>
      </w:r>
      <w:r w:rsidR="0011334E">
        <w:rPr>
          <w:rFonts w:eastAsiaTheme="minorHAnsi" w:cs="Calibri"/>
          <w:bCs/>
        </w:rPr>
        <w:tab/>
      </w:r>
      <w:r w:rsidR="0011334E">
        <w:rPr>
          <w:rFonts w:eastAsiaTheme="minorHAnsi" w:cs="Calibri"/>
          <w:bCs/>
        </w:rPr>
        <w:tab/>
      </w:r>
      <w:r w:rsidR="00924C4E" w:rsidRPr="00DA534F">
        <w:rPr>
          <w:u w:val="single"/>
        </w:rPr>
        <w:t>CONCLUSIONS OF LAW</w:t>
      </w:r>
    </w:p>
    <w:p w:rsidR="00924C4E" w:rsidRPr="00DA534F" w:rsidRDefault="00924C4E" w:rsidP="00924C4E">
      <w:pPr>
        <w:spacing w:line="360" w:lineRule="auto"/>
        <w:ind w:firstLine="1440"/>
      </w:pPr>
    </w:p>
    <w:p w:rsidR="00924C4E" w:rsidRPr="00DA534F" w:rsidRDefault="0047242C" w:rsidP="00924C4E">
      <w:pPr>
        <w:spacing w:line="360" w:lineRule="auto"/>
        <w:ind w:firstLine="1440"/>
      </w:pPr>
      <w:r>
        <w:t>1</w:t>
      </w:r>
      <w:r w:rsidR="00924C4E" w:rsidRPr="00DA534F">
        <w:t>.</w:t>
      </w:r>
      <w:r w:rsidR="00924C4E" w:rsidRPr="00DA534F">
        <w:tab/>
        <w:t>Jurisdiction relates solely to the competency of the particular court or administrative body to determine controversies of the general class to which the case then presented for its consideration belongs.</w:t>
      </w:r>
    </w:p>
    <w:p w:rsidR="00924C4E" w:rsidRPr="00DA534F" w:rsidRDefault="00924C4E" w:rsidP="00924C4E">
      <w:pPr>
        <w:spacing w:line="360" w:lineRule="auto"/>
        <w:ind w:firstLine="1440"/>
      </w:pPr>
    </w:p>
    <w:p w:rsidR="00924C4E" w:rsidRPr="00DA534F" w:rsidRDefault="0047242C" w:rsidP="00924C4E">
      <w:pPr>
        <w:spacing w:line="360" w:lineRule="auto"/>
        <w:ind w:firstLine="1440"/>
      </w:pPr>
      <w:r>
        <w:t>2</w:t>
      </w:r>
      <w:r w:rsidR="00924C4E" w:rsidRPr="00DA534F">
        <w:t>.</w:t>
      </w:r>
      <w:r w:rsidR="00924C4E" w:rsidRPr="00DA534F">
        <w:tab/>
        <w:t>The Commission must act within, and cannot exceed, its jurisdiction.</w:t>
      </w:r>
    </w:p>
    <w:p w:rsidR="00924C4E" w:rsidRPr="00DA534F" w:rsidRDefault="00924C4E" w:rsidP="00924C4E">
      <w:pPr>
        <w:spacing w:line="360" w:lineRule="auto"/>
        <w:ind w:firstLine="1440"/>
      </w:pPr>
    </w:p>
    <w:p w:rsidR="00924C4E" w:rsidRPr="00DA534F" w:rsidRDefault="0047242C" w:rsidP="00924C4E">
      <w:pPr>
        <w:spacing w:line="360" w:lineRule="auto"/>
        <w:ind w:firstLine="1440"/>
      </w:pPr>
      <w:r>
        <w:t>3</w:t>
      </w:r>
      <w:r w:rsidR="00924C4E" w:rsidRPr="00DA534F">
        <w:t>.</w:t>
      </w:r>
      <w:r w:rsidR="00924C4E" w:rsidRPr="00DA534F">
        <w:tab/>
        <w:t>Subject matter jurisdiction is a prerequisite to the exercise of the power to decide a controversy.</w:t>
      </w:r>
    </w:p>
    <w:p w:rsidR="00924C4E" w:rsidRPr="00DA534F" w:rsidRDefault="00924C4E" w:rsidP="00924C4E">
      <w:pPr>
        <w:spacing w:line="360" w:lineRule="auto"/>
        <w:ind w:firstLine="1440"/>
      </w:pPr>
    </w:p>
    <w:p w:rsidR="00924C4E" w:rsidRPr="00DA534F" w:rsidRDefault="0047242C" w:rsidP="00924C4E">
      <w:pPr>
        <w:spacing w:line="360" w:lineRule="auto"/>
        <w:ind w:firstLine="1440"/>
      </w:pPr>
      <w:r>
        <w:t>4</w:t>
      </w:r>
      <w:r w:rsidR="00924C4E" w:rsidRPr="00DA534F">
        <w:t>.</w:t>
      </w:r>
      <w:r w:rsidR="00924C4E" w:rsidRPr="00DA534F">
        <w:tab/>
        <w:t>Jurisdiction may not be conferred by the parties where none exists.</w:t>
      </w:r>
    </w:p>
    <w:p w:rsidR="00924C4E" w:rsidRPr="00DA534F" w:rsidRDefault="00924C4E" w:rsidP="00924C4E">
      <w:pPr>
        <w:spacing w:line="360" w:lineRule="auto"/>
        <w:ind w:firstLine="1440"/>
      </w:pPr>
    </w:p>
    <w:p w:rsidR="00924C4E" w:rsidRPr="00DA534F" w:rsidRDefault="0047242C" w:rsidP="00924C4E">
      <w:pPr>
        <w:spacing w:line="360" w:lineRule="auto"/>
        <w:ind w:firstLine="1440"/>
      </w:pPr>
      <w:r>
        <w:t>5</w:t>
      </w:r>
      <w:r w:rsidR="00924C4E" w:rsidRPr="00DA534F">
        <w:t>.</w:t>
      </w:r>
      <w:r w:rsidR="00924C4E" w:rsidRPr="00DA534F">
        <w:tab/>
        <w:t>Neither silence nor agreement of the parties will confer jurisdiction where it otherwise would not exist.</w:t>
      </w:r>
    </w:p>
    <w:p w:rsidR="00924C4E" w:rsidRPr="00DA534F" w:rsidRDefault="00924C4E" w:rsidP="00924C4E">
      <w:pPr>
        <w:spacing w:line="360" w:lineRule="auto"/>
        <w:ind w:firstLine="1440"/>
      </w:pPr>
    </w:p>
    <w:p w:rsidR="00924C4E" w:rsidRPr="00DA534F" w:rsidRDefault="0047242C" w:rsidP="00924C4E">
      <w:pPr>
        <w:spacing w:line="360" w:lineRule="auto"/>
        <w:ind w:firstLine="1440"/>
      </w:pPr>
      <w:r>
        <w:t>6</w:t>
      </w:r>
      <w:r w:rsidR="00924C4E" w:rsidRPr="00DA534F">
        <w:t>.</w:t>
      </w:r>
      <w:r w:rsidR="00924C4E" w:rsidRPr="00DA534F">
        <w:tab/>
        <w:t>Jurisdiction cannot be obtained by waiver or estoppel.</w:t>
      </w:r>
    </w:p>
    <w:p w:rsidR="00924C4E" w:rsidRPr="00DA534F" w:rsidRDefault="00924C4E" w:rsidP="00924C4E">
      <w:pPr>
        <w:spacing w:line="360" w:lineRule="auto"/>
        <w:ind w:firstLine="1440"/>
      </w:pPr>
    </w:p>
    <w:p w:rsidR="00924C4E" w:rsidRPr="00DA534F" w:rsidRDefault="0047242C" w:rsidP="00924C4E">
      <w:pPr>
        <w:spacing w:line="360" w:lineRule="auto"/>
        <w:ind w:firstLine="1440"/>
      </w:pPr>
      <w:r>
        <w:t>7</w:t>
      </w:r>
      <w:r w:rsidR="00924C4E" w:rsidRPr="00DA534F">
        <w:t>.</w:t>
      </w:r>
      <w:r w:rsidR="00924C4E" w:rsidRPr="00DA534F">
        <w:tab/>
        <w:t>Acting under the authority and power granted in the Municipal Claim and Tax Lien Law, 53 P.S. § 7101 et seq., the City files a lien to enforce municipal claims against property for unpaid natural gas service rendered by respondent.</w:t>
      </w:r>
    </w:p>
    <w:p w:rsidR="00924C4E" w:rsidRPr="00DA534F" w:rsidRDefault="00924C4E" w:rsidP="00924C4E">
      <w:pPr>
        <w:spacing w:line="360" w:lineRule="auto"/>
        <w:ind w:firstLine="1440"/>
      </w:pPr>
    </w:p>
    <w:p w:rsidR="00924C4E" w:rsidRPr="00DA534F" w:rsidRDefault="0047242C" w:rsidP="00924C4E">
      <w:pPr>
        <w:spacing w:line="360" w:lineRule="auto"/>
        <w:ind w:firstLine="1440"/>
      </w:pPr>
      <w:r>
        <w:t>8</w:t>
      </w:r>
      <w:r w:rsidR="00924C4E" w:rsidRPr="00DA534F">
        <w:t>.</w:t>
      </w:r>
      <w:r w:rsidR="00924C4E" w:rsidRPr="00DA534F">
        <w:tab/>
        <w:t>A lien is a charge on property, either real or personal, for the payment or discharge of a particular debt or duty in priority to the general debts or duties of the owner.  It encumbers property to secure payment or performance of a debt, duty or other obligation.</w:t>
      </w:r>
    </w:p>
    <w:p w:rsidR="00924C4E" w:rsidRPr="00DA534F" w:rsidRDefault="00924C4E" w:rsidP="00924C4E">
      <w:pPr>
        <w:spacing w:line="360" w:lineRule="auto"/>
        <w:ind w:firstLine="1440"/>
      </w:pPr>
    </w:p>
    <w:p w:rsidR="00924C4E" w:rsidRPr="00DA534F" w:rsidRDefault="0047242C" w:rsidP="00924C4E">
      <w:pPr>
        <w:spacing w:line="360" w:lineRule="auto"/>
        <w:ind w:firstLine="1440"/>
      </w:pPr>
      <w:r>
        <w:t>9</w:t>
      </w:r>
      <w:r w:rsidR="00924C4E" w:rsidRPr="00DA534F">
        <w:t>.</w:t>
      </w:r>
      <w:r w:rsidR="00924C4E" w:rsidRPr="00DA534F">
        <w:tab/>
        <w:t>It is only the municipality that can file a municipal lien to enforce municipal claims against property for unpaid natural gas service rendered by respondent.</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1</w:t>
      </w:r>
      <w:r w:rsidR="0047242C">
        <w:t>0</w:t>
      </w:r>
      <w:r w:rsidRPr="00DA534F">
        <w:t>.</w:t>
      </w:r>
      <w:r w:rsidRPr="00DA534F">
        <w:tab/>
        <w:t>Respondent is a municipal utility that is wholly owned by the City</w:t>
      </w:r>
      <w:r w:rsidR="002B54D4" w:rsidRPr="00DA534F">
        <w:t xml:space="preserve"> of Philadelphia</w:t>
      </w:r>
      <w:r w:rsidRPr="00DA534F">
        <w:t>.  Respondent consists only of the real and personal assets that are used to manufacture and deliver natural gas to entities within the City</w:t>
      </w:r>
      <w:r w:rsidR="002B54D4" w:rsidRPr="00DA534F">
        <w:t xml:space="preserve"> of Philadelphia</w:t>
      </w:r>
      <w:r w:rsidRPr="00DA534F">
        <w:t>’s borders.</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1</w:t>
      </w:r>
      <w:r w:rsidR="0047242C">
        <w:t>1</w:t>
      </w:r>
      <w:r w:rsidRPr="00DA534F">
        <w:t>.</w:t>
      </w:r>
      <w:r w:rsidRPr="00DA534F">
        <w:tab/>
        <w:t>The procedure which the City must follow to establish a lien on a specific property, such as the Premises, is set forth in the Municipal Claim and Tax Lien Law.</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1</w:t>
      </w:r>
      <w:r w:rsidR="0047242C">
        <w:t>2</w:t>
      </w:r>
      <w:r w:rsidRPr="00DA534F">
        <w:t>.</w:t>
      </w:r>
      <w:r w:rsidRPr="00DA534F">
        <w:tab/>
        <w:t xml:space="preserve">The lien obtained for the enforcement of the City’s municipal claim is an </w:t>
      </w:r>
      <w:r w:rsidRPr="00DA534F">
        <w:rPr>
          <w:i/>
        </w:rPr>
        <w:t>in rem</w:t>
      </w:r>
      <w:r w:rsidRPr="00DA534F">
        <w:t xml:space="preserve"> proceeding.</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1</w:t>
      </w:r>
      <w:r w:rsidR="0047242C">
        <w:t>3</w:t>
      </w:r>
      <w:r w:rsidRPr="00DA534F">
        <w:t>.</w:t>
      </w:r>
      <w:r w:rsidRPr="00DA534F">
        <w:tab/>
        <w:t>“</w:t>
      </w:r>
      <w:r w:rsidRPr="00DA534F">
        <w:rPr>
          <w:i/>
        </w:rPr>
        <w:t>In rem</w:t>
      </w:r>
      <w:r w:rsidRPr="00DA534F">
        <w:t xml:space="preserve">” is a </w:t>
      </w:r>
      <w:r w:rsidR="002B54D4" w:rsidRPr="00DA534F">
        <w:t>term of art</w:t>
      </w:r>
      <w:r w:rsidRPr="00DA534F">
        <w:t xml:space="preserve"> used to designate proceedings or actions instituted against the thing, in contradistinction to personal actions, which are said to be </w:t>
      </w:r>
      <w:r w:rsidRPr="00DA534F">
        <w:rPr>
          <w:i/>
        </w:rPr>
        <w:t>in person</w:t>
      </w:r>
      <w:r w:rsidR="002B54D4" w:rsidRPr="00DA534F">
        <w:rPr>
          <w:i/>
        </w:rPr>
        <w:t>a</w:t>
      </w:r>
      <w:r w:rsidRPr="00DA534F">
        <w:rPr>
          <w:i/>
        </w:rPr>
        <w:t>m.</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1</w:t>
      </w:r>
      <w:r w:rsidR="0047242C">
        <w:t>4</w:t>
      </w:r>
      <w:r w:rsidRPr="00DA534F">
        <w:t>.</w:t>
      </w:r>
      <w:r w:rsidRPr="00DA534F">
        <w:tab/>
        <w:t>The City’s lien is either valid or invalid as to the property in question rather than as to the respective property interests involved.</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1</w:t>
      </w:r>
      <w:r w:rsidR="0047242C">
        <w:t>5</w:t>
      </w:r>
      <w:r w:rsidRPr="00DA534F">
        <w:t>.</w:t>
      </w:r>
      <w:r w:rsidRPr="00DA534F">
        <w:tab/>
        <w:t xml:space="preserve">No personal responsibility is asserted against </w:t>
      </w:r>
      <w:r w:rsidR="002B54D4" w:rsidRPr="00DA534F">
        <w:t>C</w:t>
      </w:r>
      <w:r w:rsidRPr="00DA534F">
        <w:t>omplainant by the City’s filing of a lien on the Premises.</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1</w:t>
      </w:r>
      <w:r w:rsidR="0047242C">
        <w:t>6</w:t>
      </w:r>
      <w:r w:rsidRPr="00DA534F">
        <w:t>.</w:t>
      </w:r>
      <w:r w:rsidRPr="00DA534F">
        <w:tab/>
        <w:t>Enforcement of the City</w:t>
      </w:r>
      <w:r w:rsidR="00A34F59" w:rsidRPr="00DA534F">
        <w:t xml:space="preserve"> of Philadelphia</w:t>
      </w:r>
      <w:r w:rsidRPr="00DA534F">
        <w:t>’s lien is a judicial procedure controlled by the Court of Common Pleas, with due process safeguards provided to protect the rights of interested parties.</w:t>
      </w:r>
    </w:p>
    <w:p w:rsidR="00924C4E" w:rsidRPr="00DA534F" w:rsidRDefault="00924C4E" w:rsidP="00924C4E">
      <w:pPr>
        <w:spacing w:line="360" w:lineRule="auto"/>
        <w:ind w:firstLine="1440"/>
      </w:pPr>
    </w:p>
    <w:p w:rsidR="00924C4E" w:rsidRPr="00DA534F" w:rsidRDefault="00901EFE" w:rsidP="00924C4E">
      <w:pPr>
        <w:spacing w:line="360" w:lineRule="auto"/>
        <w:ind w:firstLine="1440"/>
      </w:pPr>
      <w:r w:rsidRPr="00DA534F">
        <w:t>1</w:t>
      </w:r>
      <w:r w:rsidR="0047242C">
        <w:t>7</w:t>
      </w:r>
      <w:r w:rsidR="00924C4E" w:rsidRPr="00DA534F">
        <w:t>.</w:t>
      </w:r>
      <w:r w:rsidR="00924C4E" w:rsidRPr="00DA534F">
        <w:tab/>
        <w:t xml:space="preserve">Ultimate recovery of the amount of </w:t>
      </w:r>
      <w:r w:rsidR="000F3E44" w:rsidRPr="00DA534F">
        <w:t>any</w:t>
      </w:r>
      <w:r w:rsidR="00924C4E" w:rsidRPr="00DA534F">
        <w:t xml:space="preserve"> municipal claims resulting in the City</w:t>
      </w:r>
      <w:r w:rsidR="00A34F59" w:rsidRPr="00DA534F">
        <w:t xml:space="preserve"> of Philadelphia</w:t>
      </w:r>
      <w:r w:rsidR="00924C4E" w:rsidRPr="00DA534F">
        <w:t>’s lien is effectuated by sale</w:t>
      </w:r>
      <w:r w:rsidR="00A34F59" w:rsidRPr="00DA534F">
        <w:t xml:space="preserve"> of the property</w:t>
      </w:r>
      <w:r w:rsidR="00924C4E" w:rsidRPr="00DA534F">
        <w:t>.</w:t>
      </w:r>
    </w:p>
    <w:p w:rsidR="00924C4E" w:rsidRPr="00DA534F" w:rsidRDefault="00924C4E" w:rsidP="00924C4E">
      <w:pPr>
        <w:spacing w:line="360" w:lineRule="auto"/>
        <w:ind w:firstLine="1440"/>
      </w:pPr>
    </w:p>
    <w:p w:rsidR="00924C4E" w:rsidRPr="00DA534F" w:rsidRDefault="00901EFE" w:rsidP="00924C4E">
      <w:pPr>
        <w:spacing w:line="360" w:lineRule="auto"/>
        <w:ind w:firstLine="1440"/>
      </w:pPr>
      <w:r w:rsidRPr="00DA534F">
        <w:t>1</w:t>
      </w:r>
      <w:r w:rsidR="0047242C">
        <w:t>8</w:t>
      </w:r>
      <w:r w:rsidR="00924C4E" w:rsidRPr="00DA534F">
        <w:t>.</w:t>
      </w:r>
      <w:r w:rsidR="00924C4E" w:rsidRPr="00DA534F">
        <w:tab/>
        <w:t>Lien proceedings are exclusively matters of judicial, not administrative, jurisdiction.</w:t>
      </w:r>
    </w:p>
    <w:p w:rsidR="00924C4E" w:rsidRPr="00DA534F" w:rsidRDefault="00924C4E" w:rsidP="00924C4E">
      <w:pPr>
        <w:spacing w:line="360" w:lineRule="auto"/>
        <w:ind w:firstLine="1440"/>
      </w:pPr>
    </w:p>
    <w:p w:rsidR="00924C4E" w:rsidRPr="00DA534F" w:rsidRDefault="0047242C" w:rsidP="00924C4E">
      <w:pPr>
        <w:spacing w:line="360" w:lineRule="auto"/>
        <w:ind w:firstLine="1440"/>
      </w:pPr>
      <w:r>
        <w:t>19</w:t>
      </w:r>
      <w:r w:rsidR="00924C4E" w:rsidRPr="00DA534F">
        <w:t>.</w:t>
      </w:r>
      <w:r w:rsidR="00924C4E" w:rsidRPr="00DA534F">
        <w:tab/>
        <w:t>The Commission has recognized its lack of subject matter jurisdiction in cases involving a dispute over a municipal lien placed upon a property.</w:t>
      </w:r>
    </w:p>
    <w:p w:rsidR="00924C4E" w:rsidRPr="00DA534F" w:rsidRDefault="00924C4E" w:rsidP="00924C4E">
      <w:pPr>
        <w:spacing w:line="360" w:lineRule="auto"/>
        <w:ind w:firstLine="1440"/>
      </w:pPr>
    </w:p>
    <w:p w:rsidR="00924C4E" w:rsidRPr="00DA534F" w:rsidRDefault="00924C4E" w:rsidP="00924C4E">
      <w:pPr>
        <w:spacing w:line="360" w:lineRule="auto"/>
        <w:ind w:firstLine="1440"/>
        <w:rPr>
          <w:color w:val="000000"/>
        </w:rPr>
      </w:pPr>
      <w:r w:rsidRPr="00DA534F">
        <w:t>2</w:t>
      </w:r>
      <w:r w:rsidR="0047242C">
        <w:t>0</w:t>
      </w:r>
      <w:r w:rsidRPr="00DA534F">
        <w:t>.</w:t>
      </w:r>
      <w:r w:rsidRPr="00DA534F">
        <w:tab/>
        <w:t xml:space="preserve">Code section 1414(a) reiterates the General Assembly’s determination that the previously existing right of the City to enforce payment for natural gas service rendered by the respondent through the municipal claim and lien procedure of the </w:t>
      </w:r>
      <w:r w:rsidRPr="00DA534F">
        <w:rPr>
          <w:color w:val="000000"/>
        </w:rPr>
        <w:t>Municipal Claim and Tax Lien Law remains unabated.</w:t>
      </w:r>
    </w:p>
    <w:p w:rsidR="00924C4E" w:rsidRPr="00DA534F" w:rsidRDefault="00924C4E" w:rsidP="00924C4E">
      <w:pPr>
        <w:spacing w:line="360" w:lineRule="auto"/>
        <w:ind w:firstLine="1440"/>
        <w:rPr>
          <w:color w:val="000000"/>
        </w:rPr>
      </w:pPr>
    </w:p>
    <w:p w:rsidR="00924C4E" w:rsidRPr="00DA534F" w:rsidRDefault="00924C4E" w:rsidP="00924C4E">
      <w:pPr>
        <w:spacing w:line="360" w:lineRule="auto"/>
        <w:ind w:firstLine="1440"/>
        <w:rPr>
          <w:color w:val="000000"/>
        </w:rPr>
      </w:pPr>
      <w:r w:rsidRPr="00DA534F">
        <w:rPr>
          <w:color w:val="000000"/>
        </w:rPr>
        <w:t>2</w:t>
      </w:r>
      <w:r w:rsidR="0047242C">
        <w:rPr>
          <w:color w:val="000000"/>
        </w:rPr>
        <w:t>1</w:t>
      </w:r>
      <w:r w:rsidRPr="00DA534F">
        <w:rPr>
          <w:color w:val="000000"/>
        </w:rPr>
        <w:t>.</w:t>
      </w:r>
      <w:r w:rsidRPr="00DA534F">
        <w:rPr>
          <w:color w:val="000000"/>
        </w:rPr>
        <w:tab/>
      </w:r>
      <w:r w:rsidRPr="00DA534F">
        <w:t>Code section 2212(n) specifically states that “[n]othing</w:t>
      </w:r>
      <w:r w:rsidRPr="00DA534F">
        <w:rPr>
          <w:color w:val="000000"/>
        </w:rPr>
        <w:t xml:space="preserve"> contained in this </w:t>
      </w:r>
      <w:r w:rsidRPr="00DA534F">
        <w:rPr>
          <w:color w:val="000000"/>
          <w:u w:val="single"/>
        </w:rPr>
        <w:t>title</w:t>
      </w:r>
      <w:r w:rsidRPr="00DA534F">
        <w:rPr>
          <w:color w:val="000000"/>
        </w:rPr>
        <w:t>”, that is; Title 66, the entire Code, shall abrogate the right of the City to collect unpaid bills for natural gas service through the mechanisms provided by the Municipal Claim and Tax Lien Law.</w:t>
      </w:r>
    </w:p>
    <w:p w:rsidR="00924C4E" w:rsidRPr="00DA534F" w:rsidRDefault="00924C4E" w:rsidP="00924C4E">
      <w:pPr>
        <w:spacing w:line="360" w:lineRule="auto"/>
        <w:ind w:firstLine="1440"/>
        <w:rPr>
          <w:color w:val="000000"/>
        </w:rPr>
      </w:pPr>
    </w:p>
    <w:p w:rsidR="00924C4E" w:rsidRPr="00DA534F" w:rsidRDefault="00924C4E" w:rsidP="00924C4E">
      <w:pPr>
        <w:spacing w:line="360" w:lineRule="auto"/>
        <w:ind w:firstLine="1440"/>
      </w:pPr>
      <w:r w:rsidRPr="00DA534F">
        <w:rPr>
          <w:color w:val="000000"/>
        </w:rPr>
        <w:t>2</w:t>
      </w:r>
      <w:r w:rsidR="0047242C">
        <w:rPr>
          <w:color w:val="000000"/>
        </w:rPr>
        <w:t>2</w:t>
      </w:r>
      <w:r w:rsidRPr="00DA534F">
        <w:rPr>
          <w:color w:val="000000"/>
        </w:rPr>
        <w:t>.</w:t>
      </w:r>
      <w:r w:rsidRPr="00DA534F">
        <w:rPr>
          <w:color w:val="000000"/>
        </w:rPr>
        <w:tab/>
        <w:t xml:space="preserve">The Commission’s </w:t>
      </w:r>
      <w:r w:rsidRPr="00DA534F">
        <w:t xml:space="preserve">holdings in </w:t>
      </w:r>
      <w:r w:rsidRPr="00DA534F">
        <w:rPr>
          <w:i/>
        </w:rPr>
        <w:t>Pitt</w:t>
      </w:r>
      <w:r w:rsidRPr="00DA534F">
        <w:t xml:space="preserve"> and </w:t>
      </w:r>
      <w:r w:rsidRPr="00DA534F">
        <w:rPr>
          <w:i/>
        </w:rPr>
        <w:t>Vata</w:t>
      </w:r>
      <w:r w:rsidRPr="00DA534F">
        <w:t xml:space="preserve">, that it does not have subject matter jurisdiction over cases such as this one, </w:t>
      </w:r>
      <w:r w:rsidR="0047242C">
        <w:t>are</w:t>
      </w:r>
      <w:r w:rsidRPr="00DA534F">
        <w:t xml:space="preserve"> legally correct.</w:t>
      </w:r>
    </w:p>
    <w:p w:rsidR="00924C4E" w:rsidRPr="00DA534F" w:rsidRDefault="00924C4E" w:rsidP="00924C4E">
      <w:pPr>
        <w:spacing w:line="360" w:lineRule="auto"/>
        <w:ind w:firstLine="1440"/>
      </w:pPr>
    </w:p>
    <w:p w:rsidR="00924C4E" w:rsidRPr="00DA534F" w:rsidRDefault="00924C4E" w:rsidP="00924C4E">
      <w:pPr>
        <w:spacing w:line="360" w:lineRule="auto"/>
        <w:ind w:firstLine="1440"/>
        <w:rPr>
          <w:color w:val="000000"/>
        </w:rPr>
      </w:pPr>
      <w:r w:rsidRPr="00DA534F">
        <w:t>2</w:t>
      </w:r>
      <w:r w:rsidR="0047242C">
        <w:t>3</w:t>
      </w:r>
      <w:r w:rsidRPr="00DA534F">
        <w:t>.</w:t>
      </w:r>
      <w:r w:rsidRPr="00DA534F">
        <w:tab/>
        <w:t xml:space="preserve">Complainant’s relief, if any, must be obtained under the procedures established by </w:t>
      </w:r>
      <w:r w:rsidRPr="00DA534F">
        <w:rPr>
          <w:color w:val="000000"/>
        </w:rPr>
        <w:t>the Municipal Claim and Tax Lien Law.</w:t>
      </w:r>
    </w:p>
    <w:p w:rsidR="00924C4E" w:rsidRPr="00DA534F" w:rsidRDefault="00924C4E" w:rsidP="008A79F2">
      <w:pPr>
        <w:tabs>
          <w:tab w:val="left" w:pos="3600"/>
        </w:tabs>
        <w:spacing w:line="360" w:lineRule="auto"/>
        <w:outlineLvl w:val="0"/>
        <w:rPr>
          <w:bCs/>
          <w:u w:val="single"/>
        </w:rPr>
      </w:pPr>
    </w:p>
    <w:p w:rsidR="0011334E" w:rsidRDefault="0011334E">
      <w:pPr>
        <w:rPr>
          <w:bCs/>
          <w:u w:val="single"/>
        </w:rPr>
      </w:pPr>
      <w:r>
        <w:rPr>
          <w:bCs/>
          <w:u w:val="single"/>
        </w:rPr>
        <w:br w:type="page"/>
      </w:r>
    </w:p>
    <w:p w:rsidR="0047242C" w:rsidRDefault="0047242C" w:rsidP="00924C4E">
      <w:pPr>
        <w:tabs>
          <w:tab w:val="left" w:pos="3600"/>
        </w:tabs>
        <w:spacing w:line="360" w:lineRule="auto"/>
        <w:ind w:firstLine="3600"/>
        <w:outlineLvl w:val="0"/>
        <w:rPr>
          <w:bCs/>
          <w:u w:val="single"/>
        </w:rPr>
      </w:pPr>
    </w:p>
    <w:p w:rsidR="00924C4E" w:rsidRPr="00DA534F" w:rsidRDefault="00924C4E" w:rsidP="00924C4E">
      <w:pPr>
        <w:tabs>
          <w:tab w:val="left" w:pos="3600"/>
        </w:tabs>
        <w:spacing w:line="360" w:lineRule="auto"/>
        <w:ind w:firstLine="3600"/>
        <w:outlineLvl w:val="0"/>
        <w:rPr>
          <w:bCs/>
        </w:rPr>
      </w:pPr>
      <w:r w:rsidRPr="00DA534F">
        <w:rPr>
          <w:bCs/>
          <w:u w:val="single"/>
        </w:rPr>
        <w:t>ORDER</w:t>
      </w:r>
    </w:p>
    <w:p w:rsidR="00924C4E" w:rsidRPr="00DA534F" w:rsidRDefault="00924C4E" w:rsidP="00924C4E">
      <w:pPr>
        <w:spacing w:line="360" w:lineRule="auto"/>
        <w:ind w:firstLine="1440"/>
      </w:pPr>
    </w:p>
    <w:p w:rsidR="00924C4E" w:rsidRPr="00DA534F" w:rsidRDefault="00924C4E" w:rsidP="00924C4E">
      <w:pPr>
        <w:spacing w:line="360" w:lineRule="auto"/>
        <w:ind w:firstLine="1440"/>
      </w:pPr>
    </w:p>
    <w:p w:rsidR="00924C4E" w:rsidRPr="00DA534F" w:rsidRDefault="00924C4E" w:rsidP="00924C4E">
      <w:pPr>
        <w:spacing w:line="360" w:lineRule="auto"/>
        <w:ind w:firstLine="1440"/>
      </w:pPr>
      <w:r w:rsidRPr="00DA534F">
        <w:t>THEREFORE,</w:t>
      </w:r>
    </w:p>
    <w:p w:rsidR="00924C4E" w:rsidRPr="00DA534F" w:rsidRDefault="00924C4E" w:rsidP="00924C4E">
      <w:pPr>
        <w:spacing w:line="360" w:lineRule="auto"/>
        <w:ind w:firstLine="1440"/>
      </w:pPr>
    </w:p>
    <w:p w:rsidR="00924C4E" w:rsidRPr="00DA534F" w:rsidRDefault="00924C4E" w:rsidP="00924C4E">
      <w:pPr>
        <w:spacing w:line="360" w:lineRule="auto"/>
        <w:ind w:firstLine="1440"/>
        <w:outlineLvl w:val="0"/>
      </w:pPr>
      <w:r w:rsidRPr="00DA534F">
        <w:t>IT IS ORDERED:</w:t>
      </w:r>
    </w:p>
    <w:p w:rsidR="00924C4E" w:rsidRPr="00DA534F" w:rsidRDefault="00924C4E" w:rsidP="00924C4E">
      <w:pPr>
        <w:spacing w:line="360" w:lineRule="auto"/>
        <w:ind w:firstLine="1440"/>
      </w:pPr>
    </w:p>
    <w:p w:rsidR="00AD7AA8" w:rsidRDefault="00A34F59" w:rsidP="00A34F59">
      <w:pPr>
        <w:pStyle w:val="BodyText"/>
        <w:spacing w:after="0" w:line="360" w:lineRule="auto"/>
      </w:pPr>
      <w:r w:rsidRPr="00DA534F">
        <w:tab/>
      </w:r>
      <w:r w:rsidRPr="00DA534F">
        <w:tab/>
        <w:t>1.</w:t>
      </w:r>
      <w:r w:rsidRPr="00DA534F">
        <w:tab/>
      </w:r>
      <w:r w:rsidR="00AD7AA8">
        <w:t xml:space="preserve">That the Preliminary Objections filed by Philadelphia Gas Works are granted </w:t>
      </w:r>
      <w:r w:rsidR="0011334E">
        <w:t>for lack of jurisdiction</w:t>
      </w:r>
      <w:r w:rsidR="00AD7AA8">
        <w:t>.</w:t>
      </w:r>
    </w:p>
    <w:p w:rsidR="00AD7AA8" w:rsidRDefault="00AD7AA8" w:rsidP="00A34F59">
      <w:pPr>
        <w:pStyle w:val="BodyText"/>
        <w:spacing w:after="0" w:line="360" w:lineRule="auto"/>
      </w:pPr>
    </w:p>
    <w:p w:rsidR="00A34F59" w:rsidRPr="00DA534F" w:rsidRDefault="00AD7AA8" w:rsidP="00A34F59">
      <w:pPr>
        <w:pStyle w:val="BodyText"/>
        <w:spacing w:after="0" w:line="360" w:lineRule="auto"/>
      </w:pPr>
      <w:r>
        <w:tab/>
      </w:r>
      <w:r>
        <w:tab/>
        <w:t>2.</w:t>
      </w:r>
      <w:r>
        <w:tab/>
      </w:r>
      <w:r w:rsidR="00A34F59" w:rsidRPr="00DA534F">
        <w:t xml:space="preserve">That the </w:t>
      </w:r>
      <w:r w:rsidR="00684391" w:rsidRPr="00DA534F">
        <w:t>C</w:t>
      </w:r>
      <w:r w:rsidR="00A34F59" w:rsidRPr="00DA534F">
        <w:t xml:space="preserve">omplaint filed by </w:t>
      </w:r>
      <w:r w:rsidR="000F3E44" w:rsidRPr="00DA534F">
        <w:t>Thai Van Thieu</w:t>
      </w:r>
      <w:r w:rsidR="00A34F59" w:rsidRPr="00DA534F">
        <w:t xml:space="preserve"> against Philadelphia Gas Works at Docket Number C-20</w:t>
      </w:r>
      <w:r w:rsidR="000F3E44" w:rsidRPr="00DA534F">
        <w:t>12</w:t>
      </w:r>
      <w:r w:rsidR="00A34F59" w:rsidRPr="00DA534F">
        <w:t>-</w:t>
      </w:r>
      <w:r w:rsidR="000F3E44" w:rsidRPr="00DA534F">
        <w:t>2326598</w:t>
      </w:r>
      <w:r w:rsidR="00A34F59" w:rsidRPr="00DA534F">
        <w:t>, is dismissed.</w:t>
      </w:r>
    </w:p>
    <w:p w:rsidR="00A34F59" w:rsidRPr="00DA534F" w:rsidRDefault="00A34F59" w:rsidP="00A34F59">
      <w:pPr>
        <w:pStyle w:val="BodyText"/>
        <w:spacing w:after="0" w:line="360" w:lineRule="auto"/>
      </w:pPr>
      <w:r w:rsidRPr="00DA534F">
        <w:tab/>
      </w:r>
      <w:r w:rsidRPr="00DA534F">
        <w:tab/>
      </w:r>
    </w:p>
    <w:p w:rsidR="00A34F59" w:rsidRPr="00DA534F" w:rsidRDefault="00A34F59" w:rsidP="00A34F59">
      <w:pPr>
        <w:pStyle w:val="BodyText"/>
        <w:spacing w:after="0" w:line="360" w:lineRule="auto"/>
      </w:pPr>
      <w:r w:rsidRPr="00DA534F">
        <w:tab/>
      </w:r>
      <w:r w:rsidRPr="00DA534F">
        <w:tab/>
        <w:t>2.</w:t>
      </w:r>
      <w:r w:rsidRPr="00DA534F">
        <w:tab/>
        <w:t xml:space="preserve"> That the record at Docket No. C-20</w:t>
      </w:r>
      <w:r w:rsidR="000F3E44" w:rsidRPr="00DA534F">
        <w:t>12</w:t>
      </w:r>
      <w:r w:rsidRPr="00DA534F">
        <w:t>-</w:t>
      </w:r>
      <w:r w:rsidR="000F3E44" w:rsidRPr="00DA534F">
        <w:t>2326598</w:t>
      </w:r>
      <w:r w:rsidRPr="00DA534F">
        <w:t xml:space="preserve"> be marked closed.</w:t>
      </w:r>
    </w:p>
    <w:p w:rsidR="00A34F59" w:rsidRPr="00DA534F" w:rsidRDefault="00A34F59" w:rsidP="00A34F59">
      <w:pPr>
        <w:pStyle w:val="BodyText"/>
        <w:spacing w:after="0" w:line="360" w:lineRule="auto"/>
      </w:pPr>
    </w:p>
    <w:p w:rsidR="00A34F59" w:rsidRPr="00DA534F" w:rsidRDefault="00A34F59" w:rsidP="00A34F59">
      <w:pPr>
        <w:pStyle w:val="BodyText"/>
        <w:spacing w:after="0" w:line="360" w:lineRule="auto"/>
      </w:pPr>
    </w:p>
    <w:p w:rsidR="00A34F59" w:rsidRPr="00DA534F" w:rsidRDefault="00A34F59" w:rsidP="00A34F59">
      <w:pPr>
        <w:pStyle w:val="BodyText"/>
        <w:spacing w:after="0"/>
      </w:pPr>
      <w:r w:rsidRPr="00DA534F">
        <w:t>Date:</w:t>
      </w:r>
      <w:r w:rsidRPr="00DA534F">
        <w:tab/>
      </w:r>
      <w:r w:rsidR="000F3E44" w:rsidRPr="00DA534F">
        <w:rPr>
          <w:u w:val="single"/>
        </w:rPr>
        <w:t xml:space="preserve">November </w:t>
      </w:r>
      <w:r w:rsidR="0011334E">
        <w:rPr>
          <w:u w:val="single"/>
        </w:rPr>
        <w:t>19</w:t>
      </w:r>
      <w:r w:rsidR="000F3E44" w:rsidRPr="00DA534F">
        <w:rPr>
          <w:u w:val="single"/>
        </w:rPr>
        <w:t>, 2012</w:t>
      </w:r>
      <w:r w:rsidRPr="00DA534F">
        <w:tab/>
      </w:r>
      <w:r w:rsidRPr="00DA534F">
        <w:tab/>
      </w:r>
      <w:r w:rsidRPr="00DA534F">
        <w:tab/>
      </w:r>
      <w:r w:rsidRPr="00DA534F">
        <w:tab/>
        <w:t>________________________________</w:t>
      </w:r>
      <w:r w:rsidRPr="00DA534F">
        <w:tab/>
      </w:r>
      <w:r w:rsidRPr="00DA534F">
        <w:tab/>
      </w:r>
      <w:r w:rsidRPr="00DA534F">
        <w:tab/>
      </w:r>
      <w:r w:rsidRPr="00DA534F">
        <w:tab/>
      </w:r>
      <w:r w:rsidRPr="00DA534F">
        <w:tab/>
      </w:r>
      <w:r w:rsidRPr="00DA534F">
        <w:tab/>
      </w:r>
      <w:r w:rsidRPr="00DA534F">
        <w:tab/>
      </w:r>
      <w:r w:rsidRPr="00DA534F">
        <w:tab/>
        <w:t>Elizabeth H. Barnes</w:t>
      </w:r>
    </w:p>
    <w:p w:rsidR="00A34F59" w:rsidRPr="00DA534F" w:rsidRDefault="00A34F59" w:rsidP="00A34F59">
      <w:pPr>
        <w:pStyle w:val="BodyText"/>
        <w:spacing w:after="0"/>
      </w:pPr>
      <w:r w:rsidRPr="00DA534F">
        <w:tab/>
      </w:r>
      <w:r w:rsidRPr="00DA534F">
        <w:tab/>
      </w:r>
      <w:r w:rsidRPr="00DA534F">
        <w:tab/>
      </w:r>
      <w:r w:rsidRPr="00DA534F">
        <w:tab/>
      </w:r>
      <w:r w:rsidRPr="00DA534F">
        <w:tab/>
      </w:r>
      <w:r w:rsidRPr="00DA534F">
        <w:tab/>
      </w:r>
      <w:r w:rsidRPr="00DA534F">
        <w:tab/>
        <w:t>Administrative Law Judge</w:t>
      </w:r>
    </w:p>
    <w:p w:rsidR="00A34F59" w:rsidRPr="00DA534F" w:rsidRDefault="00A34F59" w:rsidP="00A34F59">
      <w:pPr>
        <w:spacing w:line="360" w:lineRule="auto"/>
        <w:ind w:firstLine="1440"/>
        <w:rPr>
          <w:color w:val="000000"/>
        </w:rPr>
      </w:pPr>
    </w:p>
    <w:p w:rsidR="00A34F59" w:rsidRPr="00DA534F" w:rsidRDefault="00A34F59" w:rsidP="00A34F59">
      <w:pPr>
        <w:spacing w:line="360" w:lineRule="auto"/>
        <w:ind w:firstLine="1440"/>
        <w:rPr>
          <w:color w:val="000000"/>
        </w:rPr>
      </w:pPr>
    </w:p>
    <w:sectPr w:rsidR="00A34F59" w:rsidRPr="00DA534F" w:rsidSect="002F261E">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E8D" w:rsidRDefault="00024E8D" w:rsidP="007F418B">
      <w:r>
        <w:separator/>
      </w:r>
    </w:p>
  </w:endnote>
  <w:endnote w:type="continuationSeparator" w:id="0">
    <w:p w:rsidR="00024E8D" w:rsidRDefault="00024E8D" w:rsidP="007F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048407"/>
      <w:docPartObj>
        <w:docPartGallery w:val="Page Numbers (Bottom of Page)"/>
        <w:docPartUnique/>
      </w:docPartObj>
    </w:sdtPr>
    <w:sdtEndPr/>
    <w:sdtContent>
      <w:p w:rsidR="001072E6" w:rsidRDefault="001072E6" w:rsidP="00513286">
        <w:pPr>
          <w:pStyle w:val="Footer"/>
          <w:jc w:val="center"/>
        </w:pPr>
        <w:r w:rsidRPr="002F261E">
          <w:rPr>
            <w:sz w:val="20"/>
            <w:szCs w:val="20"/>
          </w:rPr>
          <w:fldChar w:fldCharType="begin"/>
        </w:r>
        <w:r w:rsidRPr="002F261E">
          <w:rPr>
            <w:sz w:val="20"/>
            <w:szCs w:val="20"/>
          </w:rPr>
          <w:instrText xml:space="preserve"> PAGE   \* MERGEFORMAT </w:instrText>
        </w:r>
        <w:r w:rsidRPr="002F261E">
          <w:rPr>
            <w:sz w:val="20"/>
            <w:szCs w:val="20"/>
          </w:rPr>
          <w:fldChar w:fldCharType="separate"/>
        </w:r>
        <w:r w:rsidR="009B113E">
          <w:rPr>
            <w:noProof/>
            <w:sz w:val="20"/>
            <w:szCs w:val="20"/>
          </w:rPr>
          <w:t>11</w:t>
        </w:r>
        <w:r w:rsidRPr="002F261E">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E8D" w:rsidRDefault="00024E8D" w:rsidP="007F418B">
      <w:r>
        <w:separator/>
      </w:r>
    </w:p>
  </w:footnote>
  <w:footnote w:type="continuationSeparator" w:id="0">
    <w:p w:rsidR="00024E8D" w:rsidRDefault="00024E8D" w:rsidP="007F418B">
      <w:r>
        <w:continuationSeparator/>
      </w:r>
    </w:p>
  </w:footnote>
  <w:footnote w:id="1">
    <w:p w:rsidR="001072E6" w:rsidRPr="00C863BA" w:rsidRDefault="001072E6" w:rsidP="00924C4E">
      <w:pPr>
        <w:pStyle w:val="FootnoteText"/>
      </w:pPr>
      <w:r w:rsidRPr="00C863BA">
        <w:rPr>
          <w:rStyle w:val="FootnoteReference"/>
        </w:rPr>
        <w:footnoteRef/>
      </w:r>
      <w:r w:rsidRPr="00C863BA">
        <w:tab/>
        <w:t xml:space="preserve">“A technical term used to designate proceedings or actions instituted </w:t>
      </w:r>
      <w:r w:rsidRPr="00C863BA">
        <w:rPr>
          <w:i/>
        </w:rPr>
        <w:t>against the thing,</w:t>
      </w:r>
      <w:r w:rsidRPr="00C863BA">
        <w:t xml:space="preserve"> in contradistinction to personal actions, which are said to be </w:t>
      </w:r>
      <w:r w:rsidRPr="00C863BA">
        <w:rPr>
          <w:i/>
        </w:rPr>
        <w:t>in personam</w:t>
      </w:r>
      <w:r w:rsidRPr="00C863BA">
        <w:t xml:space="preserve">.  An ‘action </w:t>
      </w:r>
      <w:r w:rsidRPr="004812B2">
        <w:rPr>
          <w:i/>
        </w:rPr>
        <w:t>in rem</w:t>
      </w:r>
      <w:r w:rsidRPr="00C863BA">
        <w:t>’ is a proceeding that takes no cognizance of owner but determines right in specific property against all the world, equally binding on everyone.”  Black’s Law Dictionary 713 (5</w:t>
      </w:r>
      <w:r w:rsidRPr="00C863BA">
        <w:rPr>
          <w:vertAlign w:val="superscript"/>
        </w:rPr>
        <w:t>th</w:t>
      </w:r>
      <w:r w:rsidRPr="00C863BA">
        <w:t xml:space="preserve"> ed. 1979).</w:t>
      </w:r>
    </w:p>
  </w:footnote>
  <w:footnote w:id="2">
    <w:p w:rsidR="001072E6" w:rsidRPr="008D7410" w:rsidRDefault="001072E6" w:rsidP="00924C4E">
      <w:pPr>
        <w:pStyle w:val="FootnoteText"/>
      </w:pPr>
      <w:r w:rsidRPr="008D7410">
        <w:rPr>
          <w:rStyle w:val="FootnoteReference"/>
        </w:rPr>
        <w:footnoteRef/>
      </w:r>
      <w:r w:rsidRPr="008D7410">
        <w:tab/>
        <w:t>Or the Municipal Court of Philadelphia if the amount is within its jurisdiction.  53 P.S. § 7101 et seq.</w:t>
      </w:r>
    </w:p>
  </w:footnote>
  <w:footnote w:id="3">
    <w:p w:rsidR="001072E6" w:rsidRPr="00816091" w:rsidRDefault="001072E6" w:rsidP="00924C4E">
      <w:pPr>
        <w:pStyle w:val="FootnoteText"/>
      </w:pPr>
      <w:r w:rsidRPr="00816091">
        <w:rPr>
          <w:rStyle w:val="FootnoteReference"/>
        </w:rPr>
        <w:footnoteRef/>
      </w:r>
      <w:r w:rsidRPr="00816091">
        <w:tab/>
        <w:t xml:space="preserve">The Commission has jurisdiction over municipalities providing public utility service outside of their municipal boundaries, but </w:t>
      </w:r>
      <w:r w:rsidRPr="00816091">
        <w:rPr>
          <w:u w:val="single"/>
        </w:rPr>
        <w:t>only</w:t>
      </w:r>
      <w:r w:rsidRPr="00816091">
        <w:t xml:space="preserve"> as to the public utility service being rendered.  </w:t>
      </w:r>
      <w:r w:rsidRPr="00816091">
        <w:rPr>
          <w:i/>
        </w:rPr>
        <w:t>Petition of Borough of Boyertown</w:t>
      </w:r>
      <w:r w:rsidRPr="00816091">
        <w:t>, 77 Pa.Cmwlth. 357, 466 A.2d 239 (1983).  The instant case does not involve municipal extra-territorial service, nor is the lien proceeding public utility service.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2144"/>
    <w:multiLevelType w:val="hybridMultilevel"/>
    <w:tmpl w:val="E230F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5350EB"/>
    <w:multiLevelType w:val="hybridMultilevel"/>
    <w:tmpl w:val="3180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C5DEC"/>
    <w:multiLevelType w:val="hybridMultilevel"/>
    <w:tmpl w:val="114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2274C"/>
    <w:multiLevelType w:val="hybridMultilevel"/>
    <w:tmpl w:val="E3CA69F4"/>
    <w:lvl w:ilvl="0" w:tplc="BF92B6B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4">
    <w:nsid w:val="20742E37"/>
    <w:multiLevelType w:val="hybridMultilevel"/>
    <w:tmpl w:val="C6DEA494"/>
    <w:lvl w:ilvl="0" w:tplc="ACFCDD14">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0A505B7"/>
    <w:multiLevelType w:val="hybridMultilevel"/>
    <w:tmpl w:val="E4289790"/>
    <w:lvl w:ilvl="0" w:tplc="0DD60D48">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28F61CAE"/>
    <w:multiLevelType w:val="hybridMultilevel"/>
    <w:tmpl w:val="92261E46"/>
    <w:lvl w:ilvl="0" w:tplc="457C0234">
      <w:start w:val="1"/>
      <w:numFmt w:val="decimal"/>
      <w:lvlText w:val="(%1)"/>
      <w:lvlJc w:val="left"/>
      <w:pPr>
        <w:ind w:left="3240" w:hanging="360"/>
      </w:pPr>
      <w:rPr>
        <w:rFonts w:cs="Times New Roman" w:hint="default"/>
        <w:b w:val="0"/>
        <w:color w:val="auto"/>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7">
    <w:nsid w:val="2F272616"/>
    <w:multiLevelType w:val="hybridMultilevel"/>
    <w:tmpl w:val="D1ECC0BC"/>
    <w:lvl w:ilvl="0" w:tplc="F01268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B8A6E55"/>
    <w:multiLevelType w:val="hybridMultilevel"/>
    <w:tmpl w:val="237CC600"/>
    <w:lvl w:ilvl="0" w:tplc="58EA922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E417B5D"/>
    <w:multiLevelType w:val="hybridMultilevel"/>
    <w:tmpl w:val="7FF0B10A"/>
    <w:lvl w:ilvl="0" w:tplc="EC38A370">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nsid w:val="55EF77E3"/>
    <w:multiLevelType w:val="hybridMultilevel"/>
    <w:tmpl w:val="71B0C8B6"/>
    <w:lvl w:ilvl="0" w:tplc="486817A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11">
    <w:nsid w:val="5CED27E5"/>
    <w:multiLevelType w:val="hybridMultilevel"/>
    <w:tmpl w:val="99F26DF4"/>
    <w:lvl w:ilvl="0" w:tplc="8F868924">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23C741D"/>
    <w:multiLevelType w:val="hybridMultilevel"/>
    <w:tmpl w:val="E4C2A038"/>
    <w:lvl w:ilvl="0" w:tplc="664AB9D6">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4">
    <w:nsid w:val="65303584"/>
    <w:multiLevelType w:val="hybridMultilevel"/>
    <w:tmpl w:val="AC801C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EF03DC9"/>
    <w:multiLevelType w:val="hybridMultilevel"/>
    <w:tmpl w:val="04AC82C2"/>
    <w:lvl w:ilvl="0" w:tplc="1232815C">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nsid w:val="6F9F78D2"/>
    <w:multiLevelType w:val="hybridMultilevel"/>
    <w:tmpl w:val="C138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27237A"/>
    <w:multiLevelType w:val="hybridMultilevel"/>
    <w:tmpl w:val="D0DC3730"/>
    <w:lvl w:ilvl="0" w:tplc="8A6EFF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B024A82"/>
    <w:multiLevelType w:val="hybridMultilevel"/>
    <w:tmpl w:val="ABBE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924D02"/>
    <w:multiLevelType w:val="hybridMultilevel"/>
    <w:tmpl w:val="76926564"/>
    <w:lvl w:ilvl="0" w:tplc="63226A7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num w:numId="1">
    <w:abstractNumId w:val="17"/>
  </w:num>
  <w:num w:numId="2">
    <w:abstractNumId w:val="8"/>
  </w:num>
  <w:num w:numId="3">
    <w:abstractNumId w:val="1"/>
  </w:num>
  <w:num w:numId="4">
    <w:abstractNumId w:val="15"/>
  </w:num>
  <w:num w:numId="5">
    <w:abstractNumId w:val="13"/>
  </w:num>
  <w:num w:numId="6">
    <w:abstractNumId w:val="6"/>
  </w:num>
  <w:num w:numId="7">
    <w:abstractNumId w:val="5"/>
  </w:num>
  <w:num w:numId="8">
    <w:abstractNumId w:val="0"/>
  </w:num>
  <w:num w:numId="9">
    <w:abstractNumId w:val="3"/>
  </w:num>
  <w:num w:numId="10">
    <w:abstractNumId w:val="10"/>
  </w:num>
  <w:num w:numId="11">
    <w:abstractNumId w:val="19"/>
  </w:num>
  <w:num w:numId="12">
    <w:abstractNumId w:val="16"/>
  </w:num>
  <w:num w:numId="13">
    <w:abstractNumId w:val="9"/>
  </w:num>
  <w:num w:numId="14">
    <w:abstractNumId w:val="7"/>
  </w:num>
  <w:num w:numId="15">
    <w:abstractNumId w:val="11"/>
  </w:num>
  <w:num w:numId="16">
    <w:abstractNumId w:val="2"/>
  </w:num>
  <w:num w:numId="17">
    <w:abstractNumId w:val="18"/>
  </w:num>
  <w:num w:numId="18">
    <w:abstractNumId w:val="4"/>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18B"/>
    <w:rsid w:val="00000BDE"/>
    <w:rsid w:val="000024CF"/>
    <w:rsid w:val="000056E2"/>
    <w:rsid w:val="000063E7"/>
    <w:rsid w:val="00014415"/>
    <w:rsid w:val="00014A22"/>
    <w:rsid w:val="00016050"/>
    <w:rsid w:val="0002076A"/>
    <w:rsid w:val="00020B5E"/>
    <w:rsid w:val="00022462"/>
    <w:rsid w:val="000241F6"/>
    <w:rsid w:val="00024E8D"/>
    <w:rsid w:val="000257F2"/>
    <w:rsid w:val="000316F5"/>
    <w:rsid w:val="0003357B"/>
    <w:rsid w:val="00033641"/>
    <w:rsid w:val="0003396C"/>
    <w:rsid w:val="000352AB"/>
    <w:rsid w:val="0004361E"/>
    <w:rsid w:val="0004430C"/>
    <w:rsid w:val="000453F0"/>
    <w:rsid w:val="00046631"/>
    <w:rsid w:val="00047162"/>
    <w:rsid w:val="0004727F"/>
    <w:rsid w:val="00047D88"/>
    <w:rsid w:val="000526C7"/>
    <w:rsid w:val="00054C92"/>
    <w:rsid w:val="00054D31"/>
    <w:rsid w:val="000550E9"/>
    <w:rsid w:val="000551AE"/>
    <w:rsid w:val="00055981"/>
    <w:rsid w:val="00057487"/>
    <w:rsid w:val="000577CF"/>
    <w:rsid w:val="0007153C"/>
    <w:rsid w:val="00071A50"/>
    <w:rsid w:val="0007552C"/>
    <w:rsid w:val="000A018B"/>
    <w:rsid w:val="000A0EB0"/>
    <w:rsid w:val="000A1BCD"/>
    <w:rsid w:val="000A4ED5"/>
    <w:rsid w:val="000A64D8"/>
    <w:rsid w:val="000A6861"/>
    <w:rsid w:val="000B08B7"/>
    <w:rsid w:val="000B296D"/>
    <w:rsid w:val="000B6B08"/>
    <w:rsid w:val="000B71FE"/>
    <w:rsid w:val="000B7483"/>
    <w:rsid w:val="000C125E"/>
    <w:rsid w:val="000C1BCA"/>
    <w:rsid w:val="000C3192"/>
    <w:rsid w:val="000C3A87"/>
    <w:rsid w:val="000C3AF0"/>
    <w:rsid w:val="000D1BA1"/>
    <w:rsid w:val="000D64DF"/>
    <w:rsid w:val="000D6D8D"/>
    <w:rsid w:val="000E1F54"/>
    <w:rsid w:val="000E5C56"/>
    <w:rsid w:val="000E67ED"/>
    <w:rsid w:val="000F21D8"/>
    <w:rsid w:val="000F3438"/>
    <w:rsid w:val="000F384C"/>
    <w:rsid w:val="000F3E44"/>
    <w:rsid w:val="000F5E17"/>
    <w:rsid w:val="000F5FB6"/>
    <w:rsid w:val="00105971"/>
    <w:rsid w:val="001072E6"/>
    <w:rsid w:val="00110EC7"/>
    <w:rsid w:val="00112006"/>
    <w:rsid w:val="0011334E"/>
    <w:rsid w:val="001150F9"/>
    <w:rsid w:val="001159A5"/>
    <w:rsid w:val="00116E09"/>
    <w:rsid w:val="00124552"/>
    <w:rsid w:val="001256B5"/>
    <w:rsid w:val="00125818"/>
    <w:rsid w:val="00126B19"/>
    <w:rsid w:val="00126B32"/>
    <w:rsid w:val="00131E7D"/>
    <w:rsid w:val="0013205B"/>
    <w:rsid w:val="001375A5"/>
    <w:rsid w:val="00144779"/>
    <w:rsid w:val="0015253B"/>
    <w:rsid w:val="00162280"/>
    <w:rsid w:val="00163A08"/>
    <w:rsid w:val="001643B5"/>
    <w:rsid w:val="001671B4"/>
    <w:rsid w:val="00170DB9"/>
    <w:rsid w:val="00170E04"/>
    <w:rsid w:val="00172605"/>
    <w:rsid w:val="00174F76"/>
    <w:rsid w:val="0017797C"/>
    <w:rsid w:val="0018270C"/>
    <w:rsid w:val="0018340A"/>
    <w:rsid w:val="001863FD"/>
    <w:rsid w:val="00192406"/>
    <w:rsid w:val="00192924"/>
    <w:rsid w:val="001A0528"/>
    <w:rsid w:val="001A4A6D"/>
    <w:rsid w:val="001B40B6"/>
    <w:rsid w:val="001B5611"/>
    <w:rsid w:val="001B5A97"/>
    <w:rsid w:val="001B5D32"/>
    <w:rsid w:val="001B647D"/>
    <w:rsid w:val="001B6F2C"/>
    <w:rsid w:val="001C2152"/>
    <w:rsid w:val="001C2951"/>
    <w:rsid w:val="001C3D3A"/>
    <w:rsid w:val="001C5952"/>
    <w:rsid w:val="001C6E31"/>
    <w:rsid w:val="001D1A1E"/>
    <w:rsid w:val="001D1F2E"/>
    <w:rsid w:val="001D42F1"/>
    <w:rsid w:val="001D53DD"/>
    <w:rsid w:val="001E1532"/>
    <w:rsid w:val="001E2D66"/>
    <w:rsid w:val="001E3728"/>
    <w:rsid w:val="001E4F17"/>
    <w:rsid w:val="001E771E"/>
    <w:rsid w:val="001F1187"/>
    <w:rsid w:val="001F1F03"/>
    <w:rsid w:val="001F3630"/>
    <w:rsid w:val="002035FE"/>
    <w:rsid w:val="002054CA"/>
    <w:rsid w:val="0020652F"/>
    <w:rsid w:val="0021186E"/>
    <w:rsid w:val="00220C76"/>
    <w:rsid w:val="002217E6"/>
    <w:rsid w:val="00227DEE"/>
    <w:rsid w:val="002317CB"/>
    <w:rsid w:val="00232159"/>
    <w:rsid w:val="0023426E"/>
    <w:rsid w:val="00235E4E"/>
    <w:rsid w:val="00241DC3"/>
    <w:rsid w:val="00242CCE"/>
    <w:rsid w:val="00251540"/>
    <w:rsid w:val="00251633"/>
    <w:rsid w:val="00255106"/>
    <w:rsid w:val="002553EE"/>
    <w:rsid w:val="00257119"/>
    <w:rsid w:val="0025739B"/>
    <w:rsid w:val="00261C95"/>
    <w:rsid w:val="00263E3F"/>
    <w:rsid w:val="00264361"/>
    <w:rsid w:val="00266C4E"/>
    <w:rsid w:val="00266EA4"/>
    <w:rsid w:val="00267945"/>
    <w:rsid w:val="00272DD4"/>
    <w:rsid w:val="0028017D"/>
    <w:rsid w:val="0028084D"/>
    <w:rsid w:val="00282798"/>
    <w:rsid w:val="00285B69"/>
    <w:rsid w:val="002865A9"/>
    <w:rsid w:val="002879C1"/>
    <w:rsid w:val="002900A3"/>
    <w:rsid w:val="002909CE"/>
    <w:rsid w:val="00291691"/>
    <w:rsid w:val="00291EAA"/>
    <w:rsid w:val="002951D3"/>
    <w:rsid w:val="002A0DB8"/>
    <w:rsid w:val="002A0EA4"/>
    <w:rsid w:val="002A15A7"/>
    <w:rsid w:val="002A2DCD"/>
    <w:rsid w:val="002A36D9"/>
    <w:rsid w:val="002A3CB6"/>
    <w:rsid w:val="002A6831"/>
    <w:rsid w:val="002A70C1"/>
    <w:rsid w:val="002B19F0"/>
    <w:rsid w:val="002B3D8D"/>
    <w:rsid w:val="002B4ADE"/>
    <w:rsid w:val="002B54D4"/>
    <w:rsid w:val="002C0D32"/>
    <w:rsid w:val="002C0E31"/>
    <w:rsid w:val="002C1FE8"/>
    <w:rsid w:val="002C5D92"/>
    <w:rsid w:val="002C7D3F"/>
    <w:rsid w:val="002D335D"/>
    <w:rsid w:val="002D6590"/>
    <w:rsid w:val="002D680A"/>
    <w:rsid w:val="002E5A91"/>
    <w:rsid w:val="002E5E0A"/>
    <w:rsid w:val="002F261E"/>
    <w:rsid w:val="002F5270"/>
    <w:rsid w:val="002F55A8"/>
    <w:rsid w:val="002F5BAA"/>
    <w:rsid w:val="002F69AA"/>
    <w:rsid w:val="002F6CFD"/>
    <w:rsid w:val="002F7D38"/>
    <w:rsid w:val="0030462F"/>
    <w:rsid w:val="00304B03"/>
    <w:rsid w:val="003062C6"/>
    <w:rsid w:val="00307F4C"/>
    <w:rsid w:val="00311779"/>
    <w:rsid w:val="003139C4"/>
    <w:rsid w:val="00315BF6"/>
    <w:rsid w:val="00320C02"/>
    <w:rsid w:val="00321E42"/>
    <w:rsid w:val="0032662C"/>
    <w:rsid w:val="00330DDD"/>
    <w:rsid w:val="00331A35"/>
    <w:rsid w:val="00331C0B"/>
    <w:rsid w:val="00333E98"/>
    <w:rsid w:val="00334B5C"/>
    <w:rsid w:val="003406BD"/>
    <w:rsid w:val="00342799"/>
    <w:rsid w:val="00344356"/>
    <w:rsid w:val="00352094"/>
    <w:rsid w:val="003619B2"/>
    <w:rsid w:val="0036345D"/>
    <w:rsid w:val="0036596E"/>
    <w:rsid w:val="00377674"/>
    <w:rsid w:val="003806F5"/>
    <w:rsid w:val="00383130"/>
    <w:rsid w:val="0038349D"/>
    <w:rsid w:val="0038516A"/>
    <w:rsid w:val="0038528F"/>
    <w:rsid w:val="003855BD"/>
    <w:rsid w:val="00386131"/>
    <w:rsid w:val="00386156"/>
    <w:rsid w:val="00387A14"/>
    <w:rsid w:val="0039086B"/>
    <w:rsid w:val="00391F9D"/>
    <w:rsid w:val="00393897"/>
    <w:rsid w:val="00393917"/>
    <w:rsid w:val="00394E8F"/>
    <w:rsid w:val="00396A33"/>
    <w:rsid w:val="00396FCA"/>
    <w:rsid w:val="003A451E"/>
    <w:rsid w:val="003A55F5"/>
    <w:rsid w:val="003A67D9"/>
    <w:rsid w:val="003A7CF3"/>
    <w:rsid w:val="003B056A"/>
    <w:rsid w:val="003B0EAC"/>
    <w:rsid w:val="003B28F4"/>
    <w:rsid w:val="003B2E9B"/>
    <w:rsid w:val="003B3CE6"/>
    <w:rsid w:val="003B5917"/>
    <w:rsid w:val="003C63B1"/>
    <w:rsid w:val="003C6DC7"/>
    <w:rsid w:val="003C72AD"/>
    <w:rsid w:val="003D13B1"/>
    <w:rsid w:val="003D1780"/>
    <w:rsid w:val="003D19A2"/>
    <w:rsid w:val="003D36AC"/>
    <w:rsid w:val="003D5AC5"/>
    <w:rsid w:val="003E38A3"/>
    <w:rsid w:val="003E6F79"/>
    <w:rsid w:val="003E6F98"/>
    <w:rsid w:val="003E74AD"/>
    <w:rsid w:val="003E7A69"/>
    <w:rsid w:val="003F0925"/>
    <w:rsid w:val="003F2282"/>
    <w:rsid w:val="003F259A"/>
    <w:rsid w:val="003F4406"/>
    <w:rsid w:val="003F4AB2"/>
    <w:rsid w:val="003F58E2"/>
    <w:rsid w:val="003F64D0"/>
    <w:rsid w:val="003F6840"/>
    <w:rsid w:val="003F6C72"/>
    <w:rsid w:val="003F7751"/>
    <w:rsid w:val="003F7789"/>
    <w:rsid w:val="003F7FBD"/>
    <w:rsid w:val="004012ED"/>
    <w:rsid w:val="004030EC"/>
    <w:rsid w:val="00403E2F"/>
    <w:rsid w:val="00405D3E"/>
    <w:rsid w:val="00411A37"/>
    <w:rsid w:val="00413357"/>
    <w:rsid w:val="00413DB4"/>
    <w:rsid w:val="00415B75"/>
    <w:rsid w:val="004161DA"/>
    <w:rsid w:val="00417ACF"/>
    <w:rsid w:val="00422D34"/>
    <w:rsid w:val="00422F32"/>
    <w:rsid w:val="0042636E"/>
    <w:rsid w:val="00432B0D"/>
    <w:rsid w:val="00432BF1"/>
    <w:rsid w:val="00433D65"/>
    <w:rsid w:val="00435A14"/>
    <w:rsid w:val="00435B8D"/>
    <w:rsid w:val="00437453"/>
    <w:rsid w:val="00437896"/>
    <w:rsid w:val="00441E14"/>
    <w:rsid w:val="00444DB9"/>
    <w:rsid w:val="00446565"/>
    <w:rsid w:val="00450922"/>
    <w:rsid w:val="004524B5"/>
    <w:rsid w:val="00452DC3"/>
    <w:rsid w:val="00453919"/>
    <w:rsid w:val="004543CB"/>
    <w:rsid w:val="004546F9"/>
    <w:rsid w:val="004579D7"/>
    <w:rsid w:val="00457C8A"/>
    <w:rsid w:val="00463AA4"/>
    <w:rsid w:val="00464532"/>
    <w:rsid w:val="00464C92"/>
    <w:rsid w:val="0046634E"/>
    <w:rsid w:val="004663B9"/>
    <w:rsid w:val="00470B2C"/>
    <w:rsid w:val="0047242C"/>
    <w:rsid w:val="0047362B"/>
    <w:rsid w:val="004740EA"/>
    <w:rsid w:val="00475713"/>
    <w:rsid w:val="004767B4"/>
    <w:rsid w:val="00477653"/>
    <w:rsid w:val="00480A4E"/>
    <w:rsid w:val="004812B2"/>
    <w:rsid w:val="00481F91"/>
    <w:rsid w:val="0048560B"/>
    <w:rsid w:val="004861B4"/>
    <w:rsid w:val="00486A1D"/>
    <w:rsid w:val="00487755"/>
    <w:rsid w:val="00487BE3"/>
    <w:rsid w:val="00491465"/>
    <w:rsid w:val="00494DE9"/>
    <w:rsid w:val="004954CA"/>
    <w:rsid w:val="004A1179"/>
    <w:rsid w:val="004A4799"/>
    <w:rsid w:val="004A7308"/>
    <w:rsid w:val="004A7505"/>
    <w:rsid w:val="004B06FB"/>
    <w:rsid w:val="004B2392"/>
    <w:rsid w:val="004B3295"/>
    <w:rsid w:val="004C246D"/>
    <w:rsid w:val="004C27DD"/>
    <w:rsid w:val="004D08C4"/>
    <w:rsid w:val="004D12AB"/>
    <w:rsid w:val="004D1E5D"/>
    <w:rsid w:val="004D249D"/>
    <w:rsid w:val="004D2EB1"/>
    <w:rsid w:val="004D44D0"/>
    <w:rsid w:val="004D5664"/>
    <w:rsid w:val="004D5B45"/>
    <w:rsid w:val="004D7244"/>
    <w:rsid w:val="004D7664"/>
    <w:rsid w:val="004D76CC"/>
    <w:rsid w:val="004D7937"/>
    <w:rsid w:val="004D7BF3"/>
    <w:rsid w:val="004E00DC"/>
    <w:rsid w:val="004E074B"/>
    <w:rsid w:val="004E133C"/>
    <w:rsid w:val="004F3EE8"/>
    <w:rsid w:val="004F43CC"/>
    <w:rsid w:val="004F503D"/>
    <w:rsid w:val="004F67D7"/>
    <w:rsid w:val="00500950"/>
    <w:rsid w:val="00501836"/>
    <w:rsid w:val="00502C3F"/>
    <w:rsid w:val="00503C57"/>
    <w:rsid w:val="00503C7D"/>
    <w:rsid w:val="005063C1"/>
    <w:rsid w:val="00507B46"/>
    <w:rsid w:val="00507E27"/>
    <w:rsid w:val="00511008"/>
    <w:rsid w:val="005121F3"/>
    <w:rsid w:val="00513286"/>
    <w:rsid w:val="00513D29"/>
    <w:rsid w:val="005157EF"/>
    <w:rsid w:val="00515DAB"/>
    <w:rsid w:val="005253F4"/>
    <w:rsid w:val="00527148"/>
    <w:rsid w:val="005300BE"/>
    <w:rsid w:val="0053069E"/>
    <w:rsid w:val="00531025"/>
    <w:rsid w:val="00532F39"/>
    <w:rsid w:val="00533B94"/>
    <w:rsid w:val="005352D3"/>
    <w:rsid w:val="00540ACE"/>
    <w:rsid w:val="005447DB"/>
    <w:rsid w:val="005467C5"/>
    <w:rsid w:val="005509B5"/>
    <w:rsid w:val="00551A4A"/>
    <w:rsid w:val="00554D6F"/>
    <w:rsid w:val="00554EE8"/>
    <w:rsid w:val="00556ED0"/>
    <w:rsid w:val="00556FD4"/>
    <w:rsid w:val="005603C9"/>
    <w:rsid w:val="00561381"/>
    <w:rsid w:val="0056270B"/>
    <w:rsid w:val="005643D0"/>
    <w:rsid w:val="00566C4F"/>
    <w:rsid w:val="00570038"/>
    <w:rsid w:val="00571192"/>
    <w:rsid w:val="00574ECE"/>
    <w:rsid w:val="0057524D"/>
    <w:rsid w:val="0057636C"/>
    <w:rsid w:val="005804A4"/>
    <w:rsid w:val="00583A24"/>
    <w:rsid w:val="00586760"/>
    <w:rsid w:val="00591FBF"/>
    <w:rsid w:val="005930A4"/>
    <w:rsid w:val="0059315F"/>
    <w:rsid w:val="00593B67"/>
    <w:rsid w:val="0059446F"/>
    <w:rsid w:val="0059498A"/>
    <w:rsid w:val="00595617"/>
    <w:rsid w:val="005A1477"/>
    <w:rsid w:val="005A5B47"/>
    <w:rsid w:val="005A6262"/>
    <w:rsid w:val="005B1317"/>
    <w:rsid w:val="005B3D82"/>
    <w:rsid w:val="005C2598"/>
    <w:rsid w:val="005D063E"/>
    <w:rsid w:val="005D40BF"/>
    <w:rsid w:val="005D6560"/>
    <w:rsid w:val="005E15F2"/>
    <w:rsid w:val="005E4713"/>
    <w:rsid w:val="005E546E"/>
    <w:rsid w:val="005E7FAC"/>
    <w:rsid w:val="005F0C32"/>
    <w:rsid w:val="005F0E71"/>
    <w:rsid w:val="005F0F5E"/>
    <w:rsid w:val="005F5673"/>
    <w:rsid w:val="005F5F93"/>
    <w:rsid w:val="005F73C7"/>
    <w:rsid w:val="00600D42"/>
    <w:rsid w:val="00603BA8"/>
    <w:rsid w:val="00604F3C"/>
    <w:rsid w:val="00605EC9"/>
    <w:rsid w:val="0061136E"/>
    <w:rsid w:val="00616C09"/>
    <w:rsid w:val="00621FBC"/>
    <w:rsid w:val="0062225C"/>
    <w:rsid w:val="00623619"/>
    <w:rsid w:val="00624260"/>
    <w:rsid w:val="00624C48"/>
    <w:rsid w:val="00626DED"/>
    <w:rsid w:val="00627B6F"/>
    <w:rsid w:val="00627FA4"/>
    <w:rsid w:val="00634D52"/>
    <w:rsid w:val="00636F9A"/>
    <w:rsid w:val="0064031A"/>
    <w:rsid w:val="00641B79"/>
    <w:rsid w:val="00641D80"/>
    <w:rsid w:val="00642B7D"/>
    <w:rsid w:val="0064392A"/>
    <w:rsid w:val="00646811"/>
    <w:rsid w:val="00650B86"/>
    <w:rsid w:val="0065138E"/>
    <w:rsid w:val="00652756"/>
    <w:rsid w:val="0065594D"/>
    <w:rsid w:val="00657952"/>
    <w:rsid w:val="00657F49"/>
    <w:rsid w:val="006602DC"/>
    <w:rsid w:val="00673474"/>
    <w:rsid w:val="00673D44"/>
    <w:rsid w:val="0067476E"/>
    <w:rsid w:val="00674B1A"/>
    <w:rsid w:val="006759C1"/>
    <w:rsid w:val="00676B23"/>
    <w:rsid w:val="006774A8"/>
    <w:rsid w:val="00681EDC"/>
    <w:rsid w:val="006826C5"/>
    <w:rsid w:val="00682B97"/>
    <w:rsid w:val="0068405A"/>
    <w:rsid w:val="00684391"/>
    <w:rsid w:val="00684C04"/>
    <w:rsid w:val="0068585E"/>
    <w:rsid w:val="00685A5B"/>
    <w:rsid w:val="0069027E"/>
    <w:rsid w:val="006921C5"/>
    <w:rsid w:val="00692D1C"/>
    <w:rsid w:val="006938FD"/>
    <w:rsid w:val="00694EEA"/>
    <w:rsid w:val="00697E1C"/>
    <w:rsid w:val="00697F02"/>
    <w:rsid w:val="006A191E"/>
    <w:rsid w:val="006A47AD"/>
    <w:rsid w:val="006C2666"/>
    <w:rsid w:val="006D05F2"/>
    <w:rsid w:val="006D3CC9"/>
    <w:rsid w:val="006D7077"/>
    <w:rsid w:val="006E0D8F"/>
    <w:rsid w:val="006E0E1A"/>
    <w:rsid w:val="006E3879"/>
    <w:rsid w:val="006E3B2D"/>
    <w:rsid w:val="006E48AB"/>
    <w:rsid w:val="006E4EEA"/>
    <w:rsid w:val="006E7270"/>
    <w:rsid w:val="006F1631"/>
    <w:rsid w:val="006F211A"/>
    <w:rsid w:val="006F4A77"/>
    <w:rsid w:val="006F5616"/>
    <w:rsid w:val="006F73F2"/>
    <w:rsid w:val="006F7F52"/>
    <w:rsid w:val="0070498C"/>
    <w:rsid w:val="0070625D"/>
    <w:rsid w:val="00706260"/>
    <w:rsid w:val="00707EDB"/>
    <w:rsid w:val="007105B8"/>
    <w:rsid w:val="00711045"/>
    <w:rsid w:val="00711BAA"/>
    <w:rsid w:val="00711E7D"/>
    <w:rsid w:val="00712DE8"/>
    <w:rsid w:val="00713E58"/>
    <w:rsid w:val="007167AD"/>
    <w:rsid w:val="00717CCB"/>
    <w:rsid w:val="00721B73"/>
    <w:rsid w:val="0072221D"/>
    <w:rsid w:val="00723BE8"/>
    <w:rsid w:val="007274E7"/>
    <w:rsid w:val="00727658"/>
    <w:rsid w:val="00730C8D"/>
    <w:rsid w:val="0073339D"/>
    <w:rsid w:val="0073540A"/>
    <w:rsid w:val="00741D4D"/>
    <w:rsid w:val="00744488"/>
    <w:rsid w:val="00744AB0"/>
    <w:rsid w:val="00745FD0"/>
    <w:rsid w:val="00746E63"/>
    <w:rsid w:val="007471EF"/>
    <w:rsid w:val="007520BC"/>
    <w:rsid w:val="00753972"/>
    <w:rsid w:val="00753CF4"/>
    <w:rsid w:val="007542AE"/>
    <w:rsid w:val="00755CC4"/>
    <w:rsid w:val="00757C3A"/>
    <w:rsid w:val="00760ADF"/>
    <w:rsid w:val="00761194"/>
    <w:rsid w:val="00762EE3"/>
    <w:rsid w:val="00763150"/>
    <w:rsid w:val="00763CB5"/>
    <w:rsid w:val="00764948"/>
    <w:rsid w:val="00764DB0"/>
    <w:rsid w:val="00766C79"/>
    <w:rsid w:val="00767192"/>
    <w:rsid w:val="00771799"/>
    <w:rsid w:val="00772AE9"/>
    <w:rsid w:val="00780396"/>
    <w:rsid w:val="00780B4C"/>
    <w:rsid w:val="00782195"/>
    <w:rsid w:val="00785387"/>
    <w:rsid w:val="00786A3E"/>
    <w:rsid w:val="00790422"/>
    <w:rsid w:val="007909AC"/>
    <w:rsid w:val="0079647B"/>
    <w:rsid w:val="0079747B"/>
    <w:rsid w:val="007A2086"/>
    <w:rsid w:val="007A2B8C"/>
    <w:rsid w:val="007A370B"/>
    <w:rsid w:val="007A6490"/>
    <w:rsid w:val="007A766C"/>
    <w:rsid w:val="007B0829"/>
    <w:rsid w:val="007B3D53"/>
    <w:rsid w:val="007B49D8"/>
    <w:rsid w:val="007C22E7"/>
    <w:rsid w:val="007C3F48"/>
    <w:rsid w:val="007C5C99"/>
    <w:rsid w:val="007C5F3D"/>
    <w:rsid w:val="007C6B1F"/>
    <w:rsid w:val="007D15F9"/>
    <w:rsid w:val="007D1ABB"/>
    <w:rsid w:val="007D37E5"/>
    <w:rsid w:val="007D70C2"/>
    <w:rsid w:val="007E2BA2"/>
    <w:rsid w:val="007F0C9F"/>
    <w:rsid w:val="007F10D4"/>
    <w:rsid w:val="007F418B"/>
    <w:rsid w:val="007F5F6A"/>
    <w:rsid w:val="007F6F94"/>
    <w:rsid w:val="008014CF"/>
    <w:rsid w:val="00803859"/>
    <w:rsid w:val="00805AD1"/>
    <w:rsid w:val="0080637D"/>
    <w:rsid w:val="00806483"/>
    <w:rsid w:val="00810EDC"/>
    <w:rsid w:val="00811C7B"/>
    <w:rsid w:val="00812872"/>
    <w:rsid w:val="008203BC"/>
    <w:rsid w:val="00822E54"/>
    <w:rsid w:val="008233D6"/>
    <w:rsid w:val="008270DD"/>
    <w:rsid w:val="00832F71"/>
    <w:rsid w:val="0083344D"/>
    <w:rsid w:val="008363E2"/>
    <w:rsid w:val="00841697"/>
    <w:rsid w:val="00842611"/>
    <w:rsid w:val="00844907"/>
    <w:rsid w:val="00845810"/>
    <w:rsid w:val="00847C53"/>
    <w:rsid w:val="00855EF6"/>
    <w:rsid w:val="00857BDE"/>
    <w:rsid w:val="00860BF6"/>
    <w:rsid w:val="00864DBF"/>
    <w:rsid w:val="0087554E"/>
    <w:rsid w:val="00876810"/>
    <w:rsid w:val="00876E28"/>
    <w:rsid w:val="008815E4"/>
    <w:rsid w:val="00882557"/>
    <w:rsid w:val="00882AA2"/>
    <w:rsid w:val="008843F9"/>
    <w:rsid w:val="00886C95"/>
    <w:rsid w:val="00890339"/>
    <w:rsid w:val="0089259A"/>
    <w:rsid w:val="00892C16"/>
    <w:rsid w:val="00892FCD"/>
    <w:rsid w:val="00894079"/>
    <w:rsid w:val="008956E4"/>
    <w:rsid w:val="00895B4E"/>
    <w:rsid w:val="0089738C"/>
    <w:rsid w:val="008A13D0"/>
    <w:rsid w:val="008A3D91"/>
    <w:rsid w:val="008A50D1"/>
    <w:rsid w:val="008A79E2"/>
    <w:rsid w:val="008A79F2"/>
    <w:rsid w:val="008B10B8"/>
    <w:rsid w:val="008B2BE8"/>
    <w:rsid w:val="008B3669"/>
    <w:rsid w:val="008B47E4"/>
    <w:rsid w:val="008B68CA"/>
    <w:rsid w:val="008C0457"/>
    <w:rsid w:val="008C544F"/>
    <w:rsid w:val="008D3FD3"/>
    <w:rsid w:val="008D543A"/>
    <w:rsid w:val="008D6E8A"/>
    <w:rsid w:val="008E2827"/>
    <w:rsid w:val="008F03F5"/>
    <w:rsid w:val="008F508C"/>
    <w:rsid w:val="008F5739"/>
    <w:rsid w:val="008F633F"/>
    <w:rsid w:val="00901EFE"/>
    <w:rsid w:val="00901F92"/>
    <w:rsid w:val="00913CF8"/>
    <w:rsid w:val="00921C9B"/>
    <w:rsid w:val="009228A7"/>
    <w:rsid w:val="00922B4B"/>
    <w:rsid w:val="009244CE"/>
    <w:rsid w:val="00924804"/>
    <w:rsid w:val="00924C4E"/>
    <w:rsid w:val="00930862"/>
    <w:rsid w:val="00930DF8"/>
    <w:rsid w:val="00933012"/>
    <w:rsid w:val="00934A47"/>
    <w:rsid w:val="009352DB"/>
    <w:rsid w:val="009356A3"/>
    <w:rsid w:val="00940DCE"/>
    <w:rsid w:val="0094155D"/>
    <w:rsid w:val="0094211B"/>
    <w:rsid w:val="00942BEE"/>
    <w:rsid w:val="00943993"/>
    <w:rsid w:val="00946151"/>
    <w:rsid w:val="0094663B"/>
    <w:rsid w:val="00946721"/>
    <w:rsid w:val="00946C51"/>
    <w:rsid w:val="009516C2"/>
    <w:rsid w:val="00952970"/>
    <w:rsid w:val="00956366"/>
    <w:rsid w:val="009606C5"/>
    <w:rsid w:val="00962141"/>
    <w:rsid w:val="00962427"/>
    <w:rsid w:val="0096361C"/>
    <w:rsid w:val="00963D6E"/>
    <w:rsid w:val="00970695"/>
    <w:rsid w:val="00974510"/>
    <w:rsid w:val="00981E4D"/>
    <w:rsid w:val="009927E8"/>
    <w:rsid w:val="009935C4"/>
    <w:rsid w:val="00994A47"/>
    <w:rsid w:val="00995B24"/>
    <w:rsid w:val="00995EE4"/>
    <w:rsid w:val="009973A8"/>
    <w:rsid w:val="009A08E1"/>
    <w:rsid w:val="009A2490"/>
    <w:rsid w:val="009A2793"/>
    <w:rsid w:val="009A2A84"/>
    <w:rsid w:val="009A3A50"/>
    <w:rsid w:val="009A4CFB"/>
    <w:rsid w:val="009B0B21"/>
    <w:rsid w:val="009B113E"/>
    <w:rsid w:val="009B13F4"/>
    <w:rsid w:val="009B1A21"/>
    <w:rsid w:val="009B4313"/>
    <w:rsid w:val="009B4DD2"/>
    <w:rsid w:val="009B55BA"/>
    <w:rsid w:val="009C4DE5"/>
    <w:rsid w:val="009D173A"/>
    <w:rsid w:val="009D1874"/>
    <w:rsid w:val="009D2B87"/>
    <w:rsid w:val="009D2F12"/>
    <w:rsid w:val="009D35C1"/>
    <w:rsid w:val="009E150C"/>
    <w:rsid w:val="009E2701"/>
    <w:rsid w:val="009E2C84"/>
    <w:rsid w:val="009F16C4"/>
    <w:rsid w:val="009F424F"/>
    <w:rsid w:val="009F4787"/>
    <w:rsid w:val="009F672C"/>
    <w:rsid w:val="00A02806"/>
    <w:rsid w:val="00A03096"/>
    <w:rsid w:val="00A04056"/>
    <w:rsid w:val="00A05950"/>
    <w:rsid w:val="00A06879"/>
    <w:rsid w:val="00A13F39"/>
    <w:rsid w:val="00A2083F"/>
    <w:rsid w:val="00A20B2A"/>
    <w:rsid w:val="00A2151C"/>
    <w:rsid w:val="00A21EC0"/>
    <w:rsid w:val="00A22471"/>
    <w:rsid w:val="00A22EDB"/>
    <w:rsid w:val="00A24D97"/>
    <w:rsid w:val="00A3026D"/>
    <w:rsid w:val="00A32155"/>
    <w:rsid w:val="00A33D5B"/>
    <w:rsid w:val="00A34F59"/>
    <w:rsid w:val="00A36117"/>
    <w:rsid w:val="00A466C8"/>
    <w:rsid w:val="00A46D90"/>
    <w:rsid w:val="00A506BB"/>
    <w:rsid w:val="00A5194B"/>
    <w:rsid w:val="00A5313B"/>
    <w:rsid w:val="00A54BD2"/>
    <w:rsid w:val="00A55BC5"/>
    <w:rsid w:val="00A601F4"/>
    <w:rsid w:val="00A614C8"/>
    <w:rsid w:val="00A61A4C"/>
    <w:rsid w:val="00A62E16"/>
    <w:rsid w:val="00A62E38"/>
    <w:rsid w:val="00A649FB"/>
    <w:rsid w:val="00A729AD"/>
    <w:rsid w:val="00A74230"/>
    <w:rsid w:val="00A743E6"/>
    <w:rsid w:val="00A77626"/>
    <w:rsid w:val="00A84D10"/>
    <w:rsid w:val="00A85AA3"/>
    <w:rsid w:val="00A87043"/>
    <w:rsid w:val="00A95C42"/>
    <w:rsid w:val="00A969D4"/>
    <w:rsid w:val="00A96FB9"/>
    <w:rsid w:val="00AA53EB"/>
    <w:rsid w:val="00AA6D07"/>
    <w:rsid w:val="00AB26AF"/>
    <w:rsid w:val="00AB589B"/>
    <w:rsid w:val="00AB6E12"/>
    <w:rsid w:val="00AB7652"/>
    <w:rsid w:val="00AC4344"/>
    <w:rsid w:val="00AC58B8"/>
    <w:rsid w:val="00AD0C58"/>
    <w:rsid w:val="00AD0DC3"/>
    <w:rsid w:val="00AD263E"/>
    <w:rsid w:val="00AD4ACF"/>
    <w:rsid w:val="00AD5119"/>
    <w:rsid w:val="00AD55F9"/>
    <w:rsid w:val="00AD7AA8"/>
    <w:rsid w:val="00AE1314"/>
    <w:rsid w:val="00AE2BEB"/>
    <w:rsid w:val="00AE4D84"/>
    <w:rsid w:val="00AE6544"/>
    <w:rsid w:val="00AE75D0"/>
    <w:rsid w:val="00AF045B"/>
    <w:rsid w:val="00AF0ED8"/>
    <w:rsid w:val="00AF18C1"/>
    <w:rsid w:val="00AF4E13"/>
    <w:rsid w:val="00AF7273"/>
    <w:rsid w:val="00B018A9"/>
    <w:rsid w:val="00B03C61"/>
    <w:rsid w:val="00B102E9"/>
    <w:rsid w:val="00B10E31"/>
    <w:rsid w:val="00B1302A"/>
    <w:rsid w:val="00B13824"/>
    <w:rsid w:val="00B13C0B"/>
    <w:rsid w:val="00B1613A"/>
    <w:rsid w:val="00B21666"/>
    <w:rsid w:val="00B220A5"/>
    <w:rsid w:val="00B228F1"/>
    <w:rsid w:val="00B25B93"/>
    <w:rsid w:val="00B325A4"/>
    <w:rsid w:val="00B3740B"/>
    <w:rsid w:val="00B41471"/>
    <w:rsid w:val="00B4703D"/>
    <w:rsid w:val="00B52902"/>
    <w:rsid w:val="00B54B27"/>
    <w:rsid w:val="00B6094A"/>
    <w:rsid w:val="00B65E0A"/>
    <w:rsid w:val="00B708A4"/>
    <w:rsid w:val="00B70A15"/>
    <w:rsid w:val="00B72608"/>
    <w:rsid w:val="00B726C5"/>
    <w:rsid w:val="00B73234"/>
    <w:rsid w:val="00B738BC"/>
    <w:rsid w:val="00B80C4A"/>
    <w:rsid w:val="00B83072"/>
    <w:rsid w:val="00B83D18"/>
    <w:rsid w:val="00B8434C"/>
    <w:rsid w:val="00B85428"/>
    <w:rsid w:val="00B85FF1"/>
    <w:rsid w:val="00B861C2"/>
    <w:rsid w:val="00B87155"/>
    <w:rsid w:val="00B90A76"/>
    <w:rsid w:val="00B92A05"/>
    <w:rsid w:val="00B934F1"/>
    <w:rsid w:val="00BA1F15"/>
    <w:rsid w:val="00BA2207"/>
    <w:rsid w:val="00BA41A1"/>
    <w:rsid w:val="00BA51EE"/>
    <w:rsid w:val="00BB098B"/>
    <w:rsid w:val="00BB0F70"/>
    <w:rsid w:val="00BB2AC3"/>
    <w:rsid w:val="00BB3CD1"/>
    <w:rsid w:val="00BC0B2D"/>
    <w:rsid w:val="00BC1DE0"/>
    <w:rsid w:val="00BC23E4"/>
    <w:rsid w:val="00BC418C"/>
    <w:rsid w:val="00BC6BFC"/>
    <w:rsid w:val="00BD73E5"/>
    <w:rsid w:val="00BE1CA6"/>
    <w:rsid w:val="00BE3F03"/>
    <w:rsid w:val="00BE5893"/>
    <w:rsid w:val="00BE6529"/>
    <w:rsid w:val="00BF07E7"/>
    <w:rsid w:val="00BF1EE4"/>
    <w:rsid w:val="00BF39EE"/>
    <w:rsid w:val="00BF4A80"/>
    <w:rsid w:val="00BF4C8A"/>
    <w:rsid w:val="00BF5644"/>
    <w:rsid w:val="00C0063F"/>
    <w:rsid w:val="00C00F76"/>
    <w:rsid w:val="00C0188E"/>
    <w:rsid w:val="00C02191"/>
    <w:rsid w:val="00C05FF8"/>
    <w:rsid w:val="00C07202"/>
    <w:rsid w:val="00C10685"/>
    <w:rsid w:val="00C10867"/>
    <w:rsid w:val="00C12987"/>
    <w:rsid w:val="00C129C8"/>
    <w:rsid w:val="00C168B7"/>
    <w:rsid w:val="00C20253"/>
    <w:rsid w:val="00C22D72"/>
    <w:rsid w:val="00C26083"/>
    <w:rsid w:val="00C27268"/>
    <w:rsid w:val="00C3015D"/>
    <w:rsid w:val="00C32FEA"/>
    <w:rsid w:val="00C335F8"/>
    <w:rsid w:val="00C33BBC"/>
    <w:rsid w:val="00C372F6"/>
    <w:rsid w:val="00C40A13"/>
    <w:rsid w:val="00C42FCE"/>
    <w:rsid w:val="00C432F3"/>
    <w:rsid w:val="00C46163"/>
    <w:rsid w:val="00C47896"/>
    <w:rsid w:val="00C509F7"/>
    <w:rsid w:val="00C54F33"/>
    <w:rsid w:val="00C576F5"/>
    <w:rsid w:val="00C57CF1"/>
    <w:rsid w:val="00C63327"/>
    <w:rsid w:val="00C65B55"/>
    <w:rsid w:val="00C702E4"/>
    <w:rsid w:val="00C70B96"/>
    <w:rsid w:val="00C72B24"/>
    <w:rsid w:val="00C75590"/>
    <w:rsid w:val="00C8089A"/>
    <w:rsid w:val="00C827AD"/>
    <w:rsid w:val="00C8619F"/>
    <w:rsid w:val="00C877E6"/>
    <w:rsid w:val="00C878FF"/>
    <w:rsid w:val="00C90F3C"/>
    <w:rsid w:val="00C911D3"/>
    <w:rsid w:val="00C93112"/>
    <w:rsid w:val="00C940A5"/>
    <w:rsid w:val="00C963E5"/>
    <w:rsid w:val="00C97033"/>
    <w:rsid w:val="00CA0EFC"/>
    <w:rsid w:val="00CA33F1"/>
    <w:rsid w:val="00CA52C0"/>
    <w:rsid w:val="00CA6E2E"/>
    <w:rsid w:val="00CB0188"/>
    <w:rsid w:val="00CB0DDD"/>
    <w:rsid w:val="00CB2769"/>
    <w:rsid w:val="00CB3A8A"/>
    <w:rsid w:val="00CB3D05"/>
    <w:rsid w:val="00CB5207"/>
    <w:rsid w:val="00CB55F0"/>
    <w:rsid w:val="00CC0BAE"/>
    <w:rsid w:val="00CC0FE8"/>
    <w:rsid w:val="00CC3235"/>
    <w:rsid w:val="00CC339E"/>
    <w:rsid w:val="00CC50E9"/>
    <w:rsid w:val="00CC5A77"/>
    <w:rsid w:val="00CC5E14"/>
    <w:rsid w:val="00CD3192"/>
    <w:rsid w:val="00CD6179"/>
    <w:rsid w:val="00CD692B"/>
    <w:rsid w:val="00CE0B2E"/>
    <w:rsid w:val="00CE348B"/>
    <w:rsid w:val="00CE3F05"/>
    <w:rsid w:val="00CE42E0"/>
    <w:rsid w:val="00CE574B"/>
    <w:rsid w:val="00CF13A4"/>
    <w:rsid w:val="00CF31AD"/>
    <w:rsid w:val="00CF3EE2"/>
    <w:rsid w:val="00CF3F70"/>
    <w:rsid w:val="00CF43E3"/>
    <w:rsid w:val="00CF4F5C"/>
    <w:rsid w:val="00CF5FC3"/>
    <w:rsid w:val="00CF6F7F"/>
    <w:rsid w:val="00D1000F"/>
    <w:rsid w:val="00D106CD"/>
    <w:rsid w:val="00D14E29"/>
    <w:rsid w:val="00D14EB0"/>
    <w:rsid w:val="00D15109"/>
    <w:rsid w:val="00D16BAC"/>
    <w:rsid w:val="00D178BB"/>
    <w:rsid w:val="00D22A45"/>
    <w:rsid w:val="00D230F6"/>
    <w:rsid w:val="00D23314"/>
    <w:rsid w:val="00D2359D"/>
    <w:rsid w:val="00D25CBD"/>
    <w:rsid w:val="00D2744A"/>
    <w:rsid w:val="00D310F5"/>
    <w:rsid w:val="00D32A4D"/>
    <w:rsid w:val="00D35972"/>
    <w:rsid w:val="00D36386"/>
    <w:rsid w:val="00D36D6F"/>
    <w:rsid w:val="00D4056A"/>
    <w:rsid w:val="00D40A8D"/>
    <w:rsid w:val="00D543A5"/>
    <w:rsid w:val="00D54513"/>
    <w:rsid w:val="00D54C24"/>
    <w:rsid w:val="00D552B6"/>
    <w:rsid w:val="00D55C89"/>
    <w:rsid w:val="00D60237"/>
    <w:rsid w:val="00D60CB3"/>
    <w:rsid w:val="00D63E4A"/>
    <w:rsid w:val="00D84052"/>
    <w:rsid w:val="00D851E9"/>
    <w:rsid w:val="00D90979"/>
    <w:rsid w:val="00D93272"/>
    <w:rsid w:val="00D94369"/>
    <w:rsid w:val="00D96FDA"/>
    <w:rsid w:val="00DA0E79"/>
    <w:rsid w:val="00DA3A81"/>
    <w:rsid w:val="00DA3C1F"/>
    <w:rsid w:val="00DA4554"/>
    <w:rsid w:val="00DA45D5"/>
    <w:rsid w:val="00DA534F"/>
    <w:rsid w:val="00DA576C"/>
    <w:rsid w:val="00DA6128"/>
    <w:rsid w:val="00DA6C15"/>
    <w:rsid w:val="00DB1BFC"/>
    <w:rsid w:val="00DB2D57"/>
    <w:rsid w:val="00DB44A1"/>
    <w:rsid w:val="00DB64FC"/>
    <w:rsid w:val="00DC47CE"/>
    <w:rsid w:val="00DC5C3F"/>
    <w:rsid w:val="00DD0A27"/>
    <w:rsid w:val="00DD0DF6"/>
    <w:rsid w:val="00DD1CD9"/>
    <w:rsid w:val="00DD4B0A"/>
    <w:rsid w:val="00DD4BD7"/>
    <w:rsid w:val="00DE2DE0"/>
    <w:rsid w:val="00DE4092"/>
    <w:rsid w:val="00DE493E"/>
    <w:rsid w:val="00DE4ED9"/>
    <w:rsid w:val="00DF0A25"/>
    <w:rsid w:val="00DF245E"/>
    <w:rsid w:val="00DF78E7"/>
    <w:rsid w:val="00E00904"/>
    <w:rsid w:val="00E013AB"/>
    <w:rsid w:val="00E01514"/>
    <w:rsid w:val="00E028D6"/>
    <w:rsid w:val="00E04D6D"/>
    <w:rsid w:val="00E067C5"/>
    <w:rsid w:val="00E0723D"/>
    <w:rsid w:val="00E104EE"/>
    <w:rsid w:val="00E13121"/>
    <w:rsid w:val="00E14DAA"/>
    <w:rsid w:val="00E2376A"/>
    <w:rsid w:val="00E25425"/>
    <w:rsid w:val="00E26B0D"/>
    <w:rsid w:val="00E30941"/>
    <w:rsid w:val="00E31A34"/>
    <w:rsid w:val="00E342B7"/>
    <w:rsid w:val="00E3459D"/>
    <w:rsid w:val="00E34691"/>
    <w:rsid w:val="00E34750"/>
    <w:rsid w:val="00E36634"/>
    <w:rsid w:val="00E4033E"/>
    <w:rsid w:val="00E40519"/>
    <w:rsid w:val="00E40E2B"/>
    <w:rsid w:val="00E44665"/>
    <w:rsid w:val="00E45103"/>
    <w:rsid w:val="00E45105"/>
    <w:rsid w:val="00E4677D"/>
    <w:rsid w:val="00E4750B"/>
    <w:rsid w:val="00E514E6"/>
    <w:rsid w:val="00E51A83"/>
    <w:rsid w:val="00E51F3B"/>
    <w:rsid w:val="00E525BC"/>
    <w:rsid w:val="00E548F5"/>
    <w:rsid w:val="00E55BC7"/>
    <w:rsid w:val="00E56B35"/>
    <w:rsid w:val="00E56BCE"/>
    <w:rsid w:val="00E61D74"/>
    <w:rsid w:val="00E62D29"/>
    <w:rsid w:val="00E62F95"/>
    <w:rsid w:val="00E674F6"/>
    <w:rsid w:val="00E6790A"/>
    <w:rsid w:val="00E71E3F"/>
    <w:rsid w:val="00E73AC2"/>
    <w:rsid w:val="00E7518F"/>
    <w:rsid w:val="00E7563D"/>
    <w:rsid w:val="00E75C09"/>
    <w:rsid w:val="00E75D2C"/>
    <w:rsid w:val="00E85182"/>
    <w:rsid w:val="00E85191"/>
    <w:rsid w:val="00E85795"/>
    <w:rsid w:val="00E90782"/>
    <w:rsid w:val="00E912BC"/>
    <w:rsid w:val="00E91C7E"/>
    <w:rsid w:val="00E94842"/>
    <w:rsid w:val="00E95128"/>
    <w:rsid w:val="00E968CD"/>
    <w:rsid w:val="00E96B5F"/>
    <w:rsid w:val="00EA02E5"/>
    <w:rsid w:val="00EA3FB3"/>
    <w:rsid w:val="00EA7882"/>
    <w:rsid w:val="00EA7F7A"/>
    <w:rsid w:val="00EB01E7"/>
    <w:rsid w:val="00EB0660"/>
    <w:rsid w:val="00EB0CC0"/>
    <w:rsid w:val="00EB161A"/>
    <w:rsid w:val="00EB19B5"/>
    <w:rsid w:val="00EB4550"/>
    <w:rsid w:val="00EB47A9"/>
    <w:rsid w:val="00EC09FA"/>
    <w:rsid w:val="00EC176B"/>
    <w:rsid w:val="00EC56AA"/>
    <w:rsid w:val="00EC6B44"/>
    <w:rsid w:val="00ED06E2"/>
    <w:rsid w:val="00ED11D5"/>
    <w:rsid w:val="00ED3A95"/>
    <w:rsid w:val="00ED457C"/>
    <w:rsid w:val="00EE19E7"/>
    <w:rsid w:val="00EE25AD"/>
    <w:rsid w:val="00EE3E4B"/>
    <w:rsid w:val="00EE71C5"/>
    <w:rsid w:val="00EE7BA9"/>
    <w:rsid w:val="00EF6313"/>
    <w:rsid w:val="00EF67F9"/>
    <w:rsid w:val="00F0059A"/>
    <w:rsid w:val="00F009D8"/>
    <w:rsid w:val="00F00A06"/>
    <w:rsid w:val="00F02333"/>
    <w:rsid w:val="00F02B37"/>
    <w:rsid w:val="00F02B89"/>
    <w:rsid w:val="00F0376C"/>
    <w:rsid w:val="00F04252"/>
    <w:rsid w:val="00F04D4A"/>
    <w:rsid w:val="00F05C51"/>
    <w:rsid w:val="00F0659A"/>
    <w:rsid w:val="00F1114B"/>
    <w:rsid w:val="00F11603"/>
    <w:rsid w:val="00F12407"/>
    <w:rsid w:val="00F1799F"/>
    <w:rsid w:val="00F17EEA"/>
    <w:rsid w:val="00F213FF"/>
    <w:rsid w:val="00F22A47"/>
    <w:rsid w:val="00F253E0"/>
    <w:rsid w:val="00F26538"/>
    <w:rsid w:val="00F26D63"/>
    <w:rsid w:val="00F31038"/>
    <w:rsid w:val="00F35948"/>
    <w:rsid w:val="00F36206"/>
    <w:rsid w:val="00F36516"/>
    <w:rsid w:val="00F368E4"/>
    <w:rsid w:val="00F40C3A"/>
    <w:rsid w:val="00F43AF1"/>
    <w:rsid w:val="00F45CC7"/>
    <w:rsid w:val="00F47D6D"/>
    <w:rsid w:val="00F51FED"/>
    <w:rsid w:val="00F56B55"/>
    <w:rsid w:val="00F62752"/>
    <w:rsid w:val="00F62D02"/>
    <w:rsid w:val="00F63402"/>
    <w:rsid w:val="00F64067"/>
    <w:rsid w:val="00F6545F"/>
    <w:rsid w:val="00F70A31"/>
    <w:rsid w:val="00F7777E"/>
    <w:rsid w:val="00F77D9D"/>
    <w:rsid w:val="00F8224E"/>
    <w:rsid w:val="00F8317D"/>
    <w:rsid w:val="00F832C7"/>
    <w:rsid w:val="00F83786"/>
    <w:rsid w:val="00F84563"/>
    <w:rsid w:val="00F86AC3"/>
    <w:rsid w:val="00F87F49"/>
    <w:rsid w:val="00F936EE"/>
    <w:rsid w:val="00F96100"/>
    <w:rsid w:val="00FA16E4"/>
    <w:rsid w:val="00FA3DB2"/>
    <w:rsid w:val="00FA40F6"/>
    <w:rsid w:val="00FA5175"/>
    <w:rsid w:val="00FA61FE"/>
    <w:rsid w:val="00FA7B89"/>
    <w:rsid w:val="00FB1D66"/>
    <w:rsid w:val="00FB2A57"/>
    <w:rsid w:val="00FB5FF9"/>
    <w:rsid w:val="00FC1F3B"/>
    <w:rsid w:val="00FC3644"/>
    <w:rsid w:val="00FC59C1"/>
    <w:rsid w:val="00FC5A10"/>
    <w:rsid w:val="00FD1392"/>
    <w:rsid w:val="00FD21C7"/>
    <w:rsid w:val="00FD228D"/>
    <w:rsid w:val="00FD537C"/>
    <w:rsid w:val="00FD6B77"/>
    <w:rsid w:val="00FE06F0"/>
    <w:rsid w:val="00FE1A77"/>
    <w:rsid w:val="00FE46E3"/>
    <w:rsid w:val="00FE54FA"/>
    <w:rsid w:val="00FF075F"/>
    <w:rsid w:val="00FF389F"/>
    <w:rsid w:val="00FF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9" w:qFormat="1"/>
    <w:lsdException w:name="heading 5" w:locked="1" w:semiHidden="0" w:uiPriority="9"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7F418B"/>
    <w:rPr>
      <w:rFonts w:ascii="Times New Roman" w:eastAsia="Times New Roman" w:hAnsi="Times New Roman"/>
      <w:sz w:val="24"/>
      <w:szCs w:val="24"/>
    </w:rPr>
  </w:style>
  <w:style w:type="paragraph" w:styleId="Heading1">
    <w:name w:val="heading 1"/>
    <w:basedOn w:val="Normal"/>
    <w:next w:val="Normal"/>
    <w:link w:val="Heading1Char"/>
    <w:uiPriority w:val="99"/>
    <w:qFormat/>
    <w:rsid w:val="003806F5"/>
    <w:pPr>
      <w:keepNext/>
      <w:keepLines/>
      <w:spacing w:line="360" w:lineRule="auto"/>
      <w:outlineLvl w:val="0"/>
    </w:pPr>
    <w:rPr>
      <w:b/>
      <w:bCs/>
      <w:sz w:val="26"/>
      <w:szCs w:val="28"/>
    </w:rPr>
  </w:style>
  <w:style w:type="paragraph" w:styleId="Heading2">
    <w:name w:val="heading 2"/>
    <w:basedOn w:val="Normal"/>
    <w:next w:val="Normal"/>
    <w:link w:val="Heading2Char"/>
    <w:uiPriority w:val="99"/>
    <w:qFormat/>
    <w:rsid w:val="007F418B"/>
    <w:pPr>
      <w:keepNext/>
      <w:keepLines/>
      <w:spacing w:line="360" w:lineRule="auto"/>
      <w:ind w:left="720"/>
      <w:outlineLvl w:val="1"/>
    </w:pPr>
    <w:rPr>
      <w:b/>
      <w:bCs/>
      <w:sz w:val="26"/>
      <w:szCs w:val="26"/>
    </w:rPr>
  </w:style>
  <w:style w:type="paragraph" w:styleId="Heading3">
    <w:name w:val="heading 3"/>
    <w:basedOn w:val="Normal"/>
    <w:next w:val="Normal"/>
    <w:link w:val="Heading3Char"/>
    <w:uiPriority w:val="99"/>
    <w:qFormat/>
    <w:rsid w:val="00554D6F"/>
    <w:pPr>
      <w:keepNext/>
      <w:keepLines/>
      <w:spacing w:line="360" w:lineRule="auto"/>
      <w:ind w:left="1440"/>
      <w:outlineLvl w:val="2"/>
    </w:pPr>
    <w:rPr>
      <w:b/>
      <w:bCs/>
      <w:color w:val="000000"/>
      <w:sz w:val="26"/>
    </w:rPr>
  </w:style>
  <w:style w:type="paragraph" w:styleId="Heading4">
    <w:name w:val="heading 4"/>
    <w:basedOn w:val="Normal"/>
    <w:next w:val="Normal"/>
    <w:link w:val="Heading4Char"/>
    <w:uiPriority w:val="9"/>
    <w:qFormat/>
    <w:rsid w:val="007F418B"/>
    <w:pPr>
      <w:keepNext/>
      <w:keepLines/>
      <w:spacing w:line="360" w:lineRule="auto"/>
      <w:ind w:left="2160"/>
      <w:outlineLvl w:val="3"/>
    </w:pPr>
    <w:rPr>
      <w:b/>
      <w:bCs/>
      <w:iCs/>
      <w:sz w:val="26"/>
    </w:rPr>
  </w:style>
  <w:style w:type="paragraph" w:styleId="Heading5">
    <w:name w:val="heading 5"/>
    <w:basedOn w:val="Normal"/>
    <w:next w:val="Normal"/>
    <w:link w:val="Heading5Char"/>
    <w:uiPriority w:val="9"/>
    <w:qFormat/>
    <w:rsid w:val="007F418B"/>
    <w:pPr>
      <w:keepNext/>
      <w:keepLines/>
      <w:spacing w:line="360" w:lineRule="auto"/>
      <w:ind w:left="2880"/>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06F5"/>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7F418B"/>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554D6F"/>
    <w:rPr>
      <w:rFonts w:ascii="Times New Roman" w:hAnsi="Times New Roman" w:cs="Times New Roman"/>
      <w:b/>
      <w:bCs/>
      <w:color w:val="000000"/>
      <w:sz w:val="24"/>
      <w:szCs w:val="24"/>
    </w:rPr>
  </w:style>
  <w:style w:type="character" w:customStyle="1" w:styleId="Heading4Char">
    <w:name w:val="Heading 4 Char"/>
    <w:basedOn w:val="DefaultParagraphFont"/>
    <w:link w:val="Heading4"/>
    <w:uiPriority w:val="9"/>
    <w:locked/>
    <w:rsid w:val="007F418B"/>
    <w:rPr>
      <w:rFonts w:ascii="Times New Roman" w:hAnsi="Times New Roman" w:cs="Times New Roman"/>
      <w:b/>
      <w:bCs/>
      <w:iCs/>
      <w:sz w:val="24"/>
      <w:szCs w:val="24"/>
    </w:rPr>
  </w:style>
  <w:style w:type="character" w:customStyle="1" w:styleId="Heading5Char">
    <w:name w:val="Heading 5 Char"/>
    <w:basedOn w:val="DefaultParagraphFont"/>
    <w:link w:val="Heading5"/>
    <w:uiPriority w:val="9"/>
    <w:locked/>
    <w:rsid w:val="007F418B"/>
    <w:rPr>
      <w:rFonts w:ascii="Times New Roman" w:hAnsi="Times New Roman" w:cs="Times New Roman"/>
      <w:b/>
      <w:sz w:val="24"/>
      <w:szCs w:val="24"/>
    </w:rPr>
  </w:style>
  <w:style w:type="paragraph" w:styleId="ListParagraph">
    <w:name w:val="List Paragraph"/>
    <w:basedOn w:val="Normal"/>
    <w:uiPriority w:val="34"/>
    <w:qFormat/>
    <w:rsid w:val="007F418B"/>
    <w:pPr>
      <w:ind w:left="720"/>
      <w:contextualSpacing/>
    </w:pPr>
  </w:style>
  <w:style w:type="paragraph" w:styleId="TOC1">
    <w:name w:val="toc 1"/>
    <w:basedOn w:val="Normal"/>
    <w:next w:val="Normal"/>
    <w:autoRedefine/>
    <w:uiPriority w:val="39"/>
    <w:qFormat/>
    <w:rsid w:val="00741D4D"/>
    <w:pPr>
      <w:spacing w:after="100"/>
    </w:pPr>
    <w:rPr>
      <w:b/>
    </w:rPr>
  </w:style>
  <w:style w:type="character" w:styleId="Hyperlink">
    <w:name w:val="Hyperlink"/>
    <w:basedOn w:val="DefaultParagraphFont"/>
    <w:uiPriority w:val="99"/>
    <w:rsid w:val="007F418B"/>
    <w:rPr>
      <w:rFonts w:cs="Times New Roman"/>
      <w:color w:val="0000FF"/>
      <w:u w:val="single"/>
    </w:rPr>
  </w:style>
  <w:style w:type="paragraph" w:styleId="TOC2">
    <w:name w:val="toc 2"/>
    <w:basedOn w:val="Normal"/>
    <w:next w:val="Normal"/>
    <w:autoRedefine/>
    <w:uiPriority w:val="39"/>
    <w:qFormat/>
    <w:rsid w:val="00741D4D"/>
    <w:pPr>
      <w:spacing w:after="100"/>
      <w:ind w:left="240"/>
    </w:pPr>
    <w:rPr>
      <w:b/>
    </w:rPr>
  </w:style>
  <w:style w:type="paragraph" w:styleId="TOC3">
    <w:name w:val="toc 3"/>
    <w:basedOn w:val="Normal"/>
    <w:next w:val="Normal"/>
    <w:autoRedefine/>
    <w:uiPriority w:val="39"/>
    <w:qFormat/>
    <w:rsid w:val="00511008"/>
    <w:pPr>
      <w:tabs>
        <w:tab w:val="left" w:pos="1100"/>
        <w:tab w:val="right" w:leader="dot" w:pos="9350"/>
      </w:tabs>
      <w:spacing w:after="100"/>
      <w:ind w:left="720"/>
    </w:pPr>
    <w:rPr>
      <w:b/>
    </w:rPr>
  </w:style>
  <w:style w:type="paragraph" w:styleId="TOC4">
    <w:name w:val="toc 4"/>
    <w:basedOn w:val="Normal"/>
    <w:next w:val="Normal"/>
    <w:autoRedefine/>
    <w:uiPriority w:val="99"/>
    <w:rsid w:val="00844907"/>
    <w:pPr>
      <w:spacing w:after="100"/>
      <w:ind w:left="720"/>
    </w:pPr>
    <w:rPr>
      <w:b/>
    </w:rPr>
  </w:style>
  <w:style w:type="paragraph" w:styleId="TOC5">
    <w:name w:val="toc 5"/>
    <w:basedOn w:val="Normal"/>
    <w:next w:val="Normal"/>
    <w:autoRedefine/>
    <w:uiPriority w:val="99"/>
    <w:rsid w:val="00511008"/>
    <w:pPr>
      <w:tabs>
        <w:tab w:val="left" w:pos="1540"/>
        <w:tab w:val="right" w:leader="dot" w:pos="9350"/>
      </w:tabs>
      <w:spacing w:after="100"/>
      <w:ind w:left="720"/>
    </w:pPr>
    <w:rPr>
      <w:b/>
    </w:rPr>
  </w:style>
  <w:style w:type="paragraph" w:styleId="Header">
    <w:name w:val="header"/>
    <w:basedOn w:val="Normal"/>
    <w:link w:val="HeaderChar"/>
    <w:uiPriority w:val="99"/>
    <w:rsid w:val="007F418B"/>
    <w:pPr>
      <w:tabs>
        <w:tab w:val="center" w:pos="4680"/>
        <w:tab w:val="right" w:pos="9360"/>
      </w:tabs>
    </w:pPr>
  </w:style>
  <w:style w:type="character" w:customStyle="1" w:styleId="HeaderChar">
    <w:name w:val="Header Char"/>
    <w:basedOn w:val="DefaultParagraphFont"/>
    <w:link w:val="Header"/>
    <w:uiPriority w:val="99"/>
    <w:locked/>
    <w:rsid w:val="007F418B"/>
    <w:rPr>
      <w:rFonts w:ascii="Times New Roman" w:hAnsi="Times New Roman" w:cs="Times New Roman"/>
      <w:sz w:val="24"/>
      <w:szCs w:val="24"/>
    </w:rPr>
  </w:style>
  <w:style w:type="paragraph" w:styleId="Footer">
    <w:name w:val="footer"/>
    <w:basedOn w:val="Normal"/>
    <w:link w:val="FooterChar"/>
    <w:uiPriority w:val="99"/>
    <w:rsid w:val="007F418B"/>
    <w:pPr>
      <w:tabs>
        <w:tab w:val="center" w:pos="4680"/>
        <w:tab w:val="right" w:pos="9360"/>
      </w:tabs>
    </w:pPr>
  </w:style>
  <w:style w:type="character" w:customStyle="1" w:styleId="FooterChar">
    <w:name w:val="Footer Char"/>
    <w:basedOn w:val="DefaultParagraphFont"/>
    <w:link w:val="Footer"/>
    <w:uiPriority w:val="99"/>
    <w:locked/>
    <w:rsid w:val="007F418B"/>
    <w:rPr>
      <w:rFonts w:ascii="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rsid w:val="007F418B"/>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locked/>
    <w:rsid w:val="007F418B"/>
    <w:rPr>
      <w:rFonts w:ascii="Times New Roman" w:hAnsi="Times New Roman" w:cs="Times New Roman"/>
      <w:sz w:val="20"/>
      <w:szCs w:val="20"/>
    </w:rPr>
  </w:style>
  <w:style w:type="character" w:styleId="FootnoteReference">
    <w:name w:val="footnote reference"/>
    <w:basedOn w:val="DefaultParagraphFont"/>
    <w:rsid w:val="007F418B"/>
    <w:rPr>
      <w:rFonts w:cs="Times New Roman"/>
      <w:vertAlign w:val="superscript"/>
    </w:rPr>
  </w:style>
  <w:style w:type="paragraph" w:customStyle="1" w:styleId="p3">
    <w:name w:val="p3"/>
    <w:basedOn w:val="Normal"/>
    <w:uiPriority w:val="99"/>
    <w:rsid w:val="007F418B"/>
    <w:pPr>
      <w:widowControl w:val="0"/>
      <w:tabs>
        <w:tab w:val="left" w:pos="204"/>
      </w:tabs>
      <w:autoSpaceDE w:val="0"/>
      <w:autoSpaceDN w:val="0"/>
      <w:adjustRightInd w:val="0"/>
    </w:pPr>
  </w:style>
  <w:style w:type="paragraph" w:styleId="NoSpacing">
    <w:name w:val="No Spacing"/>
    <w:uiPriority w:val="1"/>
    <w:qFormat/>
    <w:rsid w:val="007F418B"/>
    <w:rPr>
      <w:rFonts w:ascii="Times New Roman" w:eastAsia="Times New Roman" w:hAnsi="Times New Roman"/>
      <w:sz w:val="24"/>
      <w:szCs w:val="24"/>
    </w:rPr>
  </w:style>
  <w:style w:type="paragraph" w:styleId="BodyText2">
    <w:name w:val="Body Text 2"/>
    <w:basedOn w:val="Normal"/>
    <w:link w:val="BodyText2Char"/>
    <w:uiPriority w:val="99"/>
    <w:rsid w:val="007F418B"/>
    <w:pPr>
      <w:spacing w:line="480" w:lineRule="auto"/>
      <w:ind w:firstLine="720"/>
      <w:jc w:val="both"/>
    </w:pPr>
  </w:style>
  <w:style w:type="character" w:customStyle="1" w:styleId="BodyText2Char">
    <w:name w:val="Body Text 2 Char"/>
    <w:basedOn w:val="DefaultParagraphFont"/>
    <w:link w:val="BodyText2"/>
    <w:uiPriority w:val="99"/>
    <w:locked/>
    <w:rsid w:val="007F418B"/>
    <w:rPr>
      <w:rFonts w:ascii="Times New Roman" w:hAnsi="Times New Roman" w:cs="Times New Roman"/>
      <w:sz w:val="24"/>
      <w:szCs w:val="24"/>
    </w:rPr>
  </w:style>
  <w:style w:type="paragraph" w:customStyle="1" w:styleId="FirmDouble05">
    <w:name w:val="Firm Double 05"/>
    <w:basedOn w:val="Normal"/>
    <w:uiPriority w:val="99"/>
    <w:rsid w:val="007F418B"/>
    <w:pPr>
      <w:spacing w:after="120" w:line="480" w:lineRule="auto"/>
      <w:ind w:firstLine="720"/>
    </w:pPr>
  </w:style>
  <w:style w:type="character" w:customStyle="1" w:styleId="BalloonTextChar">
    <w:name w:val="Balloon Text Char"/>
    <w:uiPriority w:val="99"/>
    <w:semiHidden/>
    <w:locked/>
    <w:rsid w:val="007F418B"/>
    <w:rPr>
      <w:rFonts w:ascii="Tahoma" w:hAnsi="Tahoma"/>
      <w:sz w:val="16"/>
    </w:rPr>
  </w:style>
  <w:style w:type="paragraph" w:styleId="BalloonText">
    <w:name w:val="Balloon Text"/>
    <w:basedOn w:val="Normal"/>
    <w:link w:val="BalloonTextChar1"/>
    <w:uiPriority w:val="99"/>
    <w:semiHidden/>
    <w:rsid w:val="007F418B"/>
    <w:rPr>
      <w:rFonts w:ascii="Tahoma" w:eastAsia="Calibri" w:hAnsi="Tahoma"/>
      <w:sz w:val="16"/>
      <w:szCs w:val="16"/>
    </w:rPr>
  </w:style>
  <w:style w:type="character" w:customStyle="1" w:styleId="BalloonTextChar1">
    <w:name w:val="Balloon Text Char1"/>
    <w:basedOn w:val="DefaultParagraphFont"/>
    <w:link w:val="BalloonText"/>
    <w:uiPriority w:val="99"/>
    <w:semiHidden/>
    <w:locked/>
    <w:rsid w:val="00464C92"/>
    <w:rPr>
      <w:rFonts w:ascii="Times New Roman" w:hAnsi="Times New Roman" w:cs="Times New Roman"/>
      <w:sz w:val="2"/>
    </w:rPr>
  </w:style>
  <w:style w:type="paragraph" w:styleId="TOCHeading">
    <w:name w:val="TOC Heading"/>
    <w:basedOn w:val="Heading1"/>
    <w:next w:val="Normal"/>
    <w:uiPriority w:val="39"/>
    <w:qFormat/>
    <w:rsid w:val="001256B5"/>
    <w:pPr>
      <w:spacing w:before="480" w:line="276" w:lineRule="auto"/>
      <w:outlineLvl w:val="9"/>
    </w:pPr>
    <w:rPr>
      <w:rFonts w:ascii="Cambria" w:hAnsi="Cambria"/>
      <w:color w:val="365F91"/>
      <w:sz w:val="28"/>
    </w:rPr>
  </w:style>
  <w:style w:type="paragraph" w:styleId="BodyText">
    <w:name w:val="Body Text"/>
    <w:basedOn w:val="Normal"/>
    <w:link w:val="BodyTextChar"/>
    <w:uiPriority w:val="99"/>
    <w:unhideWhenUsed/>
    <w:rsid w:val="004861B4"/>
    <w:pPr>
      <w:spacing w:after="120"/>
    </w:pPr>
  </w:style>
  <w:style w:type="character" w:customStyle="1" w:styleId="BodyTextChar">
    <w:name w:val="Body Text Char"/>
    <w:basedOn w:val="DefaultParagraphFont"/>
    <w:link w:val="BodyText"/>
    <w:uiPriority w:val="99"/>
    <w:rsid w:val="004861B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9" w:qFormat="1"/>
    <w:lsdException w:name="heading 5" w:locked="1" w:semiHidden="0" w:uiPriority="9"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7F418B"/>
    <w:rPr>
      <w:rFonts w:ascii="Times New Roman" w:eastAsia="Times New Roman" w:hAnsi="Times New Roman"/>
      <w:sz w:val="24"/>
      <w:szCs w:val="24"/>
    </w:rPr>
  </w:style>
  <w:style w:type="paragraph" w:styleId="Heading1">
    <w:name w:val="heading 1"/>
    <w:basedOn w:val="Normal"/>
    <w:next w:val="Normal"/>
    <w:link w:val="Heading1Char"/>
    <w:uiPriority w:val="99"/>
    <w:qFormat/>
    <w:rsid w:val="003806F5"/>
    <w:pPr>
      <w:keepNext/>
      <w:keepLines/>
      <w:spacing w:line="360" w:lineRule="auto"/>
      <w:outlineLvl w:val="0"/>
    </w:pPr>
    <w:rPr>
      <w:b/>
      <w:bCs/>
      <w:sz w:val="26"/>
      <w:szCs w:val="28"/>
    </w:rPr>
  </w:style>
  <w:style w:type="paragraph" w:styleId="Heading2">
    <w:name w:val="heading 2"/>
    <w:basedOn w:val="Normal"/>
    <w:next w:val="Normal"/>
    <w:link w:val="Heading2Char"/>
    <w:uiPriority w:val="99"/>
    <w:qFormat/>
    <w:rsid w:val="007F418B"/>
    <w:pPr>
      <w:keepNext/>
      <w:keepLines/>
      <w:spacing w:line="360" w:lineRule="auto"/>
      <w:ind w:left="720"/>
      <w:outlineLvl w:val="1"/>
    </w:pPr>
    <w:rPr>
      <w:b/>
      <w:bCs/>
      <w:sz w:val="26"/>
      <w:szCs w:val="26"/>
    </w:rPr>
  </w:style>
  <w:style w:type="paragraph" w:styleId="Heading3">
    <w:name w:val="heading 3"/>
    <w:basedOn w:val="Normal"/>
    <w:next w:val="Normal"/>
    <w:link w:val="Heading3Char"/>
    <w:uiPriority w:val="99"/>
    <w:qFormat/>
    <w:rsid w:val="00554D6F"/>
    <w:pPr>
      <w:keepNext/>
      <w:keepLines/>
      <w:spacing w:line="360" w:lineRule="auto"/>
      <w:ind w:left="1440"/>
      <w:outlineLvl w:val="2"/>
    </w:pPr>
    <w:rPr>
      <w:b/>
      <w:bCs/>
      <w:color w:val="000000"/>
      <w:sz w:val="26"/>
    </w:rPr>
  </w:style>
  <w:style w:type="paragraph" w:styleId="Heading4">
    <w:name w:val="heading 4"/>
    <w:basedOn w:val="Normal"/>
    <w:next w:val="Normal"/>
    <w:link w:val="Heading4Char"/>
    <w:uiPriority w:val="9"/>
    <w:qFormat/>
    <w:rsid w:val="007F418B"/>
    <w:pPr>
      <w:keepNext/>
      <w:keepLines/>
      <w:spacing w:line="360" w:lineRule="auto"/>
      <w:ind w:left="2160"/>
      <w:outlineLvl w:val="3"/>
    </w:pPr>
    <w:rPr>
      <w:b/>
      <w:bCs/>
      <w:iCs/>
      <w:sz w:val="26"/>
    </w:rPr>
  </w:style>
  <w:style w:type="paragraph" w:styleId="Heading5">
    <w:name w:val="heading 5"/>
    <w:basedOn w:val="Normal"/>
    <w:next w:val="Normal"/>
    <w:link w:val="Heading5Char"/>
    <w:uiPriority w:val="9"/>
    <w:qFormat/>
    <w:rsid w:val="007F418B"/>
    <w:pPr>
      <w:keepNext/>
      <w:keepLines/>
      <w:spacing w:line="360" w:lineRule="auto"/>
      <w:ind w:left="2880"/>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06F5"/>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7F418B"/>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554D6F"/>
    <w:rPr>
      <w:rFonts w:ascii="Times New Roman" w:hAnsi="Times New Roman" w:cs="Times New Roman"/>
      <w:b/>
      <w:bCs/>
      <w:color w:val="000000"/>
      <w:sz w:val="24"/>
      <w:szCs w:val="24"/>
    </w:rPr>
  </w:style>
  <w:style w:type="character" w:customStyle="1" w:styleId="Heading4Char">
    <w:name w:val="Heading 4 Char"/>
    <w:basedOn w:val="DefaultParagraphFont"/>
    <w:link w:val="Heading4"/>
    <w:uiPriority w:val="9"/>
    <w:locked/>
    <w:rsid w:val="007F418B"/>
    <w:rPr>
      <w:rFonts w:ascii="Times New Roman" w:hAnsi="Times New Roman" w:cs="Times New Roman"/>
      <w:b/>
      <w:bCs/>
      <w:iCs/>
      <w:sz w:val="24"/>
      <w:szCs w:val="24"/>
    </w:rPr>
  </w:style>
  <w:style w:type="character" w:customStyle="1" w:styleId="Heading5Char">
    <w:name w:val="Heading 5 Char"/>
    <w:basedOn w:val="DefaultParagraphFont"/>
    <w:link w:val="Heading5"/>
    <w:uiPriority w:val="9"/>
    <w:locked/>
    <w:rsid w:val="007F418B"/>
    <w:rPr>
      <w:rFonts w:ascii="Times New Roman" w:hAnsi="Times New Roman" w:cs="Times New Roman"/>
      <w:b/>
      <w:sz w:val="24"/>
      <w:szCs w:val="24"/>
    </w:rPr>
  </w:style>
  <w:style w:type="paragraph" w:styleId="ListParagraph">
    <w:name w:val="List Paragraph"/>
    <w:basedOn w:val="Normal"/>
    <w:uiPriority w:val="34"/>
    <w:qFormat/>
    <w:rsid w:val="007F418B"/>
    <w:pPr>
      <w:ind w:left="720"/>
      <w:contextualSpacing/>
    </w:pPr>
  </w:style>
  <w:style w:type="paragraph" w:styleId="TOC1">
    <w:name w:val="toc 1"/>
    <w:basedOn w:val="Normal"/>
    <w:next w:val="Normal"/>
    <w:autoRedefine/>
    <w:uiPriority w:val="39"/>
    <w:qFormat/>
    <w:rsid w:val="00741D4D"/>
    <w:pPr>
      <w:spacing w:after="100"/>
    </w:pPr>
    <w:rPr>
      <w:b/>
    </w:rPr>
  </w:style>
  <w:style w:type="character" w:styleId="Hyperlink">
    <w:name w:val="Hyperlink"/>
    <w:basedOn w:val="DefaultParagraphFont"/>
    <w:uiPriority w:val="99"/>
    <w:rsid w:val="007F418B"/>
    <w:rPr>
      <w:rFonts w:cs="Times New Roman"/>
      <w:color w:val="0000FF"/>
      <w:u w:val="single"/>
    </w:rPr>
  </w:style>
  <w:style w:type="paragraph" w:styleId="TOC2">
    <w:name w:val="toc 2"/>
    <w:basedOn w:val="Normal"/>
    <w:next w:val="Normal"/>
    <w:autoRedefine/>
    <w:uiPriority w:val="39"/>
    <w:qFormat/>
    <w:rsid w:val="00741D4D"/>
    <w:pPr>
      <w:spacing w:after="100"/>
      <w:ind w:left="240"/>
    </w:pPr>
    <w:rPr>
      <w:b/>
    </w:rPr>
  </w:style>
  <w:style w:type="paragraph" w:styleId="TOC3">
    <w:name w:val="toc 3"/>
    <w:basedOn w:val="Normal"/>
    <w:next w:val="Normal"/>
    <w:autoRedefine/>
    <w:uiPriority w:val="39"/>
    <w:qFormat/>
    <w:rsid w:val="00511008"/>
    <w:pPr>
      <w:tabs>
        <w:tab w:val="left" w:pos="1100"/>
        <w:tab w:val="right" w:leader="dot" w:pos="9350"/>
      </w:tabs>
      <w:spacing w:after="100"/>
      <w:ind w:left="720"/>
    </w:pPr>
    <w:rPr>
      <w:b/>
    </w:rPr>
  </w:style>
  <w:style w:type="paragraph" w:styleId="TOC4">
    <w:name w:val="toc 4"/>
    <w:basedOn w:val="Normal"/>
    <w:next w:val="Normal"/>
    <w:autoRedefine/>
    <w:uiPriority w:val="99"/>
    <w:rsid w:val="00844907"/>
    <w:pPr>
      <w:spacing w:after="100"/>
      <w:ind w:left="720"/>
    </w:pPr>
    <w:rPr>
      <w:b/>
    </w:rPr>
  </w:style>
  <w:style w:type="paragraph" w:styleId="TOC5">
    <w:name w:val="toc 5"/>
    <w:basedOn w:val="Normal"/>
    <w:next w:val="Normal"/>
    <w:autoRedefine/>
    <w:uiPriority w:val="99"/>
    <w:rsid w:val="00511008"/>
    <w:pPr>
      <w:tabs>
        <w:tab w:val="left" w:pos="1540"/>
        <w:tab w:val="right" w:leader="dot" w:pos="9350"/>
      </w:tabs>
      <w:spacing w:after="100"/>
      <w:ind w:left="720"/>
    </w:pPr>
    <w:rPr>
      <w:b/>
    </w:rPr>
  </w:style>
  <w:style w:type="paragraph" w:styleId="Header">
    <w:name w:val="header"/>
    <w:basedOn w:val="Normal"/>
    <w:link w:val="HeaderChar"/>
    <w:uiPriority w:val="99"/>
    <w:rsid w:val="007F418B"/>
    <w:pPr>
      <w:tabs>
        <w:tab w:val="center" w:pos="4680"/>
        <w:tab w:val="right" w:pos="9360"/>
      </w:tabs>
    </w:pPr>
  </w:style>
  <w:style w:type="character" w:customStyle="1" w:styleId="HeaderChar">
    <w:name w:val="Header Char"/>
    <w:basedOn w:val="DefaultParagraphFont"/>
    <w:link w:val="Header"/>
    <w:uiPriority w:val="99"/>
    <w:locked/>
    <w:rsid w:val="007F418B"/>
    <w:rPr>
      <w:rFonts w:ascii="Times New Roman" w:hAnsi="Times New Roman" w:cs="Times New Roman"/>
      <w:sz w:val="24"/>
      <w:szCs w:val="24"/>
    </w:rPr>
  </w:style>
  <w:style w:type="paragraph" w:styleId="Footer">
    <w:name w:val="footer"/>
    <w:basedOn w:val="Normal"/>
    <w:link w:val="FooterChar"/>
    <w:uiPriority w:val="99"/>
    <w:rsid w:val="007F418B"/>
    <w:pPr>
      <w:tabs>
        <w:tab w:val="center" w:pos="4680"/>
        <w:tab w:val="right" w:pos="9360"/>
      </w:tabs>
    </w:pPr>
  </w:style>
  <w:style w:type="character" w:customStyle="1" w:styleId="FooterChar">
    <w:name w:val="Footer Char"/>
    <w:basedOn w:val="DefaultParagraphFont"/>
    <w:link w:val="Footer"/>
    <w:uiPriority w:val="99"/>
    <w:locked/>
    <w:rsid w:val="007F418B"/>
    <w:rPr>
      <w:rFonts w:ascii="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rsid w:val="007F418B"/>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locked/>
    <w:rsid w:val="007F418B"/>
    <w:rPr>
      <w:rFonts w:ascii="Times New Roman" w:hAnsi="Times New Roman" w:cs="Times New Roman"/>
      <w:sz w:val="20"/>
      <w:szCs w:val="20"/>
    </w:rPr>
  </w:style>
  <w:style w:type="character" w:styleId="FootnoteReference">
    <w:name w:val="footnote reference"/>
    <w:basedOn w:val="DefaultParagraphFont"/>
    <w:rsid w:val="007F418B"/>
    <w:rPr>
      <w:rFonts w:cs="Times New Roman"/>
      <w:vertAlign w:val="superscript"/>
    </w:rPr>
  </w:style>
  <w:style w:type="paragraph" w:customStyle="1" w:styleId="p3">
    <w:name w:val="p3"/>
    <w:basedOn w:val="Normal"/>
    <w:uiPriority w:val="99"/>
    <w:rsid w:val="007F418B"/>
    <w:pPr>
      <w:widowControl w:val="0"/>
      <w:tabs>
        <w:tab w:val="left" w:pos="204"/>
      </w:tabs>
      <w:autoSpaceDE w:val="0"/>
      <w:autoSpaceDN w:val="0"/>
      <w:adjustRightInd w:val="0"/>
    </w:pPr>
  </w:style>
  <w:style w:type="paragraph" w:styleId="NoSpacing">
    <w:name w:val="No Spacing"/>
    <w:uiPriority w:val="1"/>
    <w:qFormat/>
    <w:rsid w:val="007F418B"/>
    <w:rPr>
      <w:rFonts w:ascii="Times New Roman" w:eastAsia="Times New Roman" w:hAnsi="Times New Roman"/>
      <w:sz w:val="24"/>
      <w:szCs w:val="24"/>
    </w:rPr>
  </w:style>
  <w:style w:type="paragraph" w:styleId="BodyText2">
    <w:name w:val="Body Text 2"/>
    <w:basedOn w:val="Normal"/>
    <w:link w:val="BodyText2Char"/>
    <w:uiPriority w:val="99"/>
    <w:rsid w:val="007F418B"/>
    <w:pPr>
      <w:spacing w:line="480" w:lineRule="auto"/>
      <w:ind w:firstLine="720"/>
      <w:jc w:val="both"/>
    </w:pPr>
  </w:style>
  <w:style w:type="character" w:customStyle="1" w:styleId="BodyText2Char">
    <w:name w:val="Body Text 2 Char"/>
    <w:basedOn w:val="DefaultParagraphFont"/>
    <w:link w:val="BodyText2"/>
    <w:uiPriority w:val="99"/>
    <w:locked/>
    <w:rsid w:val="007F418B"/>
    <w:rPr>
      <w:rFonts w:ascii="Times New Roman" w:hAnsi="Times New Roman" w:cs="Times New Roman"/>
      <w:sz w:val="24"/>
      <w:szCs w:val="24"/>
    </w:rPr>
  </w:style>
  <w:style w:type="paragraph" w:customStyle="1" w:styleId="FirmDouble05">
    <w:name w:val="Firm Double 05"/>
    <w:basedOn w:val="Normal"/>
    <w:uiPriority w:val="99"/>
    <w:rsid w:val="007F418B"/>
    <w:pPr>
      <w:spacing w:after="120" w:line="480" w:lineRule="auto"/>
      <w:ind w:firstLine="720"/>
    </w:pPr>
  </w:style>
  <w:style w:type="character" w:customStyle="1" w:styleId="BalloonTextChar">
    <w:name w:val="Balloon Text Char"/>
    <w:uiPriority w:val="99"/>
    <w:semiHidden/>
    <w:locked/>
    <w:rsid w:val="007F418B"/>
    <w:rPr>
      <w:rFonts w:ascii="Tahoma" w:hAnsi="Tahoma"/>
      <w:sz w:val="16"/>
    </w:rPr>
  </w:style>
  <w:style w:type="paragraph" w:styleId="BalloonText">
    <w:name w:val="Balloon Text"/>
    <w:basedOn w:val="Normal"/>
    <w:link w:val="BalloonTextChar1"/>
    <w:uiPriority w:val="99"/>
    <w:semiHidden/>
    <w:rsid w:val="007F418B"/>
    <w:rPr>
      <w:rFonts w:ascii="Tahoma" w:eastAsia="Calibri" w:hAnsi="Tahoma"/>
      <w:sz w:val="16"/>
      <w:szCs w:val="16"/>
    </w:rPr>
  </w:style>
  <w:style w:type="character" w:customStyle="1" w:styleId="BalloonTextChar1">
    <w:name w:val="Balloon Text Char1"/>
    <w:basedOn w:val="DefaultParagraphFont"/>
    <w:link w:val="BalloonText"/>
    <w:uiPriority w:val="99"/>
    <w:semiHidden/>
    <w:locked/>
    <w:rsid w:val="00464C92"/>
    <w:rPr>
      <w:rFonts w:ascii="Times New Roman" w:hAnsi="Times New Roman" w:cs="Times New Roman"/>
      <w:sz w:val="2"/>
    </w:rPr>
  </w:style>
  <w:style w:type="paragraph" w:styleId="TOCHeading">
    <w:name w:val="TOC Heading"/>
    <w:basedOn w:val="Heading1"/>
    <w:next w:val="Normal"/>
    <w:uiPriority w:val="39"/>
    <w:qFormat/>
    <w:rsid w:val="001256B5"/>
    <w:pPr>
      <w:spacing w:before="480" w:line="276" w:lineRule="auto"/>
      <w:outlineLvl w:val="9"/>
    </w:pPr>
    <w:rPr>
      <w:rFonts w:ascii="Cambria" w:hAnsi="Cambria"/>
      <w:color w:val="365F91"/>
      <w:sz w:val="28"/>
    </w:rPr>
  </w:style>
  <w:style w:type="paragraph" w:styleId="BodyText">
    <w:name w:val="Body Text"/>
    <w:basedOn w:val="Normal"/>
    <w:link w:val="BodyTextChar"/>
    <w:uiPriority w:val="99"/>
    <w:unhideWhenUsed/>
    <w:rsid w:val="004861B4"/>
    <w:pPr>
      <w:spacing w:after="120"/>
    </w:pPr>
  </w:style>
  <w:style w:type="character" w:customStyle="1" w:styleId="BodyTextChar">
    <w:name w:val="Body Text Char"/>
    <w:basedOn w:val="DefaultParagraphFont"/>
    <w:link w:val="BodyText"/>
    <w:uiPriority w:val="99"/>
    <w:rsid w:val="004861B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13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CBB9D-1D61-4B14-8C9C-C927FEB8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debuckley</dc:creator>
  <cp:lastModifiedBy>shoffner</cp:lastModifiedBy>
  <cp:revision>2</cp:revision>
  <cp:lastPrinted>2012-11-19T14:13:00Z</cp:lastPrinted>
  <dcterms:created xsi:type="dcterms:W3CDTF">2012-11-27T14:52:00Z</dcterms:created>
  <dcterms:modified xsi:type="dcterms:W3CDTF">2012-11-27T14:52:00Z</dcterms:modified>
</cp:coreProperties>
</file>