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4FD6" w:rsidRDefault="008E4FD6" w:rsidP="008E4FD6">
      <w:pPr>
        <w:jc w:val="center"/>
        <w:rPr>
          <w:b/>
        </w:rPr>
      </w:pPr>
      <w:r>
        <w:rPr>
          <w:b/>
        </w:rPr>
        <w:t>BEFORE THE</w:t>
      </w:r>
    </w:p>
    <w:p w:rsidR="008E4FD6" w:rsidRDefault="008E4FD6" w:rsidP="008E4FD6">
      <w:pPr>
        <w:jc w:val="center"/>
        <w:rPr>
          <w:b/>
        </w:rPr>
      </w:pPr>
      <w:smartTag w:uri="urn:schemas-microsoft-com:office:smarttags" w:element="place">
        <w:smartTag w:uri="urn:schemas-microsoft-com:office:smarttags" w:element="State">
          <w:r>
            <w:rPr>
              <w:b/>
            </w:rPr>
            <w:t>PENNSYLVANIA</w:t>
          </w:r>
        </w:smartTag>
      </w:smartTag>
      <w:r>
        <w:rPr>
          <w:b/>
        </w:rPr>
        <w:t xml:space="preserve"> PUBLIC UTILITY COMMISSION</w:t>
      </w:r>
    </w:p>
    <w:p w:rsidR="008E4FD6" w:rsidRDefault="008E4FD6" w:rsidP="008E4FD6">
      <w:pPr>
        <w:jc w:val="center"/>
        <w:rPr>
          <w:b/>
        </w:rPr>
      </w:pPr>
    </w:p>
    <w:p w:rsidR="008E4FD6" w:rsidRDefault="008E4FD6" w:rsidP="008E4FD6">
      <w:pPr>
        <w:jc w:val="center"/>
        <w:rPr>
          <w:b/>
        </w:rPr>
      </w:pPr>
    </w:p>
    <w:p w:rsidR="008E4FD6" w:rsidRDefault="008E4FD6" w:rsidP="008E4FD6">
      <w:pPr>
        <w:jc w:val="center"/>
        <w:rPr>
          <w:b/>
        </w:rPr>
      </w:pPr>
    </w:p>
    <w:p w:rsidR="008E4FD6" w:rsidRDefault="00D1018C" w:rsidP="008E4FD6">
      <w:r>
        <w:t>Domenick Jacopino</w:t>
      </w:r>
      <w:r w:rsidR="00DB3C3C">
        <w:tab/>
      </w:r>
      <w:r w:rsidR="008E4FD6">
        <w:t xml:space="preserve"> </w:t>
      </w:r>
      <w:r w:rsidR="008E4FD6">
        <w:tab/>
      </w:r>
      <w:r w:rsidR="008E4FD6">
        <w:tab/>
      </w:r>
      <w:r w:rsidR="008E4FD6">
        <w:tab/>
      </w:r>
      <w:r w:rsidR="008E4FD6">
        <w:tab/>
        <w:t>:</w:t>
      </w:r>
    </w:p>
    <w:p w:rsidR="008E4FD6" w:rsidRDefault="008E4FD6" w:rsidP="008E4FD6">
      <w:r>
        <w:tab/>
      </w:r>
      <w:r>
        <w:tab/>
      </w:r>
      <w:r>
        <w:tab/>
      </w:r>
      <w:r>
        <w:tab/>
      </w:r>
      <w:r>
        <w:tab/>
      </w:r>
      <w:r>
        <w:tab/>
      </w:r>
      <w:r>
        <w:tab/>
        <w:t>:</w:t>
      </w:r>
    </w:p>
    <w:p w:rsidR="008E4FD6" w:rsidRDefault="008E4FD6" w:rsidP="008E4FD6">
      <w:r>
        <w:tab/>
        <w:t>v.</w:t>
      </w:r>
      <w:r>
        <w:tab/>
      </w:r>
      <w:r>
        <w:tab/>
      </w:r>
      <w:r>
        <w:tab/>
      </w:r>
      <w:r>
        <w:tab/>
      </w:r>
      <w:r>
        <w:tab/>
      </w:r>
      <w:r>
        <w:tab/>
        <w:t>:</w:t>
      </w:r>
      <w:r>
        <w:tab/>
      </w:r>
      <w:r>
        <w:tab/>
      </w:r>
      <w:r w:rsidR="00D1018C">
        <w:t>C-2012-2304555</w:t>
      </w:r>
    </w:p>
    <w:p w:rsidR="008E4FD6" w:rsidRDefault="008E4FD6" w:rsidP="008E4FD6">
      <w:r>
        <w:tab/>
      </w:r>
      <w:r>
        <w:tab/>
      </w:r>
      <w:r>
        <w:tab/>
      </w:r>
      <w:r>
        <w:tab/>
      </w:r>
      <w:r>
        <w:tab/>
      </w:r>
      <w:r>
        <w:tab/>
      </w:r>
      <w:r>
        <w:tab/>
        <w:t>:</w:t>
      </w:r>
    </w:p>
    <w:p w:rsidR="0086657E" w:rsidRDefault="00B70A36" w:rsidP="008E4FD6">
      <w:r>
        <w:t>PPL Electric Utilities Corporation</w:t>
      </w:r>
      <w:r w:rsidR="0086657E">
        <w:t xml:space="preserve"> </w:t>
      </w:r>
      <w:r w:rsidR="009D47A5">
        <w:tab/>
      </w:r>
      <w:r w:rsidR="009D47A5">
        <w:tab/>
      </w:r>
      <w:r w:rsidR="009D47A5">
        <w:tab/>
        <w:t>:</w:t>
      </w:r>
    </w:p>
    <w:p w:rsidR="008E4FD6" w:rsidRDefault="008E4FD6" w:rsidP="008E4FD6">
      <w:pPr>
        <w:tabs>
          <w:tab w:val="left" w:pos="1076"/>
        </w:tabs>
      </w:pPr>
    </w:p>
    <w:p w:rsidR="008E4FD6" w:rsidRDefault="008E4FD6" w:rsidP="008E4FD6">
      <w:pPr>
        <w:tabs>
          <w:tab w:val="left" w:pos="1076"/>
        </w:tabs>
      </w:pPr>
    </w:p>
    <w:p w:rsidR="008E4FD6" w:rsidRDefault="008E4FD6" w:rsidP="008E4FD6"/>
    <w:p w:rsidR="008E4FD6" w:rsidRPr="00D003FC" w:rsidRDefault="008E4FD6" w:rsidP="008E4FD6">
      <w:pPr>
        <w:jc w:val="center"/>
        <w:rPr>
          <w:b/>
          <w:u w:val="single"/>
        </w:rPr>
      </w:pPr>
      <w:r w:rsidRPr="00D003FC">
        <w:rPr>
          <w:b/>
          <w:u w:val="single"/>
        </w:rPr>
        <w:t>INITIAL DECISION</w:t>
      </w:r>
    </w:p>
    <w:p w:rsidR="008E4FD6" w:rsidRDefault="008E4FD6" w:rsidP="008E4FD6">
      <w:pPr>
        <w:jc w:val="center"/>
      </w:pPr>
    </w:p>
    <w:p w:rsidR="009D47A5" w:rsidRDefault="009D47A5" w:rsidP="008E4FD6">
      <w:pPr>
        <w:jc w:val="center"/>
      </w:pPr>
    </w:p>
    <w:p w:rsidR="008E4FD6" w:rsidRDefault="008E4FD6" w:rsidP="008E4FD6">
      <w:pPr>
        <w:jc w:val="center"/>
      </w:pPr>
      <w:r>
        <w:t>Before</w:t>
      </w:r>
    </w:p>
    <w:p w:rsidR="008E4FD6" w:rsidRDefault="00230D97" w:rsidP="008E4FD6">
      <w:pPr>
        <w:jc w:val="center"/>
      </w:pPr>
      <w:r>
        <w:t>Katrina L. Dunderdale</w:t>
      </w:r>
    </w:p>
    <w:p w:rsidR="008E4FD6" w:rsidRDefault="008E4FD6" w:rsidP="008E4FD6">
      <w:pPr>
        <w:jc w:val="center"/>
      </w:pPr>
      <w:r>
        <w:t>Administrative Law Judge</w:t>
      </w:r>
    </w:p>
    <w:p w:rsidR="008E4FD6" w:rsidRDefault="008E4FD6" w:rsidP="008E4FD6">
      <w:pPr>
        <w:jc w:val="center"/>
      </w:pPr>
    </w:p>
    <w:p w:rsidR="008E4FD6" w:rsidRDefault="008E4FD6" w:rsidP="008E4FD6">
      <w:pPr>
        <w:jc w:val="center"/>
      </w:pPr>
    </w:p>
    <w:p w:rsidR="008E4FD6" w:rsidRDefault="008E4FD6" w:rsidP="008E4FD6">
      <w:pPr>
        <w:jc w:val="center"/>
        <w:rPr>
          <w:u w:val="single"/>
        </w:rPr>
      </w:pPr>
      <w:r w:rsidRPr="00D0753A">
        <w:rPr>
          <w:u w:val="single"/>
        </w:rPr>
        <w:t>HISTORY OF THE PR</w:t>
      </w:r>
      <w:smartTag w:uri="urn:schemas-microsoft-com:office:smarttags" w:element="PersonName">
        <w:r w:rsidRPr="00D0753A">
          <w:rPr>
            <w:u w:val="single"/>
          </w:rPr>
          <w:t>OC</w:t>
        </w:r>
      </w:smartTag>
      <w:r w:rsidRPr="00D0753A">
        <w:rPr>
          <w:u w:val="single"/>
        </w:rPr>
        <w:t>EEDING</w:t>
      </w:r>
    </w:p>
    <w:p w:rsidR="008E4FD6" w:rsidRDefault="008E4FD6" w:rsidP="008E4FD6">
      <w:pPr>
        <w:jc w:val="center"/>
      </w:pPr>
    </w:p>
    <w:p w:rsidR="008E4FD6" w:rsidRDefault="008E4FD6" w:rsidP="008E4FD6"/>
    <w:p w:rsidR="008E4FD6" w:rsidRDefault="007A618A" w:rsidP="008E4FD6">
      <w:pPr>
        <w:tabs>
          <w:tab w:val="left" w:pos="-1440"/>
          <w:tab w:val="left" w:pos="-720"/>
        </w:tabs>
        <w:suppressAutoHyphens/>
        <w:spacing w:line="360" w:lineRule="auto"/>
        <w:ind w:firstLine="1440"/>
        <w:rPr>
          <w:spacing w:val="-3"/>
        </w:rPr>
      </w:pPr>
      <w:r>
        <w:t xml:space="preserve">This decision dismisses a complaint </w:t>
      </w:r>
      <w:r w:rsidR="00D1018C">
        <w:t>Domenick Jacopino</w:t>
      </w:r>
      <w:r w:rsidR="00AC1F4C">
        <w:t xml:space="preserve"> </w:t>
      </w:r>
      <w:r w:rsidR="008E4FD6">
        <w:t>(</w:t>
      </w:r>
      <w:r w:rsidR="00AC1F4C">
        <w:t>“</w:t>
      </w:r>
      <w:r w:rsidR="008E4FD6">
        <w:t>Complainant</w:t>
      </w:r>
      <w:r w:rsidR="00AC1F4C">
        <w:t>”</w:t>
      </w:r>
      <w:r w:rsidR="008E4FD6">
        <w:t xml:space="preserve">) filed </w:t>
      </w:r>
      <w:r w:rsidR="00E71731">
        <w:t xml:space="preserve">on </w:t>
      </w:r>
      <w:r w:rsidR="00D1018C">
        <w:t>May 3, 2012</w:t>
      </w:r>
      <w:r w:rsidR="008E4FD6">
        <w:t xml:space="preserve"> with the Pennsylvania Public Utility Commission</w:t>
      </w:r>
      <w:r w:rsidR="00A831C5">
        <w:t xml:space="preserve"> (“Commission”)</w:t>
      </w:r>
      <w:r w:rsidR="008E4FD6">
        <w:t xml:space="preserve"> </w:t>
      </w:r>
      <w:r>
        <w:t xml:space="preserve">concerning </w:t>
      </w:r>
      <w:r w:rsidR="00D1018C">
        <w:t>the</w:t>
      </w:r>
      <w:r>
        <w:t xml:space="preserve"> electric services account with</w:t>
      </w:r>
      <w:r w:rsidR="008E4FD6">
        <w:t xml:space="preserve"> </w:t>
      </w:r>
      <w:r w:rsidR="00B70A36">
        <w:t>PPL Electric Utilities Corporation</w:t>
      </w:r>
      <w:r w:rsidR="00AC1F4C">
        <w:t xml:space="preserve"> (“</w:t>
      </w:r>
      <w:r w:rsidR="008E4FD6">
        <w:t>Respondent</w:t>
      </w:r>
      <w:r w:rsidR="00AC1F4C">
        <w:t>”</w:t>
      </w:r>
      <w:r w:rsidR="00F03EF9">
        <w:t xml:space="preserve"> or “</w:t>
      </w:r>
      <w:r w:rsidR="00B70A36">
        <w:t>PPL</w:t>
      </w:r>
      <w:r w:rsidR="00F03EF9">
        <w:t>”</w:t>
      </w:r>
      <w:r w:rsidR="00A831C5">
        <w:t>)</w:t>
      </w:r>
      <w:r>
        <w:t xml:space="preserve">.  </w:t>
      </w:r>
      <w:r w:rsidR="006600C0">
        <w:t xml:space="preserve">Complainant alleges he cannot afford to make the payments Respondent requires or as directed by the Commission’s Bureau of Consumer Services (“BCS”) under a plan issued at BCS Case No. 2943287.  Complainant seeks a more affordable payment plan.  Respondent answered the complaint on June 6, 2012 and averred the best payment arrangement available to Complainant is the payment plan directed by the Commission’s BCS at BCS Case No. 2943287.  </w:t>
      </w:r>
      <w:r w:rsidR="006600C0">
        <w:rPr>
          <w:spacing w:val="-3"/>
        </w:rPr>
        <w:t xml:space="preserve"> </w:t>
      </w:r>
      <w:r w:rsidR="00201B03">
        <w:t xml:space="preserve">  </w:t>
      </w:r>
      <w:r w:rsidR="008E4FD6">
        <w:rPr>
          <w:spacing w:val="-3"/>
        </w:rPr>
        <w:t xml:space="preserve"> </w:t>
      </w:r>
    </w:p>
    <w:p w:rsidR="00513D94" w:rsidRDefault="00513D94" w:rsidP="008E4FD6">
      <w:pPr>
        <w:tabs>
          <w:tab w:val="left" w:pos="-1440"/>
          <w:tab w:val="left" w:pos="-720"/>
        </w:tabs>
        <w:suppressAutoHyphens/>
        <w:spacing w:line="360" w:lineRule="auto"/>
        <w:ind w:firstLine="1440"/>
        <w:rPr>
          <w:spacing w:val="-3"/>
        </w:rPr>
      </w:pPr>
    </w:p>
    <w:p w:rsidR="00183F29" w:rsidRDefault="00A35B4B" w:rsidP="00D85ADB">
      <w:pPr>
        <w:tabs>
          <w:tab w:val="left" w:pos="2160"/>
        </w:tabs>
        <w:spacing w:line="360" w:lineRule="auto"/>
        <w:ind w:firstLine="1440"/>
      </w:pPr>
      <w:r>
        <w:t>By Telephone Hearing Notice dated</w:t>
      </w:r>
      <w:r w:rsidR="00B70664">
        <w:t xml:space="preserve"> </w:t>
      </w:r>
      <w:r w:rsidR="006600C0">
        <w:t>July 13, 2012</w:t>
      </w:r>
      <w:r>
        <w:t xml:space="preserve">, the </w:t>
      </w:r>
      <w:r w:rsidR="00460FB3">
        <w:t>Office of Administrative Law Judge</w:t>
      </w:r>
      <w:r>
        <w:t xml:space="preserve"> notified </w:t>
      </w:r>
      <w:r w:rsidR="00460FB3">
        <w:t xml:space="preserve">the parties </w:t>
      </w:r>
      <w:r>
        <w:t xml:space="preserve">an initial telephonic hearing in this case was scheduled for </w:t>
      </w:r>
      <w:r w:rsidR="006600C0">
        <w:t>Monday, August 27, 2012</w:t>
      </w:r>
      <w:r>
        <w:t xml:space="preserve"> at </w:t>
      </w:r>
      <w:r w:rsidR="00E71731">
        <w:t>1</w:t>
      </w:r>
      <w:r w:rsidR="006600C0">
        <w:t>0</w:t>
      </w:r>
      <w:r>
        <w:t>:</w:t>
      </w:r>
      <w:r w:rsidR="006600C0">
        <w:t>3</w:t>
      </w:r>
      <w:r>
        <w:t xml:space="preserve">0 </w:t>
      </w:r>
      <w:r w:rsidR="006600C0">
        <w:t>a</w:t>
      </w:r>
      <w:r>
        <w:t xml:space="preserve">.m.  </w:t>
      </w:r>
      <w:r>
        <w:rPr>
          <w:spacing w:val="-3"/>
        </w:rPr>
        <w:t xml:space="preserve">On </w:t>
      </w:r>
      <w:r w:rsidR="006600C0">
        <w:rPr>
          <w:spacing w:val="-3"/>
        </w:rPr>
        <w:t>July 17, 2012</w:t>
      </w:r>
      <w:r>
        <w:rPr>
          <w:spacing w:val="-3"/>
        </w:rPr>
        <w:t>, the undersigned issued a Prehearing Order</w:t>
      </w:r>
      <w:r w:rsidR="00D85ADB">
        <w:rPr>
          <w:spacing w:val="-3"/>
        </w:rPr>
        <w:t xml:space="preserve"> </w:t>
      </w:r>
      <w:r w:rsidR="00D85ADB">
        <w:t xml:space="preserve">setting forth </w:t>
      </w:r>
      <w:r w:rsidR="00D85ADB" w:rsidRPr="009F5BA4">
        <w:t>the date and time of the scheduled hearing</w:t>
      </w:r>
      <w:r w:rsidR="00D85ADB">
        <w:t xml:space="preserve">.  </w:t>
      </w:r>
    </w:p>
    <w:p w:rsidR="00D85ADB" w:rsidRDefault="00D85ADB" w:rsidP="00D85ADB">
      <w:pPr>
        <w:tabs>
          <w:tab w:val="left" w:pos="2160"/>
        </w:tabs>
        <w:spacing w:line="360" w:lineRule="auto"/>
        <w:ind w:firstLine="1440"/>
      </w:pPr>
      <w:r>
        <w:t xml:space="preserve">    </w:t>
      </w:r>
    </w:p>
    <w:p w:rsidR="00B26A72" w:rsidRDefault="00166246" w:rsidP="00B26A72">
      <w:pPr>
        <w:tabs>
          <w:tab w:val="left" w:pos="2160"/>
        </w:tabs>
        <w:spacing w:line="360" w:lineRule="auto"/>
        <w:ind w:firstLine="1440"/>
      </w:pPr>
      <w:r>
        <w:lastRenderedPageBreak/>
        <w:t xml:space="preserve">The </w:t>
      </w:r>
      <w:r w:rsidR="00FA25F9">
        <w:t xml:space="preserve">undersigned convened the </w:t>
      </w:r>
      <w:r>
        <w:t xml:space="preserve">hearing as scheduled.  </w:t>
      </w:r>
      <w:r w:rsidR="00FA25F9">
        <w:t>Complainant</w:t>
      </w:r>
      <w:r w:rsidR="006600C0">
        <w:t>’s wife, Louise Jacopino,</w:t>
      </w:r>
      <w:r w:rsidR="00FA25F9">
        <w:t xml:space="preserve"> appeared </w:t>
      </w:r>
      <w:r w:rsidR="00FA25F9" w:rsidRPr="00FA25F9">
        <w:rPr>
          <w:i/>
        </w:rPr>
        <w:t>pro</w:t>
      </w:r>
      <w:r w:rsidR="005F0E18">
        <w:rPr>
          <w:i/>
        </w:rPr>
        <w:t> </w:t>
      </w:r>
      <w:r w:rsidR="00FA25F9" w:rsidRPr="00FA25F9">
        <w:rPr>
          <w:i/>
        </w:rPr>
        <w:t>se.</w:t>
      </w:r>
      <w:r w:rsidR="00FA25F9">
        <w:t xml:space="preserve">  </w:t>
      </w:r>
      <w:r w:rsidR="006600C0">
        <w:t>Kimberly G. Krupka</w:t>
      </w:r>
      <w:r>
        <w:t xml:space="preserve">, Esquire, </w:t>
      </w:r>
      <w:r w:rsidR="00FA25F9">
        <w:t>represented Respondent</w:t>
      </w:r>
      <w:r w:rsidR="00D47923">
        <w:t xml:space="preserve"> and</w:t>
      </w:r>
      <w:r w:rsidR="00FA25F9">
        <w:t xml:space="preserve"> sponsored three exhibits, which exhibits were admitted into the record.  </w:t>
      </w:r>
      <w:r w:rsidR="00B26A72">
        <w:t>N</w:t>
      </w:r>
      <w:r w:rsidR="00D47923">
        <w:t>either party filed a</w:t>
      </w:r>
      <w:r w:rsidR="00B26A72">
        <w:t xml:space="preserve"> brief.  The hearing record consists of a </w:t>
      </w:r>
      <w:r w:rsidR="006600C0">
        <w:t>transcript made</w:t>
      </w:r>
      <w:r w:rsidR="00FC5362">
        <w:t xml:space="preserve"> at the time of the proceeding</w:t>
      </w:r>
      <w:r w:rsidR="00B26A72">
        <w:t xml:space="preserve">.  </w:t>
      </w:r>
      <w:r w:rsidR="00FB08B0">
        <w:t xml:space="preserve">The hearing record closed upon </w:t>
      </w:r>
      <w:r w:rsidR="00955815">
        <w:t>receipt of the transcript on September 7, 2012</w:t>
      </w:r>
      <w:r w:rsidR="00FB08B0">
        <w:t xml:space="preserve">.  </w:t>
      </w:r>
    </w:p>
    <w:p w:rsidR="005531AF" w:rsidRDefault="005531AF" w:rsidP="00B26A72">
      <w:pPr>
        <w:tabs>
          <w:tab w:val="left" w:pos="2160"/>
        </w:tabs>
        <w:spacing w:line="360" w:lineRule="auto"/>
        <w:ind w:firstLine="1440"/>
      </w:pPr>
    </w:p>
    <w:p w:rsidR="008E4FD6" w:rsidRDefault="008E4FD6" w:rsidP="008E4FD6">
      <w:pPr>
        <w:tabs>
          <w:tab w:val="left" w:pos="2160"/>
        </w:tabs>
        <w:spacing w:line="360" w:lineRule="auto"/>
        <w:jc w:val="center"/>
        <w:rPr>
          <w:u w:val="single"/>
        </w:rPr>
      </w:pPr>
      <w:r>
        <w:rPr>
          <w:u w:val="single"/>
        </w:rPr>
        <w:t xml:space="preserve">FINDINGS OF </w:t>
      </w:r>
      <w:smartTag w:uri="urn:schemas-microsoft-com:office:smarttags" w:element="stockticker">
        <w:r>
          <w:rPr>
            <w:u w:val="single"/>
          </w:rPr>
          <w:t>FACT</w:t>
        </w:r>
      </w:smartTag>
    </w:p>
    <w:p w:rsidR="008E4FD6" w:rsidRDefault="008E4FD6" w:rsidP="008E4FD6">
      <w:pPr>
        <w:tabs>
          <w:tab w:val="left" w:pos="2160"/>
        </w:tabs>
        <w:spacing w:line="360" w:lineRule="auto"/>
        <w:rPr>
          <w:u w:val="single"/>
        </w:rPr>
      </w:pPr>
    </w:p>
    <w:p w:rsidR="00AB2FF3" w:rsidRDefault="00F03EF9" w:rsidP="008E4FD6">
      <w:pPr>
        <w:tabs>
          <w:tab w:val="left" w:pos="2160"/>
        </w:tabs>
        <w:spacing w:line="360" w:lineRule="auto"/>
        <w:ind w:firstLine="1440"/>
      </w:pPr>
      <w:r>
        <w:t>1.</w:t>
      </w:r>
      <w:r>
        <w:tab/>
      </w:r>
      <w:r w:rsidR="00FB08B0">
        <w:t xml:space="preserve">Complainant, </w:t>
      </w:r>
      <w:r w:rsidR="006600C0">
        <w:t>Domenick Jacopino, and his wife, Louise Jacopino</w:t>
      </w:r>
      <w:r w:rsidR="00FB08B0">
        <w:t xml:space="preserve">, reside at </w:t>
      </w:r>
      <w:r w:rsidR="006600C0">
        <w:t>69 Navajo Trail, Gouldsboro</w:t>
      </w:r>
      <w:r w:rsidR="006A3267">
        <w:t xml:space="preserve">, Pennsylvania </w:t>
      </w:r>
      <w:r w:rsidR="00AB2FF3">
        <w:t>18</w:t>
      </w:r>
      <w:r w:rsidR="00A305C6">
        <w:t>4</w:t>
      </w:r>
      <w:r w:rsidR="006600C0">
        <w:t>24</w:t>
      </w:r>
      <w:r w:rsidR="00C30F1E">
        <w:t xml:space="preserve"> (“service address”)</w:t>
      </w:r>
      <w:r w:rsidR="006A3267">
        <w:t>.</w:t>
      </w:r>
      <w:r w:rsidR="006015EF">
        <w:t xml:space="preserve">  (Tr. 10).</w:t>
      </w:r>
    </w:p>
    <w:p w:rsidR="00FB08B0" w:rsidRDefault="006A3267" w:rsidP="008E4FD6">
      <w:pPr>
        <w:tabs>
          <w:tab w:val="left" w:pos="2160"/>
        </w:tabs>
        <w:spacing w:line="360" w:lineRule="auto"/>
        <w:ind w:firstLine="1440"/>
      </w:pPr>
      <w:r>
        <w:t xml:space="preserve">  </w:t>
      </w:r>
    </w:p>
    <w:p w:rsidR="00FB08B0" w:rsidRDefault="006A3267" w:rsidP="008E4FD6">
      <w:pPr>
        <w:tabs>
          <w:tab w:val="left" w:pos="2160"/>
        </w:tabs>
        <w:spacing w:line="360" w:lineRule="auto"/>
        <w:ind w:firstLine="1440"/>
      </w:pPr>
      <w:r>
        <w:t>2.</w:t>
      </w:r>
      <w:r>
        <w:tab/>
        <w:t xml:space="preserve">Respondent, PPL Electric Utilities Corporation, provides residential electric service to </w:t>
      </w:r>
      <w:r w:rsidR="00C30F1E">
        <w:t>the service address</w:t>
      </w:r>
      <w:r>
        <w:t xml:space="preserve">.  </w:t>
      </w:r>
      <w:r w:rsidR="006015EF">
        <w:t>(Tr. 11).</w:t>
      </w:r>
    </w:p>
    <w:p w:rsidR="00FB08B0" w:rsidRDefault="00FB08B0" w:rsidP="008E4FD6">
      <w:pPr>
        <w:tabs>
          <w:tab w:val="left" w:pos="2160"/>
        </w:tabs>
        <w:spacing w:line="360" w:lineRule="auto"/>
        <w:ind w:firstLine="1440"/>
      </w:pPr>
    </w:p>
    <w:p w:rsidR="003C7DEA" w:rsidRDefault="00425E57" w:rsidP="003C7DEA">
      <w:pPr>
        <w:tabs>
          <w:tab w:val="left" w:pos="2160"/>
        </w:tabs>
        <w:spacing w:line="360" w:lineRule="auto"/>
        <w:ind w:firstLine="1440"/>
      </w:pPr>
      <w:r>
        <w:t xml:space="preserve">3. </w:t>
      </w:r>
      <w:r>
        <w:tab/>
        <w:t xml:space="preserve">Complainant has been a residential customer of Respondent </w:t>
      </w:r>
      <w:r w:rsidR="006600C0">
        <w:t>since November 2005</w:t>
      </w:r>
      <w:r>
        <w:t xml:space="preserve"> and uses electric heat </w:t>
      </w:r>
      <w:r w:rsidR="006600C0">
        <w:t xml:space="preserve">and one propane-powered heater </w:t>
      </w:r>
      <w:r>
        <w:t xml:space="preserve">to warm </w:t>
      </w:r>
      <w:r w:rsidR="006600C0">
        <w:t xml:space="preserve">the </w:t>
      </w:r>
      <w:r w:rsidR="009A50CB">
        <w:t xml:space="preserve">two-story, </w:t>
      </w:r>
      <w:r w:rsidR="006600C0">
        <w:t>single-family</w:t>
      </w:r>
      <w:r>
        <w:t xml:space="preserve"> home.  </w:t>
      </w:r>
      <w:r w:rsidR="006015EF">
        <w:t>(Tr. 10</w:t>
      </w:r>
      <w:r w:rsidR="009A50CB">
        <w:t>, 16</w:t>
      </w:r>
      <w:r w:rsidR="006015EF">
        <w:t>).</w:t>
      </w:r>
    </w:p>
    <w:p w:rsidR="003C7DEA" w:rsidRDefault="003C7DEA" w:rsidP="003C7DEA">
      <w:pPr>
        <w:tabs>
          <w:tab w:val="left" w:pos="2160"/>
        </w:tabs>
        <w:spacing w:line="360" w:lineRule="auto"/>
        <w:ind w:firstLine="1440"/>
      </w:pPr>
    </w:p>
    <w:p w:rsidR="003C7DEA" w:rsidRDefault="003C7DEA" w:rsidP="003C7DEA">
      <w:pPr>
        <w:tabs>
          <w:tab w:val="left" w:pos="2160"/>
        </w:tabs>
        <w:spacing w:line="360" w:lineRule="auto"/>
        <w:ind w:firstLine="1440"/>
      </w:pPr>
      <w:r>
        <w:t>4.</w:t>
      </w:r>
      <w:r>
        <w:tab/>
      </w:r>
      <w:r w:rsidR="00C30F1E">
        <w:t xml:space="preserve">Since 2005, </w:t>
      </w:r>
      <w:r>
        <w:t>Complainant</w:t>
      </w:r>
      <w:r w:rsidR="00D7410E">
        <w:t>’s health has deteriorated due to triple bypass surgery, diabetes and asbestos exposure, and currently</w:t>
      </w:r>
      <w:r>
        <w:t xml:space="preserve"> requires oxygen</w:t>
      </w:r>
      <w:r w:rsidR="00D7410E">
        <w:t xml:space="preserve"> 24 hours per day, seven days per week.  (Tr. </w:t>
      </w:r>
      <w:r w:rsidR="006015EF">
        <w:t>11</w:t>
      </w:r>
      <w:r w:rsidR="009A50CB">
        <w:t>, 14</w:t>
      </w:r>
      <w:r w:rsidR="00D7410E">
        <w:t>).</w:t>
      </w:r>
    </w:p>
    <w:p w:rsidR="00425E57" w:rsidRDefault="00425E57" w:rsidP="008E4FD6">
      <w:pPr>
        <w:tabs>
          <w:tab w:val="left" w:pos="2160"/>
        </w:tabs>
        <w:spacing w:line="360" w:lineRule="auto"/>
        <w:ind w:firstLine="1440"/>
      </w:pPr>
    </w:p>
    <w:p w:rsidR="00425E57" w:rsidRDefault="00C30F1E" w:rsidP="008E4FD6">
      <w:pPr>
        <w:tabs>
          <w:tab w:val="left" w:pos="2160"/>
        </w:tabs>
        <w:spacing w:line="360" w:lineRule="auto"/>
        <w:ind w:firstLine="1440"/>
      </w:pPr>
      <w:r>
        <w:t>5</w:t>
      </w:r>
      <w:r w:rsidR="00425E57">
        <w:t>.</w:t>
      </w:r>
      <w:r w:rsidR="00425E57">
        <w:tab/>
      </w:r>
      <w:r w:rsidR="00955815">
        <w:t xml:space="preserve">Both </w:t>
      </w:r>
      <w:r w:rsidR="00425E57">
        <w:t xml:space="preserve">Complainant </w:t>
      </w:r>
      <w:r w:rsidR="006600C0">
        <w:t xml:space="preserve">and his wife </w:t>
      </w:r>
      <w:r w:rsidR="00955815">
        <w:t xml:space="preserve">retired in 2003 and </w:t>
      </w:r>
      <w:r w:rsidR="006600C0">
        <w:t>are</w:t>
      </w:r>
      <w:r w:rsidR="00425E57">
        <w:t xml:space="preserve"> on fixed income</w:t>
      </w:r>
      <w:r w:rsidR="006600C0">
        <w:t>s</w:t>
      </w:r>
      <w:r w:rsidR="00955815">
        <w:t>.  T</w:t>
      </w:r>
      <w:r>
        <w:t>ogether t</w:t>
      </w:r>
      <w:r w:rsidR="00955815">
        <w:t>hey r</w:t>
      </w:r>
      <w:r w:rsidR="006600C0">
        <w:t>eceive</w:t>
      </w:r>
      <w:r w:rsidR="00425E57">
        <w:t xml:space="preserve"> approximately $</w:t>
      </w:r>
      <w:r w:rsidR="006600C0">
        <w:t>2,263.00</w:t>
      </w:r>
      <w:r w:rsidR="00425E57">
        <w:t xml:space="preserve"> monthly in </w:t>
      </w:r>
      <w:r w:rsidR="006600C0">
        <w:t>Social Security</w:t>
      </w:r>
      <w:r w:rsidR="00425E57">
        <w:t xml:space="preserve"> income</w:t>
      </w:r>
      <w:r w:rsidR="00955815">
        <w:t xml:space="preserve"> in addition to receiving </w:t>
      </w:r>
      <w:r w:rsidR="006600C0">
        <w:t>$119.00 month</w:t>
      </w:r>
      <w:r w:rsidR="00955815">
        <w:t>ly</w:t>
      </w:r>
      <w:r w:rsidR="006600C0">
        <w:t xml:space="preserve"> in food stamps.</w:t>
      </w:r>
      <w:r w:rsidR="00425E57">
        <w:t xml:space="preserve">  </w:t>
      </w:r>
      <w:r w:rsidR="009A50CB">
        <w:t>(Tr. 17, 18).</w:t>
      </w:r>
    </w:p>
    <w:p w:rsidR="00955815" w:rsidRDefault="00955815" w:rsidP="008E4FD6">
      <w:pPr>
        <w:tabs>
          <w:tab w:val="left" w:pos="2160"/>
        </w:tabs>
        <w:spacing w:line="360" w:lineRule="auto"/>
        <w:ind w:firstLine="1440"/>
      </w:pPr>
    </w:p>
    <w:p w:rsidR="00955815" w:rsidRDefault="00C30F1E" w:rsidP="008E4FD6">
      <w:pPr>
        <w:tabs>
          <w:tab w:val="left" w:pos="2160"/>
        </w:tabs>
        <w:spacing w:line="360" w:lineRule="auto"/>
        <w:ind w:firstLine="1440"/>
      </w:pPr>
      <w:r>
        <w:t>6</w:t>
      </w:r>
      <w:r w:rsidR="00955815">
        <w:t>.</w:t>
      </w:r>
      <w:r w:rsidR="00955815">
        <w:tab/>
        <w:t xml:space="preserve">Complainant and his wife </w:t>
      </w:r>
      <w:r w:rsidR="00E07E5E">
        <w:t xml:space="preserve">spend </w:t>
      </w:r>
      <w:r w:rsidR="00955815">
        <w:t>the following amounts monthly:</w:t>
      </w:r>
    </w:p>
    <w:p w:rsidR="00E07E5E" w:rsidRDefault="00E07E5E" w:rsidP="00E07E5E">
      <w:pPr>
        <w:tabs>
          <w:tab w:val="left" w:pos="2160"/>
        </w:tabs>
        <w:spacing w:line="360" w:lineRule="auto"/>
        <w:ind w:left="720" w:firstLine="1440"/>
      </w:pPr>
      <w:r>
        <w:t xml:space="preserve">Mortgage </w:t>
      </w:r>
      <w:r>
        <w:tab/>
      </w:r>
      <w:r>
        <w:tab/>
      </w:r>
      <w:r>
        <w:tab/>
      </w:r>
      <w:r>
        <w:tab/>
        <w:t>$830.89</w:t>
      </w:r>
    </w:p>
    <w:p w:rsidR="00E07E5E" w:rsidRDefault="00E07E5E" w:rsidP="00E07E5E">
      <w:pPr>
        <w:tabs>
          <w:tab w:val="left" w:pos="2160"/>
        </w:tabs>
        <w:spacing w:line="360" w:lineRule="auto"/>
        <w:ind w:left="720" w:firstLine="1440"/>
      </w:pPr>
      <w:r>
        <w:tab/>
        <w:t>(Includes interest, taxes and homeowners insurance)</w:t>
      </w:r>
    </w:p>
    <w:p w:rsidR="00E07E5E" w:rsidRDefault="00E07E5E" w:rsidP="00E07E5E">
      <w:pPr>
        <w:tabs>
          <w:tab w:val="left" w:pos="2160"/>
        </w:tabs>
        <w:spacing w:line="360" w:lineRule="auto"/>
        <w:ind w:left="720" w:firstLine="1440"/>
      </w:pPr>
      <w:r>
        <w:t>Car payment</w:t>
      </w:r>
      <w:r>
        <w:tab/>
      </w:r>
      <w:r>
        <w:tab/>
      </w:r>
      <w:r>
        <w:tab/>
      </w:r>
      <w:r>
        <w:tab/>
        <w:t>$289.33</w:t>
      </w:r>
    </w:p>
    <w:p w:rsidR="00E07E5E" w:rsidRDefault="00E07E5E" w:rsidP="00E07E5E">
      <w:pPr>
        <w:tabs>
          <w:tab w:val="left" w:pos="2160"/>
        </w:tabs>
        <w:spacing w:line="360" w:lineRule="auto"/>
        <w:ind w:left="720" w:firstLine="1440"/>
      </w:pPr>
      <w:r>
        <w:t>Gasoline</w:t>
      </w:r>
      <w:r>
        <w:tab/>
      </w:r>
      <w:r>
        <w:tab/>
      </w:r>
      <w:r>
        <w:tab/>
      </w:r>
      <w:r>
        <w:tab/>
        <w:t>$100.00</w:t>
      </w:r>
    </w:p>
    <w:p w:rsidR="00E07E5E" w:rsidRDefault="00E07E5E" w:rsidP="00E07E5E">
      <w:pPr>
        <w:tabs>
          <w:tab w:val="left" w:pos="2160"/>
        </w:tabs>
        <w:spacing w:line="360" w:lineRule="auto"/>
        <w:ind w:left="720" w:firstLine="1440"/>
      </w:pPr>
      <w:r>
        <w:lastRenderedPageBreak/>
        <w:t>Car Insurance</w:t>
      </w:r>
      <w:r>
        <w:tab/>
      </w:r>
      <w:r>
        <w:tab/>
      </w:r>
      <w:r>
        <w:tab/>
      </w:r>
      <w:r>
        <w:tab/>
        <w:t>$99.79</w:t>
      </w:r>
    </w:p>
    <w:p w:rsidR="00E07E5E" w:rsidRDefault="00E07E5E" w:rsidP="008E4FD6">
      <w:pPr>
        <w:tabs>
          <w:tab w:val="left" w:pos="2160"/>
        </w:tabs>
        <w:spacing w:line="360" w:lineRule="auto"/>
        <w:ind w:firstLine="1440"/>
      </w:pPr>
      <w:r>
        <w:tab/>
        <w:t>Electric</w:t>
      </w:r>
      <w:r>
        <w:tab/>
      </w:r>
      <w:r>
        <w:tab/>
      </w:r>
      <w:r>
        <w:tab/>
      </w:r>
      <w:r>
        <w:tab/>
        <w:t>$224.00</w:t>
      </w:r>
    </w:p>
    <w:p w:rsidR="00955815" w:rsidRDefault="00955815" w:rsidP="00E07E5E">
      <w:pPr>
        <w:tabs>
          <w:tab w:val="left" w:pos="2160"/>
        </w:tabs>
        <w:spacing w:line="360" w:lineRule="auto"/>
        <w:ind w:left="720" w:firstLine="1440"/>
      </w:pPr>
      <w:r>
        <w:t>Food (in addition to food stamps)</w:t>
      </w:r>
      <w:r>
        <w:tab/>
        <w:t>$130.00</w:t>
      </w:r>
    </w:p>
    <w:p w:rsidR="00955815" w:rsidRDefault="00955815" w:rsidP="00E07E5E">
      <w:pPr>
        <w:tabs>
          <w:tab w:val="left" w:pos="2160"/>
        </w:tabs>
        <w:spacing w:line="360" w:lineRule="auto"/>
        <w:ind w:left="720" w:firstLine="1440"/>
      </w:pPr>
      <w:r>
        <w:t>Telephone, cable, internet</w:t>
      </w:r>
      <w:r>
        <w:tab/>
      </w:r>
      <w:r>
        <w:tab/>
        <w:t>$144.88</w:t>
      </w:r>
    </w:p>
    <w:p w:rsidR="00955815" w:rsidRDefault="00955815" w:rsidP="00E07E5E">
      <w:pPr>
        <w:tabs>
          <w:tab w:val="left" w:pos="2160"/>
        </w:tabs>
        <w:spacing w:line="360" w:lineRule="auto"/>
        <w:ind w:left="720" w:firstLine="1440"/>
      </w:pPr>
      <w:r>
        <w:t>Wife’s life insurance</w:t>
      </w:r>
      <w:r>
        <w:tab/>
      </w:r>
      <w:r>
        <w:tab/>
      </w:r>
      <w:r>
        <w:tab/>
        <w:t>$126.10</w:t>
      </w:r>
    </w:p>
    <w:p w:rsidR="00955815" w:rsidRDefault="00955815" w:rsidP="00E07E5E">
      <w:pPr>
        <w:tabs>
          <w:tab w:val="left" w:pos="2160"/>
        </w:tabs>
        <w:spacing w:line="360" w:lineRule="auto"/>
        <w:ind w:left="720" w:firstLine="1440"/>
      </w:pPr>
      <w:r>
        <w:t>Medical insurance</w:t>
      </w:r>
      <w:r>
        <w:tab/>
      </w:r>
      <w:r>
        <w:tab/>
      </w:r>
      <w:r>
        <w:tab/>
        <w:t>$427.72</w:t>
      </w:r>
    </w:p>
    <w:p w:rsidR="00955815" w:rsidRDefault="00955815" w:rsidP="00E07E5E">
      <w:pPr>
        <w:tabs>
          <w:tab w:val="left" w:pos="2160"/>
        </w:tabs>
        <w:spacing w:line="360" w:lineRule="auto"/>
        <w:ind w:left="720" w:firstLine="1440"/>
      </w:pPr>
      <w:r>
        <w:t>Prescriptions</w:t>
      </w:r>
      <w:r>
        <w:tab/>
      </w:r>
      <w:r>
        <w:tab/>
      </w:r>
      <w:r>
        <w:tab/>
      </w:r>
      <w:r>
        <w:tab/>
        <w:t>$200 to $350</w:t>
      </w:r>
    </w:p>
    <w:p w:rsidR="00955815" w:rsidRDefault="00E07E5E" w:rsidP="00E07E5E">
      <w:pPr>
        <w:tabs>
          <w:tab w:val="left" w:pos="2160"/>
        </w:tabs>
        <w:spacing w:line="360" w:lineRule="auto"/>
        <w:ind w:left="720" w:firstLine="1440"/>
      </w:pPr>
      <w:r>
        <w:t xml:space="preserve">Debt Management Service </w:t>
      </w:r>
      <w:r>
        <w:tab/>
      </w:r>
      <w:r>
        <w:tab/>
        <w:t>$392.00</w:t>
      </w:r>
    </w:p>
    <w:p w:rsidR="00E07E5E" w:rsidRDefault="00E07E5E" w:rsidP="00E07E5E">
      <w:pPr>
        <w:tabs>
          <w:tab w:val="left" w:pos="2160"/>
        </w:tabs>
        <w:spacing w:line="360" w:lineRule="auto"/>
        <w:ind w:left="720" w:firstLine="1440"/>
      </w:pPr>
      <w:r>
        <w:t>Easy Pass – PA Turnpike</w:t>
      </w:r>
      <w:r>
        <w:tab/>
      </w:r>
      <w:r>
        <w:tab/>
        <w:t xml:space="preserve">$ </w:t>
      </w:r>
      <w:r w:rsidR="008873B0">
        <w:t xml:space="preserve"> </w:t>
      </w:r>
      <w:r>
        <w:t>12.50</w:t>
      </w:r>
    </w:p>
    <w:p w:rsidR="00E07E5E" w:rsidRDefault="00E07E5E" w:rsidP="00E07E5E">
      <w:pPr>
        <w:tabs>
          <w:tab w:val="left" w:pos="2160"/>
        </w:tabs>
        <w:spacing w:line="360" w:lineRule="auto"/>
        <w:ind w:left="720" w:firstLine="1440"/>
      </w:pPr>
      <w:r>
        <w:t>XM Radio</w:t>
      </w:r>
      <w:r>
        <w:tab/>
      </w:r>
      <w:r>
        <w:tab/>
      </w:r>
      <w:r>
        <w:tab/>
      </w:r>
      <w:r>
        <w:tab/>
        <w:t xml:space="preserve">$ </w:t>
      </w:r>
      <w:r w:rsidR="008873B0">
        <w:t xml:space="preserve"> </w:t>
      </w:r>
      <w:r>
        <w:t xml:space="preserve"> </w:t>
      </w:r>
      <w:r w:rsidR="00875ED3">
        <w:t xml:space="preserve"> </w:t>
      </w:r>
      <w:r>
        <w:t>9.99</w:t>
      </w:r>
    </w:p>
    <w:p w:rsidR="00E07E5E" w:rsidRDefault="00E07E5E" w:rsidP="00E07E5E">
      <w:pPr>
        <w:tabs>
          <w:tab w:val="left" w:pos="2160"/>
        </w:tabs>
        <w:spacing w:line="360" w:lineRule="auto"/>
        <w:ind w:left="720" w:firstLine="1440"/>
      </w:pPr>
      <w:r>
        <w:t>Net Flix</w:t>
      </w:r>
      <w:r>
        <w:tab/>
      </w:r>
      <w:r>
        <w:tab/>
      </w:r>
      <w:r>
        <w:tab/>
      </w:r>
      <w:r>
        <w:tab/>
        <w:t xml:space="preserve">$  </w:t>
      </w:r>
      <w:r w:rsidR="008873B0">
        <w:t xml:space="preserve"> </w:t>
      </w:r>
      <w:r w:rsidR="00875ED3">
        <w:t xml:space="preserve"> </w:t>
      </w:r>
      <w:r>
        <w:t>7.00</w:t>
      </w:r>
    </w:p>
    <w:p w:rsidR="006015EF" w:rsidRDefault="006015EF" w:rsidP="00E07E5E">
      <w:pPr>
        <w:tabs>
          <w:tab w:val="left" w:pos="2160"/>
        </w:tabs>
        <w:spacing w:line="360" w:lineRule="auto"/>
        <w:ind w:left="720" w:firstLine="1440"/>
      </w:pPr>
      <w:r>
        <w:t>(Tr.</w:t>
      </w:r>
      <w:r w:rsidR="009A50CB">
        <w:t xml:space="preserve"> 19-23</w:t>
      </w:r>
      <w:r>
        <w:t>).</w:t>
      </w:r>
    </w:p>
    <w:p w:rsidR="00E07E5E" w:rsidRDefault="00E07E5E" w:rsidP="008E4FD6">
      <w:pPr>
        <w:tabs>
          <w:tab w:val="left" w:pos="2160"/>
        </w:tabs>
        <w:spacing w:line="360" w:lineRule="auto"/>
        <w:ind w:firstLine="1440"/>
      </w:pPr>
    </w:p>
    <w:p w:rsidR="00E07E5E" w:rsidRDefault="00C30F1E" w:rsidP="008E4FD6">
      <w:pPr>
        <w:tabs>
          <w:tab w:val="left" w:pos="2160"/>
        </w:tabs>
        <w:spacing w:line="360" w:lineRule="auto"/>
        <w:ind w:firstLine="1440"/>
      </w:pPr>
      <w:r>
        <w:t>7</w:t>
      </w:r>
      <w:r w:rsidR="00E07E5E">
        <w:t>.</w:t>
      </w:r>
      <w:r w:rsidR="00E07E5E">
        <w:tab/>
        <w:t>Complainant’s household expenses total approximately $3,145 monthly.</w:t>
      </w:r>
      <w:r w:rsidR="004B7B8F">
        <w:t xml:space="preserve">  (Tr. 19-23).</w:t>
      </w:r>
    </w:p>
    <w:p w:rsidR="00C30F1E" w:rsidRDefault="00C30F1E" w:rsidP="008E4FD6">
      <w:pPr>
        <w:tabs>
          <w:tab w:val="left" w:pos="2160"/>
        </w:tabs>
        <w:spacing w:line="360" w:lineRule="auto"/>
        <w:ind w:firstLine="1440"/>
      </w:pPr>
    </w:p>
    <w:p w:rsidR="00C30F1E" w:rsidRDefault="00C30F1E" w:rsidP="008E4FD6">
      <w:pPr>
        <w:tabs>
          <w:tab w:val="left" w:pos="2160"/>
        </w:tabs>
        <w:spacing w:line="360" w:lineRule="auto"/>
        <w:ind w:firstLine="1440"/>
      </w:pPr>
      <w:r>
        <w:t>8.</w:t>
      </w:r>
      <w:r>
        <w:tab/>
        <w:t xml:space="preserve">On April 26, 2012, </w:t>
      </w:r>
      <w:r w:rsidR="00437557">
        <w:t>Complainant</w:t>
      </w:r>
      <w:r>
        <w:t xml:space="preserve"> received </w:t>
      </w:r>
      <w:r w:rsidR="004B7B8F">
        <w:t xml:space="preserve">information about how to file </w:t>
      </w:r>
      <w:r>
        <w:t xml:space="preserve">a medical certificate </w:t>
      </w:r>
      <w:r w:rsidR="004B7B8F">
        <w:t>due to Complainant’s health problems</w:t>
      </w:r>
      <w:r>
        <w:t>.  (Tr.</w:t>
      </w:r>
      <w:r w:rsidR="004B7B8F">
        <w:t xml:space="preserve"> 31</w:t>
      </w:r>
      <w:r>
        <w:t>).</w:t>
      </w:r>
    </w:p>
    <w:p w:rsidR="00C30F1E" w:rsidRDefault="00C30F1E" w:rsidP="00C30F1E">
      <w:pPr>
        <w:tabs>
          <w:tab w:val="left" w:pos="2160"/>
        </w:tabs>
        <w:spacing w:line="360" w:lineRule="auto"/>
        <w:ind w:firstLine="1440"/>
      </w:pPr>
    </w:p>
    <w:p w:rsidR="00C30F1E" w:rsidRDefault="00C30F1E" w:rsidP="00C30F1E">
      <w:pPr>
        <w:tabs>
          <w:tab w:val="left" w:pos="2160"/>
        </w:tabs>
        <w:spacing w:line="360" w:lineRule="auto"/>
        <w:ind w:firstLine="1440"/>
      </w:pPr>
      <w:r>
        <w:t>9.</w:t>
      </w:r>
      <w:r>
        <w:tab/>
        <w:t>On May 3, 2012, Complainant filed a formal complaint against Respondent and requested an affordable payment agreement.</w:t>
      </w:r>
    </w:p>
    <w:p w:rsidR="00BC40BB" w:rsidRDefault="00BC40BB" w:rsidP="008E4FD6">
      <w:pPr>
        <w:tabs>
          <w:tab w:val="left" w:pos="2160"/>
        </w:tabs>
        <w:spacing w:line="360" w:lineRule="auto"/>
        <w:ind w:firstLine="1440"/>
      </w:pPr>
    </w:p>
    <w:p w:rsidR="00D44E45" w:rsidRDefault="00C30F1E" w:rsidP="008E4FD6">
      <w:pPr>
        <w:tabs>
          <w:tab w:val="left" w:pos="2160"/>
        </w:tabs>
        <w:spacing w:line="360" w:lineRule="auto"/>
        <w:ind w:firstLine="1440"/>
      </w:pPr>
      <w:r>
        <w:t>10</w:t>
      </w:r>
      <w:r w:rsidR="00A305C6">
        <w:t>.</w:t>
      </w:r>
      <w:r w:rsidR="00A305C6">
        <w:tab/>
        <w:t xml:space="preserve">On </w:t>
      </w:r>
      <w:r>
        <w:t>Ma</w:t>
      </w:r>
      <w:r w:rsidR="00DF5B48">
        <w:t>rch</w:t>
      </w:r>
      <w:r>
        <w:t xml:space="preserve"> 26</w:t>
      </w:r>
      <w:r w:rsidR="006600C0">
        <w:t>, 2012</w:t>
      </w:r>
      <w:r w:rsidR="00D44E45">
        <w:t>, the BCS determined at Case No.</w:t>
      </w:r>
      <w:r w:rsidR="00BC40BB" w:rsidRPr="00BC40BB">
        <w:t xml:space="preserve"> </w:t>
      </w:r>
      <w:r w:rsidR="006600C0">
        <w:t>2943287</w:t>
      </w:r>
      <w:r w:rsidR="00A84255">
        <w:t xml:space="preserve">, based on </w:t>
      </w:r>
      <w:r w:rsidR="00E07E5E">
        <w:t xml:space="preserve">Complainant’s </w:t>
      </w:r>
      <w:r w:rsidR="00A84255">
        <w:t>reported income totaling $</w:t>
      </w:r>
      <w:r w:rsidR="001D3960">
        <w:t>2,</w:t>
      </w:r>
      <w:r w:rsidR="006600C0">
        <w:t>263</w:t>
      </w:r>
      <w:r w:rsidR="00A84255">
        <w:t>.00 per month,</w:t>
      </w:r>
      <w:r w:rsidR="00D44E45">
        <w:t xml:space="preserve"> </w:t>
      </w:r>
      <w:r w:rsidR="001C1413">
        <w:t xml:space="preserve">which is a Level 2 income, </w:t>
      </w:r>
      <w:r w:rsidR="00E07E5E">
        <w:t xml:space="preserve">that </w:t>
      </w:r>
      <w:r w:rsidR="00D44E45">
        <w:t xml:space="preserve">Complainant </w:t>
      </w:r>
      <w:r w:rsidR="00D44E45">
        <w:rPr>
          <w:spacing w:val="-3"/>
        </w:rPr>
        <w:t xml:space="preserve">should pay </w:t>
      </w:r>
      <w:r w:rsidR="004D03CD">
        <w:rPr>
          <w:spacing w:val="-3"/>
        </w:rPr>
        <w:t xml:space="preserve">to </w:t>
      </w:r>
      <w:r w:rsidR="00D44E45">
        <w:rPr>
          <w:spacing w:val="-3"/>
        </w:rPr>
        <w:t>Respondent the monthly budget amount (at that time, $</w:t>
      </w:r>
      <w:r w:rsidR="006600C0">
        <w:rPr>
          <w:spacing w:val="-3"/>
        </w:rPr>
        <w:t>180</w:t>
      </w:r>
      <w:r w:rsidR="00D44E45">
        <w:rPr>
          <w:spacing w:val="-3"/>
        </w:rPr>
        <w:t>.00) plus $</w:t>
      </w:r>
      <w:r w:rsidR="006600C0">
        <w:rPr>
          <w:spacing w:val="-3"/>
        </w:rPr>
        <w:t>54</w:t>
      </w:r>
      <w:r w:rsidR="00D44E45">
        <w:rPr>
          <w:spacing w:val="-3"/>
        </w:rPr>
        <w:t xml:space="preserve">.00 each month to satisfy the arrearage owed on </w:t>
      </w:r>
      <w:r w:rsidR="006600C0">
        <w:rPr>
          <w:spacing w:val="-3"/>
        </w:rPr>
        <w:t>the</w:t>
      </w:r>
      <w:r w:rsidR="00D44E45">
        <w:rPr>
          <w:spacing w:val="-3"/>
        </w:rPr>
        <w:t xml:space="preserve"> account with Respondent</w:t>
      </w:r>
      <w:r w:rsidR="00D44E45">
        <w:t>.</w:t>
      </w:r>
      <w:r>
        <w:t xml:space="preserve">  (</w:t>
      </w:r>
      <w:r w:rsidR="004B7B8F">
        <w:t xml:space="preserve">Tr. 29, 32; </w:t>
      </w:r>
      <w:r>
        <w:t>PPL Exhibit 4).</w:t>
      </w:r>
    </w:p>
    <w:p w:rsidR="00BC40BB" w:rsidRDefault="00BC40BB" w:rsidP="00380DC6">
      <w:pPr>
        <w:spacing w:line="360" w:lineRule="auto"/>
        <w:ind w:firstLine="1440"/>
      </w:pPr>
    </w:p>
    <w:p w:rsidR="00BF4A08" w:rsidRDefault="00C30F1E" w:rsidP="00380DC6">
      <w:pPr>
        <w:spacing w:line="360" w:lineRule="auto"/>
        <w:ind w:firstLine="1440"/>
        <w:rPr>
          <w:spacing w:val="-3"/>
        </w:rPr>
      </w:pPr>
      <w:r>
        <w:t>11</w:t>
      </w:r>
      <w:r w:rsidR="00BF4A08">
        <w:t>.</w:t>
      </w:r>
      <w:r w:rsidR="00BF4A08">
        <w:tab/>
      </w:r>
      <w:r w:rsidR="00205D49">
        <w:t xml:space="preserve">From </w:t>
      </w:r>
      <w:r w:rsidR="003C7DEA">
        <w:t>August 13, 2008</w:t>
      </w:r>
      <w:r w:rsidR="00205D49">
        <w:t xml:space="preserve"> to </w:t>
      </w:r>
      <w:r w:rsidR="003C7DEA">
        <w:t>July 17, 2012</w:t>
      </w:r>
      <w:r w:rsidR="00205D49">
        <w:t>,</w:t>
      </w:r>
      <w:r w:rsidR="007116F8">
        <w:t xml:space="preserve"> </w:t>
      </w:r>
      <w:r w:rsidR="006D7800">
        <w:rPr>
          <w:spacing w:val="-3"/>
        </w:rPr>
        <w:t xml:space="preserve">Complainant </w:t>
      </w:r>
      <w:r w:rsidR="003C7DEA">
        <w:rPr>
          <w:spacing w:val="-3"/>
        </w:rPr>
        <w:t>made forty-one (41) payments over approximately forty-eight (48) monthly cycles</w:t>
      </w:r>
      <w:r w:rsidR="006D7800">
        <w:rPr>
          <w:spacing w:val="-3"/>
        </w:rPr>
        <w:t>.</w:t>
      </w:r>
      <w:r w:rsidR="003C7DEA">
        <w:rPr>
          <w:spacing w:val="-3"/>
        </w:rPr>
        <w:t xml:space="preserve">  (PPL Exhibit 1).</w:t>
      </w:r>
      <w:r w:rsidR="006D7800">
        <w:rPr>
          <w:spacing w:val="-3"/>
        </w:rPr>
        <w:t xml:space="preserve">  </w:t>
      </w:r>
      <w:r w:rsidR="003D488A">
        <w:rPr>
          <w:spacing w:val="-3"/>
        </w:rPr>
        <w:t xml:space="preserve">  </w:t>
      </w:r>
    </w:p>
    <w:p w:rsidR="003C7DEA" w:rsidRDefault="003C7DEA" w:rsidP="00380DC6">
      <w:pPr>
        <w:spacing w:line="360" w:lineRule="auto"/>
        <w:ind w:firstLine="1440"/>
        <w:rPr>
          <w:spacing w:val="-3"/>
        </w:rPr>
      </w:pPr>
    </w:p>
    <w:p w:rsidR="003C7DEA" w:rsidRDefault="00C30F1E" w:rsidP="00380DC6">
      <w:pPr>
        <w:spacing w:line="360" w:lineRule="auto"/>
        <w:ind w:firstLine="1440"/>
        <w:rPr>
          <w:spacing w:val="-3"/>
        </w:rPr>
      </w:pPr>
      <w:r>
        <w:rPr>
          <w:spacing w:val="-3"/>
        </w:rPr>
        <w:lastRenderedPageBreak/>
        <w:t>12</w:t>
      </w:r>
      <w:r w:rsidR="003C7DEA">
        <w:rPr>
          <w:spacing w:val="-3"/>
        </w:rPr>
        <w:t>.</w:t>
      </w:r>
      <w:r w:rsidR="003C7DEA">
        <w:rPr>
          <w:spacing w:val="-3"/>
        </w:rPr>
        <w:tab/>
        <w:t>Complainant’s payments on the electric service account with Respondent were made on time and in full until approximately September 2011 when payments were made but sporadically and not always in full.  (</w:t>
      </w:r>
      <w:r w:rsidR="006015EF">
        <w:rPr>
          <w:spacing w:val="-3"/>
        </w:rPr>
        <w:t xml:space="preserve">Tr. 12, 14; </w:t>
      </w:r>
      <w:r w:rsidR="003C7DEA">
        <w:rPr>
          <w:spacing w:val="-3"/>
        </w:rPr>
        <w:t>PPL Exhibit 1).</w:t>
      </w:r>
    </w:p>
    <w:p w:rsidR="003C7DEA" w:rsidRDefault="003C7DEA" w:rsidP="00380DC6">
      <w:pPr>
        <w:spacing w:line="360" w:lineRule="auto"/>
        <w:ind w:firstLine="1440"/>
        <w:rPr>
          <w:spacing w:val="-3"/>
        </w:rPr>
      </w:pPr>
    </w:p>
    <w:p w:rsidR="003C7DEA" w:rsidRDefault="00C30F1E" w:rsidP="00380DC6">
      <w:pPr>
        <w:spacing w:line="360" w:lineRule="auto"/>
        <w:ind w:firstLine="1440"/>
        <w:rPr>
          <w:spacing w:val="-3"/>
        </w:rPr>
      </w:pPr>
      <w:r>
        <w:rPr>
          <w:spacing w:val="-3"/>
        </w:rPr>
        <w:t>13</w:t>
      </w:r>
      <w:r w:rsidR="003C7DEA">
        <w:rPr>
          <w:spacing w:val="-3"/>
        </w:rPr>
        <w:t>.</w:t>
      </w:r>
      <w:r w:rsidR="003C7DEA">
        <w:rPr>
          <w:spacing w:val="-3"/>
        </w:rPr>
        <w:tab/>
        <w:t xml:space="preserve">In the 11-month period from September 2011 to July 2012, Complainant made </w:t>
      </w:r>
      <w:r w:rsidR="00D7410E">
        <w:rPr>
          <w:spacing w:val="-3"/>
        </w:rPr>
        <w:t xml:space="preserve">only </w:t>
      </w:r>
      <w:r w:rsidR="003C7DEA">
        <w:rPr>
          <w:spacing w:val="-3"/>
        </w:rPr>
        <w:t>five payments</w:t>
      </w:r>
      <w:r w:rsidR="00D7410E">
        <w:rPr>
          <w:spacing w:val="-3"/>
        </w:rPr>
        <w:t xml:space="preserve"> </w:t>
      </w:r>
      <w:r>
        <w:rPr>
          <w:spacing w:val="-3"/>
        </w:rPr>
        <w:t xml:space="preserve">after the household </w:t>
      </w:r>
      <w:r w:rsidR="00D7410E">
        <w:rPr>
          <w:spacing w:val="-3"/>
        </w:rPr>
        <w:t xml:space="preserve">drained their savings accounts.  Complainant’s </w:t>
      </w:r>
      <w:r w:rsidR="003C7DEA">
        <w:rPr>
          <w:spacing w:val="-3"/>
        </w:rPr>
        <w:t xml:space="preserve">balance </w:t>
      </w:r>
      <w:r w:rsidR="00D7410E">
        <w:rPr>
          <w:spacing w:val="-3"/>
        </w:rPr>
        <w:t xml:space="preserve">with Respondent, </w:t>
      </w:r>
      <w:r w:rsidR="003C7DEA">
        <w:rPr>
          <w:spacing w:val="-3"/>
        </w:rPr>
        <w:t>that was carried forward</w:t>
      </w:r>
      <w:r w:rsidR="00D7410E">
        <w:rPr>
          <w:spacing w:val="-3"/>
        </w:rPr>
        <w:t xml:space="preserve"> monthly, </w:t>
      </w:r>
      <w:r w:rsidR="003C7DEA">
        <w:rPr>
          <w:spacing w:val="-3"/>
        </w:rPr>
        <w:t>grew from zero in August 2011 to $1,659.72 in July 2012.  (</w:t>
      </w:r>
      <w:r w:rsidR="00D7410E">
        <w:rPr>
          <w:spacing w:val="-3"/>
        </w:rPr>
        <w:t xml:space="preserve">Tr. </w:t>
      </w:r>
      <w:r w:rsidR="006015EF">
        <w:rPr>
          <w:spacing w:val="-3"/>
        </w:rPr>
        <w:t>10, 14</w:t>
      </w:r>
      <w:r w:rsidR="00D7410E">
        <w:rPr>
          <w:spacing w:val="-3"/>
        </w:rPr>
        <w:t xml:space="preserve">; </w:t>
      </w:r>
      <w:r w:rsidR="003C7DEA">
        <w:rPr>
          <w:spacing w:val="-3"/>
        </w:rPr>
        <w:t>PPL Exhibit 1).</w:t>
      </w:r>
    </w:p>
    <w:p w:rsidR="003C7DEA" w:rsidRDefault="003C7DEA" w:rsidP="003C7DEA">
      <w:pPr>
        <w:tabs>
          <w:tab w:val="left" w:pos="2160"/>
        </w:tabs>
        <w:spacing w:line="360" w:lineRule="auto"/>
        <w:ind w:firstLine="1440"/>
      </w:pPr>
      <w:r>
        <w:tab/>
      </w:r>
    </w:p>
    <w:p w:rsidR="003C7DEA" w:rsidRDefault="00C30F1E" w:rsidP="003C7DEA">
      <w:pPr>
        <w:tabs>
          <w:tab w:val="left" w:pos="2160"/>
        </w:tabs>
        <w:spacing w:line="360" w:lineRule="auto"/>
        <w:ind w:firstLine="1440"/>
      </w:pPr>
      <w:r>
        <w:t>14</w:t>
      </w:r>
      <w:r w:rsidR="003C7DEA">
        <w:t>.</w:t>
      </w:r>
      <w:r w:rsidR="003C7DEA">
        <w:tab/>
        <w:t>As of the date of the hearing, Complainant does not contest the amount owed on the account with Respondent and owes Respondent the sum of $1,829.72 on the electric service account.</w:t>
      </w:r>
      <w:r w:rsidR="004B7B8F">
        <w:t xml:space="preserve">  (Tr. 28).</w:t>
      </w:r>
    </w:p>
    <w:p w:rsidR="00E00F94" w:rsidRDefault="00E00F94" w:rsidP="00BF4A08">
      <w:pPr>
        <w:spacing w:line="360" w:lineRule="auto"/>
        <w:rPr>
          <w:spacing w:val="-3"/>
        </w:rPr>
      </w:pPr>
    </w:p>
    <w:p w:rsidR="00A374D9" w:rsidRDefault="00BC40BB" w:rsidP="00BF4A08">
      <w:pPr>
        <w:spacing w:line="360" w:lineRule="auto"/>
        <w:rPr>
          <w:spacing w:val="-3"/>
        </w:rPr>
      </w:pPr>
      <w:r>
        <w:rPr>
          <w:spacing w:val="-3"/>
        </w:rPr>
        <w:tab/>
      </w:r>
      <w:r>
        <w:rPr>
          <w:spacing w:val="-3"/>
        </w:rPr>
        <w:tab/>
        <w:t>1</w:t>
      </w:r>
      <w:r w:rsidR="00C30F1E">
        <w:rPr>
          <w:spacing w:val="-3"/>
        </w:rPr>
        <w:t>5</w:t>
      </w:r>
      <w:r w:rsidR="006D7800">
        <w:rPr>
          <w:spacing w:val="-3"/>
        </w:rPr>
        <w:t>.</w:t>
      </w:r>
      <w:r>
        <w:rPr>
          <w:spacing w:val="-3"/>
        </w:rPr>
        <w:tab/>
      </w:r>
      <w:r w:rsidR="00A374D9">
        <w:rPr>
          <w:spacing w:val="-3"/>
        </w:rPr>
        <w:t>Complainant</w:t>
      </w:r>
      <w:r w:rsidR="009A50CB">
        <w:rPr>
          <w:spacing w:val="-3"/>
        </w:rPr>
        <w:t xml:space="preserve"> drained hi</w:t>
      </w:r>
      <w:r w:rsidR="00A374D9">
        <w:rPr>
          <w:spacing w:val="-3"/>
        </w:rPr>
        <w:t xml:space="preserve">s </w:t>
      </w:r>
      <w:r w:rsidR="009A50CB">
        <w:rPr>
          <w:spacing w:val="-3"/>
        </w:rPr>
        <w:t xml:space="preserve">savings accounts to pay living expenses early in 2012, which forced his household to survive on Social Security income only.  Complainant’s household’s </w:t>
      </w:r>
      <w:r w:rsidR="00A374D9">
        <w:rPr>
          <w:spacing w:val="-3"/>
        </w:rPr>
        <w:t>financial circumstances</w:t>
      </w:r>
      <w:r w:rsidR="003257B2">
        <w:rPr>
          <w:spacing w:val="-3"/>
        </w:rPr>
        <w:t xml:space="preserve"> </w:t>
      </w:r>
      <w:r w:rsidR="003C7DEA">
        <w:rPr>
          <w:spacing w:val="-3"/>
        </w:rPr>
        <w:t>since</w:t>
      </w:r>
      <w:r w:rsidR="00B53D9A">
        <w:rPr>
          <w:spacing w:val="-3"/>
        </w:rPr>
        <w:t xml:space="preserve"> </w:t>
      </w:r>
      <w:r w:rsidR="00A374D9">
        <w:rPr>
          <w:spacing w:val="-3"/>
        </w:rPr>
        <w:t xml:space="preserve">the </w:t>
      </w:r>
      <w:r w:rsidR="003C7DEA">
        <w:rPr>
          <w:spacing w:val="-3"/>
        </w:rPr>
        <w:t xml:space="preserve">March 2012 </w:t>
      </w:r>
      <w:r w:rsidR="00A374D9">
        <w:rPr>
          <w:spacing w:val="-3"/>
        </w:rPr>
        <w:t>BCS determination</w:t>
      </w:r>
      <w:r w:rsidR="008377DE">
        <w:rPr>
          <w:spacing w:val="-3"/>
        </w:rPr>
        <w:t xml:space="preserve"> </w:t>
      </w:r>
      <w:r w:rsidR="004B5F32">
        <w:rPr>
          <w:spacing w:val="-3"/>
        </w:rPr>
        <w:t>have not changed</w:t>
      </w:r>
      <w:r w:rsidR="0068314B">
        <w:rPr>
          <w:spacing w:val="-3"/>
        </w:rPr>
        <w:t>.</w:t>
      </w:r>
      <w:r w:rsidR="009A50CB">
        <w:rPr>
          <w:spacing w:val="-3"/>
        </w:rPr>
        <w:t xml:space="preserve">  </w:t>
      </w:r>
      <w:r w:rsidR="009A2664">
        <w:rPr>
          <w:spacing w:val="-3"/>
        </w:rPr>
        <w:t>(</w:t>
      </w:r>
      <w:r w:rsidR="009A50CB">
        <w:rPr>
          <w:spacing w:val="-3"/>
        </w:rPr>
        <w:t xml:space="preserve">Tr. 14). </w:t>
      </w:r>
    </w:p>
    <w:p w:rsidR="00C30F1E" w:rsidRDefault="00C30F1E" w:rsidP="00BF4A08">
      <w:pPr>
        <w:spacing w:line="360" w:lineRule="auto"/>
        <w:rPr>
          <w:spacing w:val="-3"/>
        </w:rPr>
      </w:pPr>
    </w:p>
    <w:p w:rsidR="00C30F1E" w:rsidRDefault="00C30F1E" w:rsidP="00BF4A08">
      <w:pPr>
        <w:spacing w:line="360" w:lineRule="auto"/>
        <w:rPr>
          <w:spacing w:val="-3"/>
        </w:rPr>
      </w:pPr>
      <w:r>
        <w:rPr>
          <w:spacing w:val="-3"/>
        </w:rPr>
        <w:tab/>
      </w:r>
      <w:r>
        <w:rPr>
          <w:spacing w:val="-3"/>
        </w:rPr>
        <w:tab/>
        <w:t>16.</w:t>
      </w:r>
      <w:r>
        <w:rPr>
          <w:spacing w:val="-3"/>
        </w:rPr>
        <w:tab/>
        <w:t>Complainant is no longer able to afford life insurance on his own life due to the rising cost of premiums</w:t>
      </w:r>
      <w:r w:rsidR="009A50CB">
        <w:rPr>
          <w:spacing w:val="-3"/>
        </w:rPr>
        <w:t xml:space="preserve"> and because Complainant borrowed against the life insurance</w:t>
      </w:r>
      <w:r>
        <w:rPr>
          <w:spacing w:val="-3"/>
        </w:rPr>
        <w:t xml:space="preserve">.  He must pay $2,300.00 by January 2013 in order to maintain his current benefits.  </w:t>
      </w:r>
      <w:r w:rsidR="009A50CB">
        <w:rPr>
          <w:spacing w:val="-3"/>
        </w:rPr>
        <w:t>(Tr. 18, 24).</w:t>
      </w:r>
    </w:p>
    <w:p w:rsidR="006D7800" w:rsidRDefault="00510ECC" w:rsidP="00BF4A08">
      <w:pPr>
        <w:spacing w:line="360" w:lineRule="auto"/>
        <w:rPr>
          <w:spacing w:val="-3"/>
        </w:rPr>
      </w:pPr>
      <w:r>
        <w:rPr>
          <w:spacing w:val="-3"/>
        </w:rPr>
        <w:tab/>
      </w:r>
    </w:p>
    <w:p w:rsidR="00510ECC" w:rsidRDefault="00205D49" w:rsidP="00BF4A08">
      <w:pPr>
        <w:spacing w:line="360" w:lineRule="auto"/>
        <w:rPr>
          <w:spacing w:val="-3"/>
        </w:rPr>
      </w:pPr>
      <w:r>
        <w:rPr>
          <w:spacing w:val="-3"/>
        </w:rPr>
        <w:tab/>
      </w:r>
      <w:r>
        <w:rPr>
          <w:spacing w:val="-3"/>
        </w:rPr>
        <w:tab/>
        <w:t>1</w:t>
      </w:r>
      <w:r w:rsidR="004B7B8F">
        <w:rPr>
          <w:spacing w:val="-3"/>
        </w:rPr>
        <w:t>7</w:t>
      </w:r>
      <w:r w:rsidR="00510ECC">
        <w:rPr>
          <w:spacing w:val="-3"/>
        </w:rPr>
        <w:t>.</w:t>
      </w:r>
      <w:r w:rsidR="00510ECC">
        <w:rPr>
          <w:spacing w:val="-3"/>
        </w:rPr>
        <w:tab/>
      </w:r>
      <w:r w:rsidR="007116F8">
        <w:rPr>
          <w:spacing w:val="-3"/>
        </w:rPr>
        <w:t xml:space="preserve">Complainant </w:t>
      </w:r>
      <w:r w:rsidR="00C30F1E">
        <w:rPr>
          <w:spacing w:val="-3"/>
        </w:rPr>
        <w:t xml:space="preserve">and his wife </w:t>
      </w:r>
      <w:r w:rsidR="008377DE">
        <w:rPr>
          <w:spacing w:val="-3"/>
        </w:rPr>
        <w:t xml:space="preserve">applied for customer assistance </w:t>
      </w:r>
      <w:r w:rsidR="004B5F32">
        <w:rPr>
          <w:spacing w:val="-3"/>
        </w:rPr>
        <w:t xml:space="preserve">through Operation Help, </w:t>
      </w:r>
      <w:r w:rsidR="00FC4820">
        <w:rPr>
          <w:spacing w:val="-3"/>
        </w:rPr>
        <w:t xml:space="preserve">On-Track </w:t>
      </w:r>
      <w:r w:rsidR="004B5F32">
        <w:rPr>
          <w:spacing w:val="-3"/>
        </w:rPr>
        <w:t xml:space="preserve">and WRAP </w:t>
      </w:r>
      <w:r w:rsidR="008377DE">
        <w:rPr>
          <w:spacing w:val="-3"/>
        </w:rPr>
        <w:t xml:space="preserve">but </w:t>
      </w:r>
      <w:r w:rsidR="004B7B8F">
        <w:rPr>
          <w:spacing w:val="-3"/>
        </w:rPr>
        <w:t xml:space="preserve">as Level 2 customers </w:t>
      </w:r>
      <w:r w:rsidR="00C30F1E">
        <w:rPr>
          <w:spacing w:val="-3"/>
        </w:rPr>
        <w:t xml:space="preserve">they </w:t>
      </w:r>
      <w:r w:rsidR="008377DE">
        <w:rPr>
          <w:spacing w:val="-3"/>
        </w:rPr>
        <w:t xml:space="preserve">remain income-ineligible for </w:t>
      </w:r>
      <w:r w:rsidR="00FC4820">
        <w:rPr>
          <w:spacing w:val="-3"/>
        </w:rPr>
        <w:t xml:space="preserve">the </w:t>
      </w:r>
      <w:r w:rsidR="008377DE">
        <w:rPr>
          <w:spacing w:val="-3"/>
        </w:rPr>
        <w:t xml:space="preserve">customer assistance programs suggested by Respondent.  </w:t>
      </w:r>
      <w:r w:rsidR="004B7B8F">
        <w:rPr>
          <w:spacing w:val="-3"/>
        </w:rPr>
        <w:t>(Tr. 25, 26, 29, 30).</w:t>
      </w:r>
    </w:p>
    <w:p w:rsidR="00D7410E" w:rsidRDefault="00D7410E" w:rsidP="00BF4A08">
      <w:pPr>
        <w:spacing w:line="360" w:lineRule="auto"/>
        <w:rPr>
          <w:spacing w:val="-3"/>
        </w:rPr>
      </w:pPr>
    </w:p>
    <w:p w:rsidR="00D7410E" w:rsidRDefault="00D7410E" w:rsidP="00BF4A08">
      <w:pPr>
        <w:spacing w:line="360" w:lineRule="auto"/>
        <w:rPr>
          <w:spacing w:val="-3"/>
        </w:rPr>
      </w:pPr>
      <w:r>
        <w:rPr>
          <w:spacing w:val="-3"/>
        </w:rPr>
        <w:tab/>
      </w:r>
      <w:r>
        <w:rPr>
          <w:spacing w:val="-3"/>
        </w:rPr>
        <w:tab/>
      </w:r>
      <w:r w:rsidR="00C30F1E">
        <w:rPr>
          <w:spacing w:val="-3"/>
        </w:rPr>
        <w:t>1</w:t>
      </w:r>
      <w:r w:rsidR="004B7B8F">
        <w:rPr>
          <w:spacing w:val="-3"/>
        </w:rPr>
        <w:t>8</w:t>
      </w:r>
      <w:r>
        <w:rPr>
          <w:spacing w:val="-3"/>
        </w:rPr>
        <w:t>.</w:t>
      </w:r>
      <w:r>
        <w:rPr>
          <w:spacing w:val="-3"/>
        </w:rPr>
        <w:tab/>
        <w:t xml:space="preserve">Complainant and his wife paid an attorney in June 2012 to start the process to file for bankruptcy protection and they plan to include the past due amount currently owed to Respondent on that Chapter 7 bankruptcy petition.  </w:t>
      </w:r>
      <w:r w:rsidR="006015EF">
        <w:rPr>
          <w:spacing w:val="-3"/>
        </w:rPr>
        <w:t xml:space="preserve">A bankruptcy petition had not been filed as of the date of the hearing.  </w:t>
      </w:r>
      <w:r>
        <w:rPr>
          <w:spacing w:val="-3"/>
        </w:rPr>
        <w:t xml:space="preserve">(Tr. </w:t>
      </w:r>
      <w:r w:rsidR="006015EF">
        <w:rPr>
          <w:spacing w:val="-3"/>
        </w:rPr>
        <w:t>12, 13</w:t>
      </w:r>
      <w:r>
        <w:rPr>
          <w:spacing w:val="-3"/>
        </w:rPr>
        <w:t>).</w:t>
      </w:r>
    </w:p>
    <w:p w:rsidR="00B53D9A" w:rsidRDefault="00B53D9A" w:rsidP="00BF4A08">
      <w:pPr>
        <w:spacing w:line="360" w:lineRule="auto"/>
        <w:rPr>
          <w:spacing w:val="-3"/>
        </w:rPr>
      </w:pPr>
    </w:p>
    <w:p w:rsidR="008E4FD6" w:rsidRPr="004E7308" w:rsidRDefault="008E4FD6" w:rsidP="008E4FD6">
      <w:pPr>
        <w:tabs>
          <w:tab w:val="left" w:pos="2160"/>
        </w:tabs>
        <w:spacing w:line="360" w:lineRule="auto"/>
        <w:jc w:val="center"/>
        <w:rPr>
          <w:u w:val="single"/>
        </w:rPr>
      </w:pPr>
      <w:r w:rsidRPr="004E7308">
        <w:rPr>
          <w:u w:val="single"/>
        </w:rPr>
        <w:lastRenderedPageBreak/>
        <w:t>DISCUSSION</w:t>
      </w:r>
    </w:p>
    <w:p w:rsidR="008E4FD6" w:rsidRPr="004E7308" w:rsidRDefault="008E4FD6" w:rsidP="008E4FD6">
      <w:pPr>
        <w:tabs>
          <w:tab w:val="left" w:pos="2160"/>
        </w:tabs>
        <w:spacing w:line="360" w:lineRule="auto"/>
        <w:jc w:val="center"/>
        <w:rPr>
          <w:u w:val="single"/>
        </w:rPr>
      </w:pPr>
    </w:p>
    <w:p w:rsidR="008E4FD6" w:rsidRPr="004E7308" w:rsidRDefault="00204E04" w:rsidP="00204E04">
      <w:pPr>
        <w:spacing w:line="360" w:lineRule="auto"/>
        <w:ind w:firstLine="1440"/>
      </w:pPr>
      <w:r>
        <w:t xml:space="preserve">This proceeding is a </w:t>
      </w:r>
      <w:r w:rsidRPr="00204E04">
        <w:rPr>
          <w:i/>
        </w:rPr>
        <w:t>de novo</w:t>
      </w:r>
      <w:r w:rsidR="006D7800">
        <w:t xml:space="preserve">, or new, </w:t>
      </w:r>
      <w:r>
        <w:t xml:space="preserve">review of the BCS determination of an appropriate payment plan for this account.  </w:t>
      </w:r>
      <w:r>
        <w:rPr>
          <w:u w:val="single"/>
        </w:rPr>
        <w:t>Stammel v</w:t>
      </w:r>
      <w:r w:rsidR="0061233E">
        <w:rPr>
          <w:u w:val="single"/>
        </w:rPr>
        <w:t xml:space="preserve">. </w:t>
      </w:r>
      <w:r>
        <w:rPr>
          <w:u w:val="single"/>
        </w:rPr>
        <w:t xml:space="preserve">P.G. </w:t>
      </w:r>
      <w:r w:rsidRPr="00204E04">
        <w:rPr>
          <w:u w:val="single"/>
        </w:rPr>
        <w:t>Energy</w:t>
      </w:r>
      <w:r>
        <w:t xml:space="preserve">, Docket No. C-20027994 (Order entered May 21, 2003); and </w:t>
      </w:r>
      <w:r>
        <w:rPr>
          <w:u w:val="single"/>
        </w:rPr>
        <w:t>Claypool v</w:t>
      </w:r>
      <w:r w:rsidR="00966E48">
        <w:rPr>
          <w:u w:val="single"/>
        </w:rPr>
        <w:t>.</w:t>
      </w:r>
      <w:r>
        <w:rPr>
          <w:u w:val="single"/>
        </w:rPr>
        <w:t xml:space="preserve"> T.W. Phillips Gas &amp; Oil Company</w:t>
      </w:r>
      <w:r>
        <w:t xml:space="preserve">, </w:t>
      </w:r>
      <w:r w:rsidR="00DC5673">
        <w:t xml:space="preserve">Docket No. Z-00249830 </w:t>
      </w:r>
      <w:r>
        <w:t xml:space="preserve">(Order entered December 22, 1995).  </w:t>
      </w:r>
      <w:r w:rsidR="00DC5673">
        <w:t>Therefore, a</w:t>
      </w:r>
      <w:r w:rsidR="008E4FD6" w:rsidRPr="00204E04">
        <w:t>s</w:t>
      </w:r>
      <w:r w:rsidR="008E4FD6" w:rsidRPr="004E7308">
        <w:t xml:space="preserve"> the party seeking affirmative relief from the Commission, Compl</w:t>
      </w:r>
      <w:r w:rsidR="00161288">
        <w:t xml:space="preserve">ainant bears the burden of proving </w:t>
      </w:r>
      <w:r w:rsidR="002D5314">
        <w:t xml:space="preserve">by substantial evidence </w:t>
      </w:r>
      <w:r w:rsidR="00161288">
        <w:t>he is entitled to the relief requested</w:t>
      </w:r>
      <w:r w:rsidR="008E4FD6" w:rsidRPr="004E7308">
        <w:t>.  66 Pa. C.S.</w:t>
      </w:r>
      <w:r w:rsidR="00F425D9">
        <w:t>A.</w:t>
      </w:r>
      <w:r w:rsidR="008E4FD6" w:rsidRPr="004E7308">
        <w:t xml:space="preserve"> §332(a).</w:t>
      </w:r>
      <w:r w:rsidR="0071586C">
        <w:t xml:space="preserve">  </w:t>
      </w:r>
      <w:r w:rsidR="0071586C">
        <w:rPr>
          <w:spacing w:val="-3"/>
        </w:rPr>
        <w:t xml:space="preserve">  </w:t>
      </w:r>
      <w:r w:rsidR="0071586C">
        <w:t xml:space="preserve">   </w:t>
      </w:r>
      <w:r w:rsidR="008E4FD6" w:rsidRPr="004E7308">
        <w:t xml:space="preserve">  </w:t>
      </w:r>
    </w:p>
    <w:p w:rsidR="0077643C" w:rsidRDefault="0077643C" w:rsidP="0077643C">
      <w:pPr>
        <w:spacing w:line="360" w:lineRule="auto"/>
      </w:pPr>
      <w:r>
        <w:tab/>
      </w:r>
    </w:p>
    <w:p w:rsidR="004B5F32" w:rsidRDefault="00161288" w:rsidP="0077643C">
      <w:pPr>
        <w:spacing w:line="360" w:lineRule="auto"/>
      </w:pPr>
      <w:r>
        <w:tab/>
      </w:r>
      <w:r>
        <w:tab/>
        <w:t>Since the enactment of the Responsible Utility Customer Protection Act (“Chapter</w:t>
      </w:r>
      <w:r w:rsidR="00966E48">
        <w:t> </w:t>
      </w:r>
      <w:r>
        <w:t>14”), 66 Pa.</w:t>
      </w:r>
      <w:r w:rsidR="00F425D9">
        <w:t xml:space="preserve"> </w:t>
      </w:r>
      <w:r>
        <w:t xml:space="preserve">C.S.A. §1401, </w:t>
      </w:r>
      <w:r>
        <w:rPr>
          <w:i/>
        </w:rPr>
        <w:t>et seq.</w:t>
      </w:r>
      <w:r>
        <w:t xml:space="preserve">, effective December 14, 2004, the Pennsylvania Legislature directed the Public Utility Commission on how it must establish payment arrangements between consumers and utility companies.  </w:t>
      </w:r>
      <w:r w:rsidR="00F425D9">
        <w:t xml:space="preserve">However Complainant manages </w:t>
      </w:r>
      <w:r w:rsidR="004B5F32">
        <w:t xml:space="preserve">his household budget, </w:t>
      </w:r>
      <w:r w:rsidR="00F425D9">
        <w:t xml:space="preserve">he will have to pay Respondent for the electric service </w:t>
      </w:r>
      <w:r w:rsidR="004B5F32">
        <w:t>consumed</w:t>
      </w:r>
      <w:r w:rsidR="00F425D9">
        <w:t>.  By law a public utility is entitled to receive payment for</w:t>
      </w:r>
      <w:r w:rsidR="003A6E05">
        <w:t xml:space="preserve"> </w:t>
      </w:r>
      <w:r w:rsidR="00F425D9">
        <w:t>th</w:t>
      </w:r>
      <w:r w:rsidR="003A6E05">
        <w:t>e</w:t>
      </w:r>
      <w:r w:rsidR="00F425D9">
        <w:t xml:space="preserve"> service provided.  </w:t>
      </w:r>
      <w:r w:rsidR="00F425D9">
        <w:rPr>
          <w:u w:val="single"/>
        </w:rPr>
        <w:t>Scaccia v. West Penn Power Company</w:t>
      </w:r>
      <w:r w:rsidR="00F425D9">
        <w:t xml:space="preserve">, 55 Pa. P.U.C. 637 (1982).  </w:t>
      </w:r>
    </w:p>
    <w:p w:rsidR="004B5F32" w:rsidRDefault="004B5F32" w:rsidP="0077643C">
      <w:pPr>
        <w:spacing w:line="360" w:lineRule="auto"/>
      </w:pPr>
    </w:p>
    <w:p w:rsidR="00161288" w:rsidRPr="00F425D9" w:rsidRDefault="002D5314" w:rsidP="004B5F32">
      <w:pPr>
        <w:spacing w:line="360" w:lineRule="auto"/>
        <w:ind w:firstLine="1440"/>
      </w:pPr>
      <w:r>
        <w:t>Otherwise, the utility</w:t>
      </w:r>
      <w:r w:rsidR="003A6E05">
        <w:t xml:space="preserve"> must include t</w:t>
      </w:r>
      <w:r w:rsidR="00F425D9">
        <w:t xml:space="preserve">hose </w:t>
      </w:r>
      <w:r>
        <w:t xml:space="preserve">unpaid </w:t>
      </w:r>
      <w:r w:rsidR="00F425D9">
        <w:t xml:space="preserve">accounts left </w:t>
      </w:r>
      <w:r>
        <w:t>as</w:t>
      </w:r>
      <w:r w:rsidR="00F425D9">
        <w:t xml:space="preserve"> uncollectible expenses</w:t>
      </w:r>
      <w:r>
        <w:t xml:space="preserve"> on its tariff</w:t>
      </w:r>
      <w:r w:rsidR="00F425D9">
        <w:t xml:space="preserve">, which </w:t>
      </w:r>
      <w:r w:rsidR="00C30F1E">
        <w:t xml:space="preserve">requires </w:t>
      </w:r>
      <w:r w:rsidR="00F425D9">
        <w:t xml:space="preserve">all of the utility’s remaining customers </w:t>
      </w:r>
      <w:r w:rsidR="00C30F1E">
        <w:t>to</w:t>
      </w:r>
      <w:r w:rsidR="00F425D9">
        <w:t xml:space="preserve"> pay</w:t>
      </w:r>
      <w:r w:rsidR="00C30F1E">
        <w:t xml:space="preserve"> for the cost of provid</w:t>
      </w:r>
      <w:r w:rsidR="00F86B1E">
        <w:t>ing</w:t>
      </w:r>
      <w:r w:rsidR="00C30F1E">
        <w:t xml:space="preserve"> Complainant with electric service</w:t>
      </w:r>
      <w:r w:rsidR="00F425D9">
        <w:t xml:space="preserve">.  </w:t>
      </w:r>
      <w:r w:rsidR="00F425D9">
        <w:rPr>
          <w:u w:val="single"/>
        </w:rPr>
        <w:t>Bolt v. Duquesne Light Company</w:t>
      </w:r>
      <w:r w:rsidR="00F425D9">
        <w:t>, Docket No. Z</w:t>
      </w:r>
      <w:r w:rsidR="00966E48">
        <w:noBreakHyphen/>
      </w:r>
      <w:r w:rsidR="00F425D9">
        <w:t xml:space="preserve">8712758 (Order entered April 4, 1988).  </w:t>
      </w:r>
      <w:r w:rsidR="003A6E05">
        <w:t xml:space="preserve">Respondent </w:t>
      </w:r>
      <w:r>
        <w:t xml:space="preserve">utility company </w:t>
      </w:r>
      <w:r w:rsidR="003A6E05">
        <w:t xml:space="preserve">can neither </w:t>
      </w:r>
      <w:r w:rsidR="00F425D9">
        <w:t>receive a greater or lesser rate than the one set forth in its tariff on file with the Commission</w:t>
      </w:r>
      <w:r w:rsidR="003A6E05">
        <w:t xml:space="preserve"> (</w:t>
      </w:r>
      <w:r w:rsidR="00F425D9">
        <w:t xml:space="preserve">66 </w:t>
      </w:r>
      <w:smartTag w:uri="urn:schemas-microsoft-com:office:smarttags" w:element="State">
        <w:smartTag w:uri="urn:schemas-microsoft-com:office:smarttags" w:element="place">
          <w:r w:rsidR="00F425D9">
            <w:t>Pa.</w:t>
          </w:r>
        </w:smartTag>
      </w:smartTag>
      <w:r w:rsidR="00F425D9">
        <w:t xml:space="preserve"> C.S.A. </w:t>
      </w:r>
      <w:r w:rsidR="003A6E05">
        <w:t>§1303), nor can it unreasonably discriminate for or against a particular customer by establishing a special rate for them.  (66 Pa. C.S.A. §1304).</w:t>
      </w:r>
    </w:p>
    <w:p w:rsidR="00161288" w:rsidRDefault="00161288" w:rsidP="0077643C">
      <w:pPr>
        <w:spacing w:line="360" w:lineRule="auto"/>
      </w:pPr>
    </w:p>
    <w:p w:rsidR="002D5314" w:rsidRPr="002D5314" w:rsidRDefault="002D5314" w:rsidP="0077643C">
      <w:pPr>
        <w:spacing w:line="360" w:lineRule="auto"/>
      </w:pPr>
      <w:r>
        <w:tab/>
      </w:r>
      <w:r>
        <w:tab/>
        <w:t>With rega</w:t>
      </w:r>
      <w:r w:rsidR="004B5F32">
        <w:t xml:space="preserve">rd to Complainant’s allegation </w:t>
      </w:r>
      <w:r>
        <w:t>he cannot pay the uti</w:t>
      </w:r>
      <w:r w:rsidR="00275CCC">
        <w:t>l</w:t>
      </w:r>
      <w:r>
        <w:t>ity bills as requested, any decision ther</w:t>
      </w:r>
      <w:r w:rsidR="00275CCC">
        <w:t>e</w:t>
      </w:r>
      <w:r>
        <w:t xml:space="preserve">on must be consistent with the provisions of the </w:t>
      </w:r>
      <w:r>
        <w:rPr>
          <w:i/>
        </w:rPr>
        <w:t>Re</w:t>
      </w:r>
      <w:r w:rsidR="00275CCC">
        <w:rPr>
          <w:i/>
        </w:rPr>
        <w:t>sponsible Utility Customer Prot</w:t>
      </w:r>
      <w:r>
        <w:rPr>
          <w:i/>
        </w:rPr>
        <w:t>ection Act</w:t>
      </w:r>
      <w:r>
        <w:t xml:space="preserve"> (Act 201), which became effective on December 14, 2004 and which enacted Chapter 14 of the Public Utility Code  (the “Code”), 66 Pa. C.S.A. §1401, </w:t>
      </w:r>
      <w:r>
        <w:rPr>
          <w:i/>
        </w:rPr>
        <w:t>et seq</w:t>
      </w:r>
      <w:r>
        <w:t>.  This legisl</w:t>
      </w:r>
      <w:r w:rsidR="00275CCC">
        <w:t>a</w:t>
      </w:r>
      <w:r>
        <w:t xml:space="preserve">tion directs </w:t>
      </w:r>
      <w:r w:rsidR="00275CCC">
        <w:t xml:space="preserve">the Commission how it must establish this payment arrangement.  </w:t>
      </w:r>
    </w:p>
    <w:p w:rsidR="002D5314" w:rsidRDefault="002D5314" w:rsidP="0077643C">
      <w:pPr>
        <w:spacing w:line="360" w:lineRule="auto"/>
      </w:pPr>
    </w:p>
    <w:p w:rsidR="00625C56" w:rsidRDefault="00275CCC" w:rsidP="0077643C">
      <w:pPr>
        <w:spacing w:line="360" w:lineRule="auto"/>
      </w:pPr>
      <w:r>
        <w:lastRenderedPageBreak/>
        <w:tab/>
      </w:r>
      <w:r>
        <w:tab/>
        <w:t xml:space="preserve">“Payment Arrangement” is defined at 66 </w:t>
      </w:r>
      <w:smartTag w:uri="urn:schemas-microsoft-com:office:smarttags" w:element="place">
        <w:smartTag w:uri="urn:schemas-microsoft-com:office:smarttags" w:element="State">
          <w:r>
            <w:t>Pa.</w:t>
          </w:r>
        </w:smartTag>
      </w:smartTag>
      <w:r>
        <w:t xml:space="preserve"> C.S.A. §1403 as an “agreement whereby a customer who admits liability for billed service is permitted to amortize or pay the unpaid balance of the account in one or more payments.</w:t>
      </w:r>
      <w:r w:rsidR="00390F7E">
        <w:t>”</w:t>
      </w:r>
      <w:r>
        <w:t xml:space="preserve">  Complainant does not dispute the amount owed for the electric service</w:t>
      </w:r>
      <w:r w:rsidR="00806FDE">
        <w:t>.  He and his wife</w:t>
      </w:r>
      <w:r>
        <w:t xml:space="preserve"> simply </w:t>
      </w:r>
      <w:r w:rsidR="00806FDE">
        <w:t>assert they</w:t>
      </w:r>
      <w:r>
        <w:t xml:space="preserve"> cannot afford the payment plan as specified by the BCS decision</w:t>
      </w:r>
      <w:r w:rsidR="00806FDE">
        <w:t xml:space="preserve"> and by Respondent</w:t>
      </w:r>
      <w:r>
        <w:t xml:space="preserve">.  </w:t>
      </w:r>
    </w:p>
    <w:p w:rsidR="008813E8" w:rsidRDefault="008813E8" w:rsidP="008813E8">
      <w:pPr>
        <w:spacing w:line="360" w:lineRule="auto"/>
        <w:ind w:firstLine="1440"/>
      </w:pPr>
    </w:p>
    <w:p w:rsidR="008813E8" w:rsidRDefault="00806FDE" w:rsidP="008813E8">
      <w:pPr>
        <w:spacing w:line="360" w:lineRule="auto"/>
        <w:ind w:firstLine="1440"/>
      </w:pPr>
      <w:r>
        <w:t xml:space="preserve">Pursuant to 66 </w:t>
      </w:r>
      <w:smartTag w:uri="urn:schemas-microsoft-com:office:smarttags" w:element="place">
        <w:smartTag w:uri="urn:schemas-microsoft-com:office:smarttags" w:element="State">
          <w:r>
            <w:t>Pa.</w:t>
          </w:r>
        </w:smartTag>
      </w:smartTag>
      <w:r>
        <w:t xml:space="preserve"> C.S.A. §1405, the length of time for a customer to resolve an unpaid balance on an account subject to a payment agreement entered into by a public utility and a customer cannot exceed certain time limits, depending upon the gross monthly income for the household.  </w:t>
      </w:r>
      <w:r w:rsidR="008813E8">
        <w:t>Complainant</w:t>
      </w:r>
      <w:r>
        <w:t>’s</w:t>
      </w:r>
      <w:r w:rsidR="008813E8">
        <w:t xml:space="preserve"> household consist</w:t>
      </w:r>
      <w:r w:rsidR="004B5F32">
        <w:t>s</w:t>
      </w:r>
      <w:r w:rsidR="008813E8">
        <w:t xml:space="preserve"> of </w:t>
      </w:r>
      <w:r w:rsidR="004B5F32">
        <w:t>Complainant and his wife,</w:t>
      </w:r>
      <w:r w:rsidR="008813E8">
        <w:t xml:space="preserve"> and </w:t>
      </w:r>
      <w:r>
        <w:t>their</w:t>
      </w:r>
      <w:r w:rsidR="008813E8">
        <w:t xml:space="preserve"> income totals $2,</w:t>
      </w:r>
      <w:r w:rsidR="004E7660">
        <w:t>382</w:t>
      </w:r>
      <w:r w:rsidR="008813E8">
        <w:t xml:space="preserve">.00 monthly.  </w:t>
      </w:r>
      <w:r w:rsidR="004B5F32">
        <w:t>This</w:t>
      </w:r>
      <w:r w:rsidR="008813E8">
        <w:t xml:space="preserve"> monthly income qualifies as a Level 2 income, which income is less than </w:t>
      </w:r>
      <w:r w:rsidR="008813E8" w:rsidRPr="004B5F32">
        <w:rPr>
          <w:b/>
        </w:rPr>
        <w:t>250%</w:t>
      </w:r>
      <w:r w:rsidR="008813E8">
        <w:t xml:space="preserve"> of the </w:t>
      </w:r>
      <w:r w:rsidR="004B5F32">
        <w:t>2012</w:t>
      </w:r>
      <w:r w:rsidR="008813E8">
        <w:t xml:space="preserve"> Federal Poverty Income Guidelines, for a </w:t>
      </w:r>
      <w:r w:rsidR="004B5F32">
        <w:t>two</w:t>
      </w:r>
      <w:r w:rsidR="008813E8">
        <w:t>-person household.</w:t>
      </w:r>
      <w:r w:rsidR="008813E8">
        <w:rPr>
          <w:rStyle w:val="FootnoteReference"/>
        </w:rPr>
        <w:footnoteReference w:id="1"/>
      </w:r>
      <w:r w:rsidR="008813E8">
        <w:t xml:space="preserve">  As a household with Level 2 income, Complainant is permitted up to two years to pa</w:t>
      </w:r>
      <w:r w:rsidR="004B5F32">
        <w:t xml:space="preserve">y off the arrearages, provided </w:t>
      </w:r>
      <w:r w:rsidR="008813E8">
        <w:t>he continues to make the monthly budget amount.</w:t>
      </w:r>
    </w:p>
    <w:p w:rsidR="00625C56" w:rsidRDefault="00625C56" w:rsidP="0077643C">
      <w:pPr>
        <w:spacing w:line="360" w:lineRule="auto"/>
      </w:pPr>
    </w:p>
    <w:p w:rsidR="00B2782C" w:rsidRDefault="00E42033" w:rsidP="00E81752">
      <w:pPr>
        <w:spacing w:line="360" w:lineRule="auto"/>
      </w:pPr>
      <w:r>
        <w:tab/>
      </w:r>
      <w:r>
        <w:tab/>
        <w:t xml:space="preserve">Complainant’s income level remained unchanged </w:t>
      </w:r>
      <w:r w:rsidR="00806FDE">
        <w:t>since</w:t>
      </w:r>
      <w:r>
        <w:t xml:space="preserve"> the time of the BCS decision.  However, </w:t>
      </w:r>
      <w:r w:rsidR="004B5F32">
        <w:t>due to dire financial constraints</w:t>
      </w:r>
      <w:r w:rsidR="00594764">
        <w:t xml:space="preserve">, Complainant and his wife used up all of their savings.  </w:t>
      </w:r>
      <w:r w:rsidR="00E81752">
        <w:t xml:space="preserve">Absent a </w:t>
      </w:r>
      <w:r w:rsidR="00001432">
        <w:t>“</w:t>
      </w:r>
      <w:r w:rsidR="00E81752">
        <w:t>change in income</w:t>
      </w:r>
      <w:r w:rsidR="00001432">
        <w:t>”</w:t>
      </w:r>
      <w:r w:rsidR="00C1242C">
        <w:rPr>
          <w:rStyle w:val="FootnoteReference"/>
        </w:rPr>
        <w:footnoteReference w:id="2"/>
      </w:r>
      <w:r w:rsidR="00E81752">
        <w:t xml:space="preserve">, the Commission shall not establish or order a public utility to establish a second or subsequent payment agreement if a customer defaulted on a previous payment agreement.  66 Pa. C.S.A. §1405(d).  If the customer defaults on a payment agreement established under subsections (a) and (b) as a result of a </w:t>
      </w:r>
      <w:r w:rsidR="00001432">
        <w:t>“</w:t>
      </w:r>
      <w:r w:rsidR="00E81752">
        <w:t xml:space="preserve">significant change in </w:t>
      </w:r>
    </w:p>
    <w:p w:rsidR="00B2782C" w:rsidRDefault="00B2782C" w:rsidP="00E81752">
      <w:pPr>
        <w:spacing w:line="360" w:lineRule="auto"/>
      </w:pPr>
    </w:p>
    <w:p w:rsidR="00E81752" w:rsidRDefault="00E81752" w:rsidP="00E81752">
      <w:pPr>
        <w:spacing w:line="360" w:lineRule="auto"/>
      </w:pPr>
      <w:r>
        <w:lastRenderedPageBreak/>
        <w:t>circumstances</w:t>
      </w:r>
      <w:r w:rsidR="00001432">
        <w:t>”</w:t>
      </w:r>
      <w:r w:rsidR="00C1242C">
        <w:rPr>
          <w:rStyle w:val="FootnoteReference"/>
        </w:rPr>
        <w:footnoteReference w:id="3"/>
      </w:r>
      <w:r>
        <w:t>, the Commission may reinstate the payment agreement and extend the remaining term for an initial period of six months.  The initial extension period may be extended for an additional six months for good cause shown.  66 Pa. C.S.A. §1405(e).</w:t>
      </w:r>
    </w:p>
    <w:p w:rsidR="00464CC1" w:rsidRDefault="00464CC1" w:rsidP="0077643C">
      <w:pPr>
        <w:spacing w:line="360" w:lineRule="auto"/>
      </w:pPr>
    </w:p>
    <w:p w:rsidR="00001432" w:rsidRDefault="00DD432B" w:rsidP="00001432">
      <w:pPr>
        <w:spacing w:line="360" w:lineRule="auto"/>
      </w:pPr>
      <w:r>
        <w:tab/>
      </w:r>
      <w:r>
        <w:tab/>
      </w:r>
      <w:r w:rsidR="00C74A12">
        <w:t>A</w:t>
      </w:r>
      <w:r w:rsidR="004B5F32">
        <w:t>lthough the</w:t>
      </w:r>
      <w:r w:rsidR="00001432">
        <w:t xml:space="preserve"> </w:t>
      </w:r>
      <w:r w:rsidR="00C74A12">
        <w:t xml:space="preserve">Complainant’s </w:t>
      </w:r>
      <w:r w:rsidR="00001432">
        <w:t xml:space="preserve">financial condition </w:t>
      </w:r>
      <w:r w:rsidR="006015EF">
        <w:t>has deteriorated</w:t>
      </w:r>
      <w:r w:rsidR="00080A0D">
        <w:t xml:space="preserve"> </w:t>
      </w:r>
      <w:r w:rsidR="00C74A12">
        <w:t>after</w:t>
      </w:r>
      <w:r w:rsidR="00740DC1">
        <w:t xml:space="preserve"> he used up all of his savings</w:t>
      </w:r>
      <w:r w:rsidR="00C22B03">
        <w:t>, he</w:t>
      </w:r>
      <w:r w:rsidR="00001432">
        <w:t xml:space="preserve"> </w:t>
      </w:r>
      <w:r w:rsidR="004F1328">
        <w:t>did</w:t>
      </w:r>
      <w:r w:rsidR="00001432">
        <w:t xml:space="preserve"> not </w:t>
      </w:r>
      <w:r w:rsidR="004F1328">
        <w:t xml:space="preserve">prove he </w:t>
      </w:r>
      <w:r w:rsidR="00001432">
        <w:t xml:space="preserve">experienced a change in income or significant change in circumstances, as those phrases are defined and applied in the Code.  </w:t>
      </w:r>
      <w:r w:rsidR="00472364">
        <w:t xml:space="preserve">Upon a review of the terms of the BCS determination and the facts as presented, Complainant will be directed, in the Ordering Paragraphs to follow, to make payments </w:t>
      </w:r>
      <w:r w:rsidR="006015EF">
        <w:t>consistent</w:t>
      </w:r>
      <w:r w:rsidR="00472364">
        <w:t xml:space="preserve"> with the BCS determination.</w:t>
      </w:r>
    </w:p>
    <w:p w:rsidR="00806FDE" w:rsidRDefault="00806FDE" w:rsidP="00001432">
      <w:pPr>
        <w:spacing w:line="360" w:lineRule="auto"/>
      </w:pPr>
    </w:p>
    <w:p w:rsidR="00806FDE" w:rsidRDefault="00806FDE" w:rsidP="00001432">
      <w:pPr>
        <w:spacing w:line="360" w:lineRule="auto"/>
      </w:pPr>
      <w:r>
        <w:tab/>
      </w:r>
      <w:r>
        <w:tab/>
      </w:r>
      <w:r w:rsidR="006015EF">
        <w:t>In addition, i</w:t>
      </w:r>
      <w:r>
        <w:t xml:space="preserve">t should be noted Complainant filed his complaint </w:t>
      </w:r>
      <w:r w:rsidR="007B0D4A">
        <w:t xml:space="preserve">more than twenty (20) days after </w:t>
      </w:r>
      <w:r>
        <w:t>BCS issued a decision.  Therefore,</w:t>
      </w:r>
      <w:r w:rsidR="0029792B">
        <w:t xml:space="preserve"> the decision in this matter is confined to whether a change in income or a change in circumstances requires the Commission to adjust the BCS payment arrangement.</w:t>
      </w:r>
      <w:r>
        <w:t xml:space="preserve">  Th</w:t>
      </w:r>
      <w:r w:rsidR="00C8092B">
        <w:t>e evidence</w:t>
      </w:r>
      <w:r>
        <w:t xml:space="preserve"> reveals </w:t>
      </w:r>
      <w:r w:rsidR="006015EF">
        <w:t>Complainant has Level 2 income, which permits him up to 24 months in which to pay back the arrearage in this proceeding.  Since he owed $1,829.72 at the time of the hearing, that amount ($1,829.72) must be repaid in 1/24 installments (or $76.24) in addition to paying for the current electric service charges each month.  T</w:t>
      </w:r>
      <w:r>
        <w:t xml:space="preserve">he Commission is not empowered to grant Complainant a payment plan that is any lower per month than the one specified in the BCS determination.  </w:t>
      </w:r>
    </w:p>
    <w:p w:rsidR="00001432" w:rsidRDefault="00001432" w:rsidP="00001432">
      <w:pPr>
        <w:spacing w:line="360" w:lineRule="auto"/>
      </w:pPr>
    </w:p>
    <w:p w:rsidR="00291A88" w:rsidRPr="00066A6D" w:rsidRDefault="00291A88" w:rsidP="00066A6D">
      <w:pPr>
        <w:spacing w:line="360" w:lineRule="auto"/>
      </w:pPr>
      <w:r>
        <w:tab/>
      </w:r>
      <w:r>
        <w:tab/>
        <w:t xml:space="preserve">For the foregoing reasons, the complaint will be denied and the following Order will be entered.  </w:t>
      </w:r>
    </w:p>
    <w:p w:rsidR="00C1392F" w:rsidRDefault="00C1392F" w:rsidP="0077643C">
      <w:pPr>
        <w:spacing w:line="360" w:lineRule="auto"/>
        <w:rPr>
          <w:u w:val="single"/>
        </w:rPr>
      </w:pPr>
    </w:p>
    <w:p w:rsidR="00B2782C" w:rsidRPr="0061233E" w:rsidRDefault="00B2782C" w:rsidP="0077643C">
      <w:pPr>
        <w:spacing w:line="360" w:lineRule="auto"/>
        <w:rPr>
          <w:u w:val="single"/>
        </w:rPr>
      </w:pPr>
      <w:bookmarkStart w:id="0" w:name="_GoBack"/>
      <w:bookmarkEnd w:id="0"/>
    </w:p>
    <w:p w:rsidR="008E4FD6" w:rsidRDefault="008E4FD6" w:rsidP="008E4FD6">
      <w:pPr>
        <w:spacing w:line="360" w:lineRule="auto"/>
        <w:jc w:val="center"/>
        <w:rPr>
          <w:u w:val="single"/>
        </w:rPr>
      </w:pPr>
      <w:r>
        <w:rPr>
          <w:u w:val="single"/>
        </w:rPr>
        <w:lastRenderedPageBreak/>
        <w:t>CONCLUSIONS OF LAW</w:t>
      </w:r>
    </w:p>
    <w:p w:rsidR="008E4FD6" w:rsidRDefault="008E4FD6" w:rsidP="008E4FD6">
      <w:pPr>
        <w:spacing w:line="360" w:lineRule="auto"/>
        <w:ind w:firstLine="1440"/>
      </w:pPr>
    </w:p>
    <w:p w:rsidR="008E4FD6" w:rsidRDefault="008E4FD6" w:rsidP="008E4FD6">
      <w:pPr>
        <w:numPr>
          <w:ilvl w:val="0"/>
          <w:numId w:val="1"/>
        </w:numPr>
        <w:tabs>
          <w:tab w:val="clear" w:pos="900"/>
          <w:tab w:val="num" w:pos="2160"/>
        </w:tabs>
        <w:spacing w:line="360" w:lineRule="auto"/>
        <w:ind w:left="0" w:firstLine="1440"/>
      </w:pPr>
      <w:r w:rsidRPr="00006FBE">
        <w:t xml:space="preserve">The Commission has jurisdiction over the parties and the subject matter of this proceeding.  66 </w:t>
      </w:r>
      <w:smartTag w:uri="urn:schemas-microsoft-com:office:smarttags" w:element="place">
        <w:smartTag w:uri="urn:schemas-microsoft-com:office:smarttags" w:element="State">
          <w:r w:rsidRPr="00006FBE">
            <w:t>Pa.</w:t>
          </w:r>
        </w:smartTag>
      </w:smartTag>
      <w:r w:rsidRPr="00006FBE">
        <w:t xml:space="preserve"> C.S.</w:t>
      </w:r>
      <w:r w:rsidR="006A19B6">
        <w:t>A.</w:t>
      </w:r>
      <w:r w:rsidRPr="00006FBE">
        <w:t xml:space="preserve"> §701.</w:t>
      </w:r>
    </w:p>
    <w:p w:rsidR="008E4FD6" w:rsidRPr="00006FBE" w:rsidRDefault="008E4FD6" w:rsidP="008E4FD6">
      <w:pPr>
        <w:tabs>
          <w:tab w:val="num" w:pos="2160"/>
        </w:tabs>
        <w:spacing w:line="360" w:lineRule="auto"/>
        <w:ind w:firstLine="1260"/>
      </w:pPr>
    </w:p>
    <w:p w:rsidR="008E4FD6" w:rsidRDefault="003E2BB0" w:rsidP="003B7D31">
      <w:pPr>
        <w:spacing w:line="360" w:lineRule="auto"/>
        <w:ind w:firstLine="1440"/>
      </w:pPr>
      <w:r>
        <w:rPr>
          <w:spacing w:val="-3"/>
        </w:rPr>
        <w:t>2.</w:t>
      </w:r>
      <w:r>
        <w:rPr>
          <w:spacing w:val="-3"/>
        </w:rPr>
        <w:tab/>
      </w:r>
      <w:r w:rsidR="007D1A05">
        <w:rPr>
          <w:spacing w:val="-3"/>
        </w:rPr>
        <w:t xml:space="preserve">Complainant </w:t>
      </w:r>
      <w:r w:rsidR="00573D53">
        <w:rPr>
          <w:spacing w:val="-3"/>
        </w:rPr>
        <w:t>failed to meet</w:t>
      </w:r>
      <w:r w:rsidR="007D1A05">
        <w:rPr>
          <w:spacing w:val="-3"/>
        </w:rPr>
        <w:t xml:space="preserve"> </w:t>
      </w:r>
      <w:r w:rsidR="004B5F32">
        <w:rPr>
          <w:spacing w:val="-3"/>
        </w:rPr>
        <w:t xml:space="preserve">the burden of proving </w:t>
      </w:r>
      <w:r w:rsidR="007D1A05">
        <w:rPr>
          <w:spacing w:val="-3"/>
        </w:rPr>
        <w:t xml:space="preserve">he is entitled to </w:t>
      </w:r>
      <w:r w:rsidR="00291A88">
        <w:rPr>
          <w:spacing w:val="-3"/>
        </w:rPr>
        <w:t xml:space="preserve">the </w:t>
      </w:r>
      <w:r w:rsidR="007D1A05">
        <w:rPr>
          <w:spacing w:val="-3"/>
        </w:rPr>
        <w:t>relief</w:t>
      </w:r>
      <w:r w:rsidR="004B5F32">
        <w:rPr>
          <w:spacing w:val="-3"/>
        </w:rPr>
        <w:t xml:space="preserve"> </w:t>
      </w:r>
      <w:r w:rsidR="00291A88">
        <w:rPr>
          <w:spacing w:val="-3"/>
        </w:rPr>
        <w:t>he seeks</w:t>
      </w:r>
      <w:r w:rsidR="007D1A05">
        <w:rPr>
          <w:spacing w:val="-3"/>
        </w:rPr>
        <w:t>.  66 Pa. C.S.A. §332(a).</w:t>
      </w:r>
    </w:p>
    <w:p w:rsidR="003E2BB0" w:rsidRDefault="003E2BB0" w:rsidP="003E2BB0">
      <w:pPr>
        <w:spacing w:line="360" w:lineRule="auto"/>
        <w:ind w:left="540"/>
      </w:pPr>
    </w:p>
    <w:p w:rsidR="00DC7730" w:rsidRPr="00291A88" w:rsidRDefault="003E2BB0" w:rsidP="00267BDA">
      <w:pPr>
        <w:spacing w:line="360" w:lineRule="auto"/>
      </w:pPr>
      <w:r>
        <w:tab/>
      </w:r>
      <w:r>
        <w:tab/>
        <w:t>3.</w:t>
      </w:r>
      <w:r>
        <w:tab/>
      </w:r>
      <w:r w:rsidR="00DC7730">
        <w:t>The following Order</w:t>
      </w:r>
      <w:r w:rsidR="007D1A05">
        <w:t>,</w:t>
      </w:r>
      <w:r w:rsidR="00DC7730">
        <w:t xml:space="preserve"> </w:t>
      </w:r>
      <w:r w:rsidR="00616585">
        <w:t xml:space="preserve">which </w:t>
      </w:r>
      <w:r w:rsidR="00FF241D">
        <w:t>confi</w:t>
      </w:r>
      <w:r w:rsidR="00AE4D57">
        <w:t>rms</w:t>
      </w:r>
      <w:r w:rsidR="00FF241D">
        <w:t xml:space="preserve"> the BCS-</w:t>
      </w:r>
      <w:r w:rsidR="00AB60AE">
        <w:t xml:space="preserve">established </w:t>
      </w:r>
      <w:r w:rsidR="00DC7730">
        <w:t xml:space="preserve">payment plan </w:t>
      </w:r>
      <w:r w:rsidR="009B3A65">
        <w:t>requiring</w:t>
      </w:r>
      <w:r w:rsidR="00DC7730">
        <w:t xml:space="preserve"> Complainant to pay the monthly budget amount of the bills and arrearage owed to Respondent</w:t>
      </w:r>
      <w:r w:rsidR="007D1A05">
        <w:t>,</w:t>
      </w:r>
      <w:r w:rsidR="00DC7730">
        <w:t xml:space="preserve"> conforms with the law and all applicable regulations of the Commission.</w:t>
      </w:r>
      <w:r w:rsidR="00291A88">
        <w:t xml:space="preserve">  66 Pa. C.S.A. §1401, </w:t>
      </w:r>
      <w:r w:rsidR="00291A88">
        <w:rPr>
          <w:i/>
        </w:rPr>
        <w:t>et seq.</w:t>
      </w:r>
    </w:p>
    <w:p w:rsidR="004B5F32" w:rsidRDefault="004B5F32" w:rsidP="006216A7">
      <w:pPr>
        <w:tabs>
          <w:tab w:val="num" w:pos="1440"/>
        </w:tabs>
        <w:spacing w:line="360" w:lineRule="auto"/>
      </w:pPr>
    </w:p>
    <w:p w:rsidR="008E4FD6" w:rsidRDefault="008E4FD6" w:rsidP="008E4FD6">
      <w:pPr>
        <w:tabs>
          <w:tab w:val="num" w:pos="2160"/>
        </w:tabs>
        <w:spacing w:line="360" w:lineRule="auto"/>
        <w:jc w:val="center"/>
        <w:rPr>
          <w:u w:val="single"/>
        </w:rPr>
      </w:pPr>
      <w:r>
        <w:rPr>
          <w:u w:val="single"/>
        </w:rPr>
        <w:t>ORDER</w:t>
      </w:r>
    </w:p>
    <w:p w:rsidR="008E4FD6" w:rsidRDefault="008E4FD6" w:rsidP="008E4FD6">
      <w:pPr>
        <w:tabs>
          <w:tab w:val="num" w:pos="2160"/>
        </w:tabs>
        <w:spacing w:line="360" w:lineRule="auto"/>
        <w:jc w:val="center"/>
        <w:rPr>
          <w:u w:val="single"/>
        </w:rPr>
      </w:pPr>
    </w:p>
    <w:p w:rsidR="004E3933" w:rsidRDefault="004E3933" w:rsidP="008E4FD6">
      <w:pPr>
        <w:tabs>
          <w:tab w:val="num" w:pos="2160"/>
        </w:tabs>
        <w:spacing w:line="360" w:lineRule="auto"/>
        <w:ind w:firstLine="1440"/>
      </w:pPr>
    </w:p>
    <w:p w:rsidR="008E4FD6" w:rsidRPr="00493E49" w:rsidRDefault="008E4FD6" w:rsidP="008E4FD6">
      <w:pPr>
        <w:tabs>
          <w:tab w:val="num" w:pos="2160"/>
        </w:tabs>
        <w:spacing w:line="360" w:lineRule="auto"/>
        <w:ind w:firstLine="1440"/>
      </w:pPr>
      <w:r w:rsidRPr="00493E49">
        <w:t xml:space="preserve">THEREFORE, </w:t>
      </w:r>
    </w:p>
    <w:p w:rsidR="008E4FD6" w:rsidRPr="00493E49" w:rsidRDefault="008E4FD6" w:rsidP="008E4FD6">
      <w:pPr>
        <w:tabs>
          <w:tab w:val="num" w:pos="2160"/>
        </w:tabs>
        <w:spacing w:line="360" w:lineRule="auto"/>
      </w:pPr>
    </w:p>
    <w:p w:rsidR="008E4FD6" w:rsidRPr="00493E49" w:rsidRDefault="008E4FD6" w:rsidP="008E4FD6">
      <w:pPr>
        <w:tabs>
          <w:tab w:val="num" w:pos="2160"/>
        </w:tabs>
        <w:spacing w:line="360" w:lineRule="auto"/>
        <w:ind w:firstLine="1440"/>
      </w:pPr>
      <w:r w:rsidRPr="00493E49">
        <w:t>IT IS ORDERED:</w:t>
      </w:r>
    </w:p>
    <w:p w:rsidR="008E4FD6" w:rsidRDefault="008E4FD6" w:rsidP="008E4FD6">
      <w:pPr>
        <w:tabs>
          <w:tab w:val="num" w:pos="2160"/>
        </w:tabs>
        <w:spacing w:line="360" w:lineRule="auto"/>
        <w:rPr>
          <w:b/>
        </w:rPr>
      </w:pPr>
    </w:p>
    <w:p w:rsidR="008E4FD6" w:rsidRPr="00226DBD" w:rsidRDefault="008E4FD6" w:rsidP="008E4FD6">
      <w:pPr>
        <w:tabs>
          <w:tab w:val="num" w:pos="2160"/>
        </w:tabs>
        <w:spacing w:line="360" w:lineRule="auto"/>
        <w:ind w:firstLine="1440"/>
      </w:pPr>
      <w:r>
        <w:t>1.</w:t>
      </w:r>
      <w:r>
        <w:tab/>
        <w:t xml:space="preserve">That the </w:t>
      </w:r>
      <w:r w:rsidR="00943CC8">
        <w:t>c</w:t>
      </w:r>
      <w:r>
        <w:t xml:space="preserve">omplaint filed </w:t>
      </w:r>
      <w:r w:rsidR="00632695">
        <w:t>at</w:t>
      </w:r>
      <w:r>
        <w:t xml:space="preserve"> </w:t>
      </w:r>
      <w:r w:rsidR="004B5F32" w:rsidRPr="00695A10">
        <w:t>Domenick Jacopino</w:t>
      </w:r>
      <w:r w:rsidR="00634E09" w:rsidRPr="00695A10">
        <w:t xml:space="preserve"> versus </w:t>
      </w:r>
      <w:r w:rsidR="00B42F50" w:rsidRPr="00695A10">
        <w:t>P</w:t>
      </w:r>
      <w:r w:rsidR="007D1A05" w:rsidRPr="00695A10">
        <w:t>PL Electric Utilities Corporatio</w:t>
      </w:r>
      <w:r w:rsidR="00B42F50" w:rsidRPr="00695A10">
        <w:t>n</w:t>
      </w:r>
      <w:r w:rsidR="00943CC8">
        <w:t xml:space="preserve"> </w:t>
      </w:r>
      <w:r>
        <w:t xml:space="preserve">at Docket No. </w:t>
      </w:r>
      <w:r w:rsidR="004B5F32">
        <w:t>C-2012-2304555</w:t>
      </w:r>
      <w:r w:rsidR="00267BDA">
        <w:t xml:space="preserve"> </w:t>
      </w:r>
      <w:r>
        <w:t xml:space="preserve">is </w:t>
      </w:r>
      <w:r w:rsidR="006216A7">
        <w:t>denied</w:t>
      </w:r>
      <w:r w:rsidRPr="00226DBD">
        <w:t>.</w:t>
      </w:r>
    </w:p>
    <w:p w:rsidR="006216A7" w:rsidRDefault="006216A7" w:rsidP="006216A7">
      <w:pPr>
        <w:tabs>
          <w:tab w:val="num" w:pos="2160"/>
        </w:tabs>
        <w:spacing w:line="360" w:lineRule="auto"/>
      </w:pPr>
    </w:p>
    <w:p w:rsidR="006216A7" w:rsidRDefault="006216A7" w:rsidP="006216A7">
      <w:pPr>
        <w:tabs>
          <w:tab w:val="num" w:pos="1440"/>
        </w:tabs>
        <w:spacing w:line="360" w:lineRule="auto"/>
      </w:pPr>
      <w:r>
        <w:tab/>
        <w:t>2.</w:t>
      </w:r>
      <w:r>
        <w:tab/>
        <w:t>That Complainant shall pay Respondent on the date due for the payment of each monthly bill, the regular budget amount of the bills as each become due, plus 1/24</w:t>
      </w:r>
      <w:r w:rsidRPr="006216A7">
        <w:rPr>
          <w:vertAlign w:val="superscript"/>
        </w:rPr>
        <w:t>th</w:t>
      </w:r>
      <w:r>
        <w:t xml:space="preserve"> of the arrearage owed on this account to be calculated as of the date the Commission enters its Order in this case.  These payments shall commence with the first monthly bill received after entry of the Commission’s Order in this case and continue thereafter on the due date of the payment of each regular monthly bill, until the arrearage on this account has been paid in full.</w:t>
      </w:r>
    </w:p>
    <w:p w:rsidR="006216A7" w:rsidRDefault="006216A7" w:rsidP="006216A7">
      <w:pPr>
        <w:tabs>
          <w:tab w:val="num" w:pos="1440"/>
        </w:tabs>
        <w:spacing w:line="360" w:lineRule="auto"/>
      </w:pPr>
    </w:p>
    <w:p w:rsidR="006216A7" w:rsidRDefault="006216A7" w:rsidP="006216A7">
      <w:pPr>
        <w:tabs>
          <w:tab w:val="num" w:pos="1440"/>
        </w:tabs>
        <w:spacing w:line="360" w:lineRule="auto"/>
      </w:pPr>
      <w:r>
        <w:lastRenderedPageBreak/>
        <w:tab/>
        <w:t>3.</w:t>
      </w:r>
      <w:r>
        <w:tab/>
        <w:t>That, as long as Complainant adheres to the terms of this Order, Respondent shall not assess any late payment charges nor shall Respo</w:t>
      </w:r>
      <w:r w:rsidR="008813E8">
        <w:t>ndent terminate service to Comp</w:t>
      </w:r>
      <w:r>
        <w:t>lain</w:t>
      </w:r>
      <w:r w:rsidR="008813E8">
        <w:t>an</w:t>
      </w:r>
      <w:r>
        <w:t>t, except for valid safety and/or emergency reasons.</w:t>
      </w:r>
    </w:p>
    <w:p w:rsidR="006216A7" w:rsidRDefault="006216A7" w:rsidP="006216A7">
      <w:pPr>
        <w:tabs>
          <w:tab w:val="num" w:pos="1440"/>
        </w:tabs>
        <w:spacing w:line="360" w:lineRule="auto"/>
      </w:pPr>
    </w:p>
    <w:p w:rsidR="006216A7" w:rsidRPr="006216A7" w:rsidRDefault="006216A7" w:rsidP="006216A7">
      <w:pPr>
        <w:tabs>
          <w:tab w:val="num" w:pos="1440"/>
        </w:tabs>
        <w:spacing w:line="360" w:lineRule="auto"/>
        <w:rPr>
          <w:i/>
        </w:rPr>
      </w:pPr>
      <w:r>
        <w:tab/>
        <w:t>4.</w:t>
      </w:r>
      <w:r>
        <w:tab/>
        <w:t>That if Complainant fails to adhere to the terms of this Order, Respondent is authorized to terminate Complainant’s service pursuant to the</w:t>
      </w:r>
      <w:r w:rsidR="008813E8">
        <w:t xml:space="preserve"> provisions of the Public Utilit</w:t>
      </w:r>
      <w:r>
        <w:t xml:space="preserve">y Code, 66 Pa. C.S.A. §101, </w:t>
      </w:r>
      <w:r>
        <w:rPr>
          <w:i/>
        </w:rPr>
        <w:t>et seq.</w:t>
      </w:r>
      <w:r>
        <w:t xml:space="preserve">, and the Commission’s regulations, 52 Pa. Code §56.1, </w:t>
      </w:r>
      <w:r>
        <w:rPr>
          <w:i/>
        </w:rPr>
        <w:t>et seq.</w:t>
      </w:r>
    </w:p>
    <w:p w:rsidR="001D452B" w:rsidRDefault="001D452B" w:rsidP="008E4FD6">
      <w:pPr>
        <w:tabs>
          <w:tab w:val="num" w:pos="2160"/>
        </w:tabs>
        <w:spacing w:line="360" w:lineRule="auto"/>
        <w:ind w:firstLine="1440"/>
      </w:pPr>
    </w:p>
    <w:p w:rsidR="00DC7730" w:rsidRDefault="00DC7730" w:rsidP="008E4FD6">
      <w:pPr>
        <w:tabs>
          <w:tab w:val="num" w:pos="2160"/>
        </w:tabs>
        <w:spacing w:line="360" w:lineRule="auto"/>
        <w:ind w:firstLine="1440"/>
      </w:pPr>
    </w:p>
    <w:p w:rsidR="001C6CF5" w:rsidRDefault="001C6CF5" w:rsidP="008E4FD6">
      <w:pPr>
        <w:tabs>
          <w:tab w:val="num" w:pos="2160"/>
        </w:tabs>
        <w:spacing w:line="360" w:lineRule="auto"/>
        <w:ind w:firstLine="1440"/>
      </w:pPr>
    </w:p>
    <w:p w:rsidR="008E4FD6" w:rsidRDefault="008E4FD6" w:rsidP="008E4FD6">
      <w:pPr>
        <w:tabs>
          <w:tab w:val="num" w:pos="2160"/>
          <w:tab w:val="left" w:pos="5048"/>
        </w:tabs>
      </w:pPr>
      <w:r>
        <w:t>Date:</w:t>
      </w:r>
      <w:r w:rsidR="009D47A5">
        <w:t xml:space="preserve"> </w:t>
      </w:r>
      <w:r w:rsidR="00051D73">
        <w:t xml:space="preserve"> </w:t>
      </w:r>
      <w:r w:rsidR="006015EF">
        <w:rPr>
          <w:u w:val="single"/>
        </w:rPr>
        <w:t>October 2</w:t>
      </w:r>
      <w:r w:rsidR="004B5F32">
        <w:rPr>
          <w:u w:val="single"/>
        </w:rPr>
        <w:t>, 2012</w:t>
      </w:r>
      <w:r w:rsidR="00DA7D1A">
        <w:tab/>
      </w:r>
      <w:r w:rsidR="00FB4CBA">
        <w:tab/>
      </w:r>
      <w:r>
        <w:t>_________________________</w:t>
      </w:r>
      <w:r w:rsidR="00FB4CBA">
        <w:t>__</w:t>
      </w:r>
    </w:p>
    <w:p w:rsidR="008E4FD6" w:rsidRPr="00226DBD" w:rsidRDefault="008E4FD6" w:rsidP="008E4FD6">
      <w:pPr>
        <w:tabs>
          <w:tab w:val="num" w:pos="2160"/>
        </w:tabs>
      </w:pPr>
      <w:r>
        <w:tab/>
      </w:r>
      <w:r>
        <w:tab/>
      </w:r>
      <w:r>
        <w:tab/>
      </w:r>
      <w:r>
        <w:tab/>
      </w:r>
      <w:r>
        <w:tab/>
      </w:r>
      <w:r w:rsidR="00FB4CBA">
        <w:tab/>
      </w:r>
      <w:r w:rsidR="00634E09">
        <w:t>Katrina L. Dunderdale</w:t>
      </w:r>
    </w:p>
    <w:p w:rsidR="008E4FD6" w:rsidRPr="00226DBD" w:rsidRDefault="008E4FD6" w:rsidP="008E4FD6">
      <w:pPr>
        <w:tabs>
          <w:tab w:val="num" w:pos="2160"/>
        </w:tabs>
      </w:pPr>
      <w:r w:rsidRPr="00226DBD">
        <w:tab/>
      </w:r>
      <w:r w:rsidRPr="00226DBD">
        <w:tab/>
      </w:r>
      <w:r w:rsidRPr="00226DBD">
        <w:tab/>
      </w:r>
      <w:r w:rsidRPr="00226DBD">
        <w:tab/>
      </w:r>
      <w:r w:rsidRPr="00226DBD">
        <w:tab/>
      </w:r>
      <w:r w:rsidR="00FB4CBA">
        <w:tab/>
      </w:r>
      <w:r w:rsidRPr="00226DBD">
        <w:t>Administrative Law Judge</w:t>
      </w:r>
    </w:p>
    <w:p w:rsidR="00B3278A" w:rsidRDefault="00B3278A"/>
    <w:sectPr w:rsidR="00B3278A" w:rsidSect="004E3933">
      <w:footerReference w:type="even" r:id="rId8"/>
      <w:footerReference w:type="default" r:id="rId9"/>
      <w:pgSz w:w="12240" w:h="15840" w:code="1"/>
      <w:pgMar w:top="1440" w:right="1440" w:bottom="1440" w:left="1440" w:header="720" w:footer="720" w:gutter="0"/>
      <w:paperSrc w:first="4"/>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5651C" w:rsidRDefault="0025651C">
      <w:r>
        <w:separator/>
      </w:r>
    </w:p>
  </w:endnote>
  <w:endnote w:type="continuationSeparator" w:id="0">
    <w:p w:rsidR="0025651C" w:rsidRDefault="002565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2" w:rsidRDefault="00615432" w:rsidP="008E4F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615432" w:rsidRDefault="006154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432" w:rsidRPr="0025439C" w:rsidRDefault="00615432" w:rsidP="008E4FD6">
    <w:pPr>
      <w:pStyle w:val="Footer"/>
      <w:framePr w:wrap="around" w:vAnchor="text" w:hAnchor="margin" w:xAlign="center" w:y="1"/>
      <w:rPr>
        <w:rStyle w:val="PageNumber"/>
      </w:rPr>
    </w:pPr>
    <w:r w:rsidRPr="0025439C">
      <w:rPr>
        <w:rStyle w:val="PageNumber"/>
      </w:rPr>
      <w:fldChar w:fldCharType="begin"/>
    </w:r>
    <w:r w:rsidRPr="0025439C">
      <w:rPr>
        <w:rStyle w:val="PageNumber"/>
      </w:rPr>
      <w:instrText xml:space="preserve">PAGE  </w:instrText>
    </w:r>
    <w:r w:rsidRPr="0025439C">
      <w:rPr>
        <w:rStyle w:val="PageNumber"/>
      </w:rPr>
      <w:fldChar w:fldCharType="separate"/>
    </w:r>
    <w:r w:rsidR="004862DB">
      <w:rPr>
        <w:rStyle w:val="PageNumber"/>
        <w:noProof/>
      </w:rPr>
      <w:t>7</w:t>
    </w:r>
    <w:r w:rsidRPr="0025439C">
      <w:rPr>
        <w:rStyle w:val="PageNumber"/>
      </w:rPr>
      <w:fldChar w:fldCharType="end"/>
    </w:r>
  </w:p>
  <w:p w:rsidR="00615432" w:rsidRDefault="006154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5651C" w:rsidRDefault="0025651C">
      <w:r>
        <w:separator/>
      </w:r>
    </w:p>
  </w:footnote>
  <w:footnote w:type="continuationSeparator" w:id="0">
    <w:p w:rsidR="0025651C" w:rsidRDefault="0025651C">
      <w:r>
        <w:continuationSeparator/>
      </w:r>
    </w:p>
  </w:footnote>
  <w:footnote w:id="1">
    <w:p w:rsidR="00615432" w:rsidRPr="00806FDE" w:rsidRDefault="00615432" w:rsidP="008813E8">
      <w:pPr>
        <w:pStyle w:val="FootnoteText"/>
      </w:pPr>
      <w:r>
        <w:rPr>
          <w:rStyle w:val="FootnoteReference"/>
        </w:rPr>
        <w:footnoteRef/>
      </w:r>
      <w:r>
        <w:t xml:space="preserve"> </w:t>
      </w:r>
      <w:r>
        <w:tab/>
        <w:t xml:space="preserve">Based upon the published </w:t>
      </w:r>
      <w:r w:rsidR="004B5F32">
        <w:t>2012</w:t>
      </w:r>
      <w:r>
        <w:t xml:space="preserve"> Federal Poverty Income Guidelines, eff. </w:t>
      </w:r>
      <w:r w:rsidR="004B5F32" w:rsidRPr="004B5F32">
        <w:rPr>
          <w:b/>
        </w:rPr>
        <w:t>2/22/12</w:t>
      </w:r>
      <w:r>
        <w:t xml:space="preserve">, Federal Register, Vol. </w:t>
      </w:r>
      <w:r w:rsidRPr="004B5F32">
        <w:rPr>
          <w:b/>
        </w:rPr>
        <w:t>7</w:t>
      </w:r>
      <w:r>
        <w:t xml:space="preserve">4, </w:t>
      </w:r>
      <w:r w:rsidRPr="00806FDE">
        <w:t>No. 14, pp. 4199-4201.</w:t>
      </w:r>
    </w:p>
    <w:p w:rsidR="00F411E5" w:rsidRDefault="00F411E5" w:rsidP="008813E8">
      <w:pPr>
        <w:pStyle w:val="FootnoteText"/>
      </w:pPr>
    </w:p>
  </w:footnote>
  <w:footnote w:id="2">
    <w:p w:rsidR="00615432" w:rsidRDefault="00615432">
      <w:pPr>
        <w:pStyle w:val="FootnoteText"/>
      </w:pPr>
      <w:r>
        <w:rPr>
          <w:rStyle w:val="FootnoteReference"/>
        </w:rPr>
        <w:footnoteRef/>
      </w:r>
      <w:r>
        <w:t xml:space="preserve"> </w:t>
      </w:r>
      <w:r>
        <w:tab/>
        <w:t xml:space="preserve">A “change in income” is defined at 66 </w:t>
      </w:r>
      <w:smartTag w:uri="urn:schemas-microsoft-com:office:smarttags" w:element="place">
        <w:smartTag w:uri="urn:schemas-microsoft-com:office:smarttags" w:element="State">
          <w:r>
            <w:t>Pa.</w:t>
          </w:r>
        </w:smartTag>
      </w:smartTag>
      <w:r>
        <w:t xml:space="preserve"> C.S.A. §1403 as a “decrease in household income of 20% or more if the customer’s household income level exceeds 200% of the Federal poverty level or a decrease in household income of 10% or more if the customer’s household income level is 200% or less of the Federal poverty level.”</w:t>
      </w:r>
    </w:p>
    <w:p w:rsidR="00615432" w:rsidRDefault="00615432">
      <w:pPr>
        <w:pStyle w:val="FootnoteText"/>
      </w:pPr>
    </w:p>
  </w:footnote>
  <w:footnote w:id="3">
    <w:p w:rsidR="00615432" w:rsidRDefault="00615432" w:rsidP="002C45F9">
      <w:pPr>
        <w:rPr>
          <w:sz w:val="20"/>
          <w:szCs w:val="20"/>
        </w:rPr>
      </w:pPr>
      <w:r w:rsidRPr="00C1242C">
        <w:rPr>
          <w:rStyle w:val="FootnoteReference"/>
          <w:sz w:val="20"/>
          <w:szCs w:val="20"/>
        </w:rPr>
        <w:footnoteRef/>
      </w:r>
      <w:r w:rsidRPr="00C1242C">
        <w:rPr>
          <w:sz w:val="20"/>
          <w:szCs w:val="20"/>
        </w:rPr>
        <w:t xml:space="preserve"> </w:t>
      </w:r>
      <w:r w:rsidRPr="00C1242C">
        <w:rPr>
          <w:sz w:val="20"/>
          <w:szCs w:val="20"/>
        </w:rPr>
        <w:tab/>
        <w:t>A “significant change in circumstance</w:t>
      </w:r>
      <w:r w:rsidR="00BE1385">
        <w:rPr>
          <w:sz w:val="20"/>
          <w:szCs w:val="20"/>
        </w:rPr>
        <w:t>s</w:t>
      </w:r>
      <w:r w:rsidRPr="00C1242C">
        <w:rPr>
          <w:sz w:val="20"/>
          <w:szCs w:val="20"/>
        </w:rPr>
        <w:t>” is defined at 66 Pa. C.S.A. §1403 as “any of the following criteria when verified by the public utility and experienced by customers with household income less than 300% of the Federal poverty level</w:t>
      </w:r>
      <w:r w:rsidR="009B0C7A">
        <w:rPr>
          <w:sz w:val="20"/>
          <w:szCs w:val="20"/>
        </w:rPr>
        <w:t>:</w:t>
      </w:r>
    </w:p>
    <w:p w:rsidR="00615432" w:rsidRPr="00C1242C" w:rsidRDefault="00615432" w:rsidP="002C45F9">
      <w:pPr>
        <w:rPr>
          <w:sz w:val="20"/>
          <w:szCs w:val="20"/>
        </w:rPr>
      </w:pPr>
    </w:p>
    <w:p w:rsidR="00615432" w:rsidRPr="00C1242C" w:rsidRDefault="00615432" w:rsidP="00C1242C">
      <w:pPr>
        <w:spacing w:line="360" w:lineRule="auto"/>
        <w:rPr>
          <w:sz w:val="20"/>
          <w:szCs w:val="20"/>
        </w:rPr>
      </w:pPr>
      <w:r w:rsidRPr="00C1242C">
        <w:rPr>
          <w:sz w:val="20"/>
          <w:szCs w:val="20"/>
        </w:rPr>
        <w:tab/>
      </w:r>
      <w:r w:rsidRPr="00C1242C">
        <w:rPr>
          <w:sz w:val="20"/>
          <w:szCs w:val="20"/>
        </w:rPr>
        <w:tab/>
        <w:t xml:space="preserve">(1) </w:t>
      </w:r>
      <w:r w:rsidRPr="00C1242C">
        <w:rPr>
          <w:sz w:val="20"/>
          <w:szCs w:val="20"/>
        </w:rPr>
        <w:tab/>
        <w:t>The onset of a chronic or acute illness resulting in a significant loss in the customer’s household income.</w:t>
      </w:r>
    </w:p>
    <w:p w:rsidR="00615432" w:rsidRPr="00C1242C" w:rsidRDefault="00615432" w:rsidP="00C1242C">
      <w:pPr>
        <w:spacing w:line="360" w:lineRule="auto"/>
        <w:rPr>
          <w:sz w:val="20"/>
          <w:szCs w:val="20"/>
        </w:rPr>
      </w:pPr>
      <w:r w:rsidRPr="00C1242C">
        <w:rPr>
          <w:sz w:val="20"/>
          <w:szCs w:val="20"/>
        </w:rPr>
        <w:tab/>
      </w:r>
      <w:r w:rsidRPr="00C1242C">
        <w:rPr>
          <w:sz w:val="20"/>
          <w:szCs w:val="20"/>
        </w:rPr>
        <w:tab/>
        <w:t xml:space="preserve">(2) </w:t>
      </w:r>
      <w:r w:rsidRPr="00C1242C">
        <w:rPr>
          <w:sz w:val="20"/>
          <w:szCs w:val="20"/>
        </w:rPr>
        <w:tab/>
        <w:t>Catastrophic damage to the customer’s residence resulting in a significant net cost to the customer’s household.</w:t>
      </w:r>
    </w:p>
    <w:p w:rsidR="00615432" w:rsidRPr="00C1242C" w:rsidRDefault="00615432" w:rsidP="00C1242C">
      <w:pPr>
        <w:spacing w:line="360" w:lineRule="auto"/>
        <w:rPr>
          <w:sz w:val="20"/>
          <w:szCs w:val="20"/>
        </w:rPr>
      </w:pPr>
      <w:r w:rsidRPr="00C1242C">
        <w:rPr>
          <w:sz w:val="20"/>
          <w:szCs w:val="20"/>
        </w:rPr>
        <w:tab/>
      </w:r>
      <w:r w:rsidRPr="00C1242C">
        <w:rPr>
          <w:sz w:val="20"/>
          <w:szCs w:val="20"/>
        </w:rPr>
        <w:tab/>
        <w:t>(3)</w:t>
      </w:r>
      <w:r w:rsidRPr="00C1242C">
        <w:rPr>
          <w:sz w:val="20"/>
          <w:szCs w:val="20"/>
        </w:rPr>
        <w:tab/>
        <w:t>Loss of the customer’s residence.</w:t>
      </w:r>
    </w:p>
    <w:p w:rsidR="00615432" w:rsidRPr="00C1242C" w:rsidRDefault="00615432" w:rsidP="00C1242C">
      <w:pPr>
        <w:pStyle w:val="FootnoteText"/>
      </w:pPr>
      <w:r w:rsidRPr="00C1242C">
        <w:tab/>
      </w:r>
      <w:r w:rsidRPr="00C1242C">
        <w:tab/>
        <w:t>(4)</w:t>
      </w:r>
      <w:r w:rsidRPr="00C1242C">
        <w:tab/>
        <w:t>Increase in the customer’s number of dependents in the household.”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E5736"/>
    <w:multiLevelType w:val="hybridMultilevel"/>
    <w:tmpl w:val="FA46155E"/>
    <w:lvl w:ilvl="0" w:tplc="EF5EB0BA">
      <w:start w:val="1"/>
      <w:numFmt w:val="decimal"/>
      <w:lvlText w:val="%1."/>
      <w:lvlJc w:val="left"/>
      <w:pPr>
        <w:tabs>
          <w:tab w:val="num" w:pos="900"/>
        </w:tabs>
        <w:ind w:left="90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57BA"/>
    <w:rsid w:val="00001432"/>
    <w:rsid w:val="000218E1"/>
    <w:rsid w:val="0003405D"/>
    <w:rsid w:val="00034D3C"/>
    <w:rsid w:val="0003750C"/>
    <w:rsid w:val="000453D8"/>
    <w:rsid w:val="00045D8B"/>
    <w:rsid w:val="00051D73"/>
    <w:rsid w:val="00051FFD"/>
    <w:rsid w:val="000539E5"/>
    <w:rsid w:val="000561FF"/>
    <w:rsid w:val="00065204"/>
    <w:rsid w:val="00065B67"/>
    <w:rsid w:val="00066A6D"/>
    <w:rsid w:val="00067E14"/>
    <w:rsid w:val="00073825"/>
    <w:rsid w:val="00080A0D"/>
    <w:rsid w:val="00080A87"/>
    <w:rsid w:val="00081933"/>
    <w:rsid w:val="00090EF7"/>
    <w:rsid w:val="00097A32"/>
    <w:rsid w:val="000A4D56"/>
    <w:rsid w:val="000B4044"/>
    <w:rsid w:val="000C6633"/>
    <w:rsid w:val="000E0DDA"/>
    <w:rsid w:val="000F4D6B"/>
    <w:rsid w:val="0010040A"/>
    <w:rsid w:val="00103B9D"/>
    <w:rsid w:val="00105961"/>
    <w:rsid w:val="00111CAA"/>
    <w:rsid w:val="0011788E"/>
    <w:rsid w:val="0012146B"/>
    <w:rsid w:val="00125CCD"/>
    <w:rsid w:val="00130EB1"/>
    <w:rsid w:val="001339E0"/>
    <w:rsid w:val="00137ABC"/>
    <w:rsid w:val="00144748"/>
    <w:rsid w:val="001513EC"/>
    <w:rsid w:val="0015570D"/>
    <w:rsid w:val="00161288"/>
    <w:rsid w:val="00166246"/>
    <w:rsid w:val="0018379D"/>
    <w:rsid w:val="00183F29"/>
    <w:rsid w:val="00192E22"/>
    <w:rsid w:val="001A69DB"/>
    <w:rsid w:val="001C1413"/>
    <w:rsid w:val="001C6CF5"/>
    <w:rsid w:val="001D3960"/>
    <w:rsid w:val="001D452B"/>
    <w:rsid w:val="001D79FF"/>
    <w:rsid w:val="001E1FFA"/>
    <w:rsid w:val="001F481D"/>
    <w:rsid w:val="00200ED0"/>
    <w:rsid w:val="00201B03"/>
    <w:rsid w:val="00203A92"/>
    <w:rsid w:val="00204E04"/>
    <w:rsid w:val="00204E2E"/>
    <w:rsid w:val="00205D49"/>
    <w:rsid w:val="00206B04"/>
    <w:rsid w:val="00226BE1"/>
    <w:rsid w:val="00230C93"/>
    <w:rsid w:val="00230D97"/>
    <w:rsid w:val="00231CB1"/>
    <w:rsid w:val="00245C3F"/>
    <w:rsid w:val="00245F9A"/>
    <w:rsid w:val="00246E90"/>
    <w:rsid w:val="0025439C"/>
    <w:rsid w:val="0025651C"/>
    <w:rsid w:val="00263EFE"/>
    <w:rsid w:val="00265043"/>
    <w:rsid w:val="00266A85"/>
    <w:rsid w:val="00267BDA"/>
    <w:rsid w:val="00275CCC"/>
    <w:rsid w:val="0028021B"/>
    <w:rsid w:val="00291A88"/>
    <w:rsid w:val="0029792B"/>
    <w:rsid w:val="002A6AF0"/>
    <w:rsid w:val="002B4DFA"/>
    <w:rsid w:val="002C382D"/>
    <w:rsid w:val="002C45F9"/>
    <w:rsid w:val="002D5314"/>
    <w:rsid w:val="002E5290"/>
    <w:rsid w:val="002E5A74"/>
    <w:rsid w:val="00302C62"/>
    <w:rsid w:val="003231BD"/>
    <w:rsid w:val="003257B2"/>
    <w:rsid w:val="003279AA"/>
    <w:rsid w:val="00333ED8"/>
    <w:rsid w:val="00356A13"/>
    <w:rsid w:val="003649AC"/>
    <w:rsid w:val="0037694C"/>
    <w:rsid w:val="00380DC6"/>
    <w:rsid w:val="00390F7E"/>
    <w:rsid w:val="003A6E05"/>
    <w:rsid w:val="003B3A4E"/>
    <w:rsid w:val="003B5903"/>
    <w:rsid w:val="003B7783"/>
    <w:rsid w:val="003B7D31"/>
    <w:rsid w:val="003C46AF"/>
    <w:rsid w:val="003C7DEA"/>
    <w:rsid w:val="003D374F"/>
    <w:rsid w:val="003D488A"/>
    <w:rsid w:val="003D500A"/>
    <w:rsid w:val="003D5173"/>
    <w:rsid w:val="003E2BB0"/>
    <w:rsid w:val="003E2D32"/>
    <w:rsid w:val="003E32FF"/>
    <w:rsid w:val="003E60E7"/>
    <w:rsid w:val="003F1BC1"/>
    <w:rsid w:val="003F56DB"/>
    <w:rsid w:val="0040125C"/>
    <w:rsid w:val="004054DB"/>
    <w:rsid w:val="0041364C"/>
    <w:rsid w:val="004139C1"/>
    <w:rsid w:val="00421585"/>
    <w:rsid w:val="00424A3E"/>
    <w:rsid w:val="00425E57"/>
    <w:rsid w:val="00427282"/>
    <w:rsid w:val="004279F9"/>
    <w:rsid w:val="004322BD"/>
    <w:rsid w:val="00436B5F"/>
    <w:rsid w:val="00437557"/>
    <w:rsid w:val="00437FAE"/>
    <w:rsid w:val="00440B6B"/>
    <w:rsid w:val="0045048D"/>
    <w:rsid w:val="00455B05"/>
    <w:rsid w:val="00460F2E"/>
    <w:rsid w:val="00460FB3"/>
    <w:rsid w:val="00464CC1"/>
    <w:rsid w:val="00470AFC"/>
    <w:rsid w:val="00472364"/>
    <w:rsid w:val="00474C53"/>
    <w:rsid w:val="0047585D"/>
    <w:rsid w:val="004862DB"/>
    <w:rsid w:val="004927FC"/>
    <w:rsid w:val="0049315E"/>
    <w:rsid w:val="004B2A02"/>
    <w:rsid w:val="004B34C6"/>
    <w:rsid w:val="004B422F"/>
    <w:rsid w:val="004B54EC"/>
    <w:rsid w:val="004B5F32"/>
    <w:rsid w:val="004B7B8F"/>
    <w:rsid w:val="004D03CD"/>
    <w:rsid w:val="004D454A"/>
    <w:rsid w:val="004E3933"/>
    <w:rsid w:val="004E713D"/>
    <w:rsid w:val="004E7660"/>
    <w:rsid w:val="004E768A"/>
    <w:rsid w:val="004F1328"/>
    <w:rsid w:val="004F3495"/>
    <w:rsid w:val="00510ECC"/>
    <w:rsid w:val="00513D94"/>
    <w:rsid w:val="00516EDA"/>
    <w:rsid w:val="00517217"/>
    <w:rsid w:val="00522985"/>
    <w:rsid w:val="005266AA"/>
    <w:rsid w:val="00535936"/>
    <w:rsid w:val="005447FE"/>
    <w:rsid w:val="00544F7E"/>
    <w:rsid w:val="00545D25"/>
    <w:rsid w:val="005531AF"/>
    <w:rsid w:val="005642ED"/>
    <w:rsid w:val="0057115F"/>
    <w:rsid w:val="00573D53"/>
    <w:rsid w:val="00594764"/>
    <w:rsid w:val="005A0E8B"/>
    <w:rsid w:val="005B4212"/>
    <w:rsid w:val="005C3A43"/>
    <w:rsid w:val="005F0E18"/>
    <w:rsid w:val="005F5666"/>
    <w:rsid w:val="006015EF"/>
    <w:rsid w:val="0061233E"/>
    <w:rsid w:val="00614B42"/>
    <w:rsid w:val="00615432"/>
    <w:rsid w:val="00616585"/>
    <w:rsid w:val="006216A7"/>
    <w:rsid w:val="00625C56"/>
    <w:rsid w:val="00632695"/>
    <w:rsid w:val="00633976"/>
    <w:rsid w:val="00634E09"/>
    <w:rsid w:val="0063649E"/>
    <w:rsid w:val="00641052"/>
    <w:rsid w:val="00651AB0"/>
    <w:rsid w:val="006600C0"/>
    <w:rsid w:val="00665A95"/>
    <w:rsid w:val="006663CA"/>
    <w:rsid w:val="00671AC1"/>
    <w:rsid w:val="0067419C"/>
    <w:rsid w:val="006771E3"/>
    <w:rsid w:val="006772A2"/>
    <w:rsid w:val="00680C3B"/>
    <w:rsid w:val="0068314B"/>
    <w:rsid w:val="006855E3"/>
    <w:rsid w:val="00685F88"/>
    <w:rsid w:val="006869B5"/>
    <w:rsid w:val="00691FDA"/>
    <w:rsid w:val="006954BC"/>
    <w:rsid w:val="00695A10"/>
    <w:rsid w:val="00696EBA"/>
    <w:rsid w:val="006A1426"/>
    <w:rsid w:val="006A19B6"/>
    <w:rsid w:val="006A3267"/>
    <w:rsid w:val="006B7DE7"/>
    <w:rsid w:val="006C4CFE"/>
    <w:rsid w:val="006D2E25"/>
    <w:rsid w:val="006D2F3E"/>
    <w:rsid w:val="006D7800"/>
    <w:rsid w:val="006E0E78"/>
    <w:rsid w:val="006E12A1"/>
    <w:rsid w:val="006E175B"/>
    <w:rsid w:val="006E42F3"/>
    <w:rsid w:val="006E59A8"/>
    <w:rsid w:val="006E7B48"/>
    <w:rsid w:val="007024A3"/>
    <w:rsid w:val="007053DB"/>
    <w:rsid w:val="0070739F"/>
    <w:rsid w:val="007116F8"/>
    <w:rsid w:val="007121EF"/>
    <w:rsid w:val="0071586C"/>
    <w:rsid w:val="0073170F"/>
    <w:rsid w:val="0073720D"/>
    <w:rsid w:val="00740DC1"/>
    <w:rsid w:val="00754FD3"/>
    <w:rsid w:val="007563F9"/>
    <w:rsid w:val="00756B45"/>
    <w:rsid w:val="0077643C"/>
    <w:rsid w:val="00780273"/>
    <w:rsid w:val="0078110D"/>
    <w:rsid w:val="00783095"/>
    <w:rsid w:val="00794F1B"/>
    <w:rsid w:val="007A5552"/>
    <w:rsid w:val="007A618A"/>
    <w:rsid w:val="007B0D4A"/>
    <w:rsid w:val="007C2E0D"/>
    <w:rsid w:val="007D1A05"/>
    <w:rsid w:val="007D79D2"/>
    <w:rsid w:val="007E60BC"/>
    <w:rsid w:val="007E6310"/>
    <w:rsid w:val="007E65C0"/>
    <w:rsid w:val="007E7B4E"/>
    <w:rsid w:val="007F5FDF"/>
    <w:rsid w:val="00806E0D"/>
    <w:rsid w:val="00806FDE"/>
    <w:rsid w:val="00824890"/>
    <w:rsid w:val="00835B03"/>
    <w:rsid w:val="008377DE"/>
    <w:rsid w:val="00842A20"/>
    <w:rsid w:val="00863CD4"/>
    <w:rsid w:val="0086657E"/>
    <w:rsid w:val="00873D8A"/>
    <w:rsid w:val="00875ED3"/>
    <w:rsid w:val="008806A8"/>
    <w:rsid w:val="008813E8"/>
    <w:rsid w:val="008873B0"/>
    <w:rsid w:val="008927B5"/>
    <w:rsid w:val="008A28F8"/>
    <w:rsid w:val="008B298D"/>
    <w:rsid w:val="008C613D"/>
    <w:rsid w:val="008D6E2C"/>
    <w:rsid w:val="008E0D46"/>
    <w:rsid w:val="008E4FD6"/>
    <w:rsid w:val="00906628"/>
    <w:rsid w:val="009403A2"/>
    <w:rsid w:val="00940F32"/>
    <w:rsid w:val="0094142D"/>
    <w:rsid w:val="00943CC8"/>
    <w:rsid w:val="009540A4"/>
    <w:rsid w:val="00955815"/>
    <w:rsid w:val="009565B3"/>
    <w:rsid w:val="00966C36"/>
    <w:rsid w:val="00966E48"/>
    <w:rsid w:val="00972B9B"/>
    <w:rsid w:val="00976BE6"/>
    <w:rsid w:val="009905F2"/>
    <w:rsid w:val="00993151"/>
    <w:rsid w:val="009A2664"/>
    <w:rsid w:val="009A50CB"/>
    <w:rsid w:val="009A5AF8"/>
    <w:rsid w:val="009B0C7A"/>
    <w:rsid w:val="009B3A65"/>
    <w:rsid w:val="009B78EC"/>
    <w:rsid w:val="009C05E9"/>
    <w:rsid w:val="009C4526"/>
    <w:rsid w:val="009C5DB0"/>
    <w:rsid w:val="009D2B67"/>
    <w:rsid w:val="009D47A5"/>
    <w:rsid w:val="009D529F"/>
    <w:rsid w:val="009E6876"/>
    <w:rsid w:val="00A03E3D"/>
    <w:rsid w:val="00A04076"/>
    <w:rsid w:val="00A10010"/>
    <w:rsid w:val="00A25C4A"/>
    <w:rsid w:val="00A305C6"/>
    <w:rsid w:val="00A32A22"/>
    <w:rsid w:val="00A35B4B"/>
    <w:rsid w:val="00A374D9"/>
    <w:rsid w:val="00A46AA1"/>
    <w:rsid w:val="00A52673"/>
    <w:rsid w:val="00A64A36"/>
    <w:rsid w:val="00A801E7"/>
    <w:rsid w:val="00A80E4E"/>
    <w:rsid w:val="00A8100A"/>
    <w:rsid w:val="00A831C5"/>
    <w:rsid w:val="00A84255"/>
    <w:rsid w:val="00A86E3D"/>
    <w:rsid w:val="00A93EC0"/>
    <w:rsid w:val="00A94A48"/>
    <w:rsid w:val="00A95B3A"/>
    <w:rsid w:val="00AA70E2"/>
    <w:rsid w:val="00AB2FF3"/>
    <w:rsid w:val="00AB553D"/>
    <w:rsid w:val="00AB60AE"/>
    <w:rsid w:val="00AB7BCB"/>
    <w:rsid w:val="00AC1893"/>
    <w:rsid w:val="00AC1F4C"/>
    <w:rsid w:val="00AC5246"/>
    <w:rsid w:val="00AE290D"/>
    <w:rsid w:val="00AE4D57"/>
    <w:rsid w:val="00AF291F"/>
    <w:rsid w:val="00AF5FC0"/>
    <w:rsid w:val="00B000F3"/>
    <w:rsid w:val="00B01107"/>
    <w:rsid w:val="00B129E2"/>
    <w:rsid w:val="00B175E8"/>
    <w:rsid w:val="00B23445"/>
    <w:rsid w:val="00B26A72"/>
    <w:rsid w:val="00B2782C"/>
    <w:rsid w:val="00B3278A"/>
    <w:rsid w:val="00B42F50"/>
    <w:rsid w:val="00B5162C"/>
    <w:rsid w:val="00B52440"/>
    <w:rsid w:val="00B53D9A"/>
    <w:rsid w:val="00B70664"/>
    <w:rsid w:val="00B70A36"/>
    <w:rsid w:val="00B7268D"/>
    <w:rsid w:val="00B74A68"/>
    <w:rsid w:val="00B94A6B"/>
    <w:rsid w:val="00B94FFF"/>
    <w:rsid w:val="00B95B41"/>
    <w:rsid w:val="00BB00DE"/>
    <w:rsid w:val="00BB70B3"/>
    <w:rsid w:val="00BB7D46"/>
    <w:rsid w:val="00BC40BB"/>
    <w:rsid w:val="00BC7953"/>
    <w:rsid w:val="00BE1385"/>
    <w:rsid w:val="00BF2303"/>
    <w:rsid w:val="00BF28AB"/>
    <w:rsid w:val="00BF34F4"/>
    <w:rsid w:val="00BF4A08"/>
    <w:rsid w:val="00C00415"/>
    <w:rsid w:val="00C07543"/>
    <w:rsid w:val="00C11659"/>
    <w:rsid w:val="00C1242C"/>
    <w:rsid w:val="00C1392F"/>
    <w:rsid w:val="00C13DF0"/>
    <w:rsid w:val="00C22B03"/>
    <w:rsid w:val="00C23DE7"/>
    <w:rsid w:val="00C2558E"/>
    <w:rsid w:val="00C2775B"/>
    <w:rsid w:val="00C30F1E"/>
    <w:rsid w:val="00C3109E"/>
    <w:rsid w:val="00C3358D"/>
    <w:rsid w:val="00C7374A"/>
    <w:rsid w:val="00C74A12"/>
    <w:rsid w:val="00C8092B"/>
    <w:rsid w:val="00C85078"/>
    <w:rsid w:val="00C862A2"/>
    <w:rsid w:val="00C908DB"/>
    <w:rsid w:val="00CA57BA"/>
    <w:rsid w:val="00CC069F"/>
    <w:rsid w:val="00CD4126"/>
    <w:rsid w:val="00CE1628"/>
    <w:rsid w:val="00CE1952"/>
    <w:rsid w:val="00CF3433"/>
    <w:rsid w:val="00D044C8"/>
    <w:rsid w:val="00D06B34"/>
    <w:rsid w:val="00D1018C"/>
    <w:rsid w:val="00D179C3"/>
    <w:rsid w:val="00D26276"/>
    <w:rsid w:val="00D27CC5"/>
    <w:rsid w:val="00D44E45"/>
    <w:rsid w:val="00D47923"/>
    <w:rsid w:val="00D654B3"/>
    <w:rsid w:val="00D71828"/>
    <w:rsid w:val="00D7410E"/>
    <w:rsid w:val="00D761B6"/>
    <w:rsid w:val="00D84D25"/>
    <w:rsid w:val="00D85ADB"/>
    <w:rsid w:val="00D93D99"/>
    <w:rsid w:val="00D94038"/>
    <w:rsid w:val="00DA5AEE"/>
    <w:rsid w:val="00DA7D1A"/>
    <w:rsid w:val="00DB2DA5"/>
    <w:rsid w:val="00DB3C3C"/>
    <w:rsid w:val="00DB7463"/>
    <w:rsid w:val="00DC5673"/>
    <w:rsid w:val="00DC7730"/>
    <w:rsid w:val="00DD020B"/>
    <w:rsid w:val="00DD2547"/>
    <w:rsid w:val="00DD432B"/>
    <w:rsid w:val="00DE1A73"/>
    <w:rsid w:val="00DF4B76"/>
    <w:rsid w:val="00DF5B48"/>
    <w:rsid w:val="00E00F94"/>
    <w:rsid w:val="00E07E5E"/>
    <w:rsid w:val="00E12B8E"/>
    <w:rsid w:val="00E1627C"/>
    <w:rsid w:val="00E20470"/>
    <w:rsid w:val="00E42033"/>
    <w:rsid w:val="00E46350"/>
    <w:rsid w:val="00E6023E"/>
    <w:rsid w:val="00E645B5"/>
    <w:rsid w:val="00E71731"/>
    <w:rsid w:val="00E73FF1"/>
    <w:rsid w:val="00E7573A"/>
    <w:rsid w:val="00E7797A"/>
    <w:rsid w:val="00E81752"/>
    <w:rsid w:val="00E8279D"/>
    <w:rsid w:val="00E86BB6"/>
    <w:rsid w:val="00E86D32"/>
    <w:rsid w:val="00E87C90"/>
    <w:rsid w:val="00E9731D"/>
    <w:rsid w:val="00EA1752"/>
    <w:rsid w:val="00EB2E92"/>
    <w:rsid w:val="00EC6DA3"/>
    <w:rsid w:val="00ED0A26"/>
    <w:rsid w:val="00ED623F"/>
    <w:rsid w:val="00ED6AF6"/>
    <w:rsid w:val="00ED7A75"/>
    <w:rsid w:val="00EE1278"/>
    <w:rsid w:val="00EF088D"/>
    <w:rsid w:val="00F03EF9"/>
    <w:rsid w:val="00F27D7F"/>
    <w:rsid w:val="00F35B71"/>
    <w:rsid w:val="00F40D95"/>
    <w:rsid w:val="00F411E5"/>
    <w:rsid w:val="00F425D9"/>
    <w:rsid w:val="00F650AC"/>
    <w:rsid w:val="00F86B1E"/>
    <w:rsid w:val="00F906E5"/>
    <w:rsid w:val="00F95F05"/>
    <w:rsid w:val="00FA25F9"/>
    <w:rsid w:val="00FA7693"/>
    <w:rsid w:val="00FB08B0"/>
    <w:rsid w:val="00FB43CE"/>
    <w:rsid w:val="00FB4CBA"/>
    <w:rsid w:val="00FB557E"/>
    <w:rsid w:val="00FC0796"/>
    <w:rsid w:val="00FC23D6"/>
    <w:rsid w:val="00FC4820"/>
    <w:rsid w:val="00FC5362"/>
    <w:rsid w:val="00FC627C"/>
    <w:rsid w:val="00FE57B5"/>
    <w:rsid w:val="00FF021A"/>
    <w:rsid w:val="00FF241D"/>
    <w:rsid w:val="00FF3624"/>
    <w:rsid w:val="00FF46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ersonNam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25439C"/>
    <w:pPr>
      <w:tabs>
        <w:tab w:val="center" w:pos="4320"/>
        <w:tab w:val="right" w:pos="8640"/>
      </w:tabs>
    </w:pPr>
  </w:style>
  <w:style w:type="paragraph" w:styleId="BalloonText">
    <w:name w:val="Balloon Text"/>
    <w:basedOn w:val="Normal"/>
    <w:link w:val="BalloonTextChar"/>
    <w:rsid w:val="00DB2DA5"/>
    <w:rPr>
      <w:rFonts w:ascii="Tahoma" w:hAnsi="Tahoma" w:cs="Tahoma"/>
      <w:sz w:val="16"/>
      <w:szCs w:val="16"/>
    </w:rPr>
  </w:style>
  <w:style w:type="character" w:customStyle="1" w:styleId="BalloonTextChar">
    <w:name w:val="Balloon Text Char"/>
    <w:basedOn w:val="DefaultParagraphFont"/>
    <w:link w:val="BalloonText"/>
    <w:rsid w:val="00DB2DA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26A7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4FD6"/>
    <w:pPr>
      <w:tabs>
        <w:tab w:val="center" w:pos="4320"/>
        <w:tab w:val="right" w:pos="8640"/>
      </w:tabs>
    </w:pPr>
  </w:style>
  <w:style w:type="character" w:styleId="PageNumber">
    <w:name w:val="page number"/>
    <w:basedOn w:val="DefaultParagraphFont"/>
    <w:rsid w:val="008E4FD6"/>
  </w:style>
  <w:style w:type="paragraph" w:styleId="BodyText">
    <w:name w:val="Body Text"/>
    <w:basedOn w:val="Normal"/>
    <w:rsid w:val="006E12A1"/>
    <w:pPr>
      <w:spacing w:line="360" w:lineRule="auto"/>
      <w:jc w:val="both"/>
    </w:pPr>
    <w:rPr>
      <w:sz w:val="26"/>
      <w:szCs w:val="20"/>
    </w:rPr>
  </w:style>
  <w:style w:type="paragraph" w:styleId="FootnoteText">
    <w:name w:val="footnote text"/>
    <w:basedOn w:val="Normal"/>
    <w:semiHidden/>
    <w:rsid w:val="009540A4"/>
    <w:rPr>
      <w:sz w:val="20"/>
      <w:szCs w:val="20"/>
    </w:rPr>
  </w:style>
  <w:style w:type="character" w:styleId="FootnoteReference">
    <w:name w:val="footnote reference"/>
    <w:basedOn w:val="DefaultParagraphFont"/>
    <w:semiHidden/>
    <w:rsid w:val="009540A4"/>
    <w:rPr>
      <w:vertAlign w:val="superscript"/>
    </w:rPr>
  </w:style>
  <w:style w:type="paragraph" w:styleId="Header">
    <w:name w:val="header"/>
    <w:basedOn w:val="Normal"/>
    <w:rsid w:val="0025439C"/>
    <w:pPr>
      <w:tabs>
        <w:tab w:val="center" w:pos="4320"/>
        <w:tab w:val="right" w:pos="8640"/>
      </w:tabs>
    </w:pPr>
  </w:style>
  <w:style w:type="paragraph" w:styleId="BalloonText">
    <w:name w:val="Balloon Text"/>
    <w:basedOn w:val="Normal"/>
    <w:link w:val="BalloonTextChar"/>
    <w:rsid w:val="00DB2DA5"/>
    <w:rPr>
      <w:rFonts w:ascii="Tahoma" w:hAnsi="Tahoma" w:cs="Tahoma"/>
      <w:sz w:val="16"/>
      <w:szCs w:val="16"/>
    </w:rPr>
  </w:style>
  <w:style w:type="character" w:customStyle="1" w:styleId="BalloonTextChar">
    <w:name w:val="Balloon Text Char"/>
    <w:basedOn w:val="DefaultParagraphFont"/>
    <w:link w:val="BalloonText"/>
    <w:rsid w:val="00DB2DA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1972</Words>
  <Characters>11247</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13193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sandra elizabeth oldynski</cp:lastModifiedBy>
  <cp:revision>2</cp:revision>
  <cp:lastPrinted>2012-11-26T19:59:00Z</cp:lastPrinted>
  <dcterms:created xsi:type="dcterms:W3CDTF">2012-11-26T19:59:00Z</dcterms:created>
  <dcterms:modified xsi:type="dcterms:W3CDTF">2012-11-26T19:59:00Z</dcterms:modified>
</cp:coreProperties>
</file>