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89" w:rsidRPr="0094639F" w:rsidRDefault="00BC4189" w:rsidP="00BC4189">
      <w:pPr>
        <w:tabs>
          <w:tab w:val="center" w:pos="4680"/>
        </w:tabs>
        <w:jc w:val="both"/>
        <w:rPr>
          <w:b/>
          <w:sz w:val="24"/>
          <w:szCs w:val="24"/>
        </w:rPr>
      </w:pPr>
      <w:r>
        <w:rPr>
          <w:sz w:val="24"/>
        </w:rPr>
        <w:tab/>
      </w:r>
      <w:r w:rsidRPr="0094639F">
        <w:rPr>
          <w:b/>
          <w:sz w:val="24"/>
          <w:szCs w:val="24"/>
        </w:rPr>
        <w:t>BEFORE THE</w:t>
      </w:r>
    </w:p>
    <w:p w:rsidR="00BC4189" w:rsidRPr="0094639F" w:rsidRDefault="00BC4189" w:rsidP="00BC4189">
      <w:pPr>
        <w:tabs>
          <w:tab w:val="center" w:pos="4680"/>
        </w:tabs>
        <w:jc w:val="both"/>
        <w:rPr>
          <w:b/>
          <w:sz w:val="24"/>
          <w:szCs w:val="24"/>
        </w:rPr>
      </w:pPr>
      <w:r w:rsidRPr="0094639F">
        <w:rPr>
          <w:b/>
          <w:sz w:val="24"/>
          <w:szCs w:val="24"/>
        </w:rPr>
        <w:tab/>
        <w:t>PENNSYLVANIA PUBLIC UTILITY COMMISSION</w:t>
      </w:r>
    </w:p>
    <w:p w:rsidR="00BC4189" w:rsidRPr="0094639F" w:rsidRDefault="00BC4189" w:rsidP="00BC4189">
      <w:pPr>
        <w:tabs>
          <w:tab w:val="center" w:pos="4680"/>
        </w:tabs>
        <w:jc w:val="both"/>
        <w:rPr>
          <w:sz w:val="24"/>
          <w:szCs w:val="24"/>
        </w:rPr>
      </w:pPr>
    </w:p>
    <w:p w:rsidR="00BC4189" w:rsidRPr="0094639F" w:rsidRDefault="00BC4189" w:rsidP="00BC4189">
      <w:pPr>
        <w:jc w:val="both"/>
        <w:rPr>
          <w:sz w:val="24"/>
          <w:szCs w:val="24"/>
        </w:rPr>
      </w:pPr>
    </w:p>
    <w:p w:rsidR="003F2F6A" w:rsidRPr="0094639F" w:rsidRDefault="003F2F6A" w:rsidP="003F2F6A">
      <w:pPr>
        <w:tabs>
          <w:tab w:val="left" w:pos="360"/>
        </w:tabs>
        <w:rPr>
          <w:b/>
          <w:sz w:val="24"/>
          <w:szCs w:val="24"/>
        </w:rPr>
      </w:pPr>
    </w:p>
    <w:p w:rsidR="003F2F6A" w:rsidRPr="0094639F" w:rsidRDefault="003F2F6A" w:rsidP="003F2F6A">
      <w:pPr>
        <w:rPr>
          <w:sz w:val="24"/>
          <w:szCs w:val="24"/>
        </w:rPr>
      </w:pPr>
      <w:r w:rsidRPr="0094639F">
        <w:rPr>
          <w:sz w:val="24"/>
          <w:szCs w:val="24"/>
        </w:rPr>
        <w:t xml:space="preserve">Pennsylvania Public Utility </w:t>
      </w:r>
      <w:proofErr w:type="gramStart"/>
      <w:r w:rsidRPr="0094639F">
        <w:rPr>
          <w:sz w:val="24"/>
          <w:szCs w:val="24"/>
        </w:rPr>
        <w:t>Commission,</w:t>
      </w:r>
      <w:r w:rsidRPr="0094639F">
        <w:rPr>
          <w:sz w:val="24"/>
          <w:szCs w:val="24"/>
        </w:rPr>
        <w:tab/>
      </w:r>
      <w:r w:rsidRPr="0094639F">
        <w:rPr>
          <w:sz w:val="24"/>
          <w:szCs w:val="24"/>
        </w:rPr>
        <w:tab/>
        <w:t>:</w:t>
      </w:r>
      <w:proofErr w:type="gramEnd"/>
      <w:r w:rsidRPr="0094639F">
        <w:rPr>
          <w:sz w:val="24"/>
          <w:szCs w:val="24"/>
        </w:rPr>
        <w:tab/>
      </w:r>
      <w:r w:rsidRPr="0094639F">
        <w:rPr>
          <w:sz w:val="24"/>
          <w:szCs w:val="24"/>
        </w:rPr>
        <w:tab/>
      </w:r>
      <w:r w:rsidRPr="0094639F">
        <w:rPr>
          <w:sz w:val="24"/>
          <w:szCs w:val="24"/>
        </w:rPr>
        <w:tab/>
        <w:t xml:space="preserve">    </w:t>
      </w:r>
    </w:p>
    <w:p w:rsidR="003F2F6A" w:rsidRPr="0094639F" w:rsidRDefault="003F2F6A" w:rsidP="003F2F6A">
      <w:pPr>
        <w:rPr>
          <w:sz w:val="24"/>
          <w:szCs w:val="24"/>
        </w:rPr>
      </w:pPr>
      <w:r w:rsidRPr="0094639F">
        <w:rPr>
          <w:sz w:val="24"/>
          <w:szCs w:val="24"/>
        </w:rPr>
        <w:t>Law Bureau Prosecutory Staff</w:t>
      </w:r>
      <w:r w:rsidRPr="0094639F">
        <w:rPr>
          <w:sz w:val="24"/>
          <w:szCs w:val="24"/>
        </w:rPr>
        <w:tab/>
      </w:r>
      <w:r w:rsidRPr="0094639F">
        <w:rPr>
          <w:sz w:val="24"/>
          <w:szCs w:val="24"/>
        </w:rPr>
        <w:tab/>
      </w:r>
      <w:r w:rsidRPr="0094639F">
        <w:rPr>
          <w:sz w:val="24"/>
          <w:szCs w:val="24"/>
        </w:rPr>
        <w:tab/>
        <w:t>:</w:t>
      </w:r>
      <w:r w:rsidRPr="0094639F">
        <w:rPr>
          <w:sz w:val="24"/>
          <w:szCs w:val="24"/>
        </w:rPr>
        <w:tab/>
      </w:r>
      <w:r w:rsidRPr="0094639F">
        <w:rPr>
          <w:sz w:val="24"/>
          <w:szCs w:val="24"/>
        </w:rPr>
        <w:tab/>
        <w:t xml:space="preserve"> </w:t>
      </w:r>
    </w:p>
    <w:p w:rsidR="003F2F6A" w:rsidRPr="0094639F" w:rsidRDefault="003F2F6A" w:rsidP="003F2F6A">
      <w:pPr>
        <w:tabs>
          <w:tab w:val="left" w:pos="-720"/>
          <w:tab w:val="left" w:pos="0"/>
        </w:tabs>
        <w:suppressAutoHyphens/>
        <w:rPr>
          <w:sz w:val="24"/>
          <w:szCs w:val="24"/>
        </w:rPr>
      </w:pPr>
      <w:r w:rsidRPr="0094639F">
        <w:rPr>
          <w:sz w:val="24"/>
          <w:szCs w:val="24"/>
        </w:rPr>
        <w:tab/>
      </w:r>
      <w:r w:rsidRPr="0094639F">
        <w:rPr>
          <w:sz w:val="24"/>
          <w:szCs w:val="24"/>
        </w:rPr>
        <w:tab/>
      </w:r>
      <w:r w:rsidRPr="0094639F">
        <w:rPr>
          <w:sz w:val="24"/>
          <w:szCs w:val="24"/>
        </w:rPr>
        <w:tab/>
      </w:r>
      <w:r w:rsidRPr="0094639F">
        <w:rPr>
          <w:sz w:val="24"/>
          <w:szCs w:val="24"/>
        </w:rPr>
        <w:tab/>
      </w:r>
      <w:r w:rsidRPr="0094639F">
        <w:rPr>
          <w:sz w:val="24"/>
          <w:szCs w:val="24"/>
        </w:rPr>
        <w:tab/>
      </w:r>
      <w:r w:rsidRPr="0094639F">
        <w:rPr>
          <w:sz w:val="24"/>
          <w:szCs w:val="24"/>
        </w:rPr>
        <w:tab/>
      </w:r>
      <w:r w:rsidRPr="0094639F">
        <w:rPr>
          <w:sz w:val="24"/>
          <w:szCs w:val="24"/>
        </w:rPr>
        <w:tab/>
        <w:t>:</w:t>
      </w:r>
    </w:p>
    <w:p w:rsidR="003F2F6A" w:rsidRPr="0094639F" w:rsidRDefault="003F2F6A" w:rsidP="003F2F6A">
      <w:pPr>
        <w:tabs>
          <w:tab w:val="left" w:pos="-720"/>
          <w:tab w:val="left" w:pos="0"/>
        </w:tabs>
        <w:suppressAutoHyphens/>
        <w:rPr>
          <w:sz w:val="24"/>
          <w:szCs w:val="24"/>
        </w:rPr>
      </w:pPr>
      <w:r w:rsidRPr="0094639F">
        <w:rPr>
          <w:sz w:val="24"/>
          <w:szCs w:val="24"/>
        </w:rPr>
        <w:tab/>
        <w:t>v.</w:t>
      </w:r>
      <w:r w:rsidRPr="0094639F">
        <w:rPr>
          <w:sz w:val="24"/>
          <w:szCs w:val="24"/>
        </w:rPr>
        <w:tab/>
      </w:r>
      <w:r w:rsidRPr="0094639F">
        <w:rPr>
          <w:sz w:val="24"/>
          <w:szCs w:val="24"/>
        </w:rPr>
        <w:tab/>
      </w:r>
      <w:r w:rsidRPr="0094639F">
        <w:rPr>
          <w:sz w:val="24"/>
          <w:szCs w:val="24"/>
        </w:rPr>
        <w:tab/>
      </w:r>
      <w:r w:rsidRPr="0094639F">
        <w:rPr>
          <w:sz w:val="24"/>
          <w:szCs w:val="24"/>
        </w:rPr>
        <w:tab/>
      </w:r>
      <w:r w:rsidRPr="0094639F">
        <w:rPr>
          <w:sz w:val="24"/>
          <w:szCs w:val="24"/>
        </w:rPr>
        <w:tab/>
      </w:r>
      <w:r w:rsidRPr="0094639F">
        <w:rPr>
          <w:sz w:val="24"/>
          <w:szCs w:val="24"/>
        </w:rPr>
        <w:tab/>
        <w:t xml:space="preserve">: </w:t>
      </w:r>
      <w:r w:rsidRPr="0094639F">
        <w:rPr>
          <w:sz w:val="24"/>
          <w:szCs w:val="24"/>
        </w:rPr>
        <w:tab/>
      </w:r>
      <w:r w:rsidRPr="0094639F">
        <w:rPr>
          <w:sz w:val="24"/>
          <w:szCs w:val="24"/>
        </w:rPr>
        <w:tab/>
        <w:t>C-2011-2246921</w:t>
      </w:r>
    </w:p>
    <w:p w:rsidR="003F2F6A" w:rsidRPr="0094639F" w:rsidRDefault="003F2F6A" w:rsidP="003F2F6A">
      <w:pPr>
        <w:tabs>
          <w:tab w:val="left" w:pos="-720"/>
          <w:tab w:val="left" w:pos="0"/>
        </w:tabs>
        <w:suppressAutoHyphens/>
        <w:rPr>
          <w:sz w:val="24"/>
          <w:szCs w:val="24"/>
        </w:rPr>
      </w:pPr>
      <w:r w:rsidRPr="0094639F">
        <w:rPr>
          <w:sz w:val="24"/>
          <w:szCs w:val="24"/>
        </w:rPr>
        <w:tab/>
      </w:r>
      <w:r w:rsidRPr="0094639F">
        <w:rPr>
          <w:sz w:val="24"/>
          <w:szCs w:val="24"/>
        </w:rPr>
        <w:tab/>
      </w:r>
      <w:r w:rsidRPr="0094639F">
        <w:rPr>
          <w:sz w:val="24"/>
          <w:szCs w:val="24"/>
        </w:rPr>
        <w:tab/>
      </w:r>
      <w:r w:rsidRPr="0094639F">
        <w:rPr>
          <w:sz w:val="24"/>
          <w:szCs w:val="24"/>
        </w:rPr>
        <w:tab/>
      </w:r>
      <w:r w:rsidRPr="0094639F">
        <w:rPr>
          <w:sz w:val="24"/>
          <w:szCs w:val="24"/>
        </w:rPr>
        <w:tab/>
      </w:r>
      <w:r w:rsidRPr="0094639F">
        <w:rPr>
          <w:sz w:val="24"/>
          <w:szCs w:val="24"/>
        </w:rPr>
        <w:tab/>
      </w:r>
      <w:r w:rsidRPr="0094639F">
        <w:rPr>
          <w:sz w:val="24"/>
          <w:szCs w:val="24"/>
        </w:rPr>
        <w:tab/>
        <w:t>:</w:t>
      </w:r>
    </w:p>
    <w:p w:rsidR="003F2F6A" w:rsidRPr="0094639F" w:rsidRDefault="003F2F6A" w:rsidP="003F2F6A">
      <w:pPr>
        <w:tabs>
          <w:tab w:val="left" w:pos="-720"/>
          <w:tab w:val="left" w:pos="0"/>
        </w:tabs>
        <w:suppressAutoHyphens/>
        <w:rPr>
          <w:sz w:val="24"/>
          <w:szCs w:val="24"/>
        </w:rPr>
      </w:pPr>
      <w:r w:rsidRPr="0094639F">
        <w:rPr>
          <w:sz w:val="24"/>
          <w:szCs w:val="24"/>
        </w:rPr>
        <w:t>Kelly Fink, Claude Joseph Fink, Jr</w:t>
      </w:r>
      <w:proofErr w:type="gramStart"/>
      <w:r w:rsidRPr="0094639F">
        <w:rPr>
          <w:sz w:val="24"/>
          <w:szCs w:val="24"/>
        </w:rPr>
        <w:t xml:space="preserve">., </w:t>
      </w:r>
      <w:r w:rsidRPr="0094639F">
        <w:rPr>
          <w:sz w:val="24"/>
          <w:szCs w:val="24"/>
        </w:rPr>
        <w:tab/>
      </w:r>
      <w:r w:rsidRPr="0094639F">
        <w:rPr>
          <w:sz w:val="24"/>
          <w:szCs w:val="24"/>
        </w:rPr>
        <w:tab/>
      </w:r>
      <w:r w:rsidRPr="0094639F">
        <w:rPr>
          <w:sz w:val="24"/>
          <w:szCs w:val="24"/>
        </w:rPr>
        <w:tab/>
        <w:t>:</w:t>
      </w:r>
      <w:proofErr w:type="gramEnd"/>
    </w:p>
    <w:p w:rsidR="003F2F6A" w:rsidRPr="0094639F" w:rsidRDefault="003F2F6A" w:rsidP="003F2F6A">
      <w:pPr>
        <w:tabs>
          <w:tab w:val="left" w:pos="-720"/>
          <w:tab w:val="left" w:pos="0"/>
        </w:tabs>
        <w:suppressAutoHyphens/>
        <w:rPr>
          <w:sz w:val="24"/>
          <w:szCs w:val="24"/>
        </w:rPr>
      </w:pPr>
      <w:r w:rsidRPr="0094639F">
        <w:rPr>
          <w:sz w:val="24"/>
          <w:szCs w:val="24"/>
        </w:rPr>
        <w:t xml:space="preserve">Claude J. Fink, and Lois A. </w:t>
      </w:r>
      <w:proofErr w:type="gramStart"/>
      <w:r w:rsidRPr="0094639F">
        <w:rPr>
          <w:sz w:val="24"/>
          <w:szCs w:val="24"/>
        </w:rPr>
        <w:t xml:space="preserve">Fink, </w:t>
      </w:r>
      <w:r w:rsidRPr="0094639F">
        <w:rPr>
          <w:sz w:val="24"/>
          <w:szCs w:val="24"/>
        </w:rPr>
        <w:tab/>
      </w:r>
      <w:r w:rsidRPr="0094639F">
        <w:rPr>
          <w:sz w:val="24"/>
          <w:szCs w:val="24"/>
        </w:rPr>
        <w:tab/>
      </w:r>
      <w:r w:rsidRPr="0094639F">
        <w:rPr>
          <w:sz w:val="24"/>
          <w:szCs w:val="24"/>
        </w:rPr>
        <w:tab/>
        <w:t>:</w:t>
      </w:r>
      <w:proofErr w:type="gramEnd"/>
    </w:p>
    <w:p w:rsidR="003F2F6A" w:rsidRPr="0094639F" w:rsidRDefault="003F2F6A" w:rsidP="003F2F6A">
      <w:pPr>
        <w:tabs>
          <w:tab w:val="left" w:pos="-720"/>
          <w:tab w:val="left" w:pos="0"/>
        </w:tabs>
        <w:suppressAutoHyphens/>
        <w:rPr>
          <w:sz w:val="24"/>
          <w:szCs w:val="24"/>
        </w:rPr>
      </w:pPr>
      <w:proofErr w:type="gramStart"/>
      <w:r w:rsidRPr="0094639F">
        <w:rPr>
          <w:sz w:val="24"/>
          <w:szCs w:val="24"/>
        </w:rPr>
        <w:t>individually</w:t>
      </w:r>
      <w:proofErr w:type="gramEnd"/>
      <w:r w:rsidRPr="0094639F">
        <w:rPr>
          <w:sz w:val="24"/>
          <w:szCs w:val="24"/>
        </w:rPr>
        <w:t xml:space="preserve"> and jointly, t/d/b/a</w:t>
      </w:r>
      <w:r w:rsidRPr="0094639F">
        <w:rPr>
          <w:sz w:val="24"/>
          <w:szCs w:val="24"/>
        </w:rPr>
        <w:tab/>
      </w:r>
      <w:r w:rsidRPr="0094639F">
        <w:rPr>
          <w:sz w:val="24"/>
          <w:szCs w:val="24"/>
        </w:rPr>
        <w:tab/>
      </w:r>
      <w:r w:rsidRPr="0094639F">
        <w:rPr>
          <w:sz w:val="24"/>
          <w:szCs w:val="24"/>
        </w:rPr>
        <w:tab/>
        <w:t>:</w:t>
      </w:r>
    </w:p>
    <w:p w:rsidR="003F2F6A" w:rsidRPr="0094639F" w:rsidRDefault="003F2F6A" w:rsidP="003F2F6A">
      <w:pPr>
        <w:rPr>
          <w:sz w:val="24"/>
          <w:szCs w:val="24"/>
        </w:rPr>
      </w:pPr>
      <w:r w:rsidRPr="0094639F">
        <w:rPr>
          <w:sz w:val="24"/>
          <w:szCs w:val="24"/>
        </w:rPr>
        <w:t>Fink Gas Company</w:t>
      </w:r>
      <w:r w:rsidRPr="0094639F">
        <w:rPr>
          <w:sz w:val="24"/>
          <w:szCs w:val="24"/>
        </w:rPr>
        <w:tab/>
      </w:r>
      <w:r w:rsidRPr="0094639F">
        <w:rPr>
          <w:sz w:val="24"/>
          <w:szCs w:val="24"/>
        </w:rPr>
        <w:tab/>
      </w:r>
      <w:r w:rsidRPr="0094639F">
        <w:rPr>
          <w:sz w:val="24"/>
          <w:szCs w:val="24"/>
        </w:rPr>
        <w:tab/>
      </w:r>
      <w:r w:rsidRPr="0094639F">
        <w:rPr>
          <w:sz w:val="24"/>
          <w:szCs w:val="24"/>
        </w:rPr>
        <w:tab/>
      </w:r>
      <w:r w:rsidRPr="0094639F">
        <w:rPr>
          <w:sz w:val="24"/>
          <w:szCs w:val="24"/>
        </w:rPr>
        <w:tab/>
        <w:t>:</w:t>
      </w:r>
    </w:p>
    <w:p w:rsidR="003F2F6A" w:rsidRPr="0094639F" w:rsidRDefault="003F2F6A" w:rsidP="003F2F6A">
      <w:pPr>
        <w:rPr>
          <w:sz w:val="24"/>
          <w:szCs w:val="24"/>
        </w:rPr>
      </w:pPr>
    </w:p>
    <w:p w:rsidR="002B3685" w:rsidRPr="0094639F" w:rsidRDefault="002B3685" w:rsidP="002B3685">
      <w:pPr>
        <w:jc w:val="both"/>
        <w:rPr>
          <w:sz w:val="24"/>
          <w:szCs w:val="24"/>
        </w:rPr>
      </w:pPr>
    </w:p>
    <w:p w:rsidR="002B3685" w:rsidRPr="0094639F" w:rsidRDefault="002B3685" w:rsidP="002B3685">
      <w:pPr>
        <w:spacing w:line="233" w:lineRule="auto"/>
        <w:jc w:val="both"/>
        <w:rPr>
          <w:b/>
          <w:sz w:val="24"/>
          <w:szCs w:val="24"/>
        </w:rPr>
      </w:pPr>
    </w:p>
    <w:p w:rsidR="002B3685" w:rsidRPr="0094639F" w:rsidRDefault="002B3685" w:rsidP="002B3685">
      <w:pPr>
        <w:spacing w:line="233" w:lineRule="auto"/>
        <w:jc w:val="center"/>
        <w:rPr>
          <w:b/>
          <w:sz w:val="24"/>
          <w:szCs w:val="24"/>
          <w:u w:val="single"/>
        </w:rPr>
      </w:pPr>
      <w:r w:rsidRPr="0094639F">
        <w:rPr>
          <w:b/>
          <w:sz w:val="24"/>
          <w:szCs w:val="24"/>
          <w:u w:val="single"/>
        </w:rPr>
        <w:t>SIXTH INTERIM ORDER</w:t>
      </w:r>
    </w:p>
    <w:p w:rsidR="002B3685" w:rsidRPr="0094639F" w:rsidRDefault="002B3685" w:rsidP="002B3685">
      <w:pPr>
        <w:spacing w:line="233" w:lineRule="auto"/>
        <w:jc w:val="center"/>
        <w:rPr>
          <w:sz w:val="24"/>
          <w:szCs w:val="24"/>
        </w:rPr>
      </w:pPr>
      <w:r w:rsidRPr="0094639F">
        <w:rPr>
          <w:sz w:val="24"/>
          <w:szCs w:val="24"/>
        </w:rPr>
        <w:t xml:space="preserve">Scheduling Further Hearing </w:t>
      </w:r>
    </w:p>
    <w:p w:rsidR="002B3685" w:rsidRPr="0094639F" w:rsidRDefault="002B3685" w:rsidP="002B3685">
      <w:pPr>
        <w:spacing w:line="233" w:lineRule="auto"/>
        <w:jc w:val="center"/>
        <w:rPr>
          <w:sz w:val="24"/>
          <w:szCs w:val="24"/>
        </w:rPr>
      </w:pPr>
      <w:proofErr w:type="gramStart"/>
      <w:r w:rsidRPr="0094639F">
        <w:rPr>
          <w:sz w:val="24"/>
          <w:szCs w:val="24"/>
        </w:rPr>
        <w:t>and</w:t>
      </w:r>
      <w:proofErr w:type="gramEnd"/>
      <w:r w:rsidRPr="0094639F">
        <w:rPr>
          <w:sz w:val="24"/>
          <w:szCs w:val="24"/>
        </w:rPr>
        <w:t xml:space="preserve"> </w:t>
      </w:r>
    </w:p>
    <w:p w:rsidR="002B3685" w:rsidRPr="0094639F" w:rsidRDefault="002B3685" w:rsidP="002B3685">
      <w:pPr>
        <w:spacing w:line="233" w:lineRule="auto"/>
        <w:jc w:val="center"/>
        <w:rPr>
          <w:sz w:val="24"/>
          <w:szCs w:val="24"/>
        </w:rPr>
      </w:pPr>
      <w:r w:rsidRPr="0094639F">
        <w:rPr>
          <w:sz w:val="24"/>
          <w:szCs w:val="24"/>
        </w:rPr>
        <w:t>Requiring Parties to Submit Status</w:t>
      </w:r>
    </w:p>
    <w:p w:rsidR="002B3685" w:rsidRPr="0094639F" w:rsidRDefault="002B3685" w:rsidP="002B3685">
      <w:pPr>
        <w:spacing w:line="233" w:lineRule="auto"/>
        <w:jc w:val="both"/>
        <w:rPr>
          <w:sz w:val="24"/>
          <w:szCs w:val="24"/>
        </w:rPr>
      </w:pPr>
    </w:p>
    <w:p w:rsidR="002B3685" w:rsidRPr="0094639F" w:rsidRDefault="002B3685" w:rsidP="002B3685">
      <w:pPr>
        <w:rPr>
          <w:sz w:val="24"/>
          <w:szCs w:val="24"/>
        </w:rPr>
      </w:pPr>
    </w:p>
    <w:p w:rsidR="002B3685" w:rsidRPr="0094639F" w:rsidRDefault="002B3685" w:rsidP="002B3685">
      <w:pPr>
        <w:spacing w:line="360" w:lineRule="auto"/>
        <w:ind w:firstLine="1440"/>
        <w:rPr>
          <w:sz w:val="24"/>
          <w:szCs w:val="24"/>
        </w:rPr>
      </w:pPr>
      <w:r w:rsidRPr="0094639F">
        <w:rPr>
          <w:sz w:val="24"/>
          <w:szCs w:val="24"/>
        </w:rPr>
        <w:t xml:space="preserve">On June 15, 2011, the Law Bureau Prosecutory Staff (“Complainant” or “Law Bureau”) filed a complaint against Kelly Fink, Joe Fink, Jr., Claude J. Fink, and Lois A. Fink, individually and jointly, t/d/b/a Fink Gas Company, alleging the individuals operate an unincorporated gas utility business and engage in providing public utility service as a retail natural gas supplier to the public for compensation.  On July 22, 2011, the Respondents responded separately to the complaint.  </w:t>
      </w:r>
    </w:p>
    <w:p w:rsidR="002B3685" w:rsidRPr="0094639F" w:rsidRDefault="002B3685" w:rsidP="002B3685">
      <w:pPr>
        <w:spacing w:line="360" w:lineRule="auto"/>
        <w:rPr>
          <w:sz w:val="24"/>
          <w:szCs w:val="24"/>
        </w:rPr>
      </w:pPr>
    </w:p>
    <w:p w:rsidR="002B3685" w:rsidRPr="0094639F" w:rsidRDefault="002B3685" w:rsidP="002B3685">
      <w:pPr>
        <w:spacing w:line="360" w:lineRule="auto"/>
        <w:ind w:firstLine="1440"/>
        <w:rPr>
          <w:sz w:val="24"/>
          <w:szCs w:val="24"/>
        </w:rPr>
      </w:pPr>
      <w:r w:rsidRPr="0094639F">
        <w:rPr>
          <w:sz w:val="24"/>
          <w:szCs w:val="24"/>
        </w:rPr>
        <w:t>The presiding officer conducted a prehearing conference on April 12, 2012 and on April 13, 2012, the presiding officer issued the Second Prehearing Order which</w:t>
      </w:r>
      <w:r w:rsidRPr="0094639F">
        <w:rPr>
          <w:i/>
          <w:sz w:val="24"/>
          <w:szCs w:val="24"/>
        </w:rPr>
        <w:t>, inter alia</w:t>
      </w:r>
      <w:r w:rsidRPr="0094639F">
        <w:rPr>
          <w:sz w:val="24"/>
          <w:szCs w:val="24"/>
        </w:rPr>
        <w:t>, established various procedural provisions, outlined some discovery rules and scheduled the evidentiary hearings for June 26, 2012 and June 27, 2012.</w:t>
      </w:r>
    </w:p>
    <w:p w:rsidR="002B3685" w:rsidRPr="0094639F" w:rsidRDefault="002B3685" w:rsidP="002B3685">
      <w:pPr>
        <w:spacing w:line="360" w:lineRule="auto"/>
        <w:ind w:firstLine="1440"/>
        <w:rPr>
          <w:sz w:val="24"/>
          <w:szCs w:val="24"/>
        </w:rPr>
      </w:pPr>
    </w:p>
    <w:p w:rsidR="002B3685" w:rsidRPr="0094639F" w:rsidRDefault="002B3685" w:rsidP="002B3685">
      <w:pPr>
        <w:pStyle w:val="Footer"/>
        <w:tabs>
          <w:tab w:val="clear" w:pos="4320"/>
          <w:tab w:val="clear" w:pos="8640"/>
        </w:tabs>
        <w:spacing w:line="360" w:lineRule="auto"/>
        <w:rPr>
          <w:spacing w:val="-3"/>
          <w:sz w:val="24"/>
          <w:szCs w:val="24"/>
        </w:rPr>
      </w:pPr>
      <w:r w:rsidRPr="0094639F">
        <w:rPr>
          <w:spacing w:val="-3"/>
          <w:sz w:val="24"/>
          <w:szCs w:val="24"/>
        </w:rPr>
        <w:tab/>
      </w:r>
      <w:r w:rsidRPr="0094639F">
        <w:rPr>
          <w:spacing w:val="-3"/>
          <w:sz w:val="24"/>
          <w:szCs w:val="24"/>
        </w:rPr>
        <w:tab/>
        <w:t>Thereafter, on June 26, 2012 and June 27, 2012, the presiding officer conducted the initial hearings in this proceeding in Pittsburgh, Pennsylvania.  Present during the hearings were attorneys representing the Law Bureau, C</w:t>
      </w:r>
      <w:r w:rsidR="00CB0C0E">
        <w:rPr>
          <w:spacing w:val="-3"/>
          <w:sz w:val="24"/>
          <w:szCs w:val="24"/>
        </w:rPr>
        <w:t>laude</w:t>
      </w:r>
      <w:bookmarkStart w:id="0" w:name="_GoBack"/>
      <w:bookmarkEnd w:id="0"/>
      <w:r w:rsidRPr="0094639F">
        <w:rPr>
          <w:spacing w:val="-3"/>
          <w:sz w:val="24"/>
          <w:szCs w:val="24"/>
        </w:rPr>
        <w:t xml:space="preserve"> J. Fink and Lois A. Fink, and Kelly Fink.  Claude Joseph Fink, Jr. was not present and was not represented by counsel.  </w:t>
      </w:r>
    </w:p>
    <w:p w:rsidR="002B3685" w:rsidRPr="0094639F" w:rsidRDefault="002B3685" w:rsidP="002B3685">
      <w:pPr>
        <w:pStyle w:val="Footer"/>
        <w:tabs>
          <w:tab w:val="clear" w:pos="4320"/>
          <w:tab w:val="clear" w:pos="8640"/>
        </w:tabs>
        <w:spacing w:line="360" w:lineRule="auto"/>
        <w:rPr>
          <w:spacing w:val="-3"/>
          <w:sz w:val="24"/>
          <w:szCs w:val="24"/>
        </w:rPr>
      </w:pPr>
    </w:p>
    <w:p w:rsidR="002B3685" w:rsidRPr="0094639F" w:rsidRDefault="002B3685" w:rsidP="002B3685">
      <w:pPr>
        <w:pStyle w:val="Footer"/>
        <w:tabs>
          <w:tab w:val="clear" w:pos="4320"/>
          <w:tab w:val="clear" w:pos="8640"/>
        </w:tabs>
        <w:spacing w:line="360" w:lineRule="auto"/>
        <w:ind w:firstLine="1440"/>
        <w:rPr>
          <w:spacing w:val="-3"/>
          <w:sz w:val="24"/>
          <w:szCs w:val="24"/>
        </w:rPr>
      </w:pPr>
      <w:r w:rsidRPr="0094639F">
        <w:rPr>
          <w:spacing w:val="-3"/>
          <w:sz w:val="24"/>
          <w:szCs w:val="24"/>
        </w:rPr>
        <w:t>Upon conclusion of taking testimony on the second day, the presiding officer presented the parties with an opportunity to engage in settlement negotiations which resolves the outstanding issues in a mutually-agreeable and amicable manner.  The parties present accepted the opportunity.</w:t>
      </w:r>
    </w:p>
    <w:p w:rsidR="002B3685" w:rsidRPr="0094639F" w:rsidRDefault="002B3685" w:rsidP="002B3685">
      <w:pPr>
        <w:pStyle w:val="Footer"/>
        <w:tabs>
          <w:tab w:val="clear" w:pos="4320"/>
          <w:tab w:val="clear" w:pos="8640"/>
        </w:tabs>
        <w:spacing w:line="360" w:lineRule="auto"/>
        <w:ind w:firstLine="1440"/>
        <w:rPr>
          <w:spacing w:val="-3"/>
          <w:sz w:val="24"/>
          <w:szCs w:val="24"/>
        </w:rPr>
      </w:pPr>
    </w:p>
    <w:p w:rsidR="002B3685" w:rsidRPr="0094639F" w:rsidRDefault="002B3685" w:rsidP="002B3685">
      <w:pPr>
        <w:pStyle w:val="Footer"/>
        <w:tabs>
          <w:tab w:val="clear" w:pos="4320"/>
          <w:tab w:val="clear" w:pos="8640"/>
        </w:tabs>
        <w:spacing w:line="360" w:lineRule="auto"/>
        <w:ind w:firstLine="1440"/>
        <w:rPr>
          <w:spacing w:val="-3"/>
          <w:sz w:val="24"/>
          <w:szCs w:val="24"/>
        </w:rPr>
      </w:pPr>
      <w:r w:rsidRPr="0094639F">
        <w:rPr>
          <w:spacing w:val="-3"/>
          <w:sz w:val="24"/>
          <w:szCs w:val="24"/>
        </w:rPr>
        <w:t>On July 3, 2012, the presiding officer issued the Fourth Interim Order which ordered a status conference to be scheduled after August 6, 2012 and directed the parties to continue with settlement discussion</w:t>
      </w:r>
      <w:r w:rsidR="005429CD" w:rsidRPr="0094639F">
        <w:rPr>
          <w:spacing w:val="-3"/>
          <w:sz w:val="24"/>
          <w:szCs w:val="24"/>
        </w:rPr>
        <w:t>s</w:t>
      </w:r>
      <w:r w:rsidRPr="0094639F">
        <w:rPr>
          <w:spacing w:val="-3"/>
          <w:sz w:val="24"/>
          <w:szCs w:val="24"/>
        </w:rPr>
        <w:t xml:space="preserve">.  On July 27, 2012, the Office of Administrative Law Judge scheduled the status conference for Friday, August 17, 2012 at 10:00 a.m. with the parties to appear telephonically.  </w:t>
      </w:r>
    </w:p>
    <w:p w:rsidR="002B3685" w:rsidRPr="0094639F" w:rsidRDefault="002B3685" w:rsidP="002B3685">
      <w:pPr>
        <w:pStyle w:val="Footer"/>
        <w:tabs>
          <w:tab w:val="clear" w:pos="4320"/>
          <w:tab w:val="clear" w:pos="8640"/>
        </w:tabs>
        <w:spacing w:line="360" w:lineRule="auto"/>
        <w:ind w:firstLine="1440"/>
        <w:rPr>
          <w:spacing w:val="-3"/>
          <w:sz w:val="24"/>
          <w:szCs w:val="24"/>
        </w:rPr>
      </w:pPr>
    </w:p>
    <w:p w:rsidR="002B3685" w:rsidRPr="0094639F" w:rsidRDefault="002B3685" w:rsidP="002B3685">
      <w:pPr>
        <w:pStyle w:val="Footer"/>
        <w:tabs>
          <w:tab w:val="clear" w:pos="4320"/>
          <w:tab w:val="clear" w:pos="8640"/>
        </w:tabs>
        <w:spacing w:line="360" w:lineRule="auto"/>
        <w:ind w:firstLine="1440"/>
        <w:rPr>
          <w:spacing w:val="-3"/>
          <w:sz w:val="24"/>
          <w:szCs w:val="24"/>
        </w:rPr>
      </w:pPr>
      <w:r w:rsidRPr="0094639F">
        <w:rPr>
          <w:spacing w:val="-3"/>
          <w:sz w:val="24"/>
          <w:szCs w:val="24"/>
        </w:rPr>
        <w:t xml:space="preserve">On Wednesday, August 15, 2012, the Law Bureau forwarded to the presiding officer </w:t>
      </w:r>
      <w:r w:rsidRPr="0094639F">
        <w:rPr>
          <w:sz w:val="24"/>
          <w:szCs w:val="24"/>
        </w:rPr>
        <w:t>a list of settlement terms to which three of the four named individual Respondents had agreed.  The individuals who agreed to the terms were Claude J. Fink, Lois A. Fink, and Claude Joseph Fink, Jr.</w:t>
      </w:r>
    </w:p>
    <w:p w:rsidR="002B3685" w:rsidRPr="0094639F" w:rsidRDefault="002B3685" w:rsidP="002B3685">
      <w:pPr>
        <w:pStyle w:val="Footer"/>
        <w:tabs>
          <w:tab w:val="clear" w:pos="4320"/>
          <w:tab w:val="clear" w:pos="8640"/>
        </w:tabs>
        <w:spacing w:line="360" w:lineRule="auto"/>
        <w:rPr>
          <w:spacing w:val="-3"/>
          <w:sz w:val="24"/>
          <w:szCs w:val="24"/>
        </w:rPr>
      </w:pPr>
    </w:p>
    <w:p w:rsidR="002B3685" w:rsidRPr="0094639F" w:rsidRDefault="002B3685" w:rsidP="002B3685">
      <w:pPr>
        <w:pStyle w:val="Footer"/>
        <w:tabs>
          <w:tab w:val="clear" w:pos="4320"/>
          <w:tab w:val="clear" w:pos="8640"/>
        </w:tabs>
        <w:spacing w:line="360" w:lineRule="auto"/>
        <w:ind w:firstLine="1440"/>
        <w:rPr>
          <w:spacing w:val="-3"/>
          <w:sz w:val="24"/>
          <w:szCs w:val="24"/>
        </w:rPr>
      </w:pPr>
      <w:r w:rsidRPr="0094639F">
        <w:rPr>
          <w:spacing w:val="-3"/>
          <w:sz w:val="24"/>
          <w:szCs w:val="24"/>
        </w:rPr>
        <w:t xml:space="preserve">On Friday, August 17, 2012, the presiding officer conducted a status conference to gauge the effectiveness of the parties’ negotiations, and determine if a subsequent hearing should be scheduled.  At the status conference, all parties either were present and/or represented by counsel.  The parties indicated on the record that negotiations resulted in a settlement of the issues between the Law Bureau and three of the four named individuals:  Claude J. Fink, Lois A. Fink, and Claude Joseph Fink, Jr.  </w:t>
      </w:r>
    </w:p>
    <w:p w:rsidR="002B3685" w:rsidRPr="0094639F" w:rsidRDefault="002B3685" w:rsidP="002B3685">
      <w:pPr>
        <w:pStyle w:val="Footer"/>
        <w:tabs>
          <w:tab w:val="clear" w:pos="4320"/>
          <w:tab w:val="clear" w:pos="8640"/>
        </w:tabs>
        <w:spacing w:line="360" w:lineRule="auto"/>
        <w:ind w:firstLine="1440"/>
        <w:rPr>
          <w:spacing w:val="-3"/>
          <w:sz w:val="24"/>
          <w:szCs w:val="24"/>
        </w:rPr>
      </w:pPr>
    </w:p>
    <w:p w:rsidR="002B3685" w:rsidRPr="0094639F" w:rsidRDefault="002B3685" w:rsidP="002B3685">
      <w:pPr>
        <w:pStyle w:val="Footer"/>
        <w:tabs>
          <w:tab w:val="clear" w:pos="4320"/>
          <w:tab w:val="clear" w:pos="8640"/>
        </w:tabs>
        <w:spacing w:line="360" w:lineRule="auto"/>
        <w:ind w:firstLine="1440"/>
        <w:rPr>
          <w:spacing w:val="-3"/>
          <w:sz w:val="24"/>
          <w:szCs w:val="24"/>
        </w:rPr>
      </w:pPr>
      <w:r w:rsidRPr="0094639F">
        <w:rPr>
          <w:spacing w:val="-3"/>
          <w:sz w:val="24"/>
          <w:szCs w:val="24"/>
        </w:rPr>
        <w:t xml:space="preserve">In addition, Claude Joseph Fink, Jr. indicated he faxed an Application for a Certificate of Public Convenience to the Law Bureau on August 14, 2012.  The Application was sent to the Law Bureau in various transmissions and included maps and </w:t>
      </w:r>
      <w:proofErr w:type="gramStart"/>
      <w:r w:rsidRPr="0094639F">
        <w:rPr>
          <w:spacing w:val="-3"/>
          <w:sz w:val="24"/>
          <w:szCs w:val="24"/>
        </w:rPr>
        <w:t>various documentation</w:t>
      </w:r>
      <w:proofErr w:type="gramEnd"/>
      <w:r w:rsidRPr="0094639F">
        <w:rPr>
          <w:spacing w:val="-3"/>
          <w:sz w:val="24"/>
          <w:szCs w:val="24"/>
        </w:rPr>
        <w:t xml:space="preserve">.  </w:t>
      </w:r>
    </w:p>
    <w:p w:rsidR="002B3685" w:rsidRPr="0094639F" w:rsidRDefault="002B3685" w:rsidP="002B3685">
      <w:pPr>
        <w:pStyle w:val="Footer"/>
        <w:tabs>
          <w:tab w:val="clear" w:pos="4320"/>
          <w:tab w:val="clear" w:pos="8640"/>
        </w:tabs>
        <w:spacing w:line="360" w:lineRule="auto"/>
        <w:ind w:firstLine="1440"/>
        <w:rPr>
          <w:spacing w:val="-3"/>
          <w:sz w:val="24"/>
          <w:szCs w:val="24"/>
        </w:rPr>
      </w:pPr>
    </w:p>
    <w:p w:rsidR="002B3685" w:rsidRPr="0094639F" w:rsidRDefault="002B3685" w:rsidP="002B3685">
      <w:pPr>
        <w:pStyle w:val="Footer"/>
        <w:tabs>
          <w:tab w:val="clear" w:pos="4320"/>
          <w:tab w:val="clear" w:pos="8640"/>
        </w:tabs>
        <w:spacing w:line="360" w:lineRule="auto"/>
        <w:ind w:firstLine="1440"/>
        <w:rPr>
          <w:spacing w:val="-3"/>
          <w:sz w:val="24"/>
          <w:szCs w:val="24"/>
        </w:rPr>
      </w:pPr>
      <w:r w:rsidRPr="0094639F">
        <w:rPr>
          <w:spacing w:val="-3"/>
          <w:sz w:val="24"/>
          <w:szCs w:val="24"/>
        </w:rPr>
        <w:t xml:space="preserve">The counsel for Kelly Fink requested to have access to the Application filed by Claude Joseph Fink, Jr. before agreeing to the proposed settlement terms.  The Law Bureau indicated it had a complete Application and would forward the same to counsel.  </w:t>
      </w:r>
    </w:p>
    <w:p w:rsidR="002B3685" w:rsidRPr="0094639F" w:rsidRDefault="002B3685" w:rsidP="002B3685">
      <w:pPr>
        <w:pStyle w:val="Footer"/>
        <w:tabs>
          <w:tab w:val="clear" w:pos="4320"/>
          <w:tab w:val="clear" w:pos="8640"/>
        </w:tabs>
        <w:spacing w:line="360" w:lineRule="auto"/>
        <w:ind w:firstLine="1440"/>
        <w:rPr>
          <w:sz w:val="24"/>
          <w:szCs w:val="24"/>
        </w:rPr>
      </w:pPr>
    </w:p>
    <w:p w:rsidR="002B3685" w:rsidRPr="0094639F" w:rsidRDefault="002B3685" w:rsidP="002B3685">
      <w:pPr>
        <w:pStyle w:val="Footer"/>
        <w:tabs>
          <w:tab w:val="clear" w:pos="4320"/>
          <w:tab w:val="clear" w:pos="8640"/>
        </w:tabs>
        <w:spacing w:line="360" w:lineRule="auto"/>
        <w:ind w:firstLine="1440"/>
        <w:rPr>
          <w:sz w:val="24"/>
          <w:szCs w:val="24"/>
        </w:rPr>
      </w:pPr>
      <w:r w:rsidRPr="0094639F">
        <w:rPr>
          <w:sz w:val="24"/>
          <w:szCs w:val="24"/>
        </w:rPr>
        <w:t xml:space="preserve">Because it appeared all parties were in agreement with the proposed settlement terms, the presiding officer issued the Fifth Interim Order which directed Law Bureau to send a copy of the Application for a Certificate of Public Convenience filed previously by Claude Joseph Fink, Jr., and required the parties to file a fully-executed settlement agreement on or before Friday, September 14, 2012.  On September 25, 2012, Law Bureau provided an update on the status of the Settlement Agreement.  </w:t>
      </w:r>
    </w:p>
    <w:p w:rsidR="002B3685" w:rsidRPr="0094639F" w:rsidRDefault="002B3685" w:rsidP="002B3685">
      <w:pPr>
        <w:pStyle w:val="Footer"/>
        <w:tabs>
          <w:tab w:val="clear" w:pos="4320"/>
          <w:tab w:val="clear" w:pos="8640"/>
        </w:tabs>
        <w:spacing w:line="360" w:lineRule="auto"/>
        <w:ind w:firstLine="1440"/>
        <w:rPr>
          <w:sz w:val="24"/>
          <w:szCs w:val="24"/>
        </w:rPr>
      </w:pPr>
    </w:p>
    <w:p w:rsidR="002B3685" w:rsidRPr="0094639F" w:rsidRDefault="002B3685" w:rsidP="002B3685">
      <w:pPr>
        <w:pStyle w:val="Footer"/>
        <w:tabs>
          <w:tab w:val="clear" w:pos="4320"/>
          <w:tab w:val="clear" w:pos="8640"/>
        </w:tabs>
        <w:spacing w:line="360" w:lineRule="auto"/>
        <w:ind w:firstLine="1440"/>
        <w:rPr>
          <w:sz w:val="24"/>
          <w:szCs w:val="24"/>
        </w:rPr>
      </w:pPr>
      <w:r w:rsidRPr="0094639F">
        <w:rPr>
          <w:sz w:val="24"/>
          <w:szCs w:val="24"/>
        </w:rPr>
        <w:t>On October 10, 2012, the presiding officer advised the parties the hearing record would close on October 12, 2012 because no settlement agreement had been received.  Again, Law Bureau provided an update on the status of the agreement and indicated all signatures had</w:t>
      </w:r>
      <w:r w:rsidR="005429CD" w:rsidRPr="0094639F">
        <w:rPr>
          <w:sz w:val="24"/>
          <w:szCs w:val="24"/>
        </w:rPr>
        <w:t xml:space="preserve"> not</w:t>
      </w:r>
      <w:r w:rsidRPr="0094639F">
        <w:rPr>
          <w:sz w:val="24"/>
          <w:szCs w:val="24"/>
        </w:rPr>
        <w:t xml:space="preserve"> been received yet.  On October 15, 2012, Law Bureau advised the presiding officer that the last signature was being “overnighted</w:t>
      </w:r>
      <w:r w:rsidR="005429CD" w:rsidRPr="0094639F">
        <w:rPr>
          <w:sz w:val="24"/>
          <w:szCs w:val="24"/>
        </w:rPr>
        <w:t>.</w:t>
      </w:r>
      <w:r w:rsidRPr="0094639F">
        <w:rPr>
          <w:sz w:val="24"/>
          <w:szCs w:val="24"/>
        </w:rPr>
        <w:t>”</w:t>
      </w:r>
    </w:p>
    <w:p w:rsidR="002B3685" w:rsidRPr="0094639F" w:rsidRDefault="002B3685" w:rsidP="002B3685">
      <w:pPr>
        <w:pStyle w:val="Footer"/>
        <w:tabs>
          <w:tab w:val="clear" w:pos="4320"/>
          <w:tab w:val="clear" w:pos="8640"/>
        </w:tabs>
        <w:spacing w:line="360" w:lineRule="auto"/>
        <w:ind w:firstLine="1440"/>
        <w:rPr>
          <w:sz w:val="24"/>
          <w:szCs w:val="24"/>
        </w:rPr>
      </w:pPr>
    </w:p>
    <w:p w:rsidR="002B3685" w:rsidRPr="0094639F" w:rsidRDefault="002B3685" w:rsidP="002B3685">
      <w:pPr>
        <w:pStyle w:val="Footer"/>
        <w:tabs>
          <w:tab w:val="clear" w:pos="4320"/>
          <w:tab w:val="clear" w:pos="8640"/>
        </w:tabs>
        <w:spacing w:line="360" w:lineRule="auto"/>
        <w:ind w:firstLine="1440"/>
        <w:rPr>
          <w:sz w:val="24"/>
          <w:szCs w:val="24"/>
        </w:rPr>
      </w:pPr>
      <w:r w:rsidRPr="0094639F">
        <w:rPr>
          <w:sz w:val="24"/>
          <w:szCs w:val="24"/>
        </w:rPr>
        <w:t>On October 17, 2012, Law Bureau filed the original Settlement Agreement with the Secretary’s Bureau.  Paragraph No. 8 of the Settlement Agreement provided the bulk of the substantive agreement and, inter alia, indicated Respondents Kelly Fink and Claude Joseph Fink, Jr. would file an application for a certificate of public convenience within thirty days and would make a series of upgrades and improvements listed specifically in the Settlement Agreement.</w:t>
      </w:r>
    </w:p>
    <w:p w:rsidR="002B3685" w:rsidRPr="0094639F" w:rsidRDefault="002B3685" w:rsidP="002B3685">
      <w:pPr>
        <w:pStyle w:val="Footer"/>
        <w:tabs>
          <w:tab w:val="clear" w:pos="4320"/>
          <w:tab w:val="clear" w:pos="8640"/>
        </w:tabs>
        <w:spacing w:line="360" w:lineRule="auto"/>
        <w:ind w:firstLine="1440"/>
        <w:rPr>
          <w:sz w:val="24"/>
          <w:szCs w:val="24"/>
        </w:rPr>
      </w:pPr>
    </w:p>
    <w:p w:rsidR="002B3685" w:rsidRPr="0094639F" w:rsidRDefault="002B3685" w:rsidP="002B3685">
      <w:pPr>
        <w:pStyle w:val="Footer"/>
        <w:tabs>
          <w:tab w:val="clear" w:pos="4320"/>
          <w:tab w:val="clear" w:pos="8640"/>
        </w:tabs>
        <w:spacing w:line="360" w:lineRule="auto"/>
        <w:ind w:firstLine="1440"/>
        <w:rPr>
          <w:sz w:val="24"/>
          <w:szCs w:val="24"/>
        </w:rPr>
      </w:pPr>
      <w:r w:rsidRPr="0094639F">
        <w:rPr>
          <w:sz w:val="24"/>
          <w:szCs w:val="24"/>
        </w:rPr>
        <w:t xml:space="preserve">On November 20, 2012, Law Bureau sent an e-mail to the presiding officer and all parties indicating that Paragraphs No. 8(a) and 8(c) of the Agreement were not completed by Respondents Kelly Fink and Claude Joseph Fink, Jr. within thirty days of the date of the Settlement Agreement.  Law Bureau indicated it expected a resolution soon thereafter but if not resolved, Law Bureau intended to file a Request to Withdraw the Settlement Agreement.  </w:t>
      </w:r>
    </w:p>
    <w:p w:rsidR="002B3685" w:rsidRPr="0094639F" w:rsidRDefault="002B3685" w:rsidP="002B3685">
      <w:pPr>
        <w:pStyle w:val="Footer"/>
        <w:tabs>
          <w:tab w:val="clear" w:pos="4320"/>
          <w:tab w:val="clear" w:pos="8640"/>
        </w:tabs>
        <w:spacing w:line="360" w:lineRule="auto"/>
        <w:ind w:firstLine="1440"/>
        <w:rPr>
          <w:sz w:val="24"/>
          <w:szCs w:val="24"/>
        </w:rPr>
      </w:pPr>
    </w:p>
    <w:p w:rsidR="002B3685" w:rsidRPr="0094639F" w:rsidRDefault="002B3685" w:rsidP="002B3685">
      <w:pPr>
        <w:pStyle w:val="Footer"/>
        <w:tabs>
          <w:tab w:val="clear" w:pos="4320"/>
          <w:tab w:val="clear" w:pos="8640"/>
        </w:tabs>
        <w:spacing w:line="360" w:lineRule="auto"/>
        <w:ind w:firstLine="1440"/>
        <w:rPr>
          <w:sz w:val="24"/>
          <w:szCs w:val="24"/>
        </w:rPr>
      </w:pPr>
      <w:r w:rsidRPr="0094639F">
        <w:rPr>
          <w:sz w:val="24"/>
          <w:szCs w:val="24"/>
        </w:rPr>
        <w:t xml:space="preserve">To date, no further communication has been received from any party.  It appears an essential provision of the Settlement Agreement and of the entire </w:t>
      </w:r>
      <w:proofErr w:type="gramStart"/>
      <w:r w:rsidRPr="0094639F">
        <w:rPr>
          <w:sz w:val="24"/>
          <w:szCs w:val="24"/>
        </w:rPr>
        <w:t>proceeding</w:t>
      </w:r>
      <w:proofErr w:type="gramEnd"/>
      <w:r w:rsidRPr="0094639F">
        <w:rPr>
          <w:sz w:val="24"/>
          <w:szCs w:val="24"/>
        </w:rPr>
        <w:t>, namely, the requirement to file an application for a certificate of public convenience, has not been met.  Without an application for a certificate of public convenience, this proceeding cannot be resolved.</w:t>
      </w:r>
    </w:p>
    <w:p w:rsidR="002B3685" w:rsidRPr="0094639F" w:rsidRDefault="002B3685" w:rsidP="002B3685">
      <w:pPr>
        <w:spacing w:line="360" w:lineRule="auto"/>
        <w:rPr>
          <w:sz w:val="24"/>
          <w:szCs w:val="24"/>
        </w:rPr>
      </w:pPr>
    </w:p>
    <w:p w:rsidR="002B3685" w:rsidRPr="0094639F" w:rsidRDefault="002B3685" w:rsidP="002B3685">
      <w:pPr>
        <w:spacing w:line="360" w:lineRule="auto"/>
        <w:rPr>
          <w:sz w:val="24"/>
          <w:szCs w:val="24"/>
        </w:rPr>
      </w:pPr>
      <w:r w:rsidRPr="0094639F">
        <w:rPr>
          <w:sz w:val="24"/>
          <w:szCs w:val="24"/>
        </w:rPr>
        <w:tab/>
      </w:r>
      <w:r w:rsidRPr="0094639F">
        <w:rPr>
          <w:sz w:val="24"/>
          <w:szCs w:val="24"/>
        </w:rPr>
        <w:tab/>
        <w:t>THEREFORE,</w:t>
      </w:r>
    </w:p>
    <w:p w:rsidR="002B3685" w:rsidRPr="0094639F" w:rsidRDefault="002B3685" w:rsidP="002B3685">
      <w:pPr>
        <w:spacing w:line="360" w:lineRule="auto"/>
        <w:rPr>
          <w:sz w:val="24"/>
          <w:szCs w:val="24"/>
        </w:rPr>
      </w:pPr>
    </w:p>
    <w:p w:rsidR="002B3685" w:rsidRPr="0094639F" w:rsidRDefault="002B3685" w:rsidP="002B3685">
      <w:pPr>
        <w:spacing w:line="360" w:lineRule="auto"/>
        <w:rPr>
          <w:sz w:val="24"/>
          <w:szCs w:val="24"/>
        </w:rPr>
      </w:pPr>
      <w:r w:rsidRPr="0094639F">
        <w:rPr>
          <w:sz w:val="24"/>
          <w:szCs w:val="24"/>
        </w:rPr>
        <w:tab/>
      </w:r>
      <w:r w:rsidRPr="0094639F">
        <w:rPr>
          <w:sz w:val="24"/>
          <w:szCs w:val="24"/>
        </w:rPr>
        <w:tab/>
        <w:t>IT IS ORDERED:</w:t>
      </w:r>
    </w:p>
    <w:p w:rsidR="002B3685" w:rsidRPr="0094639F" w:rsidRDefault="002B3685" w:rsidP="002B3685">
      <w:pPr>
        <w:spacing w:line="360" w:lineRule="auto"/>
        <w:rPr>
          <w:sz w:val="24"/>
          <w:szCs w:val="24"/>
        </w:rPr>
      </w:pPr>
    </w:p>
    <w:p w:rsidR="002B3685" w:rsidRPr="0094639F" w:rsidRDefault="002B3685" w:rsidP="002B3685">
      <w:pPr>
        <w:spacing w:line="360" w:lineRule="auto"/>
        <w:rPr>
          <w:sz w:val="24"/>
          <w:szCs w:val="24"/>
        </w:rPr>
      </w:pPr>
      <w:r w:rsidRPr="0094639F">
        <w:rPr>
          <w:sz w:val="24"/>
          <w:szCs w:val="24"/>
        </w:rPr>
        <w:tab/>
      </w:r>
      <w:r w:rsidRPr="0094639F">
        <w:rPr>
          <w:sz w:val="24"/>
          <w:szCs w:val="24"/>
        </w:rPr>
        <w:tab/>
        <w:t>1.</w:t>
      </w:r>
      <w:r w:rsidRPr="0094639F">
        <w:rPr>
          <w:sz w:val="24"/>
          <w:szCs w:val="24"/>
        </w:rPr>
        <w:tab/>
        <w:t xml:space="preserve">That the Office of Administrative Law Judge’s Scheduler shall schedule a Further Hearing in this matter for Wednesday, January 9, 2013 to be conducted at the Commission’s hearing room in Piatt Place, 301 Fifth Avenue, Pittsburgh, Pennsylvania at 10:00 a.m. for the sole purpose of taking in evidence on the issue of what is the appropriate remedy and actions to take because Respondents operated as a public utility without a certificate of public convenience, as discussed at the Initial Hearing on June 26, 2012 at Transcript pages 9 and 10.  </w:t>
      </w:r>
    </w:p>
    <w:p w:rsidR="002B3685" w:rsidRPr="0094639F" w:rsidRDefault="002B3685" w:rsidP="002B3685">
      <w:pPr>
        <w:spacing w:line="360" w:lineRule="auto"/>
        <w:rPr>
          <w:sz w:val="24"/>
          <w:szCs w:val="24"/>
        </w:rPr>
      </w:pPr>
    </w:p>
    <w:p w:rsidR="002B3685" w:rsidRPr="0094639F" w:rsidRDefault="002B3685" w:rsidP="002B3685">
      <w:pPr>
        <w:spacing w:line="360" w:lineRule="auto"/>
        <w:ind w:firstLine="1440"/>
        <w:rPr>
          <w:sz w:val="24"/>
          <w:szCs w:val="24"/>
        </w:rPr>
      </w:pPr>
      <w:r w:rsidRPr="0094639F">
        <w:rPr>
          <w:sz w:val="24"/>
          <w:szCs w:val="24"/>
        </w:rPr>
        <w:t xml:space="preserve">2. </w:t>
      </w:r>
      <w:r w:rsidRPr="0094639F">
        <w:rPr>
          <w:sz w:val="24"/>
          <w:szCs w:val="24"/>
        </w:rPr>
        <w:tab/>
        <w:t>That on or before 4:00 p.m. on Thursday, December 27, 2012, counsel for the Law Bureau Prosecutory Staff shall provide the presiding officer with a status concerning the parties’ discussions and the status of compliance with the proposed agreement between the parties.</w:t>
      </w:r>
    </w:p>
    <w:p w:rsidR="00270C24" w:rsidRPr="0094639F" w:rsidRDefault="00270C24" w:rsidP="0042732B">
      <w:pPr>
        <w:pStyle w:val="Footer"/>
        <w:tabs>
          <w:tab w:val="clear" w:pos="4320"/>
          <w:tab w:val="clear" w:pos="8640"/>
        </w:tabs>
        <w:spacing w:line="360" w:lineRule="auto"/>
        <w:rPr>
          <w:spacing w:val="-3"/>
          <w:sz w:val="24"/>
          <w:szCs w:val="24"/>
        </w:rPr>
      </w:pPr>
    </w:p>
    <w:p w:rsidR="00270BBF" w:rsidRPr="0094639F" w:rsidRDefault="00270BBF" w:rsidP="0042732B">
      <w:pPr>
        <w:pStyle w:val="Footer"/>
        <w:tabs>
          <w:tab w:val="clear" w:pos="4320"/>
          <w:tab w:val="clear" w:pos="8640"/>
        </w:tabs>
        <w:spacing w:line="360" w:lineRule="auto"/>
        <w:rPr>
          <w:spacing w:val="-3"/>
          <w:sz w:val="24"/>
          <w:szCs w:val="24"/>
        </w:rPr>
      </w:pPr>
    </w:p>
    <w:p w:rsidR="00600AF8" w:rsidRPr="0094639F" w:rsidRDefault="00600AF8" w:rsidP="0042732B">
      <w:pPr>
        <w:pStyle w:val="Footer"/>
        <w:tabs>
          <w:tab w:val="clear" w:pos="4320"/>
          <w:tab w:val="clear" w:pos="8640"/>
        </w:tabs>
        <w:spacing w:line="360" w:lineRule="auto"/>
        <w:rPr>
          <w:spacing w:val="-3"/>
          <w:sz w:val="24"/>
          <w:szCs w:val="24"/>
        </w:rPr>
      </w:pPr>
    </w:p>
    <w:p w:rsidR="0042732B" w:rsidRPr="0094639F" w:rsidRDefault="0042732B" w:rsidP="0042732B">
      <w:pPr>
        <w:pStyle w:val="Footer"/>
        <w:tabs>
          <w:tab w:val="clear" w:pos="4320"/>
          <w:tab w:val="clear" w:pos="8640"/>
        </w:tabs>
        <w:rPr>
          <w:spacing w:val="-3"/>
          <w:sz w:val="24"/>
          <w:szCs w:val="24"/>
        </w:rPr>
      </w:pPr>
      <w:r w:rsidRPr="0094639F">
        <w:rPr>
          <w:spacing w:val="-3"/>
          <w:sz w:val="24"/>
          <w:szCs w:val="24"/>
        </w:rPr>
        <w:t>Date:</w:t>
      </w:r>
      <w:r w:rsidR="001600CA" w:rsidRPr="0094639F">
        <w:rPr>
          <w:spacing w:val="-3"/>
          <w:sz w:val="24"/>
          <w:szCs w:val="24"/>
        </w:rPr>
        <w:t xml:space="preserve"> </w:t>
      </w:r>
      <w:r w:rsidRPr="0094639F">
        <w:rPr>
          <w:spacing w:val="-3"/>
          <w:sz w:val="24"/>
          <w:szCs w:val="24"/>
        </w:rPr>
        <w:t xml:space="preserve">  </w:t>
      </w:r>
      <w:r w:rsidR="002B3685" w:rsidRPr="0094639F">
        <w:rPr>
          <w:spacing w:val="-3"/>
          <w:sz w:val="24"/>
          <w:szCs w:val="24"/>
          <w:u w:val="single"/>
        </w:rPr>
        <w:t>November 30</w:t>
      </w:r>
      <w:r w:rsidR="002549E4" w:rsidRPr="0094639F">
        <w:rPr>
          <w:spacing w:val="-3"/>
          <w:sz w:val="24"/>
          <w:szCs w:val="24"/>
          <w:u w:val="single"/>
        </w:rPr>
        <w:t>, 2012</w:t>
      </w:r>
      <w:r w:rsidRPr="0094639F">
        <w:rPr>
          <w:spacing w:val="-3"/>
          <w:sz w:val="24"/>
          <w:szCs w:val="24"/>
        </w:rPr>
        <w:tab/>
      </w:r>
      <w:r w:rsidRPr="0094639F">
        <w:rPr>
          <w:spacing w:val="-3"/>
          <w:sz w:val="24"/>
          <w:szCs w:val="24"/>
        </w:rPr>
        <w:tab/>
      </w:r>
      <w:r w:rsidRPr="0094639F">
        <w:rPr>
          <w:spacing w:val="-3"/>
          <w:sz w:val="24"/>
          <w:szCs w:val="24"/>
        </w:rPr>
        <w:tab/>
      </w:r>
      <w:r w:rsidR="001600CA" w:rsidRPr="0094639F">
        <w:rPr>
          <w:spacing w:val="-3"/>
          <w:sz w:val="24"/>
          <w:szCs w:val="24"/>
        </w:rPr>
        <w:tab/>
      </w:r>
      <w:r w:rsidR="001600CA" w:rsidRPr="0094639F">
        <w:rPr>
          <w:spacing w:val="-3"/>
          <w:sz w:val="24"/>
          <w:szCs w:val="24"/>
        </w:rPr>
        <w:tab/>
      </w:r>
      <w:r w:rsidRPr="0094639F">
        <w:rPr>
          <w:spacing w:val="-3"/>
          <w:sz w:val="24"/>
          <w:szCs w:val="24"/>
          <w:u w:val="single"/>
        </w:rPr>
        <w:tab/>
      </w:r>
      <w:r w:rsidRPr="0094639F">
        <w:rPr>
          <w:spacing w:val="-3"/>
          <w:sz w:val="24"/>
          <w:szCs w:val="24"/>
          <w:u w:val="single"/>
        </w:rPr>
        <w:tab/>
      </w:r>
      <w:r w:rsidRPr="0094639F">
        <w:rPr>
          <w:spacing w:val="-3"/>
          <w:sz w:val="24"/>
          <w:szCs w:val="24"/>
          <w:u w:val="single"/>
        </w:rPr>
        <w:tab/>
      </w:r>
      <w:r w:rsidRPr="0094639F">
        <w:rPr>
          <w:spacing w:val="-3"/>
          <w:sz w:val="24"/>
          <w:szCs w:val="24"/>
          <w:u w:val="single"/>
        </w:rPr>
        <w:tab/>
      </w:r>
      <w:r w:rsidRPr="0094639F">
        <w:rPr>
          <w:spacing w:val="-3"/>
          <w:sz w:val="24"/>
          <w:szCs w:val="24"/>
          <w:u w:val="single"/>
        </w:rPr>
        <w:tab/>
      </w:r>
    </w:p>
    <w:p w:rsidR="0042732B" w:rsidRPr="0094639F" w:rsidRDefault="0042732B" w:rsidP="0042732B">
      <w:pPr>
        <w:pStyle w:val="Footer"/>
        <w:tabs>
          <w:tab w:val="clear" w:pos="4320"/>
          <w:tab w:val="clear" w:pos="8640"/>
        </w:tabs>
        <w:rPr>
          <w:spacing w:val="-3"/>
          <w:sz w:val="24"/>
          <w:szCs w:val="24"/>
        </w:rPr>
      </w:pPr>
      <w:r w:rsidRPr="0094639F">
        <w:rPr>
          <w:spacing w:val="-3"/>
          <w:sz w:val="24"/>
          <w:szCs w:val="24"/>
        </w:rPr>
        <w:tab/>
      </w:r>
      <w:r w:rsidRPr="0094639F">
        <w:rPr>
          <w:spacing w:val="-3"/>
          <w:sz w:val="24"/>
          <w:szCs w:val="24"/>
        </w:rPr>
        <w:tab/>
      </w:r>
      <w:r w:rsidRPr="0094639F">
        <w:rPr>
          <w:spacing w:val="-3"/>
          <w:sz w:val="24"/>
          <w:szCs w:val="24"/>
        </w:rPr>
        <w:tab/>
      </w:r>
      <w:r w:rsidRPr="0094639F">
        <w:rPr>
          <w:spacing w:val="-3"/>
          <w:sz w:val="24"/>
          <w:szCs w:val="24"/>
        </w:rPr>
        <w:tab/>
      </w:r>
      <w:r w:rsidRPr="0094639F">
        <w:rPr>
          <w:spacing w:val="-3"/>
          <w:sz w:val="24"/>
          <w:szCs w:val="24"/>
        </w:rPr>
        <w:tab/>
      </w:r>
      <w:r w:rsidRPr="0094639F">
        <w:rPr>
          <w:spacing w:val="-3"/>
          <w:sz w:val="24"/>
          <w:szCs w:val="24"/>
        </w:rPr>
        <w:tab/>
      </w:r>
      <w:r w:rsidR="001600CA" w:rsidRPr="0094639F">
        <w:rPr>
          <w:spacing w:val="-3"/>
          <w:sz w:val="24"/>
          <w:szCs w:val="24"/>
        </w:rPr>
        <w:tab/>
      </w:r>
      <w:r w:rsidR="001600CA" w:rsidRPr="0094639F">
        <w:rPr>
          <w:spacing w:val="-3"/>
          <w:sz w:val="24"/>
          <w:szCs w:val="24"/>
        </w:rPr>
        <w:tab/>
      </w:r>
      <w:r w:rsidRPr="0094639F">
        <w:rPr>
          <w:spacing w:val="-3"/>
          <w:sz w:val="24"/>
          <w:szCs w:val="24"/>
        </w:rPr>
        <w:t>Katrina L. Dunderdale</w:t>
      </w:r>
    </w:p>
    <w:p w:rsidR="001564DE" w:rsidRDefault="00600AF8" w:rsidP="00375D67">
      <w:pPr>
        <w:pStyle w:val="Footer"/>
        <w:tabs>
          <w:tab w:val="clear" w:pos="4320"/>
          <w:tab w:val="clear" w:pos="8640"/>
        </w:tabs>
        <w:rPr>
          <w:sz w:val="24"/>
          <w:szCs w:val="24"/>
        </w:rPr>
        <w:sectPr w:rsidR="001564DE" w:rsidSect="00832D96">
          <w:footerReference w:type="even" r:id="rId9"/>
          <w:footerReference w:type="default" r:id="rId10"/>
          <w:pgSz w:w="12240" w:h="15840"/>
          <w:pgMar w:top="1440" w:right="1440" w:bottom="1440" w:left="1440" w:header="720" w:footer="720" w:gutter="0"/>
          <w:pgNumType w:start="1"/>
          <w:cols w:space="720"/>
          <w:titlePg/>
        </w:sectPr>
      </w:pPr>
      <w:r w:rsidRPr="0094639F">
        <w:rPr>
          <w:sz w:val="24"/>
          <w:szCs w:val="24"/>
        </w:rPr>
        <w:tab/>
      </w:r>
      <w:r w:rsidRPr="0094639F">
        <w:rPr>
          <w:sz w:val="24"/>
          <w:szCs w:val="24"/>
        </w:rPr>
        <w:tab/>
      </w:r>
      <w:r w:rsidRPr="0094639F">
        <w:rPr>
          <w:sz w:val="24"/>
          <w:szCs w:val="24"/>
        </w:rPr>
        <w:tab/>
      </w:r>
      <w:r w:rsidRPr="0094639F">
        <w:rPr>
          <w:sz w:val="24"/>
          <w:szCs w:val="24"/>
        </w:rPr>
        <w:tab/>
      </w:r>
      <w:r w:rsidRPr="0094639F">
        <w:rPr>
          <w:sz w:val="24"/>
          <w:szCs w:val="24"/>
        </w:rPr>
        <w:tab/>
      </w:r>
      <w:r w:rsidRPr="0094639F">
        <w:rPr>
          <w:sz w:val="24"/>
          <w:szCs w:val="24"/>
        </w:rPr>
        <w:tab/>
      </w:r>
      <w:r w:rsidR="001600CA" w:rsidRPr="0094639F">
        <w:rPr>
          <w:sz w:val="24"/>
          <w:szCs w:val="24"/>
        </w:rPr>
        <w:tab/>
      </w:r>
      <w:r w:rsidR="001600CA" w:rsidRPr="0094639F">
        <w:rPr>
          <w:sz w:val="24"/>
          <w:szCs w:val="24"/>
        </w:rPr>
        <w:tab/>
      </w:r>
      <w:r w:rsidRPr="0094639F">
        <w:rPr>
          <w:sz w:val="24"/>
          <w:szCs w:val="24"/>
        </w:rPr>
        <w:t>Administrative Law Judge</w:t>
      </w:r>
    </w:p>
    <w:p w:rsidR="001564DE" w:rsidRPr="00C635DE" w:rsidRDefault="001564DE" w:rsidP="001564DE">
      <w:pPr>
        <w:contextualSpacing/>
        <w:rPr>
          <w:rFonts w:ascii="Microsoft Sans Serif"/>
          <w:b/>
          <w:sz w:val="24"/>
          <w:szCs w:val="24"/>
          <w:u w:val="single"/>
        </w:rPr>
      </w:pPr>
      <w:r w:rsidRPr="00C635DE">
        <w:rPr>
          <w:rFonts w:ascii="Microsoft Sans Serif"/>
          <w:b/>
          <w:sz w:val="24"/>
          <w:szCs w:val="24"/>
          <w:u w:val="single"/>
        </w:rPr>
        <w:lastRenderedPageBreak/>
        <w:t>C-2011-2246921 - PA PUC LAW BUREAU PROSECUTORY STAFF v. KELLY FINK, CLAUDE JOSEPH FINK, JR., CLAUDE J. FINK, AND LOIS A. FINK, INDIVIDUALLY AND JOINTLY, T/D/B/A FINK GAS COMPANY</w:t>
      </w:r>
    </w:p>
    <w:p w:rsidR="001564DE" w:rsidRDefault="001564DE" w:rsidP="001564DE">
      <w:pPr>
        <w:contextualSpacing/>
        <w:rPr>
          <w:rFonts w:ascii="Microsoft Sans Serif"/>
          <w:b/>
          <w:sz w:val="24"/>
          <w:szCs w:val="24"/>
          <w:u w:val="single"/>
        </w:rPr>
      </w:pPr>
      <w:r w:rsidRPr="00C635DE">
        <w:rPr>
          <w:rFonts w:ascii="Microsoft Sans Serif"/>
          <w:b/>
          <w:sz w:val="24"/>
          <w:szCs w:val="24"/>
          <w:u w:val="single"/>
        </w:rPr>
        <w:cr/>
      </w:r>
      <w:r w:rsidRPr="00C635DE">
        <w:rPr>
          <w:rFonts w:ascii="Microsoft Sans Serif"/>
          <w:b/>
          <w:i/>
          <w:sz w:val="24"/>
          <w:szCs w:val="24"/>
          <w:u w:val="single"/>
        </w:rPr>
        <w:t>(REVISED 7/26/12)</w:t>
      </w:r>
      <w:r w:rsidRPr="00C635DE">
        <w:rPr>
          <w:rFonts w:ascii="Microsoft Sans Serif"/>
          <w:b/>
          <w:sz w:val="24"/>
          <w:szCs w:val="24"/>
          <w:u w:val="single"/>
        </w:rPr>
        <w:cr/>
      </w:r>
    </w:p>
    <w:p w:rsidR="001564DE" w:rsidRDefault="001564DE" w:rsidP="001564DE">
      <w:pPr>
        <w:contextualSpacing/>
        <w:rPr>
          <w:rFonts w:ascii="Microsoft Sans Serif"/>
          <w:sz w:val="24"/>
          <w:szCs w:val="24"/>
        </w:rPr>
      </w:pPr>
    </w:p>
    <w:p w:rsidR="001564DE" w:rsidRDefault="001564DE" w:rsidP="001564DE">
      <w:pPr>
        <w:contextualSpacing/>
        <w:rPr>
          <w:rFonts w:ascii="Microsoft Sans Serif"/>
          <w:sz w:val="24"/>
          <w:szCs w:val="24"/>
        </w:rPr>
      </w:pPr>
      <w:r>
        <w:rPr>
          <w:rFonts w:ascii="Microsoft Sans Serif"/>
          <w:sz w:val="24"/>
          <w:szCs w:val="24"/>
        </w:rPr>
        <w:t>TERRENCE J BUDA ESQUIRE</w:t>
      </w:r>
    </w:p>
    <w:p w:rsidR="001564DE" w:rsidRDefault="001564DE" w:rsidP="001564DE">
      <w:pPr>
        <w:contextualSpacing/>
        <w:rPr>
          <w:rFonts w:ascii="Microsoft Sans Serif"/>
          <w:sz w:val="24"/>
          <w:szCs w:val="24"/>
        </w:rPr>
      </w:pPr>
      <w:r>
        <w:rPr>
          <w:rFonts w:ascii="Microsoft Sans Serif"/>
          <w:sz w:val="24"/>
          <w:szCs w:val="24"/>
        </w:rPr>
        <w:t>HEIDI WUSHINSKE ESQUIRE</w:t>
      </w:r>
    </w:p>
    <w:p w:rsidR="001564DE" w:rsidRDefault="001564DE" w:rsidP="001564DE">
      <w:pPr>
        <w:contextualSpacing/>
        <w:rPr>
          <w:rFonts w:ascii="Microsoft Sans Serif"/>
          <w:sz w:val="24"/>
          <w:szCs w:val="24"/>
        </w:rPr>
      </w:pPr>
      <w:r>
        <w:rPr>
          <w:rFonts w:ascii="Microsoft Sans Serif"/>
          <w:sz w:val="24"/>
          <w:szCs w:val="24"/>
        </w:rPr>
        <w:t>PA PUC LAW BUREAU</w:t>
      </w:r>
    </w:p>
    <w:p w:rsidR="001564DE" w:rsidRDefault="001564DE" w:rsidP="001564DE">
      <w:pPr>
        <w:contextualSpacing/>
        <w:rPr>
          <w:rFonts w:ascii="Microsoft Sans Serif"/>
          <w:sz w:val="24"/>
          <w:szCs w:val="24"/>
        </w:rPr>
      </w:pPr>
      <w:r>
        <w:rPr>
          <w:rFonts w:ascii="Microsoft Sans Serif"/>
          <w:sz w:val="24"/>
          <w:szCs w:val="24"/>
        </w:rPr>
        <w:t>PO BOX 3265</w:t>
      </w:r>
    </w:p>
    <w:p w:rsidR="001564DE" w:rsidRDefault="001564DE" w:rsidP="001564DE">
      <w:pPr>
        <w:contextualSpacing/>
        <w:rPr>
          <w:rFonts w:ascii="Microsoft Sans Serif"/>
          <w:sz w:val="24"/>
          <w:szCs w:val="24"/>
        </w:rPr>
      </w:pPr>
      <w:r>
        <w:rPr>
          <w:rFonts w:ascii="Microsoft Sans Serif"/>
          <w:sz w:val="24"/>
          <w:szCs w:val="24"/>
        </w:rPr>
        <w:t>HARRISBURG PA  17105-3265</w:t>
      </w:r>
    </w:p>
    <w:p w:rsidR="001564DE" w:rsidRPr="001564DE" w:rsidRDefault="001564DE" w:rsidP="001564DE">
      <w:pPr>
        <w:contextualSpacing/>
        <w:rPr>
          <w:rFonts w:ascii="Microsoft Sans Serif"/>
          <w:b/>
          <w:sz w:val="24"/>
          <w:szCs w:val="24"/>
        </w:rPr>
      </w:pPr>
      <w:r w:rsidRPr="001564DE">
        <w:rPr>
          <w:rFonts w:ascii="Microsoft Sans Serif"/>
          <w:b/>
          <w:sz w:val="24"/>
          <w:szCs w:val="24"/>
        </w:rPr>
        <w:t>717.787.5000</w:t>
      </w:r>
    </w:p>
    <w:p w:rsidR="001564DE" w:rsidRDefault="001564DE" w:rsidP="001564DE">
      <w:pPr>
        <w:contextualSpacing/>
        <w:rPr>
          <w:rFonts w:ascii="Microsoft Sans Serif"/>
          <w:sz w:val="24"/>
          <w:szCs w:val="24"/>
        </w:rPr>
      </w:pPr>
    </w:p>
    <w:p w:rsidR="001564DE" w:rsidRDefault="001564DE" w:rsidP="001564DE">
      <w:pPr>
        <w:contextualSpacing/>
        <w:rPr>
          <w:rFonts w:ascii="Microsoft Sans Serif"/>
          <w:sz w:val="24"/>
          <w:szCs w:val="24"/>
        </w:rPr>
      </w:pPr>
      <w:r>
        <w:rPr>
          <w:rFonts w:ascii="Microsoft Sans Serif"/>
          <w:sz w:val="24"/>
          <w:szCs w:val="24"/>
        </w:rPr>
        <w:t>ROGER T MECHLING ESQUIRE</w:t>
      </w:r>
    </w:p>
    <w:p w:rsidR="001564DE" w:rsidRDefault="001564DE" w:rsidP="001564DE">
      <w:pPr>
        <w:contextualSpacing/>
        <w:rPr>
          <w:rFonts w:ascii="Microsoft Sans Serif"/>
          <w:sz w:val="24"/>
          <w:szCs w:val="24"/>
        </w:rPr>
      </w:pPr>
      <w:r>
        <w:rPr>
          <w:rFonts w:ascii="Microsoft Sans Serif"/>
          <w:sz w:val="24"/>
          <w:szCs w:val="24"/>
        </w:rPr>
        <w:t>MECHLING &amp; HELLER LLP</w:t>
      </w:r>
    </w:p>
    <w:p w:rsidR="001564DE" w:rsidRDefault="001564DE" w:rsidP="001564DE">
      <w:pPr>
        <w:contextualSpacing/>
        <w:rPr>
          <w:rFonts w:ascii="Microsoft Sans Serif"/>
          <w:sz w:val="24"/>
          <w:szCs w:val="24"/>
        </w:rPr>
      </w:pPr>
      <w:r>
        <w:rPr>
          <w:rFonts w:ascii="Microsoft Sans Serif"/>
          <w:sz w:val="24"/>
          <w:szCs w:val="24"/>
        </w:rPr>
        <w:t>216 NORTH JEFFERSON STREET</w:t>
      </w:r>
    </w:p>
    <w:p w:rsidR="001564DE" w:rsidRDefault="001564DE" w:rsidP="001564DE">
      <w:pPr>
        <w:contextualSpacing/>
        <w:rPr>
          <w:rFonts w:ascii="Microsoft Sans Serif"/>
          <w:sz w:val="24"/>
          <w:szCs w:val="24"/>
        </w:rPr>
      </w:pPr>
      <w:r>
        <w:rPr>
          <w:rFonts w:ascii="Microsoft Sans Serif"/>
          <w:sz w:val="24"/>
          <w:szCs w:val="24"/>
        </w:rPr>
        <w:t>KITTANNING PA  16201</w:t>
      </w:r>
    </w:p>
    <w:p w:rsidR="001564DE" w:rsidRPr="001564DE" w:rsidRDefault="001564DE" w:rsidP="001564DE">
      <w:pPr>
        <w:contextualSpacing/>
        <w:rPr>
          <w:rFonts w:ascii="Microsoft Sans Serif"/>
          <w:b/>
          <w:sz w:val="24"/>
          <w:szCs w:val="24"/>
        </w:rPr>
      </w:pPr>
      <w:r w:rsidRPr="001564DE">
        <w:rPr>
          <w:rFonts w:ascii="Microsoft Sans Serif"/>
          <w:b/>
          <w:sz w:val="24"/>
          <w:szCs w:val="24"/>
        </w:rPr>
        <w:t>724.543.1120</w:t>
      </w:r>
    </w:p>
    <w:p w:rsidR="001564DE" w:rsidRPr="00C635DE" w:rsidRDefault="001564DE" w:rsidP="001564DE">
      <w:pPr>
        <w:contextualSpacing/>
        <w:rPr>
          <w:rFonts w:ascii="Microsoft Sans Serif"/>
          <w:sz w:val="24"/>
          <w:szCs w:val="24"/>
        </w:rPr>
      </w:pPr>
      <w:r w:rsidRPr="00C635DE">
        <w:rPr>
          <w:rFonts w:ascii="Microsoft Sans Serif"/>
          <w:i/>
          <w:sz w:val="24"/>
          <w:szCs w:val="24"/>
        </w:rPr>
        <w:t>(REPRESENTING CLAUDE J. FINK AND LOIS A. FINK)</w:t>
      </w:r>
    </w:p>
    <w:p w:rsidR="001564DE" w:rsidRDefault="001564DE" w:rsidP="001564DE">
      <w:pPr>
        <w:contextualSpacing/>
        <w:rPr>
          <w:rFonts w:ascii="Microsoft Sans Serif"/>
          <w:sz w:val="24"/>
          <w:szCs w:val="24"/>
        </w:rPr>
      </w:pPr>
    </w:p>
    <w:p w:rsidR="001564DE" w:rsidRDefault="001564DE" w:rsidP="001564DE">
      <w:pPr>
        <w:contextualSpacing/>
        <w:rPr>
          <w:rFonts w:ascii="Microsoft Sans Serif"/>
          <w:sz w:val="24"/>
          <w:szCs w:val="24"/>
        </w:rPr>
      </w:pPr>
      <w:r>
        <w:rPr>
          <w:rFonts w:ascii="Microsoft Sans Serif"/>
          <w:sz w:val="24"/>
          <w:szCs w:val="24"/>
        </w:rPr>
        <w:t>LINDA L ZIEMBICKI ESQUIRE</w:t>
      </w:r>
    </w:p>
    <w:p w:rsidR="001564DE" w:rsidRDefault="001564DE" w:rsidP="001564DE">
      <w:pPr>
        <w:contextualSpacing/>
        <w:rPr>
          <w:rFonts w:ascii="Microsoft Sans Serif"/>
          <w:sz w:val="24"/>
          <w:szCs w:val="24"/>
        </w:rPr>
      </w:pPr>
      <w:r>
        <w:rPr>
          <w:rFonts w:ascii="Microsoft Sans Serif"/>
          <w:sz w:val="24"/>
          <w:szCs w:val="24"/>
        </w:rPr>
        <w:t>LAW OFFICE OF LINDA L ZIEMBICKI</w:t>
      </w:r>
    </w:p>
    <w:p w:rsidR="001564DE" w:rsidRDefault="001564DE" w:rsidP="001564DE">
      <w:pPr>
        <w:contextualSpacing/>
        <w:rPr>
          <w:rFonts w:ascii="Microsoft Sans Serif"/>
          <w:sz w:val="24"/>
          <w:szCs w:val="24"/>
        </w:rPr>
      </w:pPr>
      <w:r>
        <w:rPr>
          <w:rFonts w:ascii="Microsoft Sans Serif"/>
          <w:sz w:val="24"/>
          <w:szCs w:val="24"/>
        </w:rPr>
        <w:t>PO BOX 535</w:t>
      </w:r>
    </w:p>
    <w:p w:rsidR="001564DE" w:rsidRDefault="001564DE" w:rsidP="001564DE">
      <w:pPr>
        <w:contextualSpacing/>
        <w:rPr>
          <w:rFonts w:ascii="Microsoft Sans Serif"/>
          <w:sz w:val="24"/>
          <w:szCs w:val="24"/>
        </w:rPr>
      </w:pPr>
      <w:r>
        <w:rPr>
          <w:rFonts w:ascii="Microsoft Sans Serif"/>
          <w:sz w:val="24"/>
          <w:szCs w:val="24"/>
        </w:rPr>
        <w:t>900 EAST MAIN STREET</w:t>
      </w:r>
    </w:p>
    <w:p w:rsidR="001564DE" w:rsidRDefault="001564DE" w:rsidP="001564DE">
      <w:pPr>
        <w:contextualSpacing/>
        <w:rPr>
          <w:rFonts w:ascii="Microsoft Sans Serif"/>
          <w:sz w:val="24"/>
          <w:szCs w:val="24"/>
        </w:rPr>
      </w:pPr>
      <w:r>
        <w:rPr>
          <w:rFonts w:ascii="Microsoft Sans Serif"/>
          <w:sz w:val="24"/>
          <w:szCs w:val="24"/>
        </w:rPr>
        <w:t>RURAL VALLEY PA  16249</w:t>
      </w:r>
    </w:p>
    <w:p w:rsidR="001564DE" w:rsidRPr="001564DE" w:rsidRDefault="001564DE" w:rsidP="001564DE">
      <w:pPr>
        <w:contextualSpacing/>
        <w:rPr>
          <w:rFonts w:ascii="Microsoft Sans Serif"/>
          <w:b/>
          <w:sz w:val="24"/>
          <w:szCs w:val="24"/>
        </w:rPr>
      </w:pPr>
      <w:r w:rsidRPr="001564DE">
        <w:rPr>
          <w:rFonts w:ascii="Microsoft Sans Serif"/>
          <w:b/>
          <w:sz w:val="24"/>
          <w:szCs w:val="24"/>
        </w:rPr>
        <w:t>724.783.7088</w:t>
      </w:r>
    </w:p>
    <w:p w:rsidR="001564DE" w:rsidRPr="00C635DE" w:rsidRDefault="001564DE" w:rsidP="001564DE">
      <w:pPr>
        <w:contextualSpacing/>
        <w:rPr>
          <w:rFonts w:ascii="Microsoft Sans Serif"/>
          <w:i/>
          <w:sz w:val="24"/>
          <w:szCs w:val="24"/>
        </w:rPr>
      </w:pPr>
      <w:r w:rsidRPr="00C635DE">
        <w:rPr>
          <w:rFonts w:ascii="Microsoft Sans Serif"/>
          <w:i/>
          <w:sz w:val="24"/>
          <w:szCs w:val="24"/>
        </w:rPr>
        <w:t>(REPRESENTING KELLY FINK)</w:t>
      </w:r>
    </w:p>
    <w:p w:rsidR="001564DE" w:rsidRPr="001564DE" w:rsidRDefault="001564DE" w:rsidP="001564DE">
      <w:pPr>
        <w:contextualSpacing/>
        <w:rPr>
          <w:rFonts w:ascii="Microsoft Sans Serif"/>
          <w:sz w:val="24"/>
          <w:szCs w:val="24"/>
        </w:rPr>
      </w:pPr>
    </w:p>
    <w:p w:rsidR="001564DE" w:rsidRDefault="001564DE" w:rsidP="001564DE">
      <w:pPr>
        <w:contextualSpacing/>
        <w:rPr>
          <w:rFonts w:ascii="Microsoft Sans Serif"/>
          <w:sz w:val="24"/>
          <w:szCs w:val="24"/>
        </w:rPr>
      </w:pPr>
      <w:r>
        <w:rPr>
          <w:rFonts w:ascii="Microsoft Sans Serif"/>
          <w:sz w:val="24"/>
          <w:szCs w:val="24"/>
        </w:rPr>
        <w:t>CLAUDE JOSEPH FINK JR</w:t>
      </w:r>
    </w:p>
    <w:p w:rsidR="001564DE" w:rsidRDefault="001564DE" w:rsidP="001564DE">
      <w:pPr>
        <w:contextualSpacing/>
        <w:rPr>
          <w:rFonts w:ascii="Microsoft Sans Serif"/>
          <w:sz w:val="24"/>
          <w:szCs w:val="24"/>
        </w:rPr>
      </w:pPr>
      <w:r>
        <w:rPr>
          <w:rFonts w:ascii="Microsoft Sans Serif"/>
          <w:sz w:val="24"/>
          <w:szCs w:val="24"/>
        </w:rPr>
        <w:t>274 STATE ROUTE 4017</w:t>
      </w:r>
    </w:p>
    <w:p w:rsidR="001564DE" w:rsidRDefault="001564DE" w:rsidP="001564DE">
      <w:pPr>
        <w:contextualSpacing/>
        <w:rPr>
          <w:rFonts w:ascii="Microsoft Sans Serif"/>
          <w:sz w:val="24"/>
          <w:szCs w:val="24"/>
        </w:rPr>
      </w:pPr>
      <w:r>
        <w:rPr>
          <w:rFonts w:ascii="Microsoft Sans Serif"/>
          <w:sz w:val="24"/>
          <w:szCs w:val="24"/>
        </w:rPr>
        <w:t>COWANSVILLE PA  16218</w:t>
      </w:r>
    </w:p>
    <w:p w:rsidR="001564DE" w:rsidRPr="001564DE" w:rsidRDefault="001564DE" w:rsidP="001564DE">
      <w:pPr>
        <w:contextualSpacing/>
        <w:rPr>
          <w:rFonts w:ascii="Microsoft Sans Serif"/>
          <w:b/>
          <w:sz w:val="24"/>
          <w:szCs w:val="24"/>
        </w:rPr>
      </w:pPr>
      <w:r w:rsidRPr="001564DE">
        <w:rPr>
          <w:rFonts w:ascii="Microsoft Sans Serif"/>
          <w:b/>
          <w:sz w:val="24"/>
          <w:szCs w:val="24"/>
        </w:rPr>
        <w:t>724.355.7719</w:t>
      </w:r>
    </w:p>
    <w:p w:rsidR="001564DE" w:rsidRDefault="001564DE" w:rsidP="001564DE">
      <w:pPr>
        <w:contextualSpacing/>
        <w:rPr>
          <w:rFonts w:ascii="Microsoft Sans Serif"/>
          <w:sz w:val="24"/>
          <w:szCs w:val="24"/>
        </w:rPr>
      </w:pPr>
    </w:p>
    <w:p w:rsidR="001564DE" w:rsidRPr="001564DE" w:rsidRDefault="001564DE" w:rsidP="001564DE">
      <w:pPr>
        <w:contextualSpacing/>
        <w:rPr>
          <w:rFonts w:ascii="Microsoft Sans Serif"/>
          <w:sz w:val="24"/>
          <w:szCs w:val="24"/>
        </w:rPr>
      </w:pPr>
    </w:p>
    <w:p w:rsidR="00D450AD" w:rsidRPr="00E77C24" w:rsidRDefault="00D450AD" w:rsidP="00375D67">
      <w:pPr>
        <w:pStyle w:val="Footer"/>
        <w:tabs>
          <w:tab w:val="clear" w:pos="4320"/>
          <w:tab w:val="clear" w:pos="8640"/>
        </w:tabs>
      </w:pPr>
    </w:p>
    <w:sectPr w:rsidR="00D450AD" w:rsidRPr="00E77C24" w:rsidSect="002B368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A0" w:rsidRDefault="00DF17A0">
      <w:r>
        <w:separator/>
      </w:r>
    </w:p>
  </w:endnote>
  <w:endnote w:type="continuationSeparator" w:id="0">
    <w:p w:rsidR="00DF17A0" w:rsidRDefault="00DF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94" w:rsidRDefault="00D05894"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894" w:rsidRDefault="00D05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745535"/>
      <w:docPartObj>
        <w:docPartGallery w:val="Page Numbers (Bottom of Page)"/>
        <w:docPartUnique/>
      </w:docPartObj>
    </w:sdtPr>
    <w:sdtEndPr>
      <w:rPr>
        <w:noProof/>
      </w:rPr>
    </w:sdtEndPr>
    <w:sdtContent>
      <w:p w:rsidR="002B3685" w:rsidRDefault="002B3685">
        <w:pPr>
          <w:pStyle w:val="Footer"/>
          <w:jc w:val="center"/>
        </w:pPr>
        <w:r>
          <w:fldChar w:fldCharType="begin"/>
        </w:r>
        <w:r>
          <w:instrText xml:space="preserve"> PAGE   \* MERGEFORMAT </w:instrText>
        </w:r>
        <w:r>
          <w:fldChar w:fldCharType="separate"/>
        </w:r>
        <w:r w:rsidR="00CB0C0E">
          <w:rPr>
            <w:noProof/>
          </w:rPr>
          <w:t>2</w:t>
        </w:r>
        <w:r>
          <w:rPr>
            <w:noProof/>
          </w:rPr>
          <w:fldChar w:fldCharType="end"/>
        </w:r>
      </w:p>
    </w:sdtContent>
  </w:sdt>
  <w:p w:rsidR="00D05894" w:rsidRDefault="00D05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A0" w:rsidRDefault="00DF17A0">
      <w:r>
        <w:separator/>
      </w:r>
    </w:p>
  </w:footnote>
  <w:footnote w:type="continuationSeparator" w:id="0">
    <w:p w:rsidR="00DF17A0" w:rsidRDefault="00DF1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31E"/>
    <w:multiLevelType w:val="hybridMultilevel"/>
    <w:tmpl w:val="8C369F5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C9721B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1800642"/>
    <w:multiLevelType w:val="hybridMultilevel"/>
    <w:tmpl w:val="9E2A3128"/>
    <w:lvl w:ilvl="0" w:tplc="1940342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4">
    <w:nsid w:val="2B9D64F8"/>
    <w:multiLevelType w:val="hybridMultilevel"/>
    <w:tmpl w:val="9970ED4E"/>
    <w:lvl w:ilvl="0" w:tplc="C4EE85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D6A0896"/>
    <w:multiLevelType w:val="hybridMultilevel"/>
    <w:tmpl w:val="2CFA02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7">
    <w:nsid w:val="55C77789"/>
    <w:multiLevelType w:val="singleLevel"/>
    <w:tmpl w:val="356CC34E"/>
    <w:lvl w:ilvl="0">
      <w:start w:val="1"/>
      <w:numFmt w:val="decimal"/>
      <w:lvlText w:val="%1."/>
      <w:lvlJc w:val="left"/>
      <w:pPr>
        <w:tabs>
          <w:tab w:val="num" w:pos="2160"/>
        </w:tabs>
        <w:ind w:left="2160" w:hanging="720"/>
      </w:pPr>
      <w:rPr>
        <w:rFonts w:hint="default"/>
      </w:rPr>
    </w:lvl>
  </w:abstractNum>
  <w:abstractNum w:abstractNumId="8">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595271C0"/>
    <w:multiLevelType w:val="singleLevel"/>
    <w:tmpl w:val="0409000F"/>
    <w:lvl w:ilvl="0">
      <w:start w:val="3"/>
      <w:numFmt w:val="decimal"/>
      <w:lvlText w:val="%1."/>
      <w:lvlJc w:val="left"/>
      <w:pPr>
        <w:tabs>
          <w:tab w:val="num" w:pos="360"/>
        </w:tabs>
        <w:ind w:left="360" w:hanging="360"/>
      </w:pPr>
      <w:rPr>
        <w:rFonts w:hint="default"/>
      </w:rPr>
    </w:lvl>
  </w:abstractNum>
  <w:abstractNum w:abstractNumId="10">
    <w:nsid w:val="5B144BE7"/>
    <w:multiLevelType w:val="hybridMultilevel"/>
    <w:tmpl w:val="3CF6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67DE6E40"/>
    <w:multiLevelType w:val="hybridMultilevel"/>
    <w:tmpl w:val="6706E00E"/>
    <w:lvl w:ilvl="0" w:tplc="2F0C39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9"/>
  </w:num>
  <w:num w:numId="3">
    <w:abstractNumId w:val="7"/>
  </w:num>
  <w:num w:numId="4">
    <w:abstractNumId w:val="6"/>
  </w:num>
  <w:num w:numId="5">
    <w:abstractNumId w:val="3"/>
  </w:num>
  <w:num w:numId="6">
    <w:abstractNumId w:val="10"/>
  </w:num>
  <w:num w:numId="7">
    <w:abstractNumId w:val="11"/>
  </w:num>
  <w:num w:numId="8">
    <w:abstractNumId w:val="5"/>
  </w:num>
  <w:num w:numId="9">
    <w:abstractNumId w:val="8"/>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A5"/>
    <w:rsid w:val="00000BE5"/>
    <w:rsid w:val="00005231"/>
    <w:rsid w:val="00011E26"/>
    <w:rsid w:val="00013F6C"/>
    <w:rsid w:val="00016860"/>
    <w:rsid w:val="0002120A"/>
    <w:rsid w:val="000418B4"/>
    <w:rsid w:val="00046C41"/>
    <w:rsid w:val="00095381"/>
    <w:rsid w:val="000A45F2"/>
    <w:rsid w:val="000A52A9"/>
    <w:rsid w:val="000B4D71"/>
    <w:rsid w:val="000B6967"/>
    <w:rsid w:val="000C56EC"/>
    <w:rsid w:val="000D7976"/>
    <w:rsid w:val="000F075F"/>
    <w:rsid w:val="001100DA"/>
    <w:rsid w:val="00113AC9"/>
    <w:rsid w:val="00114B66"/>
    <w:rsid w:val="00154556"/>
    <w:rsid w:val="001564DE"/>
    <w:rsid w:val="001600CA"/>
    <w:rsid w:val="0016299C"/>
    <w:rsid w:val="001730BC"/>
    <w:rsid w:val="00176B72"/>
    <w:rsid w:val="0018143F"/>
    <w:rsid w:val="00192591"/>
    <w:rsid w:val="001A56CB"/>
    <w:rsid w:val="001A5899"/>
    <w:rsid w:val="001B0EDA"/>
    <w:rsid w:val="001D42AB"/>
    <w:rsid w:val="00202E78"/>
    <w:rsid w:val="00246E48"/>
    <w:rsid w:val="002549E4"/>
    <w:rsid w:val="00257CEA"/>
    <w:rsid w:val="002612B5"/>
    <w:rsid w:val="00270BBF"/>
    <w:rsid w:val="00270C24"/>
    <w:rsid w:val="00280258"/>
    <w:rsid w:val="00292335"/>
    <w:rsid w:val="00295F02"/>
    <w:rsid w:val="00297EA1"/>
    <w:rsid w:val="002A5E32"/>
    <w:rsid w:val="002A7522"/>
    <w:rsid w:val="002B3685"/>
    <w:rsid w:val="002E4F28"/>
    <w:rsid w:val="002E6D5A"/>
    <w:rsid w:val="002F1811"/>
    <w:rsid w:val="00300553"/>
    <w:rsid w:val="0030264C"/>
    <w:rsid w:val="00302A4A"/>
    <w:rsid w:val="00310557"/>
    <w:rsid w:val="00314119"/>
    <w:rsid w:val="00354C4C"/>
    <w:rsid w:val="00375D67"/>
    <w:rsid w:val="003821BA"/>
    <w:rsid w:val="0038342A"/>
    <w:rsid w:val="003865B8"/>
    <w:rsid w:val="00386FBE"/>
    <w:rsid w:val="003871D0"/>
    <w:rsid w:val="003A3F0A"/>
    <w:rsid w:val="003B7256"/>
    <w:rsid w:val="003C24B2"/>
    <w:rsid w:val="003C3DC9"/>
    <w:rsid w:val="003D3A94"/>
    <w:rsid w:val="003E5F0E"/>
    <w:rsid w:val="003F0129"/>
    <w:rsid w:val="003F2F6A"/>
    <w:rsid w:val="00413FEE"/>
    <w:rsid w:val="00422CB0"/>
    <w:rsid w:val="00424D69"/>
    <w:rsid w:val="004255BA"/>
    <w:rsid w:val="0042732B"/>
    <w:rsid w:val="004358F8"/>
    <w:rsid w:val="00441F5F"/>
    <w:rsid w:val="00482BA6"/>
    <w:rsid w:val="004929AC"/>
    <w:rsid w:val="00495EC3"/>
    <w:rsid w:val="004A2DA1"/>
    <w:rsid w:val="004C6626"/>
    <w:rsid w:val="004D7A5D"/>
    <w:rsid w:val="00505D80"/>
    <w:rsid w:val="00507434"/>
    <w:rsid w:val="00513445"/>
    <w:rsid w:val="00533BA2"/>
    <w:rsid w:val="005429CD"/>
    <w:rsid w:val="00545BC9"/>
    <w:rsid w:val="00561736"/>
    <w:rsid w:val="005649F3"/>
    <w:rsid w:val="00573340"/>
    <w:rsid w:val="00582AE5"/>
    <w:rsid w:val="00583B09"/>
    <w:rsid w:val="0059654E"/>
    <w:rsid w:val="00596FA0"/>
    <w:rsid w:val="005C521B"/>
    <w:rsid w:val="005D39AE"/>
    <w:rsid w:val="005D7E93"/>
    <w:rsid w:val="006009FB"/>
    <w:rsid w:val="00600AF8"/>
    <w:rsid w:val="00616410"/>
    <w:rsid w:val="006467C0"/>
    <w:rsid w:val="00653538"/>
    <w:rsid w:val="00653FAB"/>
    <w:rsid w:val="00674DD7"/>
    <w:rsid w:val="00682DD2"/>
    <w:rsid w:val="00690D65"/>
    <w:rsid w:val="00694776"/>
    <w:rsid w:val="006A1EA6"/>
    <w:rsid w:val="006C2D92"/>
    <w:rsid w:val="00702879"/>
    <w:rsid w:val="00712988"/>
    <w:rsid w:val="0071531C"/>
    <w:rsid w:val="007320B7"/>
    <w:rsid w:val="0073760E"/>
    <w:rsid w:val="00740189"/>
    <w:rsid w:val="007441C0"/>
    <w:rsid w:val="00751E38"/>
    <w:rsid w:val="00765874"/>
    <w:rsid w:val="00774194"/>
    <w:rsid w:val="007812A5"/>
    <w:rsid w:val="00781641"/>
    <w:rsid w:val="00787C70"/>
    <w:rsid w:val="00790B7D"/>
    <w:rsid w:val="00797B9E"/>
    <w:rsid w:val="007B678C"/>
    <w:rsid w:val="007D7945"/>
    <w:rsid w:val="007E2591"/>
    <w:rsid w:val="007E3CEB"/>
    <w:rsid w:val="007F0362"/>
    <w:rsid w:val="0080162F"/>
    <w:rsid w:val="00805DC0"/>
    <w:rsid w:val="00814152"/>
    <w:rsid w:val="00822CA6"/>
    <w:rsid w:val="00832047"/>
    <w:rsid w:val="00832D96"/>
    <w:rsid w:val="008433DC"/>
    <w:rsid w:val="00864835"/>
    <w:rsid w:val="008848D9"/>
    <w:rsid w:val="00884E1F"/>
    <w:rsid w:val="00885987"/>
    <w:rsid w:val="008B2145"/>
    <w:rsid w:val="008B470B"/>
    <w:rsid w:val="008B7A99"/>
    <w:rsid w:val="008C0A9F"/>
    <w:rsid w:val="008C12D5"/>
    <w:rsid w:val="008D4270"/>
    <w:rsid w:val="008D5BFF"/>
    <w:rsid w:val="008D7EA0"/>
    <w:rsid w:val="008E2AAB"/>
    <w:rsid w:val="008F5281"/>
    <w:rsid w:val="00934A8D"/>
    <w:rsid w:val="0094639F"/>
    <w:rsid w:val="00956048"/>
    <w:rsid w:val="00956FF8"/>
    <w:rsid w:val="009677FA"/>
    <w:rsid w:val="00975D1A"/>
    <w:rsid w:val="009A0590"/>
    <w:rsid w:val="009A3B1C"/>
    <w:rsid w:val="009A4493"/>
    <w:rsid w:val="009B20E4"/>
    <w:rsid w:val="009B5252"/>
    <w:rsid w:val="009B719A"/>
    <w:rsid w:val="009C3B4D"/>
    <w:rsid w:val="009C555B"/>
    <w:rsid w:val="009D0066"/>
    <w:rsid w:val="009E1C6D"/>
    <w:rsid w:val="009E643D"/>
    <w:rsid w:val="009F52EF"/>
    <w:rsid w:val="00A24827"/>
    <w:rsid w:val="00A379C4"/>
    <w:rsid w:val="00A37E58"/>
    <w:rsid w:val="00A44D5E"/>
    <w:rsid w:val="00A71A58"/>
    <w:rsid w:val="00AB629C"/>
    <w:rsid w:val="00AC411F"/>
    <w:rsid w:val="00AD5599"/>
    <w:rsid w:val="00AE0D85"/>
    <w:rsid w:val="00AF257D"/>
    <w:rsid w:val="00B070A7"/>
    <w:rsid w:val="00B134C1"/>
    <w:rsid w:val="00B179C7"/>
    <w:rsid w:val="00B33CDD"/>
    <w:rsid w:val="00B44961"/>
    <w:rsid w:val="00B46713"/>
    <w:rsid w:val="00B54471"/>
    <w:rsid w:val="00B57C22"/>
    <w:rsid w:val="00B70134"/>
    <w:rsid w:val="00B91274"/>
    <w:rsid w:val="00B91A4E"/>
    <w:rsid w:val="00BA6BA0"/>
    <w:rsid w:val="00BB5A19"/>
    <w:rsid w:val="00BC4189"/>
    <w:rsid w:val="00BE5CCB"/>
    <w:rsid w:val="00BF1D85"/>
    <w:rsid w:val="00BF24F5"/>
    <w:rsid w:val="00BF5A74"/>
    <w:rsid w:val="00C06634"/>
    <w:rsid w:val="00C15461"/>
    <w:rsid w:val="00C31467"/>
    <w:rsid w:val="00C36E36"/>
    <w:rsid w:val="00C443B0"/>
    <w:rsid w:val="00C50372"/>
    <w:rsid w:val="00CA360C"/>
    <w:rsid w:val="00CB0C0E"/>
    <w:rsid w:val="00CB7713"/>
    <w:rsid w:val="00CC4192"/>
    <w:rsid w:val="00D01DFD"/>
    <w:rsid w:val="00D05894"/>
    <w:rsid w:val="00D07FC4"/>
    <w:rsid w:val="00D104B3"/>
    <w:rsid w:val="00D16530"/>
    <w:rsid w:val="00D21C59"/>
    <w:rsid w:val="00D236F9"/>
    <w:rsid w:val="00D450AD"/>
    <w:rsid w:val="00D711DE"/>
    <w:rsid w:val="00D7795D"/>
    <w:rsid w:val="00D80822"/>
    <w:rsid w:val="00D909DF"/>
    <w:rsid w:val="00D94EBA"/>
    <w:rsid w:val="00DA7A0B"/>
    <w:rsid w:val="00DD34F1"/>
    <w:rsid w:val="00DD63F2"/>
    <w:rsid w:val="00DE0DC0"/>
    <w:rsid w:val="00DF17A0"/>
    <w:rsid w:val="00DF76F2"/>
    <w:rsid w:val="00E0749D"/>
    <w:rsid w:val="00E32BBE"/>
    <w:rsid w:val="00E40B0B"/>
    <w:rsid w:val="00E40B7F"/>
    <w:rsid w:val="00E539D9"/>
    <w:rsid w:val="00E56260"/>
    <w:rsid w:val="00E64381"/>
    <w:rsid w:val="00E661CE"/>
    <w:rsid w:val="00E72133"/>
    <w:rsid w:val="00E77C24"/>
    <w:rsid w:val="00EC27D1"/>
    <w:rsid w:val="00EE261E"/>
    <w:rsid w:val="00EF05C1"/>
    <w:rsid w:val="00F05968"/>
    <w:rsid w:val="00F33E27"/>
    <w:rsid w:val="00F34452"/>
    <w:rsid w:val="00F41082"/>
    <w:rsid w:val="00F45446"/>
    <w:rsid w:val="00F62B4C"/>
    <w:rsid w:val="00F75848"/>
    <w:rsid w:val="00F87292"/>
    <w:rsid w:val="00F87EF1"/>
    <w:rsid w:val="00FA3864"/>
    <w:rsid w:val="00FA771D"/>
    <w:rsid w:val="00FD133B"/>
    <w:rsid w:val="00FD5C2F"/>
    <w:rsid w:val="00FF271C"/>
    <w:rsid w:val="00FF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360"/>
      </w:tabs>
      <w:spacing w:line="233" w:lineRule="auto"/>
      <w:jc w:val="center"/>
    </w:pPr>
    <w:rPr>
      <w:b/>
      <w:sz w:val="24"/>
    </w:rPr>
  </w:style>
  <w:style w:type="paragraph" w:styleId="FootnoteText">
    <w:name w:val="footnote text"/>
    <w:basedOn w:val="Normal"/>
    <w:link w:val="FootnoteTextChar"/>
    <w:rsid w:val="00C50372"/>
  </w:style>
  <w:style w:type="character" w:styleId="FootnoteReference">
    <w:name w:val="footnote reference"/>
    <w:basedOn w:val="DefaultParagraphFont"/>
    <w:rsid w:val="00C50372"/>
    <w:rPr>
      <w:vertAlign w:val="superscript"/>
    </w:rPr>
  </w:style>
  <w:style w:type="character" w:customStyle="1" w:styleId="FootnoteTextChar">
    <w:name w:val="Footnote Text Char"/>
    <w:basedOn w:val="DefaultParagraphFont"/>
    <w:link w:val="FootnoteText"/>
    <w:rsid w:val="00F41082"/>
  </w:style>
  <w:style w:type="paragraph" w:styleId="BalloonText">
    <w:name w:val="Balloon Text"/>
    <w:basedOn w:val="Normal"/>
    <w:link w:val="BalloonTextChar"/>
    <w:rsid w:val="00582AE5"/>
    <w:rPr>
      <w:rFonts w:ascii="Tahoma" w:hAnsi="Tahoma" w:cs="Tahoma"/>
      <w:sz w:val="16"/>
      <w:szCs w:val="16"/>
    </w:rPr>
  </w:style>
  <w:style w:type="character" w:customStyle="1" w:styleId="BalloonTextChar">
    <w:name w:val="Balloon Text Char"/>
    <w:basedOn w:val="DefaultParagraphFont"/>
    <w:link w:val="BalloonText"/>
    <w:rsid w:val="00582AE5"/>
    <w:rPr>
      <w:rFonts w:ascii="Tahoma" w:hAnsi="Tahoma" w:cs="Tahoma"/>
      <w:sz w:val="16"/>
      <w:szCs w:val="16"/>
    </w:rPr>
  </w:style>
  <w:style w:type="paragraph" w:styleId="Header">
    <w:name w:val="header"/>
    <w:basedOn w:val="Normal"/>
    <w:link w:val="HeaderChar"/>
    <w:rsid w:val="0018143F"/>
    <w:pPr>
      <w:tabs>
        <w:tab w:val="center" w:pos="4680"/>
        <w:tab w:val="right" w:pos="9360"/>
      </w:tabs>
    </w:pPr>
  </w:style>
  <w:style w:type="character" w:customStyle="1" w:styleId="HeaderChar">
    <w:name w:val="Header Char"/>
    <w:basedOn w:val="DefaultParagraphFont"/>
    <w:link w:val="Header"/>
    <w:rsid w:val="0018143F"/>
  </w:style>
  <w:style w:type="character" w:customStyle="1" w:styleId="FooterChar">
    <w:name w:val="Footer Char"/>
    <w:basedOn w:val="DefaultParagraphFont"/>
    <w:link w:val="Footer"/>
    <w:uiPriority w:val="99"/>
    <w:rsid w:val="002B3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360"/>
      </w:tabs>
      <w:spacing w:line="233" w:lineRule="auto"/>
      <w:jc w:val="center"/>
    </w:pPr>
    <w:rPr>
      <w:b/>
      <w:sz w:val="24"/>
    </w:rPr>
  </w:style>
  <w:style w:type="paragraph" w:styleId="FootnoteText">
    <w:name w:val="footnote text"/>
    <w:basedOn w:val="Normal"/>
    <w:link w:val="FootnoteTextChar"/>
    <w:rsid w:val="00C50372"/>
  </w:style>
  <w:style w:type="character" w:styleId="FootnoteReference">
    <w:name w:val="footnote reference"/>
    <w:basedOn w:val="DefaultParagraphFont"/>
    <w:rsid w:val="00C50372"/>
    <w:rPr>
      <w:vertAlign w:val="superscript"/>
    </w:rPr>
  </w:style>
  <w:style w:type="character" w:customStyle="1" w:styleId="FootnoteTextChar">
    <w:name w:val="Footnote Text Char"/>
    <w:basedOn w:val="DefaultParagraphFont"/>
    <w:link w:val="FootnoteText"/>
    <w:rsid w:val="00F41082"/>
  </w:style>
  <w:style w:type="paragraph" w:styleId="BalloonText">
    <w:name w:val="Balloon Text"/>
    <w:basedOn w:val="Normal"/>
    <w:link w:val="BalloonTextChar"/>
    <w:rsid w:val="00582AE5"/>
    <w:rPr>
      <w:rFonts w:ascii="Tahoma" w:hAnsi="Tahoma" w:cs="Tahoma"/>
      <w:sz w:val="16"/>
      <w:szCs w:val="16"/>
    </w:rPr>
  </w:style>
  <w:style w:type="character" w:customStyle="1" w:styleId="BalloonTextChar">
    <w:name w:val="Balloon Text Char"/>
    <w:basedOn w:val="DefaultParagraphFont"/>
    <w:link w:val="BalloonText"/>
    <w:rsid w:val="00582AE5"/>
    <w:rPr>
      <w:rFonts w:ascii="Tahoma" w:hAnsi="Tahoma" w:cs="Tahoma"/>
      <w:sz w:val="16"/>
      <w:szCs w:val="16"/>
    </w:rPr>
  </w:style>
  <w:style w:type="paragraph" w:styleId="Header">
    <w:name w:val="header"/>
    <w:basedOn w:val="Normal"/>
    <w:link w:val="HeaderChar"/>
    <w:rsid w:val="0018143F"/>
    <w:pPr>
      <w:tabs>
        <w:tab w:val="center" w:pos="4680"/>
        <w:tab w:val="right" w:pos="9360"/>
      </w:tabs>
    </w:pPr>
  </w:style>
  <w:style w:type="character" w:customStyle="1" w:styleId="HeaderChar">
    <w:name w:val="Header Char"/>
    <w:basedOn w:val="DefaultParagraphFont"/>
    <w:link w:val="Header"/>
    <w:rsid w:val="0018143F"/>
  </w:style>
  <w:style w:type="character" w:customStyle="1" w:styleId="FooterChar">
    <w:name w:val="Footer Char"/>
    <w:basedOn w:val="DefaultParagraphFont"/>
    <w:link w:val="Footer"/>
    <w:uiPriority w:val="99"/>
    <w:rsid w:val="002B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72152">
      <w:bodyDiv w:val="1"/>
      <w:marLeft w:val="0"/>
      <w:marRight w:val="0"/>
      <w:marTop w:val="0"/>
      <w:marBottom w:val="0"/>
      <w:divBdr>
        <w:top w:val="none" w:sz="0" w:space="0" w:color="auto"/>
        <w:left w:val="none" w:sz="0" w:space="0" w:color="auto"/>
        <w:bottom w:val="none" w:sz="0" w:space="0" w:color="auto"/>
        <w:right w:val="none" w:sz="0" w:space="0" w:color="auto"/>
      </w:divBdr>
    </w:div>
    <w:div w:id="1588727028">
      <w:bodyDiv w:val="1"/>
      <w:marLeft w:val="0"/>
      <w:marRight w:val="0"/>
      <w:marTop w:val="0"/>
      <w:marBottom w:val="0"/>
      <w:divBdr>
        <w:top w:val="none" w:sz="0" w:space="0" w:color="auto"/>
        <w:left w:val="none" w:sz="0" w:space="0" w:color="auto"/>
        <w:bottom w:val="none" w:sz="0" w:space="0" w:color="auto"/>
        <w:right w:val="none" w:sz="0" w:space="0" w:color="auto"/>
      </w:divBdr>
    </w:div>
    <w:div w:id="1701513501">
      <w:bodyDiv w:val="1"/>
      <w:marLeft w:val="0"/>
      <w:marRight w:val="0"/>
      <w:marTop w:val="0"/>
      <w:marBottom w:val="0"/>
      <w:divBdr>
        <w:top w:val="none" w:sz="0" w:space="0" w:color="auto"/>
        <w:left w:val="none" w:sz="0" w:space="0" w:color="auto"/>
        <w:bottom w:val="none" w:sz="0" w:space="0" w:color="auto"/>
        <w:right w:val="none" w:sz="0" w:space="0" w:color="auto"/>
      </w:divBdr>
    </w:div>
    <w:div w:id="1701543471">
      <w:bodyDiv w:val="1"/>
      <w:marLeft w:val="0"/>
      <w:marRight w:val="0"/>
      <w:marTop w:val="0"/>
      <w:marBottom w:val="0"/>
      <w:divBdr>
        <w:top w:val="none" w:sz="0" w:space="0" w:color="auto"/>
        <w:left w:val="none" w:sz="0" w:space="0" w:color="auto"/>
        <w:bottom w:val="none" w:sz="0" w:space="0" w:color="auto"/>
        <w:right w:val="none" w:sz="0" w:space="0" w:color="auto"/>
      </w:divBdr>
    </w:div>
    <w:div w:id="19728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92C7-55D8-4FA3-9D8A-206FCE9C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Kim</dc:creator>
  <cp:lastModifiedBy>bfaccenda</cp:lastModifiedBy>
  <cp:revision>5</cp:revision>
  <cp:lastPrinted>2012-11-30T19:01:00Z</cp:lastPrinted>
  <dcterms:created xsi:type="dcterms:W3CDTF">2012-11-30T17:30:00Z</dcterms:created>
  <dcterms:modified xsi:type="dcterms:W3CDTF">2012-11-30T19:03:00Z</dcterms:modified>
</cp:coreProperties>
</file>