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D87" w:rsidRPr="00557490" w:rsidRDefault="000655FA" w:rsidP="00391F40">
      <w:pPr>
        <w:pStyle w:val="TxBrc2"/>
        <w:spacing w:line="240" w:lineRule="auto"/>
        <w:ind w:firstLine="0"/>
        <w:rPr>
          <w:b/>
          <w:szCs w:val="26"/>
        </w:rPr>
      </w:pPr>
      <w:r>
        <w:rPr>
          <w:b/>
          <w:szCs w:val="26"/>
        </w:rPr>
        <w:t xml:space="preserve">  </w:t>
      </w:r>
      <w:r w:rsidR="00124E02" w:rsidRPr="00557490">
        <w:rPr>
          <w:b/>
          <w:szCs w:val="26"/>
        </w:rPr>
        <w:t>PENNSYLVANIA</w:t>
      </w:r>
    </w:p>
    <w:p w:rsidR="007C4D87" w:rsidRPr="00557490" w:rsidRDefault="007C4D87" w:rsidP="00391F40">
      <w:pPr>
        <w:pStyle w:val="TxBrc2"/>
        <w:spacing w:line="240" w:lineRule="auto"/>
        <w:ind w:firstLine="0"/>
        <w:rPr>
          <w:b/>
          <w:szCs w:val="26"/>
        </w:rPr>
      </w:pPr>
      <w:r w:rsidRPr="00557490">
        <w:rPr>
          <w:b/>
          <w:szCs w:val="26"/>
        </w:rPr>
        <w:t>PUBLIC UTILITY COMMISSION</w:t>
      </w:r>
    </w:p>
    <w:p w:rsidR="007C4D87" w:rsidRPr="00557490" w:rsidRDefault="00124E02" w:rsidP="00391F40">
      <w:pPr>
        <w:pStyle w:val="TxBrc2"/>
        <w:spacing w:line="240" w:lineRule="auto"/>
        <w:ind w:firstLine="0"/>
        <w:rPr>
          <w:b/>
          <w:szCs w:val="26"/>
        </w:rPr>
      </w:pPr>
      <w:r w:rsidRPr="00557490">
        <w:rPr>
          <w:b/>
          <w:szCs w:val="26"/>
        </w:rPr>
        <w:t>Harrisburg, PA 17105</w:t>
      </w:r>
    </w:p>
    <w:p w:rsidR="007C4D87" w:rsidRPr="00557490" w:rsidRDefault="007C4D87" w:rsidP="007C4D87">
      <w:pPr>
        <w:pStyle w:val="TxBrc2"/>
        <w:spacing w:line="240" w:lineRule="auto"/>
        <w:rPr>
          <w:szCs w:val="26"/>
        </w:rPr>
      </w:pPr>
    </w:p>
    <w:p w:rsidR="007C4D87" w:rsidRPr="00557490" w:rsidRDefault="007C4D87" w:rsidP="007C4D87">
      <w:pPr>
        <w:pStyle w:val="TxBrc2"/>
        <w:spacing w:line="240" w:lineRule="auto"/>
        <w:rPr>
          <w:szCs w:val="26"/>
        </w:rPr>
      </w:pPr>
    </w:p>
    <w:p w:rsidR="007C4D87" w:rsidRPr="00557490" w:rsidRDefault="007D5D09" w:rsidP="007C4D87">
      <w:pPr>
        <w:pStyle w:val="TxBrc2"/>
        <w:spacing w:line="240" w:lineRule="auto"/>
        <w:jc w:val="right"/>
        <w:rPr>
          <w:szCs w:val="26"/>
        </w:rPr>
      </w:pPr>
      <w:r w:rsidRPr="00557490">
        <w:rPr>
          <w:szCs w:val="26"/>
        </w:rPr>
        <w:t>Public Meeting held</w:t>
      </w:r>
      <w:r w:rsidR="00863C81">
        <w:rPr>
          <w:szCs w:val="26"/>
        </w:rPr>
        <w:t xml:space="preserve"> </w:t>
      </w:r>
      <w:r w:rsidR="004A6343">
        <w:rPr>
          <w:szCs w:val="26"/>
        </w:rPr>
        <w:t>December 5</w:t>
      </w:r>
      <w:r w:rsidR="004F2DB6" w:rsidRPr="00557490">
        <w:rPr>
          <w:szCs w:val="26"/>
        </w:rPr>
        <w:t xml:space="preserve">, </w:t>
      </w:r>
      <w:r w:rsidR="00AA2CB7" w:rsidRPr="00557490">
        <w:rPr>
          <w:szCs w:val="26"/>
        </w:rPr>
        <w:t>20</w:t>
      </w:r>
      <w:r w:rsidR="009F0675" w:rsidRPr="00557490">
        <w:rPr>
          <w:szCs w:val="26"/>
        </w:rPr>
        <w:t>1</w:t>
      </w:r>
      <w:r w:rsidR="00863C81">
        <w:rPr>
          <w:szCs w:val="26"/>
        </w:rPr>
        <w:t>2</w:t>
      </w:r>
    </w:p>
    <w:p w:rsidR="007C4D87" w:rsidRPr="00557490" w:rsidRDefault="007C4D87" w:rsidP="00236926">
      <w:pPr>
        <w:ind w:firstLine="0"/>
        <w:rPr>
          <w:szCs w:val="26"/>
        </w:rPr>
      </w:pPr>
    </w:p>
    <w:p w:rsidR="007C4D87" w:rsidRPr="00557490" w:rsidRDefault="007C4D87" w:rsidP="00934217">
      <w:pPr>
        <w:spacing w:line="240" w:lineRule="auto"/>
        <w:ind w:firstLine="0"/>
        <w:rPr>
          <w:szCs w:val="26"/>
        </w:rPr>
      </w:pPr>
      <w:r w:rsidRPr="00557490">
        <w:rPr>
          <w:szCs w:val="26"/>
        </w:rPr>
        <w:t>Commissioners Present:</w:t>
      </w:r>
    </w:p>
    <w:p w:rsidR="007C4D87" w:rsidRPr="00557490" w:rsidRDefault="007C4D87" w:rsidP="00934217">
      <w:pPr>
        <w:spacing w:line="240" w:lineRule="auto"/>
        <w:ind w:firstLine="0"/>
        <w:rPr>
          <w:szCs w:val="26"/>
        </w:rPr>
      </w:pPr>
    </w:p>
    <w:p w:rsidR="006E5F60" w:rsidRPr="00557490" w:rsidRDefault="006E5F60" w:rsidP="00934217">
      <w:pPr>
        <w:spacing w:line="240" w:lineRule="auto"/>
        <w:ind w:firstLine="0"/>
        <w:rPr>
          <w:szCs w:val="26"/>
        </w:rPr>
      </w:pPr>
      <w:r w:rsidRPr="00557490">
        <w:rPr>
          <w:szCs w:val="26"/>
        </w:rPr>
        <w:t>Robert F. Powelson, Chairman</w:t>
      </w:r>
    </w:p>
    <w:p w:rsidR="008D1A55" w:rsidRDefault="006E5F60" w:rsidP="00934217">
      <w:pPr>
        <w:spacing w:line="240" w:lineRule="auto"/>
        <w:ind w:firstLine="0"/>
        <w:rPr>
          <w:szCs w:val="26"/>
        </w:rPr>
      </w:pPr>
      <w:r w:rsidRPr="00557490">
        <w:rPr>
          <w:szCs w:val="26"/>
        </w:rPr>
        <w:t>John F. Coleman, Jr., Vice Chairman</w:t>
      </w:r>
    </w:p>
    <w:p w:rsidR="006E5F60" w:rsidRPr="00557490" w:rsidRDefault="006E5F60" w:rsidP="00934217">
      <w:pPr>
        <w:spacing w:line="240" w:lineRule="auto"/>
        <w:ind w:firstLine="0"/>
        <w:rPr>
          <w:szCs w:val="26"/>
        </w:rPr>
      </w:pPr>
      <w:r w:rsidRPr="00557490">
        <w:rPr>
          <w:szCs w:val="26"/>
        </w:rPr>
        <w:t>Wayne E. Gardner</w:t>
      </w:r>
    </w:p>
    <w:p w:rsidR="006E5F60" w:rsidRDefault="006E5F60" w:rsidP="00934217">
      <w:pPr>
        <w:spacing w:line="240" w:lineRule="auto"/>
        <w:ind w:firstLine="0"/>
        <w:rPr>
          <w:szCs w:val="26"/>
        </w:rPr>
      </w:pPr>
      <w:r w:rsidRPr="00557490">
        <w:rPr>
          <w:szCs w:val="26"/>
        </w:rPr>
        <w:t>James H. Cawley</w:t>
      </w:r>
    </w:p>
    <w:p w:rsidR="00C71D54" w:rsidRPr="00557490" w:rsidRDefault="00C71D54" w:rsidP="00934217">
      <w:pPr>
        <w:spacing w:line="240" w:lineRule="auto"/>
        <w:ind w:firstLine="0"/>
        <w:rPr>
          <w:szCs w:val="26"/>
        </w:rPr>
      </w:pPr>
      <w:r>
        <w:rPr>
          <w:szCs w:val="26"/>
        </w:rPr>
        <w:t>Pamela A. Witmer</w:t>
      </w:r>
    </w:p>
    <w:p w:rsidR="007C4D87" w:rsidRPr="00557490" w:rsidRDefault="007C4D87" w:rsidP="00934217">
      <w:pPr>
        <w:spacing w:line="240" w:lineRule="auto"/>
        <w:ind w:firstLine="0"/>
        <w:rPr>
          <w:szCs w:val="26"/>
        </w:rPr>
      </w:pPr>
    </w:p>
    <w:p w:rsidR="006B6E19" w:rsidRPr="00557490" w:rsidRDefault="006B6E19" w:rsidP="00934217">
      <w:pPr>
        <w:spacing w:line="240" w:lineRule="auto"/>
        <w:ind w:firstLine="0"/>
        <w:rPr>
          <w:szCs w:val="26"/>
        </w:rPr>
      </w:pPr>
    </w:p>
    <w:tbl>
      <w:tblPr>
        <w:tblW w:w="0" w:type="auto"/>
        <w:tblLook w:val="04A0" w:firstRow="1" w:lastRow="0" w:firstColumn="1" w:lastColumn="0" w:noHBand="0" w:noVBand="1"/>
      </w:tblPr>
      <w:tblGrid>
        <w:gridCol w:w="5778"/>
        <w:gridCol w:w="3798"/>
      </w:tblGrid>
      <w:tr w:rsidR="004F2DB6" w:rsidRPr="00557490" w:rsidTr="00863C81">
        <w:trPr>
          <w:trHeight w:val="1548"/>
        </w:trPr>
        <w:tc>
          <w:tcPr>
            <w:tcW w:w="5778" w:type="dxa"/>
          </w:tcPr>
          <w:p w:rsidR="00715673" w:rsidRDefault="00843DF8" w:rsidP="00D05423">
            <w:pPr>
              <w:pStyle w:val="TxBrc4"/>
              <w:tabs>
                <w:tab w:val="left" w:pos="204"/>
              </w:tabs>
              <w:spacing w:line="240" w:lineRule="auto"/>
              <w:ind w:firstLine="0"/>
              <w:jc w:val="left"/>
              <w:rPr>
                <w:bCs/>
                <w:szCs w:val="26"/>
              </w:rPr>
            </w:pPr>
            <w:r>
              <w:rPr>
                <w:bCs/>
                <w:szCs w:val="26"/>
              </w:rPr>
              <w:t>John R. Starzmann</w:t>
            </w:r>
          </w:p>
          <w:p w:rsidR="00863C81" w:rsidRPr="00557490" w:rsidRDefault="00863C81" w:rsidP="00D05423">
            <w:pPr>
              <w:pStyle w:val="TxBrc4"/>
              <w:tabs>
                <w:tab w:val="left" w:pos="204"/>
              </w:tabs>
              <w:spacing w:line="240" w:lineRule="auto"/>
              <w:ind w:firstLine="0"/>
              <w:jc w:val="left"/>
              <w:rPr>
                <w:bCs/>
                <w:szCs w:val="26"/>
              </w:rPr>
            </w:pPr>
          </w:p>
          <w:p w:rsidR="004F2DB6" w:rsidRPr="00557490" w:rsidRDefault="004F2DB6" w:rsidP="00D05423">
            <w:pPr>
              <w:pStyle w:val="TxBrc4"/>
              <w:tabs>
                <w:tab w:val="left" w:pos="204"/>
              </w:tabs>
              <w:spacing w:line="240" w:lineRule="auto"/>
              <w:ind w:firstLine="0"/>
              <w:jc w:val="left"/>
              <w:rPr>
                <w:bCs/>
                <w:szCs w:val="26"/>
              </w:rPr>
            </w:pPr>
            <w:r w:rsidRPr="00557490">
              <w:rPr>
                <w:bCs/>
                <w:szCs w:val="26"/>
              </w:rPr>
              <w:t xml:space="preserve">        v.</w:t>
            </w:r>
          </w:p>
          <w:p w:rsidR="00715673" w:rsidRPr="00557490" w:rsidRDefault="00715673" w:rsidP="00D05423">
            <w:pPr>
              <w:pStyle w:val="TxBrc4"/>
              <w:tabs>
                <w:tab w:val="left" w:pos="204"/>
              </w:tabs>
              <w:spacing w:line="240" w:lineRule="auto"/>
              <w:ind w:firstLine="0"/>
              <w:jc w:val="left"/>
              <w:rPr>
                <w:bCs/>
                <w:szCs w:val="26"/>
              </w:rPr>
            </w:pPr>
          </w:p>
          <w:p w:rsidR="004F2DB6" w:rsidRPr="00863C81" w:rsidRDefault="00863C81" w:rsidP="008D1A55">
            <w:pPr>
              <w:pStyle w:val="TxBrc4"/>
              <w:tabs>
                <w:tab w:val="left" w:pos="204"/>
              </w:tabs>
              <w:spacing w:line="240" w:lineRule="auto"/>
              <w:ind w:firstLine="0"/>
              <w:jc w:val="left"/>
              <w:rPr>
                <w:bCs/>
                <w:szCs w:val="26"/>
              </w:rPr>
            </w:pPr>
            <w:r w:rsidRPr="00863C81">
              <w:rPr>
                <w:bCs/>
                <w:szCs w:val="26"/>
              </w:rPr>
              <w:t>PECO Energy Company</w:t>
            </w:r>
          </w:p>
        </w:tc>
        <w:tc>
          <w:tcPr>
            <w:tcW w:w="3798" w:type="dxa"/>
          </w:tcPr>
          <w:p w:rsidR="004F2DB6" w:rsidRPr="00557490" w:rsidRDefault="00863C81" w:rsidP="00843DF8">
            <w:pPr>
              <w:pStyle w:val="TxBrc4"/>
              <w:tabs>
                <w:tab w:val="left" w:pos="204"/>
              </w:tabs>
              <w:spacing w:line="240" w:lineRule="auto"/>
              <w:ind w:firstLine="0"/>
              <w:jc w:val="right"/>
              <w:rPr>
                <w:bCs/>
                <w:szCs w:val="26"/>
              </w:rPr>
            </w:pPr>
            <w:r>
              <w:rPr>
                <w:bCs/>
                <w:szCs w:val="26"/>
              </w:rPr>
              <w:t>C-20</w:t>
            </w:r>
            <w:r w:rsidR="00843DF8">
              <w:rPr>
                <w:bCs/>
                <w:szCs w:val="26"/>
              </w:rPr>
              <w:t>10</w:t>
            </w:r>
            <w:r>
              <w:rPr>
                <w:bCs/>
                <w:szCs w:val="26"/>
              </w:rPr>
              <w:t>-2</w:t>
            </w:r>
            <w:r w:rsidR="00843DF8">
              <w:rPr>
                <w:bCs/>
                <w:szCs w:val="26"/>
              </w:rPr>
              <w:t>192759</w:t>
            </w:r>
          </w:p>
        </w:tc>
      </w:tr>
    </w:tbl>
    <w:p w:rsidR="00CF5650" w:rsidRPr="00557490" w:rsidRDefault="00CF5650" w:rsidP="00934217">
      <w:pPr>
        <w:pStyle w:val="TxBrc4"/>
        <w:tabs>
          <w:tab w:val="left" w:pos="204"/>
        </w:tabs>
        <w:spacing w:line="240" w:lineRule="auto"/>
        <w:ind w:firstLine="0"/>
        <w:jc w:val="left"/>
        <w:rPr>
          <w:b/>
          <w:bCs/>
          <w:szCs w:val="26"/>
        </w:rPr>
      </w:pPr>
    </w:p>
    <w:p w:rsidR="00CB048A" w:rsidRPr="00557490" w:rsidRDefault="00CB048A" w:rsidP="00934217">
      <w:pPr>
        <w:pStyle w:val="TxBrc4"/>
        <w:tabs>
          <w:tab w:val="left" w:pos="204"/>
        </w:tabs>
        <w:spacing w:line="240" w:lineRule="auto"/>
        <w:ind w:firstLine="0"/>
        <w:jc w:val="left"/>
        <w:rPr>
          <w:b/>
          <w:bCs/>
          <w:szCs w:val="26"/>
        </w:rPr>
      </w:pPr>
    </w:p>
    <w:p w:rsidR="007C4D87" w:rsidRPr="00557490" w:rsidRDefault="007C4D87" w:rsidP="00934217">
      <w:pPr>
        <w:pStyle w:val="TxBrc4"/>
        <w:tabs>
          <w:tab w:val="left" w:pos="204"/>
        </w:tabs>
        <w:spacing w:line="240" w:lineRule="auto"/>
        <w:ind w:firstLine="0"/>
        <w:rPr>
          <w:b/>
          <w:bCs/>
          <w:szCs w:val="26"/>
          <w:u w:val="single" w:color="000000"/>
        </w:rPr>
      </w:pPr>
      <w:r w:rsidRPr="00557490">
        <w:rPr>
          <w:b/>
          <w:bCs/>
          <w:szCs w:val="26"/>
        </w:rPr>
        <w:t>OPINION AND ORDER</w:t>
      </w:r>
      <w:r w:rsidRPr="00557490">
        <w:rPr>
          <w:b/>
          <w:bCs/>
          <w:szCs w:val="26"/>
          <w:u w:val="single" w:color="000000"/>
        </w:rPr>
        <w:t xml:space="preserve"> </w:t>
      </w:r>
    </w:p>
    <w:p w:rsidR="007C4D87" w:rsidRPr="00557490" w:rsidRDefault="007C4D87" w:rsidP="00934217">
      <w:pPr>
        <w:tabs>
          <w:tab w:val="left" w:pos="204"/>
        </w:tabs>
        <w:spacing w:line="240" w:lineRule="auto"/>
        <w:ind w:firstLine="0"/>
        <w:rPr>
          <w:b/>
          <w:bCs/>
          <w:szCs w:val="26"/>
        </w:rPr>
      </w:pPr>
    </w:p>
    <w:p w:rsidR="00FB6E05" w:rsidRPr="00557490" w:rsidRDefault="00FB6E05" w:rsidP="00934217">
      <w:pPr>
        <w:spacing w:line="240" w:lineRule="auto"/>
        <w:ind w:firstLine="0"/>
        <w:rPr>
          <w:b/>
          <w:szCs w:val="26"/>
        </w:rPr>
      </w:pPr>
    </w:p>
    <w:p w:rsidR="000F118B" w:rsidRPr="00557490" w:rsidRDefault="000F118B" w:rsidP="00934217">
      <w:pPr>
        <w:spacing w:line="240" w:lineRule="auto"/>
        <w:ind w:firstLine="0"/>
        <w:rPr>
          <w:szCs w:val="26"/>
        </w:rPr>
      </w:pPr>
      <w:r w:rsidRPr="00557490">
        <w:rPr>
          <w:b/>
          <w:szCs w:val="26"/>
        </w:rPr>
        <w:t>BY THE COMMISSION:</w:t>
      </w:r>
    </w:p>
    <w:p w:rsidR="000F118B" w:rsidRPr="00557490" w:rsidRDefault="000F118B" w:rsidP="003C5AF0">
      <w:pPr>
        <w:rPr>
          <w:szCs w:val="26"/>
        </w:rPr>
      </w:pPr>
    </w:p>
    <w:p w:rsidR="003C5AF0" w:rsidRPr="00A25B71" w:rsidRDefault="003C5AF0" w:rsidP="00974F8B">
      <w:pPr>
        <w:rPr>
          <w:szCs w:val="26"/>
        </w:rPr>
      </w:pPr>
      <w:r w:rsidRPr="00557490">
        <w:rPr>
          <w:szCs w:val="26"/>
        </w:rPr>
        <w:t xml:space="preserve">Before the Pennsylvania Public Utility Commission (Commission) for consideration and disposition </w:t>
      </w:r>
      <w:r w:rsidR="00F74F12" w:rsidRPr="00557490">
        <w:rPr>
          <w:szCs w:val="26"/>
        </w:rPr>
        <w:t xml:space="preserve">are the Exceptions of </w:t>
      </w:r>
      <w:r w:rsidR="00863C81">
        <w:rPr>
          <w:szCs w:val="26"/>
        </w:rPr>
        <w:t xml:space="preserve">PECO Energy Company (PECO or Company) </w:t>
      </w:r>
      <w:r w:rsidR="00CB048A" w:rsidRPr="00557490">
        <w:rPr>
          <w:szCs w:val="26"/>
        </w:rPr>
        <w:t xml:space="preserve">to the </w:t>
      </w:r>
      <w:r w:rsidR="00F74F12" w:rsidRPr="00557490">
        <w:rPr>
          <w:szCs w:val="26"/>
        </w:rPr>
        <w:t xml:space="preserve">Initial </w:t>
      </w:r>
      <w:r w:rsidRPr="00557490">
        <w:rPr>
          <w:szCs w:val="26"/>
        </w:rPr>
        <w:t>Decision (</w:t>
      </w:r>
      <w:r w:rsidR="00F74F12" w:rsidRPr="00557490">
        <w:rPr>
          <w:szCs w:val="26"/>
        </w:rPr>
        <w:t>I.</w:t>
      </w:r>
      <w:r w:rsidR="0079100F" w:rsidRPr="00557490">
        <w:rPr>
          <w:szCs w:val="26"/>
        </w:rPr>
        <w:t>D</w:t>
      </w:r>
      <w:r w:rsidR="00F74F12" w:rsidRPr="00557490">
        <w:rPr>
          <w:szCs w:val="26"/>
        </w:rPr>
        <w:t>.</w:t>
      </w:r>
      <w:r w:rsidR="0079100F" w:rsidRPr="00557490">
        <w:rPr>
          <w:szCs w:val="26"/>
        </w:rPr>
        <w:t>) of Administrative Law Judge</w:t>
      </w:r>
      <w:r w:rsidR="00D50A73" w:rsidRPr="00557490">
        <w:rPr>
          <w:szCs w:val="26"/>
        </w:rPr>
        <w:t xml:space="preserve"> </w:t>
      </w:r>
      <w:r w:rsidR="00843DF8">
        <w:rPr>
          <w:szCs w:val="26"/>
        </w:rPr>
        <w:t xml:space="preserve">Joel H. Cheskis </w:t>
      </w:r>
      <w:r w:rsidR="007A13E7">
        <w:rPr>
          <w:szCs w:val="26"/>
        </w:rPr>
        <w:t>(</w:t>
      </w:r>
      <w:r w:rsidR="002334E8">
        <w:rPr>
          <w:szCs w:val="26"/>
        </w:rPr>
        <w:t>ALJ</w:t>
      </w:r>
      <w:r w:rsidR="00843DF8">
        <w:rPr>
          <w:szCs w:val="26"/>
        </w:rPr>
        <w:t>)</w:t>
      </w:r>
      <w:r w:rsidR="00F23609" w:rsidRPr="00557490">
        <w:rPr>
          <w:szCs w:val="26"/>
        </w:rPr>
        <w:t xml:space="preserve">, </w:t>
      </w:r>
      <w:r w:rsidR="00CC6EF4" w:rsidRPr="00557490">
        <w:rPr>
          <w:szCs w:val="26"/>
        </w:rPr>
        <w:t xml:space="preserve">issued </w:t>
      </w:r>
      <w:r w:rsidR="00863C81">
        <w:rPr>
          <w:szCs w:val="26"/>
        </w:rPr>
        <w:t>May 2</w:t>
      </w:r>
      <w:r w:rsidR="00843DF8">
        <w:rPr>
          <w:szCs w:val="26"/>
        </w:rPr>
        <w:t>1</w:t>
      </w:r>
      <w:r w:rsidR="00863C81">
        <w:rPr>
          <w:szCs w:val="26"/>
        </w:rPr>
        <w:t>, 2012.</w:t>
      </w:r>
      <w:r w:rsidR="00CC6EF4" w:rsidRPr="00557490">
        <w:rPr>
          <w:szCs w:val="26"/>
        </w:rPr>
        <w:t xml:space="preserve"> </w:t>
      </w:r>
      <w:r w:rsidR="0012663E" w:rsidRPr="00557490">
        <w:rPr>
          <w:szCs w:val="26"/>
        </w:rPr>
        <w:t xml:space="preserve"> </w:t>
      </w:r>
      <w:r w:rsidR="00863C81">
        <w:rPr>
          <w:szCs w:val="26"/>
        </w:rPr>
        <w:t xml:space="preserve">No Reply Exceptions were filed. </w:t>
      </w:r>
      <w:r w:rsidR="006F5D0B">
        <w:rPr>
          <w:szCs w:val="26"/>
        </w:rPr>
        <w:t xml:space="preserve"> For the reasons stated below, we shall grant the Exceptions, reverse the Initial Decision and dismiss the Complaint.</w:t>
      </w:r>
    </w:p>
    <w:p w:rsidR="003C5AF0" w:rsidRPr="00557490" w:rsidRDefault="003C5AF0" w:rsidP="003C5AF0">
      <w:pPr>
        <w:rPr>
          <w:szCs w:val="26"/>
        </w:rPr>
      </w:pPr>
    </w:p>
    <w:p w:rsidR="00976CB1" w:rsidRPr="00557490" w:rsidRDefault="00FC6BF2" w:rsidP="001705A8">
      <w:pPr>
        <w:pStyle w:val="Heading1"/>
      </w:pPr>
      <w:r w:rsidRPr="00557490">
        <w:lastRenderedPageBreak/>
        <w:t>History of the Proceeding</w:t>
      </w:r>
    </w:p>
    <w:p w:rsidR="00FC6BF2" w:rsidRPr="00557490" w:rsidRDefault="00FC6BF2" w:rsidP="006F5D0B">
      <w:pPr>
        <w:keepNext/>
        <w:spacing w:line="240" w:lineRule="auto"/>
        <w:rPr>
          <w:szCs w:val="26"/>
        </w:rPr>
      </w:pPr>
    </w:p>
    <w:p w:rsidR="008356AB" w:rsidRDefault="004E66EC" w:rsidP="004E66EC">
      <w:pPr>
        <w:rPr>
          <w:szCs w:val="26"/>
        </w:rPr>
      </w:pPr>
      <w:r w:rsidRPr="004E66EC">
        <w:rPr>
          <w:szCs w:val="26"/>
        </w:rPr>
        <w:t xml:space="preserve">On August 5, 2010, John R. Starzmann (Complainant) filed a </w:t>
      </w:r>
      <w:r>
        <w:rPr>
          <w:szCs w:val="26"/>
        </w:rPr>
        <w:t>F</w:t>
      </w:r>
      <w:r w:rsidRPr="004E66EC">
        <w:rPr>
          <w:szCs w:val="26"/>
        </w:rPr>
        <w:t xml:space="preserve">ormal </w:t>
      </w:r>
      <w:r>
        <w:rPr>
          <w:szCs w:val="26"/>
        </w:rPr>
        <w:t>C</w:t>
      </w:r>
      <w:r w:rsidRPr="004E66EC">
        <w:rPr>
          <w:szCs w:val="26"/>
        </w:rPr>
        <w:t xml:space="preserve">omplaint </w:t>
      </w:r>
      <w:r w:rsidR="004266DB">
        <w:rPr>
          <w:szCs w:val="26"/>
        </w:rPr>
        <w:t xml:space="preserve">(Complaint) </w:t>
      </w:r>
      <w:r w:rsidRPr="004E66EC">
        <w:rPr>
          <w:szCs w:val="26"/>
        </w:rPr>
        <w:t xml:space="preserve">against PECO Energy Company (PECO or the Company).  In his </w:t>
      </w:r>
      <w:r>
        <w:rPr>
          <w:szCs w:val="26"/>
        </w:rPr>
        <w:t>C</w:t>
      </w:r>
      <w:r w:rsidRPr="004E66EC">
        <w:rPr>
          <w:szCs w:val="26"/>
        </w:rPr>
        <w:t xml:space="preserve">omplaint, Mr. Starzmann asserted that there is a reliability, safety or quality problem with his utility service.  </w:t>
      </w:r>
      <w:r>
        <w:rPr>
          <w:szCs w:val="26"/>
        </w:rPr>
        <w:t xml:space="preserve">As a supplement to his Complaint, </w:t>
      </w:r>
      <w:r w:rsidRPr="004E66EC">
        <w:rPr>
          <w:szCs w:val="26"/>
        </w:rPr>
        <w:t xml:space="preserve">Mr. Starzmann attached </w:t>
      </w:r>
      <w:r>
        <w:rPr>
          <w:szCs w:val="26"/>
        </w:rPr>
        <w:t>a letter (</w:t>
      </w:r>
      <w:r w:rsidR="00E821FF">
        <w:rPr>
          <w:szCs w:val="26"/>
        </w:rPr>
        <w:t xml:space="preserve">Complaint </w:t>
      </w:r>
      <w:r>
        <w:rPr>
          <w:szCs w:val="26"/>
        </w:rPr>
        <w:t>Letter)</w:t>
      </w:r>
      <w:r w:rsidR="000655FA">
        <w:rPr>
          <w:szCs w:val="26"/>
        </w:rPr>
        <w:t>,</w:t>
      </w:r>
      <w:r>
        <w:rPr>
          <w:szCs w:val="26"/>
        </w:rPr>
        <w:t xml:space="preserve"> which stated that</w:t>
      </w:r>
      <w:r w:rsidRPr="004E66EC">
        <w:rPr>
          <w:szCs w:val="26"/>
        </w:rPr>
        <w:t xml:space="preserve"> “</w:t>
      </w:r>
      <w:r>
        <w:rPr>
          <w:szCs w:val="26"/>
        </w:rPr>
        <w:t>[</w:t>
      </w:r>
      <w:r w:rsidRPr="004E66EC">
        <w:rPr>
          <w:szCs w:val="26"/>
        </w:rPr>
        <w:t>o</w:t>
      </w:r>
      <w:r>
        <w:rPr>
          <w:szCs w:val="26"/>
        </w:rPr>
        <w:t>]</w:t>
      </w:r>
      <w:r w:rsidRPr="004E66EC">
        <w:rPr>
          <w:szCs w:val="26"/>
        </w:rPr>
        <w:t>n occasion for 25 years, I have sustained low voltage</w:t>
      </w:r>
      <w:r>
        <w:rPr>
          <w:szCs w:val="26"/>
        </w:rPr>
        <w:t>” and “</w:t>
      </w:r>
      <w:r w:rsidRPr="004E66EC">
        <w:rPr>
          <w:szCs w:val="26"/>
        </w:rPr>
        <w:t xml:space="preserve">I measure 65 volts on my 120 volt circuits.”  </w:t>
      </w:r>
      <w:r w:rsidR="00E821FF">
        <w:rPr>
          <w:szCs w:val="26"/>
        </w:rPr>
        <w:t xml:space="preserve">Complaint </w:t>
      </w:r>
      <w:r w:rsidR="008356AB">
        <w:rPr>
          <w:szCs w:val="26"/>
        </w:rPr>
        <w:t xml:space="preserve">Letter at 1.  </w:t>
      </w:r>
      <w:r>
        <w:rPr>
          <w:szCs w:val="26"/>
        </w:rPr>
        <w:t>Mr. Starzmann stated that he</w:t>
      </w:r>
      <w:r w:rsidR="008356AB">
        <w:rPr>
          <w:szCs w:val="26"/>
        </w:rPr>
        <w:t xml:space="preserve"> reported and discussed this situation with a PECO engineer in the “mid-1980s and the situation was apparently understood but not resolved.”  </w:t>
      </w:r>
      <w:r w:rsidR="008356AB" w:rsidRPr="008356AB">
        <w:rPr>
          <w:i/>
          <w:szCs w:val="26"/>
        </w:rPr>
        <w:t>Id.</w:t>
      </w:r>
      <w:r w:rsidR="008356AB">
        <w:rPr>
          <w:szCs w:val="26"/>
        </w:rPr>
        <w:t xml:space="preserve">   </w:t>
      </w:r>
    </w:p>
    <w:p w:rsidR="008356AB" w:rsidRDefault="008356AB" w:rsidP="004E66EC">
      <w:pPr>
        <w:rPr>
          <w:szCs w:val="26"/>
        </w:rPr>
      </w:pPr>
    </w:p>
    <w:p w:rsidR="007A23FD" w:rsidRDefault="004E66EC" w:rsidP="004E66EC">
      <w:pPr>
        <w:rPr>
          <w:szCs w:val="26"/>
        </w:rPr>
      </w:pPr>
      <w:r w:rsidRPr="004E66EC">
        <w:rPr>
          <w:szCs w:val="26"/>
        </w:rPr>
        <w:t xml:space="preserve">Mr. Starzmann </w:t>
      </w:r>
      <w:r w:rsidR="00A14C3C">
        <w:rPr>
          <w:szCs w:val="26"/>
        </w:rPr>
        <w:t xml:space="preserve">also </w:t>
      </w:r>
      <w:r w:rsidR="000655FA">
        <w:rPr>
          <w:szCs w:val="26"/>
        </w:rPr>
        <w:t>alleged</w:t>
      </w:r>
      <w:r w:rsidR="008356AB">
        <w:rPr>
          <w:szCs w:val="26"/>
        </w:rPr>
        <w:t xml:space="preserve"> that </w:t>
      </w:r>
      <w:r w:rsidR="00A81E83">
        <w:rPr>
          <w:szCs w:val="26"/>
        </w:rPr>
        <w:t xml:space="preserve">on May 24, and May 31, 2010, </w:t>
      </w:r>
      <w:r w:rsidR="008356AB">
        <w:rPr>
          <w:szCs w:val="26"/>
        </w:rPr>
        <w:t>he</w:t>
      </w:r>
      <w:r w:rsidRPr="004E66EC">
        <w:rPr>
          <w:szCs w:val="26"/>
        </w:rPr>
        <w:t xml:space="preserve"> reported</w:t>
      </w:r>
      <w:r w:rsidR="008356AB">
        <w:rPr>
          <w:szCs w:val="26"/>
        </w:rPr>
        <w:t xml:space="preserve"> a </w:t>
      </w:r>
      <w:r w:rsidR="00A81E83">
        <w:rPr>
          <w:szCs w:val="26"/>
        </w:rPr>
        <w:t xml:space="preserve">sustained </w:t>
      </w:r>
      <w:r w:rsidR="008356AB">
        <w:rPr>
          <w:szCs w:val="26"/>
        </w:rPr>
        <w:t xml:space="preserve">low </w:t>
      </w:r>
      <w:r w:rsidR="00A81E83">
        <w:rPr>
          <w:szCs w:val="26"/>
        </w:rPr>
        <w:t>voltage issue with PECO’s service supply.  The Complainant explained that</w:t>
      </w:r>
      <w:r w:rsidR="000655FA">
        <w:rPr>
          <w:szCs w:val="26"/>
        </w:rPr>
        <w:t>,</w:t>
      </w:r>
      <w:r w:rsidR="00A81E83">
        <w:rPr>
          <w:szCs w:val="26"/>
        </w:rPr>
        <w:t xml:space="preserve"> on May 24, 2010, he reported </w:t>
      </w:r>
      <w:r w:rsidR="008356AB">
        <w:rPr>
          <w:szCs w:val="26"/>
        </w:rPr>
        <w:t xml:space="preserve">“a </w:t>
      </w:r>
      <w:r w:rsidRPr="004E66EC">
        <w:rPr>
          <w:szCs w:val="26"/>
        </w:rPr>
        <w:t>one-half voltage</w:t>
      </w:r>
      <w:r w:rsidR="008356AB">
        <w:rPr>
          <w:szCs w:val="26"/>
        </w:rPr>
        <w:t xml:space="preserve"> issue</w:t>
      </w:r>
      <w:r w:rsidR="00A81E83">
        <w:rPr>
          <w:szCs w:val="26"/>
        </w:rPr>
        <w:t xml:space="preserve"> </w:t>
      </w:r>
      <w:r w:rsidRPr="004E66EC">
        <w:rPr>
          <w:szCs w:val="26"/>
        </w:rPr>
        <w:t xml:space="preserve">that required him to disconnect the main circuit breaker in his home to preclude damage to his well pump and his </w:t>
      </w:r>
      <w:r w:rsidR="00A81E83" w:rsidRPr="004E66EC">
        <w:rPr>
          <w:szCs w:val="26"/>
        </w:rPr>
        <w:t>refrigerat</w:t>
      </w:r>
      <w:r w:rsidR="00A81E83">
        <w:rPr>
          <w:szCs w:val="26"/>
        </w:rPr>
        <w:t xml:space="preserve">ion compressor motors…” </w:t>
      </w:r>
      <w:r w:rsidRPr="004E66EC">
        <w:rPr>
          <w:szCs w:val="26"/>
        </w:rPr>
        <w:t xml:space="preserve"> </w:t>
      </w:r>
      <w:r w:rsidR="000655FA" w:rsidRPr="000655FA">
        <w:rPr>
          <w:i/>
          <w:szCs w:val="26"/>
        </w:rPr>
        <w:t>Id.</w:t>
      </w:r>
      <w:r w:rsidR="00661D0F">
        <w:rPr>
          <w:szCs w:val="26"/>
        </w:rPr>
        <w:t xml:space="preserve">  </w:t>
      </w:r>
      <w:r w:rsidRPr="004E66EC">
        <w:rPr>
          <w:szCs w:val="26"/>
        </w:rPr>
        <w:t xml:space="preserve">Mr. Starzmann stated that the low-voltage </w:t>
      </w:r>
      <w:r w:rsidR="008356AB">
        <w:rPr>
          <w:szCs w:val="26"/>
        </w:rPr>
        <w:t>condition “</w:t>
      </w:r>
      <w:r w:rsidRPr="004E66EC">
        <w:rPr>
          <w:szCs w:val="26"/>
        </w:rPr>
        <w:t>lasted for hours, not seconds or minutes.</w:t>
      </w:r>
      <w:r w:rsidR="008356AB">
        <w:rPr>
          <w:szCs w:val="26"/>
        </w:rPr>
        <w:t>”</w:t>
      </w:r>
      <w:r w:rsidRPr="004E66EC">
        <w:rPr>
          <w:szCs w:val="26"/>
        </w:rPr>
        <w:t xml:space="preserve"> </w:t>
      </w:r>
      <w:r w:rsidR="00A81E83">
        <w:rPr>
          <w:szCs w:val="26"/>
        </w:rPr>
        <w:t xml:space="preserve"> </w:t>
      </w:r>
      <w:r w:rsidR="00661D0F" w:rsidRPr="00661D0F">
        <w:rPr>
          <w:i/>
          <w:szCs w:val="26"/>
        </w:rPr>
        <w:t>Id.</w:t>
      </w:r>
      <w:r w:rsidR="00661D0F">
        <w:rPr>
          <w:szCs w:val="26"/>
        </w:rPr>
        <w:t xml:space="preserve">  </w:t>
      </w:r>
      <w:r w:rsidRPr="004E66EC">
        <w:rPr>
          <w:szCs w:val="26"/>
        </w:rPr>
        <w:t>Mr. Starzmann</w:t>
      </w:r>
      <w:r w:rsidR="00A81E83">
        <w:rPr>
          <w:szCs w:val="26"/>
        </w:rPr>
        <w:t xml:space="preserve"> requested that he be given details on the latest low voltage problem and be advised what is being done to correct the problem.  The Complainant also recommended </w:t>
      </w:r>
      <w:r w:rsidR="007A23FD">
        <w:rPr>
          <w:szCs w:val="26"/>
        </w:rPr>
        <w:t xml:space="preserve">that PECO install </w:t>
      </w:r>
      <w:r w:rsidR="00A81E83">
        <w:rPr>
          <w:szCs w:val="26"/>
        </w:rPr>
        <w:t xml:space="preserve">specific </w:t>
      </w:r>
      <w:r w:rsidR="007A23FD">
        <w:rPr>
          <w:szCs w:val="26"/>
        </w:rPr>
        <w:t xml:space="preserve">hardware and implement specific procedures to correct the problem.  </w:t>
      </w:r>
      <w:r w:rsidR="007A23FD" w:rsidRPr="007A23FD">
        <w:rPr>
          <w:i/>
          <w:szCs w:val="26"/>
        </w:rPr>
        <w:t>Id.</w:t>
      </w:r>
      <w:r w:rsidR="007A23FD">
        <w:rPr>
          <w:szCs w:val="26"/>
        </w:rPr>
        <w:t xml:space="preserve"> </w:t>
      </w:r>
      <w:r w:rsidR="00A81E83">
        <w:rPr>
          <w:szCs w:val="26"/>
        </w:rPr>
        <w:t xml:space="preserve"> </w:t>
      </w:r>
      <w:r w:rsidRPr="004E66EC">
        <w:rPr>
          <w:szCs w:val="26"/>
        </w:rPr>
        <w:t xml:space="preserve"> </w:t>
      </w:r>
    </w:p>
    <w:p w:rsidR="007A23FD" w:rsidRDefault="007A23FD" w:rsidP="004E66EC">
      <w:pPr>
        <w:rPr>
          <w:szCs w:val="26"/>
        </w:rPr>
      </w:pPr>
    </w:p>
    <w:p w:rsidR="004E66EC" w:rsidRDefault="00A14C3C" w:rsidP="004E66EC">
      <w:pPr>
        <w:rPr>
          <w:szCs w:val="26"/>
        </w:rPr>
      </w:pPr>
      <w:r>
        <w:rPr>
          <w:szCs w:val="26"/>
        </w:rPr>
        <w:t xml:space="preserve">In addition, </w:t>
      </w:r>
      <w:r w:rsidR="004E66EC" w:rsidRPr="004E66EC">
        <w:rPr>
          <w:szCs w:val="26"/>
        </w:rPr>
        <w:t>Mr. Starzmann complained about PECO’s customer service process, noting that the toll-free number PECO provides only gives answers to pre-recorded standard questions</w:t>
      </w:r>
      <w:r w:rsidR="007A23FD">
        <w:rPr>
          <w:szCs w:val="26"/>
        </w:rPr>
        <w:t xml:space="preserve">, </w:t>
      </w:r>
      <w:r w:rsidR="004E66EC" w:rsidRPr="004E66EC">
        <w:rPr>
          <w:szCs w:val="26"/>
        </w:rPr>
        <w:t xml:space="preserve">not contact with a PECO representative.  </w:t>
      </w:r>
      <w:r w:rsidR="00D4205C">
        <w:rPr>
          <w:szCs w:val="26"/>
        </w:rPr>
        <w:t xml:space="preserve">Mr. Starzmann recommended that the Commission “call and audit” the telephone number for PECO’s Emergency Service Department to see </w:t>
      </w:r>
      <w:r w:rsidR="006377D3">
        <w:rPr>
          <w:szCs w:val="26"/>
        </w:rPr>
        <w:t xml:space="preserve">“if they are able to reach a person.”  </w:t>
      </w:r>
      <w:r w:rsidR="001754B4" w:rsidRPr="001754B4">
        <w:rPr>
          <w:i/>
          <w:szCs w:val="26"/>
        </w:rPr>
        <w:t>Id.</w:t>
      </w:r>
      <w:r w:rsidR="001754B4">
        <w:rPr>
          <w:szCs w:val="26"/>
        </w:rPr>
        <w:t xml:space="preserve"> at </w:t>
      </w:r>
      <w:r w:rsidR="006377D3">
        <w:rPr>
          <w:szCs w:val="26"/>
        </w:rPr>
        <w:t xml:space="preserve">2.  </w:t>
      </w:r>
      <w:r w:rsidR="00072E1F">
        <w:rPr>
          <w:szCs w:val="26"/>
        </w:rPr>
        <w:t>Mr. </w:t>
      </w:r>
      <w:r w:rsidR="004E66EC" w:rsidRPr="004E66EC">
        <w:rPr>
          <w:szCs w:val="26"/>
        </w:rPr>
        <w:t xml:space="preserve">Starzmann concluded </w:t>
      </w:r>
      <w:r w:rsidR="001754B4">
        <w:rPr>
          <w:szCs w:val="26"/>
        </w:rPr>
        <w:t>his</w:t>
      </w:r>
      <w:r w:rsidR="004E66EC" w:rsidRPr="004E66EC">
        <w:rPr>
          <w:szCs w:val="26"/>
        </w:rPr>
        <w:t xml:space="preserve"> </w:t>
      </w:r>
      <w:r w:rsidR="00D4205C">
        <w:rPr>
          <w:szCs w:val="26"/>
        </w:rPr>
        <w:t>Complaint L</w:t>
      </w:r>
      <w:r w:rsidR="004E66EC" w:rsidRPr="004E66EC">
        <w:rPr>
          <w:szCs w:val="26"/>
        </w:rPr>
        <w:t>etter by stating: “PECO’s power quality, procedures and response are unacceptable.”</w:t>
      </w:r>
      <w:r w:rsidR="007A23FD">
        <w:rPr>
          <w:szCs w:val="26"/>
        </w:rPr>
        <w:t xml:space="preserve"> </w:t>
      </w:r>
      <w:r w:rsidR="006377D3">
        <w:rPr>
          <w:szCs w:val="26"/>
        </w:rPr>
        <w:t xml:space="preserve"> </w:t>
      </w:r>
      <w:r w:rsidR="006377D3" w:rsidRPr="006377D3">
        <w:rPr>
          <w:i/>
          <w:szCs w:val="26"/>
        </w:rPr>
        <w:t>Id.</w:t>
      </w:r>
      <w:r w:rsidR="006377D3">
        <w:rPr>
          <w:szCs w:val="26"/>
        </w:rPr>
        <w:t xml:space="preserve"> </w:t>
      </w:r>
    </w:p>
    <w:p w:rsidR="006377D3" w:rsidRDefault="006377D3" w:rsidP="004E66EC">
      <w:pPr>
        <w:rPr>
          <w:szCs w:val="26"/>
        </w:rPr>
      </w:pPr>
    </w:p>
    <w:p w:rsidR="007A23FD" w:rsidRPr="009B54C2" w:rsidRDefault="007A23FD" w:rsidP="007A23FD">
      <w:pPr>
        <w:rPr>
          <w:szCs w:val="26"/>
        </w:rPr>
      </w:pPr>
      <w:r w:rsidRPr="009B54C2">
        <w:rPr>
          <w:szCs w:val="26"/>
        </w:rPr>
        <w:lastRenderedPageBreak/>
        <w:t xml:space="preserve">On September 1, 2010, PECO filed an Answer with New Matter </w:t>
      </w:r>
      <w:r w:rsidR="000835EC" w:rsidRPr="009B54C2">
        <w:rPr>
          <w:szCs w:val="26"/>
        </w:rPr>
        <w:t>(</w:t>
      </w:r>
      <w:r w:rsidR="00E821FF">
        <w:rPr>
          <w:szCs w:val="26"/>
        </w:rPr>
        <w:t xml:space="preserve">PECO </w:t>
      </w:r>
      <w:r w:rsidR="000835EC" w:rsidRPr="009B54C2">
        <w:rPr>
          <w:szCs w:val="26"/>
        </w:rPr>
        <w:t xml:space="preserve">Answer) </w:t>
      </w:r>
      <w:r w:rsidR="004266DB">
        <w:rPr>
          <w:szCs w:val="26"/>
        </w:rPr>
        <w:t>to Mr. Starzmann’s C</w:t>
      </w:r>
      <w:r w:rsidRPr="009B54C2">
        <w:rPr>
          <w:szCs w:val="26"/>
        </w:rPr>
        <w:t>omplaint.  PECO denied that there is a service reliability issue at Mr. Starzmann’s property.  PECO asserted that</w:t>
      </w:r>
      <w:r w:rsidR="00071A21">
        <w:rPr>
          <w:szCs w:val="26"/>
        </w:rPr>
        <w:t>,</w:t>
      </w:r>
      <w:r w:rsidRPr="009B54C2">
        <w:rPr>
          <w:szCs w:val="26"/>
        </w:rPr>
        <w:t xml:space="preserve"> “according to the specific facts laid out in the </w:t>
      </w:r>
      <w:r w:rsidR="004266DB">
        <w:rPr>
          <w:szCs w:val="26"/>
        </w:rPr>
        <w:t>c</w:t>
      </w:r>
      <w:r w:rsidRPr="009B54C2">
        <w:rPr>
          <w:szCs w:val="26"/>
        </w:rPr>
        <w:t xml:space="preserve">omplaint, this was the second time in 25 years that Complainant claims to have had voltage concerns.” </w:t>
      </w:r>
      <w:r w:rsidR="00E821FF">
        <w:rPr>
          <w:szCs w:val="26"/>
        </w:rPr>
        <w:t xml:space="preserve"> PECO </w:t>
      </w:r>
      <w:r w:rsidR="000835EC" w:rsidRPr="009B54C2">
        <w:rPr>
          <w:szCs w:val="26"/>
        </w:rPr>
        <w:t xml:space="preserve">Answer at 1. </w:t>
      </w:r>
      <w:r w:rsidR="009B54C2">
        <w:rPr>
          <w:szCs w:val="26"/>
        </w:rPr>
        <w:t xml:space="preserve"> </w:t>
      </w:r>
      <w:r w:rsidRPr="009B54C2">
        <w:rPr>
          <w:szCs w:val="26"/>
        </w:rPr>
        <w:t>PECO denied being notified of any long</w:t>
      </w:r>
      <w:r w:rsidR="006377D3">
        <w:rPr>
          <w:szCs w:val="26"/>
        </w:rPr>
        <w:t>-</w:t>
      </w:r>
      <w:r w:rsidRPr="009B54C2">
        <w:rPr>
          <w:szCs w:val="26"/>
        </w:rPr>
        <w:t xml:space="preserve">term or ongoing voltage concerns.  PECO </w:t>
      </w:r>
      <w:r w:rsidR="009B54C2">
        <w:rPr>
          <w:szCs w:val="26"/>
        </w:rPr>
        <w:t xml:space="preserve">explained </w:t>
      </w:r>
      <w:r w:rsidRPr="009B54C2">
        <w:rPr>
          <w:szCs w:val="26"/>
        </w:rPr>
        <w:t>that the Company experienced a “burnt 3 phase tap” on May 24, 2010</w:t>
      </w:r>
      <w:r w:rsidR="009B54C2">
        <w:rPr>
          <w:szCs w:val="26"/>
        </w:rPr>
        <w:t>,</w:t>
      </w:r>
      <w:r w:rsidRPr="009B54C2">
        <w:rPr>
          <w:szCs w:val="26"/>
        </w:rPr>
        <w:t xml:space="preserve"> and that the equipment was fixed that day.</w:t>
      </w:r>
      <w:r w:rsidR="009B54C2">
        <w:rPr>
          <w:szCs w:val="26"/>
        </w:rPr>
        <w:t xml:space="preserve"> </w:t>
      </w:r>
      <w:r w:rsidRPr="009B54C2">
        <w:rPr>
          <w:szCs w:val="26"/>
        </w:rPr>
        <w:t xml:space="preserve"> </w:t>
      </w:r>
      <w:r w:rsidR="009B54C2" w:rsidRPr="009B54C2">
        <w:rPr>
          <w:i/>
          <w:szCs w:val="26"/>
        </w:rPr>
        <w:t>Id.</w:t>
      </w:r>
      <w:r w:rsidR="004266DB">
        <w:rPr>
          <w:i/>
          <w:szCs w:val="26"/>
        </w:rPr>
        <w:t> </w:t>
      </w:r>
      <w:r w:rsidR="009B54C2">
        <w:rPr>
          <w:szCs w:val="26"/>
        </w:rPr>
        <w:t>at</w:t>
      </w:r>
      <w:r w:rsidR="004266DB">
        <w:rPr>
          <w:szCs w:val="26"/>
        </w:rPr>
        <w:t> </w:t>
      </w:r>
      <w:r w:rsidR="009B54C2">
        <w:rPr>
          <w:szCs w:val="26"/>
        </w:rPr>
        <w:t xml:space="preserve">2. </w:t>
      </w:r>
      <w:r w:rsidRPr="009B54C2">
        <w:rPr>
          <w:szCs w:val="26"/>
        </w:rPr>
        <w:t xml:space="preserve"> PECO </w:t>
      </w:r>
      <w:r w:rsidR="006377D3">
        <w:rPr>
          <w:szCs w:val="26"/>
        </w:rPr>
        <w:t>averred</w:t>
      </w:r>
      <w:r w:rsidRPr="009B54C2">
        <w:rPr>
          <w:szCs w:val="26"/>
        </w:rPr>
        <w:t xml:space="preserve"> that “the measures that Complainant requests are too costly to fix a problem that does not exist” and that Mr. Starzmann refused to allow PECO to place its own voltage recording device at the property.</w:t>
      </w:r>
      <w:r w:rsidR="009B54C2">
        <w:rPr>
          <w:szCs w:val="26"/>
        </w:rPr>
        <w:t xml:space="preserve">  </w:t>
      </w:r>
      <w:r w:rsidR="009B54C2" w:rsidRPr="009B54C2">
        <w:rPr>
          <w:i/>
          <w:szCs w:val="26"/>
        </w:rPr>
        <w:t>Id.</w:t>
      </w:r>
      <w:r w:rsidR="009B54C2">
        <w:rPr>
          <w:szCs w:val="26"/>
        </w:rPr>
        <w:t xml:space="preserve"> </w:t>
      </w:r>
      <w:r w:rsidR="00810502">
        <w:rPr>
          <w:szCs w:val="26"/>
        </w:rPr>
        <w:t xml:space="preserve">at 2-3. </w:t>
      </w:r>
    </w:p>
    <w:p w:rsidR="007A23FD" w:rsidRDefault="007A23FD" w:rsidP="007A23FD">
      <w:pPr>
        <w:rPr>
          <w:sz w:val="24"/>
        </w:rPr>
      </w:pPr>
    </w:p>
    <w:p w:rsidR="007A23FD" w:rsidRDefault="007A23FD" w:rsidP="007A23FD">
      <w:pPr>
        <w:rPr>
          <w:szCs w:val="26"/>
        </w:rPr>
      </w:pPr>
      <w:r w:rsidRPr="009B54C2">
        <w:rPr>
          <w:szCs w:val="26"/>
        </w:rPr>
        <w:t xml:space="preserve">In its New Matter, PECO argued that Mr. Starzmann should not be allowed to bring an action </w:t>
      </w:r>
      <w:r w:rsidR="001754B4">
        <w:rPr>
          <w:szCs w:val="26"/>
        </w:rPr>
        <w:t xml:space="preserve">based on an </w:t>
      </w:r>
      <w:r w:rsidRPr="009B54C2">
        <w:rPr>
          <w:szCs w:val="26"/>
        </w:rPr>
        <w:t xml:space="preserve">incident occurring </w:t>
      </w:r>
      <w:r w:rsidR="009B54C2" w:rsidRPr="009B54C2">
        <w:rPr>
          <w:szCs w:val="26"/>
        </w:rPr>
        <w:t xml:space="preserve">twenty-five </w:t>
      </w:r>
      <w:r w:rsidRPr="009B54C2">
        <w:rPr>
          <w:szCs w:val="26"/>
        </w:rPr>
        <w:t xml:space="preserve">years ago.  PECO noted that </w:t>
      </w:r>
      <w:r w:rsidR="009B54C2">
        <w:rPr>
          <w:szCs w:val="26"/>
        </w:rPr>
        <w:t xml:space="preserve">Section 3314(a) of </w:t>
      </w:r>
      <w:r w:rsidRPr="009B54C2">
        <w:rPr>
          <w:szCs w:val="26"/>
        </w:rPr>
        <w:t xml:space="preserve">the Public Utility Code </w:t>
      </w:r>
      <w:r w:rsidR="009B54C2">
        <w:rPr>
          <w:szCs w:val="26"/>
        </w:rPr>
        <w:t xml:space="preserve">(Code), 66 </w:t>
      </w:r>
      <w:r w:rsidR="005D2676">
        <w:rPr>
          <w:szCs w:val="26"/>
        </w:rPr>
        <w:t>Pa. C.S</w:t>
      </w:r>
      <w:r w:rsidR="009B54C2">
        <w:rPr>
          <w:szCs w:val="26"/>
        </w:rPr>
        <w:t xml:space="preserve">. § 3314, </w:t>
      </w:r>
      <w:r w:rsidRPr="009B54C2">
        <w:rPr>
          <w:szCs w:val="26"/>
        </w:rPr>
        <w:t xml:space="preserve">requires all actions be brought before the Commission within three years of their occurrence.  PECO argued that the </w:t>
      </w:r>
      <w:r w:rsidR="001754B4">
        <w:rPr>
          <w:szCs w:val="26"/>
        </w:rPr>
        <w:t>C</w:t>
      </w:r>
      <w:r w:rsidRPr="009B54C2">
        <w:rPr>
          <w:szCs w:val="26"/>
        </w:rPr>
        <w:t>omplaint should be limited to the alleged voltage incidents that occurred in 2010.</w:t>
      </w:r>
      <w:r w:rsidR="009B54C2">
        <w:rPr>
          <w:szCs w:val="26"/>
        </w:rPr>
        <w:t xml:space="preserve">  </w:t>
      </w:r>
      <w:r w:rsidR="00E821FF">
        <w:rPr>
          <w:szCs w:val="26"/>
        </w:rPr>
        <w:t xml:space="preserve">PECO </w:t>
      </w:r>
      <w:r w:rsidR="009B54C2">
        <w:rPr>
          <w:szCs w:val="26"/>
        </w:rPr>
        <w:t xml:space="preserve">Answer at 3. </w:t>
      </w:r>
    </w:p>
    <w:p w:rsidR="00E821FF" w:rsidRDefault="00E821FF" w:rsidP="00E821FF">
      <w:pPr>
        <w:rPr>
          <w:sz w:val="24"/>
        </w:rPr>
      </w:pPr>
    </w:p>
    <w:p w:rsidR="00E737AB" w:rsidRDefault="00E821FF" w:rsidP="00E821FF">
      <w:pPr>
        <w:rPr>
          <w:szCs w:val="26"/>
        </w:rPr>
      </w:pPr>
      <w:r w:rsidRPr="00E737AB">
        <w:rPr>
          <w:szCs w:val="26"/>
        </w:rPr>
        <w:t xml:space="preserve">On September 9, 2010, Mr. Starzmann </w:t>
      </w:r>
      <w:r w:rsidR="00EF3728">
        <w:rPr>
          <w:szCs w:val="26"/>
        </w:rPr>
        <w:t>filed</w:t>
      </w:r>
      <w:r w:rsidRPr="00E737AB">
        <w:rPr>
          <w:szCs w:val="26"/>
        </w:rPr>
        <w:t xml:space="preserve"> an Answer to PECO’s New Matter (Starzmann Answer) </w:t>
      </w:r>
      <w:r w:rsidR="002A1DAA">
        <w:rPr>
          <w:szCs w:val="26"/>
        </w:rPr>
        <w:t xml:space="preserve">wherein, </w:t>
      </w:r>
      <w:r w:rsidR="00294C59" w:rsidRPr="00E737AB">
        <w:rPr>
          <w:i/>
          <w:szCs w:val="26"/>
        </w:rPr>
        <w:t>inter alia</w:t>
      </w:r>
      <w:r w:rsidR="00294C59" w:rsidRPr="00E737AB">
        <w:rPr>
          <w:szCs w:val="26"/>
        </w:rPr>
        <w:t xml:space="preserve">, </w:t>
      </w:r>
      <w:r w:rsidR="002A1DAA">
        <w:rPr>
          <w:szCs w:val="26"/>
        </w:rPr>
        <w:t xml:space="preserve">he </w:t>
      </w:r>
      <w:r w:rsidRPr="00E737AB">
        <w:rPr>
          <w:szCs w:val="26"/>
        </w:rPr>
        <w:t xml:space="preserve">responded to PECO’s claims regarding the low voltage occurrences dating back </w:t>
      </w:r>
      <w:r w:rsidR="00294C59" w:rsidRPr="00E737AB">
        <w:rPr>
          <w:szCs w:val="26"/>
        </w:rPr>
        <w:t>twenty-five</w:t>
      </w:r>
      <w:r w:rsidRPr="00E737AB">
        <w:rPr>
          <w:szCs w:val="26"/>
        </w:rPr>
        <w:t xml:space="preserve"> years.  Mr. Starzmann </w:t>
      </w:r>
      <w:r w:rsidR="00EF3728">
        <w:rPr>
          <w:szCs w:val="26"/>
        </w:rPr>
        <w:t>agreed</w:t>
      </w:r>
      <w:r w:rsidR="00E93F3C">
        <w:rPr>
          <w:szCs w:val="26"/>
        </w:rPr>
        <w:t xml:space="preserve"> that actions before the Commission must be brought with</w:t>
      </w:r>
      <w:r w:rsidRPr="00E737AB">
        <w:rPr>
          <w:szCs w:val="26"/>
        </w:rPr>
        <w:t>in</w:t>
      </w:r>
      <w:r w:rsidR="00E93F3C">
        <w:rPr>
          <w:szCs w:val="26"/>
        </w:rPr>
        <w:t xml:space="preserve"> three years of their occurrence</w:t>
      </w:r>
      <w:r w:rsidR="00EF3728">
        <w:rPr>
          <w:szCs w:val="26"/>
        </w:rPr>
        <w:t>, but</w:t>
      </w:r>
      <w:r w:rsidR="00E93F3C">
        <w:rPr>
          <w:szCs w:val="26"/>
        </w:rPr>
        <w:t xml:space="preserve"> in</w:t>
      </w:r>
      <w:r w:rsidRPr="00E737AB">
        <w:rPr>
          <w:szCs w:val="26"/>
        </w:rPr>
        <w:t>dicated that “the background voltage information from an incident in the 1980’s was provided to assist PECO in their review of</w:t>
      </w:r>
      <w:r w:rsidR="00E53FF3">
        <w:rPr>
          <w:szCs w:val="26"/>
        </w:rPr>
        <w:t xml:space="preserve"> power system disturbances that </w:t>
      </w:r>
      <w:r w:rsidRPr="00E737AB">
        <w:rPr>
          <w:szCs w:val="26"/>
        </w:rPr>
        <w:t xml:space="preserve">affect the voltage at my residence.”  </w:t>
      </w:r>
      <w:r w:rsidR="00294C59" w:rsidRPr="00E737AB">
        <w:rPr>
          <w:szCs w:val="26"/>
        </w:rPr>
        <w:t xml:space="preserve">Starzmann Answer at 1.  </w:t>
      </w:r>
      <w:r w:rsidR="00E737AB" w:rsidRPr="00E737AB">
        <w:rPr>
          <w:szCs w:val="26"/>
        </w:rPr>
        <w:t xml:space="preserve">In summary, </w:t>
      </w:r>
      <w:r w:rsidR="00E53FF3">
        <w:rPr>
          <w:szCs w:val="26"/>
        </w:rPr>
        <w:t>Mr. </w:t>
      </w:r>
      <w:r w:rsidRPr="00E737AB">
        <w:rPr>
          <w:szCs w:val="26"/>
        </w:rPr>
        <w:t xml:space="preserve">Starzmann provided the historic data to support his claim that the problem he was experiencing was, in his opinion, related to the design of the electric grid.  In addition, Mr. Starzmann elaborated on the particulars of his </w:t>
      </w:r>
      <w:r w:rsidR="006377D3">
        <w:rPr>
          <w:szCs w:val="26"/>
        </w:rPr>
        <w:t>C</w:t>
      </w:r>
      <w:r w:rsidRPr="00E737AB">
        <w:rPr>
          <w:szCs w:val="26"/>
        </w:rPr>
        <w:t xml:space="preserve">omplaint as well as </w:t>
      </w:r>
      <w:r w:rsidR="007C4033">
        <w:rPr>
          <w:szCs w:val="26"/>
        </w:rPr>
        <w:t xml:space="preserve">the </w:t>
      </w:r>
      <w:r w:rsidRPr="00E737AB">
        <w:rPr>
          <w:szCs w:val="26"/>
        </w:rPr>
        <w:t xml:space="preserve">relief </w:t>
      </w:r>
      <w:r w:rsidR="007C4033">
        <w:rPr>
          <w:szCs w:val="26"/>
        </w:rPr>
        <w:t xml:space="preserve">he had </w:t>
      </w:r>
      <w:r w:rsidRPr="00E737AB">
        <w:rPr>
          <w:szCs w:val="26"/>
        </w:rPr>
        <w:t>requested.</w:t>
      </w:r>
      <w:r w:rsidR="00E737AB">
        <w:rPr>
          <w:szCs w:val="26"/>
        </w:rPr>
        <w:t xml:space="preserve">  </w:t>
      </w:r>
      <w:r w:rsidR="00E737AB" w:rsidRPr="00E737AB">
        <w:rPr>
          <w:i/>
          <w:szCs w:val="26"/>
        </w:rPr>
        <w:t>Id.</w:t>
      </w:r>
      <w:r w:rsidR="00E737AB">
        <w:rPr>
          <w:szCs w:val="26"/>
        </w:rPr>
        <w:t xml:space="preserve"> at 1-4. </w:t>
      </w:r>
      <w:r w:rsidR="004266DB">
        <w:rPr>
          <w:szCs w:val="26"/>
        </w:rPr>
        <w:t xml:space="preserve"> </w:t>
      </w:r>
      <w:r w:rsidR="00E737AB">
        <w:rPr>
          <w:szCs w:val="26"/>
        </w:rPr>
        <w:t xml:space="preserve">Mr. Starzmann also addressed the statements in PECO’s Answer </w:t>
      </w:r>
      <w:r w:rsidR="00E737AB">
        <w:rPr>
          <w:szCs w:val="26"/>
        </w:rPr>
        <w:lastRenderedPageBreak/>
        <w:t xml:space="preserve">that he refused to allow PECO to install a voltage recording device at the property.  </w:t>
      </w:r>
      <w:r w:rsidR="0041779E" w:rsidRPr="0041779E">
        <w:rPr>
          <w:i/>
          <w:szCs w:val="26"/>
        </w:rPr>
        <w:t>Id.</w:t>
      </w:r>
      <w:r w:rsidR="004266DB">
        <w:rPr>
          <w:i/>
          <w:szCs w:val="26"/>
        </w:rPr>
        <w:t> </w:t>
      </w:r>
      <w:r w:rsidR="00E737AB">
        <w:rPr>
          <w:szCs w:val="26"/>
        </w:rPr>
        <w:t>at</w:t>
      </w:r>
      <w:r w:rsidR="004266DB">
        <w:rPr>
          <w:szCs w:val="26"/>
        </w:rPr>
        <w:t> </w:t>
      </w:r>
      <w:r w:rsidR="00E737AB">
        <w:rPr>
          <w:szCs w:val="26"/>
        </w:rPr>
        <w:t xml:space="preserve">4.  </w:t>
      </w:r>
      <w:r w:rsidR="00ED2CE7">
        <w:rPr>
          <w:szCs w:val="26"/>
        </w:rPr>
        <w:t>PECO’</w:t>
      </w:r>
      <w:r w:rsidR="004266DB">
        <w:rPr>
          <w:szCs w:val="26"/>
        </w:rPr>
        <w:t>s Answer stated:</w:t>
      </w:r>
    </w:p>
    <w:p w:rsidR="00ED2CE7" w:rsidRDefault="00ED2CE7" w:rsidP="00E821FF">
      <w:pPr>
        <w:rPr>
          <w:szCs w:val="26"/>
        </w:rPr>
      </w:pPr>
    </w:p>
    <w:p w:rsidR="00ED2CE7" w:rsidRPr="00810502" w:rsidRDefault="00ED2CE7" w:rsidP="00ED2CE7">
      <w:pPr>
        <w:autoSpaceDE w:val="0"/>
        <w:autoSpaceDN w:val="0"/>
        <w:adjustRightInd w:val="0"/>
        <w:spacing w:line="240" w:lineRule="auto"/>
        <w:ind w:left="1440" w:right="1440" w:firstLine="720"/>
        <w:rPr>
          <w:szCs w:val="26"/>
        </w:rPr>
      </w:pPr>
      <w:r w:rsidRPr="00810502">
        <w:rPr>
          <w:szCs w:val="26"/>
        </w:rPr>
        <w:t xml:space="preserve">PECO notes that Complainant claims to have used his own voltage recording device to arrive at his conclusion that his voltage was low. However, Complainant refused to allow PECO to place its own voltage recording device at the property. </w:t>
      </w:r>
      <w:r w:rsidR="00B65273">
        <w:rPr>
          <w:szCs w:val="26"/>
        </w:rPr>
        <w:t xml:space="preserve"> </w:t>
      </w:r>
      <w:r w:rsidRPr="00810502">
        <w:rPr>
          <w:szCs w:val="26"/>
        </w:rPr>
        <w:t xml:space="preserve">Without allowing PECO to perform its own investigation, using its equipment that is regularly calibrated, PECO cannot be certain that Complainant sustained the low voltage he claims. </w:t>
      </w:r>
      <w:r w:rsidR="00B65273">
        <w:rPr>
          <w:szCs w:val="26"/>
        </w:rPr>
        <w:t xml:space="preserve"> </w:t>
      </w:r>
      <w:r w:rsidRPr="00810502">
        <w:rPr>
          <w:szCs w:val="26"/>
        </w:rPr>
        <w:t>PECO will be happy to thoroughly investigate Complainant's voltage concerns if he allows PECO to perform its investigation according to established procedures, which includes setting a PECO</w:t>
      </w:r>
      <w:r w:rsidR="0041779E">
        <w:rPr>
          <w:szCs w:val="26"/>
        </w:rPr>
        <w:t xml:space="preserve"> voltage recorder at the meter.</w:t>
      </w:r>
    </w:p>
    <w:p w:rsidR="00E737AB" w:rsidRDefault="00E737AB" w:rsidP="00E821FF">
      <w:pPr>
        <w:rPr>
          <w:sz w:val="24"/>
        </w:rPr>
      </w:pPr>
    </w:p>
    <w:p w:rsidR="00810502" w:rsidRPr="00EC2193" w:rsidRDefault="00810502" w:rsidP="00810502">
      <w:pPr>
        <w:ind w:firstLine="0"/>
        <w:rPr>
          <w:szCs w:val="26"/>
        </w:rPr>
      </w:pPr>
      <w:r w:rsidRPr="00EC2193">
        <w:rPr>
          <w:szCs w:val="26"/>
        </w:rPr>
        <w:t xml:space="preserve">PECO Answer at 2-3. </w:t>
      </w:r>
    </w:p>
    <w:p w:rsidR="0064718D" w:rsidRPr="000E6ECE" w:rsidRDefault="0064718D" w:rsidP="00810502">
      <w:pPr>
        <w:ind w:firstLine="0"/>
        <w:rPr>
          <w:szCs w:val="26"/>
        </w:rPr>
      </w:pPr>
    </w:p>
    <w:p w:rsidR="0064718D" w:rsidRPr="00EC2193" w:rsidRDefault="0064718D" w:rsidP="000E6ECE">
      <w:r w:rsidRPr="000E6ECE">
        <w:rPr>
          <w:szCs w:val="26"/>
        </w:rPr>
        <w:t xml:space="preserve">In contrast to PECO’s averments, </w:t>
      </w:r>
      <w:r w:rsidRPr="000E6ECE">
        <w:rPr>
          <w:i/>
          <w:szCs w:val="26"/>
        </w:rPr>
        <w:t>supra</w:t>
      </w:r>
      <w:r w:rsidRPr="000E6ECE">
        <w:rPr>
          <w:szCs w:val="26"/>
        </w:rPr>
        <w:t>, Mr. Starzmann relate</w:t>
      </w:r>
      <w:r w:rsidR="007C4033">
        <w:rPr>
          <w:szCs w:val="26"/>
        </w:rPr>
        <w:t>d</w:t>
      </w:r>
      <w:r w:rsidR="00E53FF3">
        <w:rPr>
          <w:szCs w:val="26"/>
        </w:rPr>
        <w:t xml:space="preserve"> a phone </w:t>
      </w:r>
      <w:r w:rsidRPr="000E6ECE">
        <w:rPr>
          <w:szCs w:val="26"/>
        </w:rPr>
        <w:t>message from PECO employee,</w:t>
      </w:r>
      <w:r w:rsidR="006377D3" w:rsidRPr="000E6ECE">
        <w:rPr>
          <w:szCs w:val="26"/>
        </w:rPr>
        <w:t xml:space="preserve"> </w:t>
      </w:r>
      <w:r w:rsidRPr="000E6ECE">
        <w:rPr>
          <w:szCs w:val="26"/>
        </w:rPr>
        <w:t>Russ Brocato</w:t>
      </w:r>
      <w:r w:rsidR="006377D3" w:rsidRPr="000E6ECE">
        <w:rPr>
          <w:szCs w:val="26"/>
        </w:rPr>
        <w:t>.  According to the Complainant,</w:t>
      </w:r>
      <w:r w:rsidR="00E53FF3">
        <w:rPr>
          <w:szCs w:val="26"/>
        </w:rPr>
        <w:t xml:space="preserve"> Mr. </w:t>
      </w:r>
      <w:r w:rsidRPr="000E6ECE">
        <w:rPr>
          <w:szCs w:val="26"/>
        </w:rPr>
        <w:t>Br</w:t>
      </w:r>
      <w:r w:rsidR="00B76632" w:rsidRPr="000E6ECE">
        <w:rPr>
          <w:szCs w:val="26"/>
        </w:rPr>
        <w:t>o</w:t>
      </w:r>
      <w:r w:rsidRPr="000E6ECE">
        <w:rPr>
          <w:szCs w:val="26"/>
        </w:rPr>
        <w:t xml:space="preserve">cato </w:t>
      </w:r>
      <w:r w:rsidR="006377D3" w:rsidRPr="000E6ECE">
        <w:rPr>
          <w:szCs w:val="26"/>
        </w:rPr>
        <w:t xml:space="preserve">stated that he </w:t>
      </w:r>
      <w:r w:rsidRPr="000E6ECE">
        <w:rPr>
          <w:szCs w:val="26"/>
        </w:rPr>
        <w:t>had “closed out” the job to</w:t>
      </w:r>
      <w:r w:rsidR="00E53FF3">
        <w:rPr>
          <w:szCs w:val="26"/>
        </w:rPr>
        <w:t xml:space="preserve"> install a voltage meter at Mr. </w:t>
      </w:r>
      <w:r w:rsidRPr="000E6ECE">
        <w:rPr>
          <w:szCs w:val="26"/>
        </w:rPr>
        <w:t xml:space="preserve">Starzmann’s residence once </w:t>
      </w:r>
      <w:r w:rsidR="006377D3" w:rsidRPr="000E6ECE">
        <w:rPr>
          <w:szCs w:val="26"/>
        </w:rPr>
        <w:t>he</w:t>
      </w:r>
      <w:r w:rsidRPr="000E6ECE">
        <w:rPr>
          <w:szCs w:val="26"/>
        </w:rPr>
        <w:t xml:space="preserve"> found out the explanation for the low voltage situation.  </w:t>
      </w:r>
      <w:r w:rsidR="007C4033" w:rsidRPr="000E6ECE">
        <w:rPr>
          <w:szCs w:val="26"/>
        </w:rPr>
        <w:t>Starzmann</w:t>
      </w:r>
      <w:r w:rsidR="007C4033" w:rsidRPr="00EC2193">
        <w:t xml:space="preserve"> Answer at 5.  </w:t>
      </w:r>
      <w:r w:rsidRPr="000E6ECE">
        <w:rPr>
          <w:szCs w:val="26"/>
        </w:rPr>
        <w:t>Mr. Starzm</w:t>
      </w:r>
      <w:r w:rsidR="00B76632" w:rsidRPr="000E6ECE">
        <w:rPr>
          <w:szCs w:val="26"/>
        </w:rPr>
        <w:t>an</w:t>
      </w:r>
      <w:r w:rsidRPr="000E6ECE">
        <w:rPr>
          <w:szCs w:val="26"/>
        </w:rPr>
        <w:t xml:space="preserve">n </w:t>
      </w:r>
      <w:r w:rsidR="000E6ECE" w:rsidRPr="000E6ECE">
        <w:rPr>
          <w:szCs w:val="26"/>
        </w:rPr>
        <w:t>submits th</w:t>
      </w:r>
      <w:r w:rsidR="00C978C2">
        <w:rPr>
          <w:szCs w:val="26"/>
        </w:rPr>
        <w:t>at</w:t>
      </w:r>
      <w:r w:rsidR="000E6ECE" w:rsidRPr="000E6ECE">
        <w:rPr>
          <w:szCs w:val="26"/>
        </w:rPr>
        <w:t xml:space="preserve"> he did not refuse to allow PECO to place its own voltage recording device at</w:t>
      </w:r>
      <w:r w:rsidR="000E6ECE">
        <w:rPr>
          <w:szCs w:val="26"/>
        </w:rPr>
        <w:t xml:space="preserve"> </w:t>
      </w:r>
      <w:r w:rsidR="000E6ECE" w:rsidRPr="000E6ECE">
        <w:rPr>
          <w:szCs w:val="26"/>
        </w:rPr>
        <w:t xml:space="preserve">the property. </w:t>
      </w:r>
      <w:r w:rsidR="00B76632" w:rsidRPr="000E6ECE">
        <w:rPr>
          <w:szCs w:val="26"/>
        </w:rPr>
        <w:t xml:space="preserve"> </w:t>
      </w:r>
      <w:r w:rsidR="007C4033" w:rsidRPr="007C4033">
        <w:rPr>
          <w:i/>
          <w:szCs w:val="26"/>
        </w:rPr>
        <w:t>Id</w:t>
      </w:r>
      <w:r w:rsidR="007C4033">
        <w:rPr>
          <w:szCs w:val="26"/>
        </w:rPr>
        <w:t xml:space="preserve">. </w:t>
      </w:r>
    </w:p>
    <w:p w:rsidR="00C650FC" w:rsidRDefault="00C650FC" w:rsidP="00063EF6"/>
    <w:p w:rsidR="00063EF6" w:rsidRPr="00EC2193" w:rsidRDefault="001A2A86" w:rsidP="00063EF6">
      <w:pPr>
        <w:rPr>
          <w:rFonts w:eastAsia="Calibri"/>
          <w:szCs w:val="26"/>
        </w:rPr>
      </w:pPr>
      <w:r w:rsidRPr="00EC2193">
        <w:t xml:space="preserve">A </w:t>
      </w:r>
      <w:r w:rsidR="00063EF6" w:rsidRPr="00EC2193">
        <w:t xml:space="preserve">telephonic </w:t>
      </w:r>
      <w:r w:rsidRPr="00EC2193">
        <w:t xml:space="preserve">hearing was held on </w:t>
      </w:r>
      <w:r w:rsidR="00063EF6" w:rsidRPr="00EC2193">
        <w:t>December 6, 2011,</w:t>
      </w:r>
      <w:r w:rsidR="004D21F8" w:rsidRPr="00EC2193">
        <w:t xml:space="preserve"> </w:t>
      </w:r>
      <w:r w:rsidR="002C5974" w:rsidRPr="00EC2193">
        <w:t xml:space="preserve">in </w:t>
      </w:r>
      <w:r w:rsidR="00063EF6" w:rsidRPr="00EC2193">
        <w:t xml:space="preserve">Harrisburg.  </w:t>
      </w:r>
      <w:r w:rsidRPr="00EC2193">
        <w:t xml:space="preserve">The Complainant appeared </w:t>
      </w:r>
      <w:r w:rsidRPr="00EC2193">
        <w:rPr>
          <w:i/>
        </w:rPr>
        <w:t>pro se</w:t>
      </w:r>
      <w:r w:rsidR="00DE0081" w:rsidRPr="00EC2193">
        <w:rPr>
          <w:i/>
        </w:rPr>
        <w:t xml:space="preserve">, </w:t>
      </w:r>
      <w:r w:rsidRPr="00EC2193">
        <w:t xml:space="preserve">testified </w:t>
      </w:r>
      <w:r w:rsidR="00DE0081" w:rsidRPr="00EC2193">
        <w:t>on h</w:t>
      </w:r>
      <w:r w:rsidR="002334E8" w:rsidRPr="00EC2193">
        <w:t>is</w:t>
      </w:r>
      <w:r w:rsidR="00DE0081" w:rsidRPr="00EC2193">
        <w:t xml:space="preserve"> own behalf and offered </w:t>
      </w:r>
      <w:r w:rsidR="00063EF6" w:rsidRPr="00EC2193">
        <w:t>no</w:t>
      </w:r>
      <w:r w:rsidR="00DE0081" w:rsidRPr="00EC2193">
        <w:t xml:space="preserve"> exhibits.  </w:t>
      </w:r>
      <w:r w:rsidR="002334E8" w:rsidRPr="00EC2193">
        <w:t xml:space="preserve">PECO </w:t>
      </w:r>
      <w:r w:rsidR="00DE0081" w:rsidRPr="00EC2193">
        <w:t xml:space="preserve">was represented </w:t>
      </w:r>
      <w:r w:rsidRPr="00EC2193">
        <w:t xml:space="preserve">by </w:t>
      </w:r>
      <w:r w:rsidR="00D24E58" w:rsidRPr="00EC2193">
        <w:t>c</w:t>
      </w:r>
      <w:r w:rsidRPr="00EC2193">
        <w:t xml:space="preserve">ounsel, presented the testimony of </w:t>
      </w:r>
      <w:r w:rsidR="002334E8" w:rsidRPr="00EC2193">
        <w:t>one</w:t>
      </w:r>
      <w:r w:rsidRPr="00EC2193">
        <w:t xml:space="preserve"> witness</w:t>
      </w:r>
      <w:r w:rsidR="00385253" w:rsidRPr="00EC2193">
        <w:t>es</w:t>
      </w:r>
      <w:r w:rsidRPr="00EC2193">
        <w:t xml:space="preserve"> and introduced </w:t>
      </w:r>
      <w:r w:rsidR="00063EF6" w:rsidRPr="00EC2193">
        <w:t>three</w:t>
      </w:r>
      <w:r w:rsidR="0031652F" w:rsidRPr="00EC2193">
        <w:t xml:space="preserve"> </w:t>
      </w:r>
      <w:r w:rsidRPr="00EC2193">
        <w:t xml:space="preserve">exhibits.  The hearing resulted in a transcript of </w:t>
      </w:r>
      <w:r w:rsidR="00063EF6" w:rsidRPr="00EC2193">
        <w:t>sixty</w:t>
      </w:r>
      <w:r w:rsidR="0031652F" w:rsidRPr="00EC2193">
        <w:t xml:space="preserve"> </w:t>
      </w:r>
      <w:r w:rsidRPr="00EC2193">
        <w:t>pages.</w:t>
      </w:r>
      <w:r w:rsidR="002334E8" w:rsidRPr="00EC2193">
        <w:t xml:space="preserve">  </w:t>
      </w:r>
      <w:r w:rsidR="00063EF6" w:rsidRPr="00EC2193">
        <w:rPr>
          <w:szCs w:val="26"/>
        </w:rPr>
        <w:t xml:space="preserve">At the conclusion of the hearing, PECO requested the opportunity to file a Main Brief.  Tr. at 55.  On December 7, 2011, the ALJ issued a Briefing Order which set </w:t>
      </w:r>
      <w:r w:rsidR="0041779E">
        <w:rPr>
          <w:szCs w:val="26"/>
        </w:rPr>
        <w:t xml:space="preserve">forth </w:t>
      </w:r>
      <w:r w:rsidR="00063EF6" w:rsidRPr="00EC2193">
        <w:rPr>
          <w:szCs w:val="26"/>
        </w:rPr>
        <w:t xml:space="preserve">the guidelines and parameters for briefs.  </w:t>
      </w:r>
      <w:r w:rsidR="00063EF6" w:rsidRPr="00EC2193">
        <w:rPr>
          <w:rFonts w:eastAsia="Calibri"/>
          <w:szCs w:val="26"/>
        </w:rPr>
        <w:t xml:space="preserve">Mr. Starzmann filed a Main Brief on January 4, 2012, and PECO filed a Main Brief on January 10, 2012.  </w:t>
      </w:r>
    </w:p>
    <w:p w:rsidR="00AE592B" w:rsidRDefault="00F5374E" w:rsidP="00F5374E">
      <w:pPr>
        <w:rPr>
          <w:rFonts w:eastAsia="Calibri"/>
        </w:rPr>
      </w:pPr>
      <w:r>
        <w:rPr>
          <w:rFonts w:eastAsia="Calibri"/>
        </w:rPr>
        <w:lastRenderedPageBreak/>
        <w:t>Accompanying PECO’s Main Brief was a Motion to Strike Extra-Record Evidence</w:t>
      </w:r>
      <w:r w:rsidR="00C650FC">
        <w:rPr>
          <w:rFonts w:eastAsia="Calibri"/>
        </w:rPr>
        <w:t xml:space="preserve"> </w:t>
      </w:r>
      <w:r>
        <w:rPr>
          <w:rFonts w:eastAsia="Calibri"/>
        </w:rPr>
        <w:t>in Mr. Starzmann’s Main Brief</w:t>
      </w:r>
      <w:r w:rsidR="000E6ECE">
        <w:rPr>
          <w:rFonts w:eastAsia="Calibri"/>
        </w:rPr>
        <w:t xml:space="preserve"> (Motion to Strike)</w:t>
      </w:r>
      <w:r>
        <w:rPr>
          <w:rFonts w:eastAsia="Calibri"/>
        </w:rPr>
        <w:t>.  In its Motion, PECO argued</w:t>
      </w:r>
      <w:r w:rsidR="00AE592B">
        <w:rPr>
          <w:rFonts w:eastAsia="Calibri"/>
        </w:rPr>
        <w:t xml:space="preserve">, </w:t>
      </w:r>
      <w:r w:rsidR="00AE592B" w:rsidRPr="00AE592B">
        <w:rPr>
          <w:rFonts w:eastAsia="Calibri"/>
          <w:i/>
        </w:rPr>
        <w:t>inter alia</w:t>
      </w:r>
      <w:r w:rsidR="00AE592B">
        <w:rPr>
          <w:rFonts w:eastAsia="Calibri"/>
        </w:rPr>
        <w:t xml:space="preserve">, </w:t>
      </w:r>
      <w:r>
        <w:rPr>
          <w:rFonts w:eastAsia="Calibri"/>
        </w:rPr>
        <w:t xml:space="preserve">that portions of Mr. Starzmann’s brief, as well as the attached exhibits, are extra-record evidence and should be stricken.  </w:t>
      </w:r>
      <w:r w:rsidR="0029118A">
        <w:rPr>
          <w:rFonts w:eastAsia="Calibri"/>
        </w:rPr>
        <w:t xml:space="preserve">Motion to Strike at 4-14. </w:t>
      </w:r>
    </w:p>
    <w:p w:rsidR="006F5D0B" w:rsidRDefault="006F5D0B" w:rsidP="00F5374E">
      <w:pPr>
        <w:rPr>
          <w:rFonts w:eastAsia="Calibri"/>
        </w:rPr>
      </w:pPr>
    </w:p>
    <w:p w:rsidR="00AE592B" w:rsidRDefault="00F5374E" w:rsidP="00F5374E">
      <w:pPr>
        <w:rPr>
          <w:rFonts w:eastAsia="Calibri"/>
        </w:rPr>
      </w:pPr>
      <w:r>
        <w:rPr>
          <w:rFonts w:eastAsia="Calibri"/>
        </w:rPr>
        <w:t>On January 31, 2012, Mr. Starzmann filed a Response to PECO’s Motion to Strike</w:t>
      </w:r>
      <w:r w:rsidR="00AE592B">
        <w:rPr>
          <w:rFonts w:eastAsia="Calibri"/>
        </w:rPr>
        <w:t xml:space="preserve"> (Response)</w:t>
      </w:r>
      <w:r>
        <w:rPr>
          <w:rFonts w:eastAsia="Calibri"/>
        </w:rPr>
        <w:t xml:space="preserve">.  In his </w:t>
      </w:r>
      <w:r w:rsidR="00274517">
        <w:rPr>
          <w:rFonts w:eastAsia="Calibri"/>
        </w:rPr>
        <w:t>R</w:t>
      </w:r>
      <w:r>
        <w:rPr>
          <w:rFonts w:eastAsia="Calibri"/>
        </w:rPr>
        <w:t>esponse, Mr. Starzmann stated that he believed that, because the hearing held on December 6, 2011</w:t>
      </w:r>
      <w:r w:rsidR="00274517">
        <w:rPr>
          <w:rFonts w:eastAsia="Calibri"/>
        </w:rPr>
        <w:t>,</w:t>
      </w:r>
      <w:r>
        <w:rPr>
          <w:rFonts w:eastAsia="Calibri"/>
        </w:rPr>
        <w:t xml:space="preserve"> was entitled an “initial” telephonic hearing, the hearing was preliminary in nature and that there would be a further hearing where evidence would be introduced.  </w:t>
      </w:r>
      <w:r w:rsidR="00D34005">
        <w:rPr>
          <w:rFonts w:eastAsia="Calibri"/>
        </w:rPr>
        <w:t xml:space="preserve">Response at 13.  </w:t>
      </w:r>
      <w:r>
        <w:rPr>
          <w:rFonts w:eastAsia="Calibri"/>
        </w:rPr>
        <w:t xml:space="preserve">In addition to his Response to PECO’s Motion, Mr. Starzmann also filed a Petition to Reopen the Record </w:t>
      </w:r>
      <w:r w:rsidR="00AE592B">
        <w:rPr>
          <w:rFonts w:eastAsia="Calibri"/>
        </w:rPr>
        <w:t xml:space="preserve">(Petition to Reopen) </w:t>
      </w:r>
      <w:r>
        <w:rPr>
          <w:rFonts w:eastAsia="Calibri"/>
        </w:rPr>
        <w:t>pursuant to Section 5.571 of the Commission’s regulations</w:t>
      </w:r>
      <w:r w:rsidR="00AD118D">
        <w:rPr>
          <w:rFonts w:eastAsia="Calibri"/>
        </w:rPr>
        <w:t>, 52 Pa. Code § 5.571</w:t>
      </w:r>
      <w:r>
        <w:rPr>
          <w:rFonts w:eastAsia="Calibri"/>
        </w:rPr>
        <w:t>.  In his Petition</w:t>
      </w:r>
      <w:r w:rsidR="00274517">
        <w:rPr>
          <w:rFonts w:eastAsia="Calibri"/>
        </w:rPr>
        <w:t xml:space="preserve"> to Reopen</w:t>
      </w:r>
      <w:r>
        <w:rPr>
          <w:rFonts w:eastAsia="Calibri"/>
        </w:rPr>
        <w:t xml:space="preserve">, Mr. Starzmann argued that the record should be reopened in this proceeding for the limited purpose of admitting into evidence his Brief and Exhibits.  </w:t>
      </w:r>
      <w:r w:rsidR="00D34005">
        <w:rPr>
          <w:rFonts w:eastAsia="Calibri"/>
        </w:rPr>
        <w:t xml:space="preserve">Petition to Reopen at 6. </w:t>
      </w:r>
    </w:p>
    <w:p w:rsidR="00AE592B" w:rsidRDefault="00AE592B" w:rsidP="00F5374E">
      <w:pPr>
        <w:rPr>
          <w:rFonts w:eastAsia="Calibri"/>
        </w:rPr>
      </w:pPr>
    </w:p>
    <w:p w:rsidR="00F5374E" w:rsidRPr="00F5374E" w:rsidRDefault="00F5374E" w:rsidP="00F5374E">
      <w:pPr>
        <w:rPr>
          <w:rFonts w:eastAsia="Calibri"/>
          <w:szCs w:val="26"/>
        </w:rPr>
      </w:pPr>
      <w:r w:rsidRPr="00F5374E">
        <w:rPr>
          <w:rFonts w:eastAsia="Calibri"/>
          <w:szCs w:val="26"/>
        </w:rPr>
        <w:t xml:space="preserve">On February 29, 2012, PECO filed a letter </w:t>
      </w:r>
      <w:r w:rsidR="00AE592B">
        <w:rPr>
          <w:rFonts w:eastAsia="Calibri"/>
          <w:szCs w:val="26"/>
        </w:rPr>
        <w:t xml:space="preserve">(PECO Letter) </w:t>
      </w:r>
      <w:r w:rsidRPr="00F5374E">
        <w:rPr>
          <w:rFonts w:eastAsia="Calibri"/>
          <w:szCs w:val="26"/>
        </w:rPr>
        <w:t xml:space="preserve">stating that </w:t>
      </w:r>
      <w:r w:rsidR="0041779E">
        <w:rPr>
          <w:rFonts w:eastAsia="Calibri"/>
          <w:szCs w:val="26"/>
        </w:rPr>
        <w:t xml:space="preserve">counsel for PECO had not been </w:t>
      </w:r>
      <w:r w:rsidRPr="00F5374E">
        <w:rPr>
          <w:rFonts w:eastAsia="Calibri"/>
          <w:szCs w:val="26"/>
        </w:rPr>
        <w:t xml:space="preserve">aware of Mr. Starzmann’s Petition </w:t>
      </w:r>
      <w:r w:rsidR="00274517">
        <w:rPr>
          <w:rFonts w:eastAsia="Calibri"/>
          <w:szCs w:val="26"/>
        </w:rPr>
        <w:t>to Reopen</w:t>
      </w:r>
      <w:r w:rsidR="0041779E">
        <w:rPr>
          <w:rFonts w:eastAsia="Calibri"/>
          <w:szCs w:val="26"/>
        </w:rPr>
        <w:t>,</w:t>
      </w:r>
      <w:r w:rsidR="00274517">
        <w:rPr>
          <w:rFonts w:eastAsia="Calibri"/>
          <w:szCs w:val="26"/>
        </w:rPr>
        <w:t xml:space="preserve"> </w:t>
      </w:r>
      <w:r w:rsidRPr="00F5374E">
        <w:rPr>
          <w:rFonts w:eastAsia="Calibri"/>
          <w:szCs w:val="26"/>
        </w:rPr>
        <w:t>and request</w:t>
      </w:r>
      <w:r w:rsidR="0041779E">
        <w:rPr>
          <w:rFonts w:eastAsia="Calibri"/>
          <w:szCs w:val="26"/>
        </w:rPr>
        <w:t>ing</w:t>
      </w:r>
      <w:r w:rsidRPr="00F5374E">
        <w:rPr>
          <w:rFonts w:eastAsia="Calibri"/>
          <w:szCs w:val="26"/>
        </w:rPr>
        <w:t xml:space="preserve"> that her letter be considered as a brief response </w:t>
      </w:r>
      <w:r w:rsidRPr="00F5374E">
        <w:rPr>
          <w:rFonts w:eastAsia="Calibri"/>
          <w:i/>
          <w:szCs w:val="26"/>
        </w:rPr>
        <w:t>nunc pro tunc</w:t>
      </w:r>
      <w:r w:rsidRPr="00F5374E">
        <w:rPr>
          <w:rFonts w:eastAsia="Calibri"/>
          <w:szCs w:val="26"/>
        </w:rPr>
        <w:t xml:space="preserve">.  </w:t>
      </w:r>
      <w:r w:rsidR="0041779E">
        <w:rPr>
          <w:rFonts w:eastAsia="Calibri"/>
          <w:szCs w:val="26"/>
        </w:rPr>
        <w:t xml:space="preserve">The </w:t>
      </w:r>
      <w:r w:rsidRPr="00F5374E">
        <w:rPr>
          <w:rFonts w:eastAsia="Calibri"/>
          <w:szCs w:val="26"/>
        </w:rPr>
        <w:t xml:space="preserve">PECO </w:t>
      </w:r>
      <w:r w:rsidR="0041779E">
        <w:rPr>
          <w:rFonts w:eastAsia="Calibri"/>
          <w:szCs w:val="26"/>
        </w:rPr>
        <w:t xml:space="preserve">Letter </w:t>
      </w:r>
      <w:r w:rsidRPr="00F5374E">
        <w:rPr>
          <w:rFonts w:eastAsia="Calibri"/>
          <w:szCs w:val="26"/>
        </w:rPr>
        <w:t xml:space="preserve">concluded her </w:t>
      </w:r>
      <w:r w:rsidR="00D34005">
        <w:rPr>
          <w:rFonts w:eastAsia="Calibri"/>
          <w:szCs w:val="26"/>
        </w:rPr>
        <w:t>L</w:t>
      </w:r>
      <w:r w:rsidRPr="00F5374E">
        <w:rPr>
          <w:rFonts w:eastAsia="Calibri"/>
          <w:szCs w:val="26"/>
        </w:rPr>
        <w:t>etter by stating that if “it is in the public interest to receive the Complainant’s new evidence and allegations, minimally, PECO Energy must be provided an opportunity to respond.”</w:t>
      </w:r>
      <w:r w:rsidR="00AE592B">
        <w:rPr>
          <w:rFonts w:eastAsia="Calibri"/>
          <w:szCs w:val="26"/>
        </w:rPr>
        <w:t xml:space="preserve">  PECO Letter at 2. </w:t>
      </w:r>
    </w:p>
    <w:p w:rsidR="00626092" w:rsidRDefault="00626092" w:rsidP="003D6275">
      <w:pPr>
        <w:pStyle w:val="BodyText"/>
        <w:rPr>
          <w:rFonts w:eastAsia="Calibri"/>
          <w:szCs w:val="26"/>
        </w:rPr>
      </w:pPr>
    </w:p>
    <w:p w:rsidR="00F5374E" w:rsidRPr="00F5374E" w:rsidRDefault="00626092" w:rsidP="003D6275">
      <w:pPr>
        <w:pStyle w:val="BodyText"/>
        <w:rPr>
          <w:rFonts w:eastAsia="Calibri"/>
          <w:szCs w:val="26"/>
        </w:rPr>
      </w:pPr>
      <w:r>
        <w:rPr>
          <w:rFonts w:eastAsia="Calibri"/>
          <w:szCs w:val="26"/>
        </w:rPr>
        <w:t>By Order dated March 6, 2012</w:t>
      </w:r>
      <w:r w:rsidR="00352000">
        <w:rPr>
          <w:rFonts w:eastAsia="Calibri"/>
          <w:szCs w:val="26"/>
        </w:rPr>
        <w:t xml:space="preserve"> (</w:t>
      </w:r>
      <w:r w:rsidR="00352000" w:rsidRPr="00352000">
        <w:rPr>
          <w:rFonts w:eastAsia="Calibri"/>
          <w:i/>
          <w:szCs w:val="26"/>
        </w:rPr>
        <w:t>March 2012 Order</w:t>
      </w:r>
      <w:r w:rsidR="00352000">
        <w:rPr>
          <w:rFonts w:eastAsia="Calibri"/>
          <w:szCs w:val="26"/>
        </w:rPr>
        <w:t>)</w:t>
      </w:r>
      <w:r>
        <w:rPr>
          <w:rFonts w:eastAsia="Calibri"/>
          <w:szCs w:val="26"/>
        </w:rPr>
        <w:t xml:space="preserve">, the ALJ granted PECO’s Motion to Strike Extra Record Evidence to the extent that twelve of the </w:t>
      </w:r>
      <w:r w:rsidR="00D34005">
        <w:rPr>
          <w:rFonts w:eastAsia="Calibri"/>
          <w:szCs w:val="26"/>
        </w:rPr>
        <w:t xml:space="preserve">Complainant’s twenty-four </w:t>
      </w:r>
      <w:r>
        <w:rPr>
          <w:rFonts w:eastAsia="Calibri"/>
          <w:szCs w:val="26"/>
        </w:rPr>
        <w:t>exhibits attached to Mr.</w:t>
      </w:r>
      <w:r w:rsidR="00352000">
        <w:rPr>
          <w:rFonts w:eastAsia="Calibri"/>
          <w:szCs w:val="26"/>
        </w:rPr>
        <w:t xml:space="preserve"> Starzmann’s Main Brief were stricken.  The ALJ also granted Mr. Starzmann’s Petition to Reopen the Record to the extent that </w:t>
      </w:r>
      <w:r w:rsidR="00D34005">
        <w:rPr>
          <w:rFonts w:eastAsia="Calibri"/>
          <w:szCs w:val="26"/>
        </w:rPr>
        <w:t xml:space="preserve">the remaining </w:t>
      </w:r>
      <w:r w:rsidR="00352000">
        <w:rPr>
          <w:rFonts w:eastAsia="Calibri"/>
          <w:szCs w:val="26"/>
        </w:rPr>
        <w:t xml:space="preserve">twelve exhibits were admitted into the record.  The ALJ gave PECO twenty days to submit a “substantive response” to the twelve exhibits admitted </w:t>
      </w:r>
      <w:r w:rsidR="00352000">
        <w:rPr>
          <w:rFonts w:eastAsia="Calibri"/>
          <w:szCs w:val="26"/>
        </w:rPr>
        <w:lastRenderedPageBreak/>
        <w:t>into the record</w:t>
      </w:r>
      <w:r w:rsidR="00352000" w:rsidRPr="00352000">
        <w:rPr>
          <w:rFonts w:eastAsia="Calibri"/>
          <w:i/>
          <w:szCs w:val="26"/>
        </w:rPr>
        <w:t>.</w:t>
      </w:r>
      <w:r w:rsidR="00AE592B">
        <w:rPr>
          <w:rFonts w:eastAsia="Calibri"/>
          <w:i/>
          <w:szCs w:val="26"/>
        </w:rPr>
        <w:t xml:space="preserve"> </w:t>
      </w:r>
      <w:r w:rsidR="00352000" w:rsidRPr="00352000">
        <w:rPr>
          <w:rFonts w:eastAsia="Calibri"/>
          <w:i/>
          <w:szCs w:val="26"/>
        </w:rPr>
        <w:t xml:space="preserve"> March 2012 Order</w:t>
      </w:r>
      <w:r w:rsidR="00352000">
        <w:rPr>
          <w:rFonts w:eastAsia="Calibri"/>
          <w:szCs w:val="26"/>
        </w:rPr>
        <w:t xml:space="preserve"> at 19-20. </w:t>
      </w:r>
      <w:r w:rsidR="004C433E">
        <w:rPr>
          <w:rFonts w:eastAsia="Calibri"/>
          <w:szCs w:val="26"/>
        </w:rPr>
        <w:t xml:space="preserve"> Accordingly, PECO filed a Reply to Post Hearing Allegations and Evidence of Respondent on March 28, 2012.  </w:t>
      </w:r>
    </w:p>
    <w:p w:rsidR="00F5374E" w:rsidRDefault="00F5374E" w:rsidP="003D6275">
      <w:pPr>
        <w:pStyle w:val="BodyText"/>
        <w:rPr>
          <w:rFonts w:eastAsia="Calibri"/>
        </w:rPr>
      </w:pPr>
    </w:p>
    <w:p w:rsidR="00743CD6" w:rsidRPr="002F25A1" w:rsidRDefault="003D6275" w:rsidP="003D6275">
      <w:pPr>
        <w:pStyle w:val="BodyText"/>
        <w:rPr>
          <w:szCs w:val="26"/>
        </w:rPr>
      </w:pPr>
      <w:r w:rsidRPr="002F25A1">
        <w:rPr>
          <w:szCs w:val="26"/>
        </w:rPr>
        <w:t>By Initial Decision issued May 2</w:t>
      </w:r>
      <w:r w:rsidR="007D5B9A" w:rsidRPr="002F25A1">
        <w:rPr>
          <w:szCs w:val="26"/>
        </w:rPr>
        <w:t>1</w:t>
      </w:r>
      <w:r w:rsidRPr="002F25A1">
        <w:rPr>
          <w:szCs w:val="26"/>
        </w:rPr>
        <w:t xml:space="preserve">, 2012, </w:t>
      </w:r>
      <w:r w:rsidR="007D5B9A" w:rsidRPr="002F25A1">
        <w:rPr>
          <w:szCs w:val="26"/>
        </w:rPr>
        <w:t xml:space="preserve">the </w:t>
      </w:r>
      <w:r w:rsidRPr="002F25A1">
        <w:rPr>
          <w:szCs w:val="26"/>
        </w:rPr>
        <w:t xml:space="preserve">ALJ found, </w:t>
      </w:r>
      <w:r w:rsidRPr="002F25A1">
        <w:rPr>
          <w:i/>
          <w:szCs w:val="26"/>
        </w:rPr>
        <w:t>inter alia,</w:t>
      </w:r>
      <w:r w:rsidRPr="002F25A1">
        <w:rPr>
          <w:szCs w:val="26"/>
        </w:rPr>
        <w:t xml:space="preserve"> that </w:t>
      </w:r>
      <w:r w:rsidR="007D5B9A" w:rsidRPr="002F25A1">
        <w:rPr>
          <w:szCs w:val="26"/>
        </w:rPr>
        <w:t xml:space="preserve">substantial record evidence in this proceeding supported findings of low voltage on </w:t>
      </w:r>
      <w:r w:rsidR="00743CD6" w:rsidRPr="002F25A1">
        <w:rPr>
          <w:szCs w:val="26"/>
        </w:rPr>
        <w:t>May</w:t>
      </w:r>
      <w:r w:rsidR="00E73FC8">
        <w:rPr>
          <w:szCs w:val="26"/>
        </w:rPr>
        <w:t> </w:t>
      </w:r>
      <w:r w:rsidR="007D5B9A" w:rsidRPr="002F25A1">
        <w:rPr>
          <w:szCs w:val="26"/>
        </w:rPr>
        <w:t>24, 2010</w:t>
      </w:r>
      <w:r w:rsidR="00AD118D">
        <w:rPr>
          <w:szCs w:val="26"/>
        </w:rPr>
        <w:t>,</w:t>
      </w:r>
      <w:r w:rsidR="007D5B9A" w:rsidRPr="002F25A1">
        <w:rPr>
          <w:szCs w:val="26"/>
        </w:rPr>
        <w:t xml:space="preserve"> and June 11, 2010</w:t>
      </w:r>
      <w:r w:rsidR="00AD118D">
        <w:rPr>
          <w:szCs w:val="26"/>
        </w:rPr>
        <w:t>,</w:t>
      </w:r>
      <w:r w:rsidR="007D5B9A" w:rsidRPr="002F25A1">
        <w:rPr>
          <w:szCs w:val="26"/>
        </w:rPr>
        <w:t xml:space="preserve"> </w:t>
      </w:r>
      <w:r w:rsidR="0041779E">
        <w:rPr>
          <w:szCs w:val="26"/>
        </w:rPr>
        <w:t>which</w:t>
      </w:r>
      <w:r w:rsidR="007D5B9A" w:rsidRPr="002F25A1">
        <w:rPr>
          <w:szCs w:val="26"/>
        </w:rPr>
        <w:t xml:space="preserve"> constitute a violation of a Commission regulation.  I.D. at 8.  The ALJ also found that the extensive list of upgrades and modifications that Mr. Starzmann would like PECO to undertake </w:t>
      </w:r>
      <w:r w:rsidR="00743CD6" w:rsidRPr="002F25A1">
        <w:rPr>
          <w:szCs w:val="26"/>
        </w:rPr>
        <w:t xml:space="preserve">are “excessive and unnecessary.”  </w:t>
      </w:r>
      <w:r w:rsidR="00743CD6" w:rsidRPr="002F25A1">
        <w:rPr>
          <w:i/>
          <w:szCs w:val="26"/>
        </w:rPr>
        <w:t>Id.</w:t>
      </w:r>
      <w:r w:rsidR="00743CD6" w:rsidRPr="002F25A1">
        <w:rPr>
          <w:szCs w:val="26"/>
        </w:rPr>
        <w:t xml:space="preserve"> at 13.  Instead of the </w:t>
      </w:r>
      <w:r w:rsidR="0041779E">
        <w:rPr>
          <w:szCs w:val="26"/>
        </w:rPr>
        <w:t xml:space="preserve">proposed </w:t>
      </w:r>
      <w:r w:rsidR="00743CD6" w:rsidRPr="002F25A1">
        <w:rPr>
          <w:szCs w:val="26"/>
        </w:rPr>
        <w:t xml:space="preserve">upgrades and modifications, the ALJ recommended that a civil penalty of $750.00 </w:t>
      </w:r>
      <w:r w:rsidR="0041779E">
        <w:rPr>
          <w:szCs w:val="26"/>
        </w:rPr>
        <w:t>be imposed on PECO</w:t>
      </w:r>
      <w:r w:rsidR="00743CD6" w:rsidRPr="002F25A1">
        <w:rPr>
          <w:szCs w:val="26"/>
        </w:rPr>
        <w:t xml:space="preserve">.  </w:t>
      </w:r>
      <w:r w:rsidR="00743CD6" w:rsidRPr="002F25A1">
        <w:rPr>
          <w:i/>
          <w:szCs w:val="26"/>
        </w:rPr>
        <w:t>Id.</w:t>
      </w:r>
      <w:r w:rsidR="00743CD6" w:rsidRPr="002F25A1">
        <w:rPr>
          <w:szCs w:val="26"/>
        </w:rPr>
        <w:t xml:space="preserve"> at 13 and 18.   </w:t>
      </w:r>
    </w:p>
    <w:p w:rsidR="00743CD6" w:rsidRDefault="00743CD6" w:rsidP="003D6275">
      <w:pPr>
        <w:pStyle w:val="BodyText"/>
        <w:rPr>
          <w:color w:val="00B050"/>
          <w:szCs w:val="26"/>
        </w:rPr>
      </w:pPr>
    </w:p>
    <w:p w:rsidR="00743CD6" w:rsidRPr="002F25A1" w:rsidRDefault="00743CD6" w:rsidP="003D6275">
      <w:pPr>
        <w:pStyle w:val="BodyText"/>
        <w:rPr>
          <w:szCs w:val="26"/>
        </w:rPr>
      </w:pPr>
      <w:r w:rsidRPr="002F25A1">
        <w:rPr>
          <w:szCs w:val="26"/>
        </w:rPr>
        <w:t xml:space="preserve">As noted, </w:t>
      </w:r>
      <w:r w:rsidRPr="002F25A1">
        <w:rPr>
          <w:i/>
          <w:szCs w:val="26"/>
        </w:rPr>
        <w:t>supra</w:t>
      </w:r>
      <w:r w:rsidRPr="002F25A1">
        <w:rPr>
          <w:szCs w:val="26"/>
        </w:rPr>
        <w:t xml:space="preserve">, PECO filed Exceptions </w:t>
      </w:r>
      <w:r w:rsidR="002F25A1" w:rsidRPr="002F25A1">
        <w:rPr>
          <w:szCs w:val="26"/>
        </w:rPr>
        <w:t xml:space="preserve">on June 11, 2012.  No Reply Exceptions were filed. </w:t>
      </w:r>
    </w:p>
    <w:p w:rsidR="00743CD6" w:rsidRDefault="00743CD6" w:rsidP="003D6275">
      <w:pPr>
        <w:pStyle w:val="BodyText"/>
        <w:rPr>
          <w:color w:val="00B050"/>
          <w:szCs w:val="26"/>
        </w:rPr>
      </w:pPr>
    </w:p>
    <w:p w:rsidR="001B0588" w:rsidRPr="002F25A1" w:rsidRDefault="00D35050" w:rsidP="001705A8">
      <w:pPr>
        <w:pStyle w:val="Heading1"/>
      </w:pPr>
      <w:r w:rsidRPr="002F25A1">
        <w:t>D</w:t>
      </w:r>
      <w:r w:rsidR="001B0588" w:rsidRPr="002F25A1">
        <w:t>iscussion</w:t>
      </w:r>
    </w:p>
    <w:p w:rsidR="00266EEC" w:rsidRPr="002F25A1" w:rsidRDefault="00266EEC" w:rsidP="00266EEC">
      <w:pPr>
        <w:keepNext/>
        <w:spacing w:line="240" w:lineRule="auto"/>
        <w:ind w:left="1440" w:right="1440" w:firstLine="360"/>
        <w:rPr>
          <w:szCs w:val="26"/>
        </w:rPr>
      </w:pPr>
    </w:p>
    <w:p w:rsidR="00804C91" w:rsidRPr="002F25A1" w:rsidRDefault="00804C91" w:rsidP="006B37DA">
      <w:pPr>
        <w:rPr>
          <w:szCs w:val="26"/>
        </w:rPr>
      </w:pPr>
      <w:r w:rsidRPr="002F25A1">
        <w:rPr>
          <w:szCs w:val="26"/>
        </w:rPr>
        <w:t xml:space="preserve">The ALJ made </w:t>
      </w:r>
      <w:r w:rsidR="002F25A1" w:rsidRPr="002F25A1">
        <w:rPr>
          <w:szCs w:val="26"/>
        </w:rPr>
        <w:t>thirty-five</w:t>
      </w:r>
      <w:r w:rsidR="00D35050" w:rsidRPr="002F25A1">
        <w:rPr>
          <w:szCs w:val="26"/>
        </w:rPr>
        <w:t xml:space="preserve"> </w:t>
      </w:r>
      <w:r w:rsidRPr="002F25A1">
        <w:rPr>
          <w:szCs w:val="26"/>
        </w:rPr>
        <w:t xml:space="preserve">Findings of Fact and reached </w:t>
      </w:r>
      <w:r w:rsidR="002F25A1" w:rsidRPr="002F25A1">
        <w:rPr>
          <w:szCs w:val="26"/>
        </w:rPr>
        <w:t>eleven</w:t>
      </w:r>
      <w:r w:rsidRPr="002F25A1">
        <w:rPr>
          <w:szCs w:val="26"/>
        </w:rPr>
        <w:t xml:space="preserve"> Conclusions of Law.  </w:t>
      </w:r>
      <w:r w:rsidR="0041779E">
        <w:rPr>
          <w:szCs w:val="26"/>
        </w:rPr>
        <w:t xml:space="preserve">I.D. at 4-7, 20-22.  </w:t>
      </w:r>
      <w:r w:rsidRPr="002F25A1">
        <w:rPr>
          <w:szCs w:val="26"/>
        </w:rPr>
        <w:t>The Findings of Fact and Conclusions of Law are incorporated herein by reference and are adopted without comment unless they are either expressly or by necessary implication rejected or modified by this Opinion and Order.</w:t>
      </w:r>
    </w:p>
    <w:p w:rsidR="006B37DA" w:rsidRPr="004E66EC" w:rsidRDefault="006B37DA" w:rsidP="006B37DA">
      <w:pPr>
        <w:rPr>
          <w:color w:val="00B050"/>
          <w:szCs w:val="26"/>
        </w:rPr>
      </w:pPr>
    </w:p>
    <w:p w:rsidR="00300643" w:rsidRPr="002F25A1" w:rsidRDefault="00300643" w:rsidP="00300643">
      <w:pPr>
        <w:pStyle w:val="Heading2"/>
        <w:rPr>
          <w:rFonts w:cs="Times New Roman"/>
          <w:szCs w:val="26"/>
        </w:rPr>
      </w:pPr>
      <w:r w:rsidRPr="002F25A1">
        <w:rPr>
          <w:rFonts w:cs="Times New Roman"/>
          <w:szCs w:val="26"/>
        </w:rPr>
        <w:t>A.</w:t>
      </w:r>
      <w:r w:rsidRPr="002F25A1">
        <w:rPr>
          <w:rFonts w:cs="Times New Roman"/>
          <w:szCs w:val="26"/>
        </w:rPr>
        <w:tab/>
        <w:t>Burden of Proof</w:t>
      </w:r>
    </w:p>
    <w:p w:rsidR="00300643" w:rsidRPr="002F25A1" w:rsidRDefault="00300643" w:rsidP="00982B5C">
      <w:pPr>
        <w:keepNext/>
        <w:spacing w:line="240" w:lineRule="auto"/>
        <w:ind w:firstLine="0"/>
        <w:rPr>
          <w:b/>
          <w:szCs w:val="26"/>
        </w:rPr>
      </w:pPr>
    </w:p>
    <w:p w:rsidR="00804C91" w:rsidRPr="002F25A1" w:rsidRDefault="00804C91" w:rsidP="0041779E">
      <w:pPr>
        <w:suppressAutoHyphens/>
        <w:rPr>
          <w:spacing w:val="-3"/>
          <w:szCs w:val="26"/>
          <w:u w:val="single"/>
        </w:rPr>
      </w:pPr>
      <w:r w:rsidRPr="002F25A1">
        <w:rPr>
          <w:szCs w:val="26"/>
        </w:rPr>
        <w:t xml:space="preserve">As the proponent of a rule or order, the Complainant in this proceeding bears the burden of proof pursuant to Section 332(a) of the </w:t>
      </w:r>
      <w:r w:rsidR="00D24E58" w:rsidRPr="002F25A1">
        <w:rPr>
          <w:szCs w:val="26"/>
        </w:rPr>
        <w:t>Code</w:t>
      </w:r>
      <w:r w:rsidR="0041779E">
        <w:rPr>
          <w:szCs w:val="26"/>
        </w:rPr>
        <w:t>,</w:t>
      </w:r>
      <w:r w:rsidR="00E53FF3">
        <w:rPr>
          <w:szCs w:val="26"/>
        </w:rPr>
        <w:t xml:space="preserve"> </w:t>
      </w:r>
      <w:r w:rsidRPr="002F25A1">
        <w:rPr>
          <w:szCs w:val="26"/>
        </w:rPr>
        <w:t xml:space="preserve">66 Pa. C.S. § 332(a).  To satisfy this burden, the Complainant must demonstrate that </w:t>
      </w:r>
      <w:r w:rsidR="00410D73" w:rsidRPr="002F25A1">
        <w:rPr>
          <w:szCs w:val="26"/>
        </w:rPr>
        <w:t>PECO</w:t>
      </w:r>
      <w:r w:rsidRPr="002F25A1">
        <w:rPr>
          <w:szCs w:val="26"/>
        </w:rPr>
        <w:t xml:space="preserve"> was responsible for the problems alleged in h</w:t>
      </w:r>
      <w:r w:rsidR="00884A08" w:rsidRPr="002F25A1">
        <w:rPr>
          <w:szCs w:val="26"/>
        </w:rPr>
        <w:t>is</w:t>
      </w:r>
      <w:r w:rsidRPr="002F25A1">
        <w:rPr>
          <w:szCs w:val="26"/>
        </w:rPr>
        <w:t xml:space="preserve"> Complaint through a violation of the Code</w:t>
      </w:r>
      <w:r w:rsidR="00D27B42">
        <w:rPr>
          <w:szCs w:val="26"/>
        </w:rPr>
        <w:t>,</w:t>
      </w:r>
      <w:r w:rsidRPr="002F25A1">
        <w:rPr>
          <w:szCs w:val="26"/>
        </w:rPr>
        <w:t xml:space="preserve"> </w:t>
      </w:r>
      <w:r w:rsidR="00D27B42">
        <w:rPr>
          <w:szCs w:val="26"/>
        </w:rPr>
        <w:t xml:space="preserve">or </w:t>
      </w:r>
      <w:r w:rsidRPr="002F25A1">
        <w:rPr>
          <w:szCs w:val="26"/>
        </w:rPr>
        <w:t>a regulation or order of the Commission.  This must be shown by a prepon</w:t>
      </w:r>
      <w:r w:rsidR="00E53FF3">
        <w:rPr>
          <w:szCs w:val="26"/>
        </w:rPr>
        <w:t>derance of the evidence.  66 </w:t>
      </w:r>
      <w:r w:rsidRPr="002F25A1">
        <w:rPr>
          <w:szCs w:val="26"/>
        </w:rPr>
        <w:t>Pa. C.S. §</w:t>
      </w:r>
      <w:r w:rsidR="00D24E58" w:rsidRPr="002F25A1">
        <w:rPr>
          <w:szCs w:val="26"/>
        </w:rPr>
        <w:t xml:space="preserve"> </w:t>
      </w:r>
      <w:r w:rsidRPr="002F25A1">
        <w:rPr>
          <w:szCs w:val="26"/>
        </w:rPr>
        <w:t xml:space="preserve">701; </w:t>
      </w:r>
      <w:r w:rsidRPr="002F25A1">
        <w:rPr>
          <w:i/>
          <w:szCs w:val="26"/>
        </w:rPr>
        <w:t xml:space="preserve">Patterson v. </w:t>
      </w:r>
      <w:r w:rsidR="0041779E">
        <w:rPr>
          <w:i/>
          <w:szCs w:val="26"/>
        </w:rPr>
        <w:t xml:space="preserve">The </w:t>
      </w:r>
      <w:r w:rsidRPr="002F25A1">
        <w:rPr>
          <w:i/>
          <w:szCs w:val="26"/>
        </w:rPr>
        <w:t>Bell Telephone Company of Pennsylvania,</w:t>
      </w:r>
      <w:r w:rsidRPr="002F25A1">
        <w:rPr>
          <w:szCs w:val="26"/>
        </w:rPr>
        <w:t xml:space="preserve"> 72 P</w:t>
      </w:r>
      <w:r w:rsidR="00D24E58" w:rsidRPr="002F25A1">
        <w:rPr>
          <w:szCs w:val="26"/>
        </w:rPr>
        <w:t>a.</w:t>
      </w:r>
      <w:r w:rsidRPr="002F25A1">
        <w:rPr>
          <w:szCs w:val="26"/>
        </w:rPr>
        <w:t xml:space="preserve"> P.U.C. 196 (1990).  Preponderance of the evidence means that the party with the burden </w:t>
      </w:r>
      <w:r w:rsidRPr="002F25A1">
        <w:rPr>
          <w:szCs w:val="26"/>
        </w:rPr>
        <w:lastRenderedPageBreak/>
        <w:t xml:space="preserve">of proof </w:t>
      </w:r>
      <w:r w:rsidR="003C1AB2">
        <w:rPr>
          <w:szCs w:val="26"/>
        </w:rPr>
        <w:t>must p</w:t>
      </w:r>
      <w:r w:rsidRPr="002F25A1">
        <w:rPr>
          <w:szCs w:val="26"/>
        </w:rPr>
        <w:t xml:space="preserve">resent evidence that is more convincing than that presented by the other party.  </w:t>
      </w:r>
      <w:r w:rsidRPr="002F25A1">
        <w:rPr>
          <w:i/>
          <w:szCs w:val="26"/>
        </w:rPr>
        <w:t xml:space="preserve">Samuel J. Lansberry, Inc. v. Pa. PUC, </w:t>
      </w:r>
      <w:r w:rsidRPr="002F25A1">
        <w:rPr>
          <w:szCs w:val="26"/>
        </w:rPr>
        <w:t xml:space="preserve">578 A.2d 600 (Pa. Cmwlth. 1990) </w:t>
      </w:r>
      <w:r w:rsidRPr="002F25A1">
        <w:rPr>
          <w:i/>
          <w:szCs w:val="26"/>
        </w:rPr>
        <w:t>alloc. den</w:t>
      </w:r>
      <w:r w:rsidRPr="002F25A1">
        <w:rPr>
          <w:szCs w:val="26"/>
        </w:rPr>
        <w:t xml:space="preserve">., 529 Pa. 654,602 A.2d 863 (1992).  In addition, the Commission’s findings of fact must be supported by “substantial evidence,” which consists of evidence that a reasonable mind might accept as adequate to support a conclusion.  A mere “trace of evidence or a suspicion of the existence of a fact” is insufficient.  </w:t>
      </w:r>
      <w:r w:rsidRPr="002F25A1">
        <w:rPr>
          <w:i/>
          <w:szCs w:val="26"/>
        </w:rPr>
        <w:t>Norfolk and Western Railway v. Pa. PUC</w:t>
      </w:r>
      <w:r w:rsidRPr="002F25A1">
        <w:rPr>
          <w:szCs w:val="26"/>
        </w:rPr>
        <w:t>, 489 Pa. 109, 413 A.2d 1037 (1980).</w:t>
      </w:r>
    </w:p>
    <w:p w:rsidR="00804C91" w:rsidRPr="002F25A1" w:rsidRDefault="00804C91" w:rsidP="00804C91">
      <w:pPr>
        <w:rPr>
          <w:szCs w:val="26"/>
        </w:rPr>
      </w:pPr>
    </w:p>
    <w:p w:rsidR="00804C91" w:rsidRPr="002F25A1" w:rsidRDefault="00804C91" w:rsidP="00804C91">
      <w:pPr>
        <w:rPr>
          <w:i/>
          <w:szCs w:val="26"/>
        </w:rPr>
      </w:pPr>
      <w:r w:rsidRPr="002F25A1">
        <w:rPr>
          <w:szCs w:val="26"/>
        </w:rPr>
        <w:t>Upon the presentation by the Complainant of evidence sufficient to initially satisfy the burden of proof, the burden of going forward with the evidence</w:t>
      </w:r>
      <w:r w:rsidR="003A6EBD" w:rsidRPr="002F25A1">
        <w:rPr>
          <w:szCs w:val="26"/>
        </w:rPr>
        <w:t>, sometimes called the burden of persuasion,</w:t>
      </w:r>
      <w:r w:rsidRPr="002F25A1">
        <w:rPr>
          <w:szCs w:val="26"/>
        </w:rPr>
        <w:t xml:space="preserve"> to rebut the evidence of the Complainant shifts to </w:t>
      </w:r>
      <w:r w:rsidR="00410D73" w:rsidRPr="002F25A1">
        <w:rPr>
          <w:szCs w:val="26"/>
        </w:rPr>
        <w:t>PECO</w:t>
      </w:r>
      <w:r w:rsidRPr="002F25A1">
        <w:rPr>
          <w:szCs w:val="26"/>
        </w:rPr>
        <w:t xml:space="preserve">.  If the evidence presented by </w:t>
      </w:r>
      <w:r w:rsidR="00410D73" w:rsidRPr="002F25A1">
        <w:rPr>
          <w:szCs w:val="26"/>
        </w:rPr>
        <w:t>PECO</w:t>
      </w:r>
      <w:r w:rsidR="003A6EBD" w:rsidRPr="002F25A1">
        <w:rPr>
          <w:szCs w:val="26"/>
        </w:rPr>
        <w:t xml:space="preserve"> </w:t>
      </w:r>
      <w:r w:rsidRPr="002F25A1">
        <w:rPr>
          <w:szCs w:val="26"/>
        </w:rPr>
        <w:t xml:space="preserve">is of co-equal weight, the </w:t>
      </w:r>
      <w:r w:rsidR="003A6EBD" w:rsidRPr="002F25A1">
        <w:rPr>
          <w:szCs w:val="26"/>
        </w:rPr>
        <w:t>Complainant</w:t>
      </w:r>
      <w:r w:rsidRPr="002F25A1">
        <w:rPr>
          <w:szCs w:val="26"/>
        </w:rPr>
        <w:t xml:space="preserve"> has not satisfied h</w:t>
      </w:r>
      <w:r w:rsidR="00CF7FAA" w:rsidRPr="002F25A1">
        <w:rPr>
          <w:szCs w:val="26"/>
        </w:rPr>
        <w:t>is</w:t>
      </w:r>
      <w:r w:rsidRPr="002F25A1">
        <w:rPr>
          <w:szCs w:val="26"/>
        </w:rPr>
        <w:t xml:space="preserve"> burden of proof.  The Complainant now has to provide some additional evidence to rebut the evidence of </w:t>
      </w:r>
      <w:r w:rsidR="00410D73" w:rsidRPr="002F25A1">
        <w:rPr>
          <w:szCs w:val="26"/>
        </w:rPr>
        <w:t>PECO</w:t>
      </w:r>
      <w:r w:rsidRPr="002F25A1">
        <w:rPr>
          <w:szCs w:val="26"/>
        </w:rPr>
        <w:t xml:space="preserve">. </w:t>
      </w:r>
      <w:r w:rsidRPr="002F25A1">
        <w:rPr>
          <w:iCs/>
          <w:szCs w:val="26"/>
        </w:rPr>
        <w:t xml:space="preserve"> </w:t>
      </w:r>
      <w:hyperlink r:id="rId9" w:history="1">
        <w:r w:rsidRPr="002F25A1">
          <w:rPr>
            <w:rStyle w:val="Hyperlink"/>
            <w:i/>
            <w:iCs/>
            <w:color w:val="auto"/>
            <w:szCs w:val="26"/>
            <w:u w:val="none"/>
          </w:rPr>
          <w:t>Burleson v. Pa. PUC</w:t>
        </w:r>
        <w:r w:rsidRPr="002F25A1">
          <w:rPr>
            <w:rStyle w:val="Hyperlink"/>
            <w:iCs/>
            <w:color w:val="auto"/>
            <w:szCs w:val="26"/>
            <w:u w:val="none"/>
          </w:rPr>
          <w:t xml:space="preserve">, 443 A.2d 1373 (Pa. Cmwlth. 1982), </w:t>
        </w:r>
        <w:r w:rsidRPr="003C1AB2">
          <w:rPr>
            <w:rStyle w:val="Hyperlink"/>
            <w:i/>
            <w:iCs/>
            <w:color w:val="auto"/>
            <w:szCs w:val="26"/>
            <w:u w:val="none"/>
          </w:rPr>
          <w:t>aff’d</w:t>
        </w:r>
        <w:r w:rsidRPr="002F25A1">
          <w:rPr>
            <w:rStyle w:val="Hyperlink"/>
            <w:iCs/>
            <w:color w:val="auto"/>
            <w:szCs w:val="26"/>
            <w:u w:val="none"/>
          </w:rPr>
          <w:t>, 501 Pa. 433, 461 A.2d 1234 (1983).</w:t>
        </w:r>
      </w:hyperlink>
    </w:p>
    <w:p w:rsidR="00804C91" w:rsidRPr="002F25A1" w:rsidRDefault="00804C91" w:rsidP="00804C91">
      <w:pPr>
        <w:rPr>
          <w:szCs w:val="26"/>
        </w:rPr>
      </w:pPr>
    </w:p>
    <w:p w:rsidR="00804C91" w:rsidRPr="002F25A1" w:rsidRDefault="00804C91" w:rsidP="00804C91">
      <w:pPr>
        <w:rPr>
          <w:szCs w:val="26"/>
        </w:rPr>
      </w:pPr>
      <w:r w:rsidRPr="002F25A1">
        <w:rPr>
          <w:szCs w:val="26"/>
        </w:rPr>
        <w:t xml:space="preserve">While the burden of persuasion may </w:t>
      </w:r>
      <w:r w:rsidRPr="002F25A1">
        <w:rPr>
          <w:rStyle w:val="term1"/>
          <w:b w:val="0"/>
          <w:szCs w:val="26"/>
        </w:rPr>
        <w:t>shift</w:t>
      </w:r>
      <w:r w:rsidRPr="002F25A1">
        <w:rPr>
          <w:szCs w:val="26"/>
        </w:rPr>
        <w:t xml:space="preserve"> back and forth during a proceeding, the </w:t>
      </w:r>
      <w:r w:rsidRPr="002F25A1">
        <w:rPr>
          <w:rStyle w:val="term1"/>
          <w:b w:val="0"/>
          <w:szCs w:val="26"/>
        </w:rPr>
        <w:t>burden of proof</w:t>
      </w:r>
      <w:r w:rsidRPr="002F25A1">
        <w:rPr>
          <w:szCs w:val="26"/>
        </w:rPr>
        <w:t xml:space="preserve"> never </w:t>
      </w:r>
      <w:r w:rsidRPr="002F25A1">
        <w:rPr>
          <w:rStyle w:val="term1"/>
          <w:b w:val="0"/>
          <w:szCs w:val="26"/>
        </w:rPr>
        <w:t>shifts.  The burden of proof</w:t>
      </w:r>
      <w:r w:rsidRPr="002F25A1">
        <w:rPr>
          <w:szCs w:val="26"/>
        </w:rPr>
        <w:t xml:space="preserve"> always remains on the party seeking affirmative relief from the Commission.  </w:t>
      </w:r>
      <w:r w:rsidRPr="002F25A1">
        <w:rPr>
          <w:i/>
          <w:szCs w:val="26"/>
        </w:rPr>
        <w:t xml:space="preserve">Milkie v. Pa. PUC, </w:t>
      </w:r>
      <w:r w:rsidRPr="002F25A1">
        <w:rPr>
          <w:szCs w:val="26"/>
        </w:rPr>
        <w:t>768 A.2d 1217 (Pa. Cmwlth. 2001).</w:t>
      </w:r>
    </w:p>
    <w:p w:rsidR="00EC146F" w:rsidRPr="002F25A1" w:rsidRDefault="00EC146F" w:rsidP="00DC5D4B">
      <w:pPr>
        <w:rPr>
          <w:szCs w:val="26"/>
        </w:rPr>
      </w:pPr>
    </w:p>
    <w:p w:rsidR="00300643" w:rsidRPr="002F25A1" w:rsidRDefault="00300643" w:rsidP="00DC5D4B">
      <w:pPr>
        <w:pStyle w:val="Heading2"/>
        <w:spacing w:line="240" w:lineRule="auto"/>
        <w:rPr>
          <w:rFonts w:cs="Times New Roman"/>
          <w:szCs w:val="26"/>
        </w:rPr>
      </w:pPr>
      <w:r w:rsidRPr="002F25A1">
        <w:rPr>
          <w:rFonts w:cs="Times New Roman"/>
          <w:szCs w:val="26"/>
        </w:rPr>
        <w:lastRenderedPageBreak/>
        <w:t>B.</w:t>
      </w:r>
      <w:r w:rsidRPr="002F25A1">
        <w:rPr>
          <w:rFonts w:cs="Times New Roman"/>
          <w:szCs w:val="26"/>
        </w:rPr>
        <w:tab/>
        <w:t>Exceptions</w:t>
      </w:r>
      <w:r w:rsidR="00651EE3" w:rsidRPr="002F25A1">
        <w:rPr>
          <w:rFonts w:cs="Times New Roman"/>
          <w:szCs w:val="26"/>
        </w:rPr>
        <w:t xml:space="preserve"> to the Initial Decision</w:t>
      </w:r>
    </w:p>
    <w:p w:rsidR="00300643" w:rsidRPr="002F25A1" w:rsidRDefault="00300643" w:rsidP="00FE6714">
      <w:pPr>
        <w:keepNext/>
        <w:spacing w:line="240" w:lineRule="auto"/>
        <w:rPr>
          <w:szCs w:val="26"/>
        </w:rPr>
      </w:pPr>
    </w:p>
    <w:p w:rsidR="00E36D89" w:rsidRPr="002F25A1" w:rsidRDefault="00806556" w:rsidP="00D27B42">
      <w:pPr>
        <w:keepNext/>
        <w:rPr>
          <w:i/>
          <w:szCs w:val="26"/>
        </w:rPr>
      </w:pPr>
      <w:r w:rsidRPr="002F25A1">
        <w:rPr>
          <w:szCs w:val="26"/>
        </w:rPr>
        <w:t>We note that a</w:t>
      </w:r>
      <w:r w:rsidR="00AB3552" w:rsidRPr="002F25A1">
        <w:rPr>
          <w:szCs w:val="26"/>
        </w:rPr>
        <w:t xml:space="preserve">ny issue or Exception that we do not specifically address has been duly considered and will be denied without further discussion.  It is well settled that </w:t>
      </w:r>
      <w:r w:rsidR="005339E3" w:rsidRPr="002F25A1">
        <w:rPr>
          <w:szCs w:val="26"/>
        </w:rPr>
        <w:t xml:space="preserve">the Commission is </w:t>
      </w:r>
      <w:r w:rsidR="00AB3552" w:rsidRPr="002F25A1">
        <w:rPr>
          <w:szCs w:val="26"/>
        </w:rPr>
        <w:t xml:space="preserve">not required to consider, expressly or at length, each contention or argument raised by the parties.  </w:t>
      </w:r>
      <w:r w:rsidR="00AB3552" w:rsidRPr="002F25A1">
        <w:rPr>
          <w:i/>
          <w:szCs w:val="26"/>
        </w:rPr>
        <w:t>Consolidated Rail Corporation</w:t>
      </w:r>
      <w:r w:rsidR="00190D46" w:rsidRPr="002F25A1">
        <w:rPr>
          <w:i/>
          <w:szCs w:val="26"/>
        </w:rPr>
        <w:t xml:space="preserve"> </w:t>
      </w:r>
      <w:r w:rsidR="00AB3552" w:rsidRPr="002F25A1">
        <w:rPr>
          <w:i/>
          <w:szCs w:val="26"/>
        </w:rPr>
        <w:t>v. P</w:t>
      </w:r>
      <w:r w:rsidR="00A36FE7" w:rsidRPr="002F25A1">
        <w:rPr>
          <w:i/>
          <w:szCs w:val="26"/>
        </w:rPr>
        <w:t>a. PUC</w:t>
      </w:r>
      <w:r w:rsidR="00AB3552" w:rsidRPr="002F25A1">
        <w:rPr>
          <w:szCs w:val="26"/>
        </w:rPr>
        <w:t xml:space="preserve">, 625 A.2d 741 (Pa. Cmwlth. 1993); </w:t>
      </w:r>
      <w:r w:rsidR="00AB3552" w:rsidRPr="002F25A1">
        <w:rPr>
          <w:i/>
          <w:szCs w:val="26"/>
        </w:rPr>
        <w:t>see also</w:t>
      </w:r>
      <w:r w:rsidR="00AB3552" w:rsidRPr="002F25A1">
        <w:rPr>
          <w:szCs w:val="26"/>
        </w:rPr>
        <w:t xml:space="preserve">, </w:t>
      </w:r>
      <w:r w:rsidR="00AB3552" w:rsidRPr="002F25A1">
        <w:rPr>
          <w:i/>
          <w:szCs w:val="26"/>
        </w:rPr>
        <w:t>generally</w:t>
      </w:r>
      <w:r w:rsidR="00AB3552" w:rsidRPr="002F25A1">
        <w:rPr>
          <w:szCs w:val="26"/>
        </w:rPr>
        <w:t xml:space="preserve">, </w:t>
      </w:r>
      <w:r w:rsidR="00AB3552" w:rsidRPr="002F25A1">
        <w:rPr>
          <w:i/>
          <w:szCs w:val="26"/>
        </w:rPr>
        <w:t xml:space="preserve">University of Pennsylvania v. </w:t>
      </w:r>
    </w:p>
    <w:p w:rsidR="00AB3552" w:rsidRPr="002F25A1" w:rsidRDefault="00AB3552" w:rsidP="00E36D89">
      <w:pPr>
        <w:keepNext/>
        <w:ind w:firstLine="0"/>
        <w:rPr>
          <w:i/>
          <w:szCs w:val="26"/>
        </w:rPr>
      </w:pPr>
      <w:r w:rsidRPr="002F25A1">
        <w:rPr>
          <w:i/>
          <w:szCs w:val="26"/>
        </w:rPr>
        <w:t>Pa. PUC</w:t>
      </w:r>
      <w:r w:rsidRPr="002F25A1">
        <w:rPr>
          <w:szCs w:val="26"/>
        </w:rPr>
        <w:t>, 485 A.2d 1217 (Pa. Cmwlth. 1984).</w:t>
      </w:r>
    </w:p>
    <w:p w:rsidR="003A2C92" w:rsidRPr="004E66EC" w:rsidRDefault="003A2C92" w:rsidP="003F1F7E">
      <w:pPr>
        <w:rPr>
          <w:color w:val="00B050"/>
          <w:szCs w:val="26"/>
        </w:rPr>
      </w:pPr>
    </w:p>
    <w:p w:rsidR="006115DD" w:rsidRDefault="004F3833" w:rsidP="00DA4A5E">
      <w:pPr>
        <w:keepNext/>
        <w:rPr>
          <w:szCs w:val="26"/>
        </w:rPr>
      </w:pPr>
      <w:r>
        <w:rPr>
          <w:szCs w:val="26"/>
        </w:rPr>
        <w:t xml:space="preserve">As discussed </w:t>
      </w:r>
      <w:r w:rsidRPr="004F3833">
        <w:rPr>
          <w:i/>
          <w:szCs w:val="26"/>
        </w:rPr>
        <w:t>infra</w:t>
      </w:r>
      <w:r>
        <w:rPr>
          <w:szCs w:val="26"/>
        </w:rPr>
        <w:t xml:space="preserve">, </w:t>
      </w:r>
      <w:r w:rsidR="006115DD">
        <w:rPr>
          <w:szCs w:val="26"/>
        </w:rPr>
        <w:t xml:space="preserve">PECO argues </w:t>
      </w:r>
      <w:r>
        <w:rPr>
          <w:szCs w:val="26"/>
        </w:rPr>
        <w:t xml:space="preserve">in its Exceptions </w:t>
      </w:r>
      <w:r w:rsidR="006115DD">
        <w:rPr>
          <w:szCs w:val="26"/>
        </w:rPr>
        <w:t xml:space="preserve">that the ALJ’s </w:t>
      </w:r>
      <w:r w:rsidR="00D27B42">
        <w:rPr>
          <w:szCs w:val="26"/>
        </w:rPr>
        <w:t xml:space="preserve">finding that PECO </w:t>
      </w:r>
      <w:r w:rsidR="006115DD">
        <w:rPr>
          <w:szCs w:val="26"/>
        </w:rPr>
        <w:t>violat</w:t>
      </w:r>
      <w:r w:rsidR="00D27B42">
        <w:rPr>
          <w:szCs w:val="26"/>
        </w:rPr>
        <w:t>ed</w:t>
      </w:r>
      <w:r w:rsidR="006115DD">
        <w:rPr>
          <w:szCs w:val="26"/>
        </w:rPr>
        <w:t xml:space="preserve"> the Commission’s regulations and </w:t>
      </w:r>
      <w:r w:rsidR="00D27B42">
        <w:rPr>
          <w:szCs w:val="26"/>
        </w:rPr>
        <w:t xml:space="preserve">his recommendation for </w:t>
      </w:r>
      <w:r w:rsidR="006115DD">
        <w:rPr>
          <w:szCs w:val="26"/>
        </w:rPr>
        <w:t xml:space="preserve">a civil penalty </w:t>
      </w:r>
      <w:r w:rsidR="00D27B42">
        <w:rPr>
          <w:szCs w:val="26"/>
        </w:rPr>
        <w:t>are</w:t>
      </w:r>
      <w:r w:rsidR="006115DD">
        <w:rPr>
          <w:szCs w:val="26"/>
        </w:rPr>
        <w:t xml:space="preserve"> based on a misinterpretation of the “normal system operation” limitation in </w:t>
      </w:r>
      <w:r w:rsidR="005D6B26">
        <w:rPr>
          <w:szCs w:val="26"/>
        </w:rPr>
        <w:t xml:space="preserve">Section 54.17 </w:t>
      </w:r>
      <w:r w:rsidR="005D6B26" w:rsidRPr="007604B0">
        <w:rPr>
          <w:szCs w:val="26"/>
        </w:rPr>
        <w:t>of the Commission’s regulations</w:t>
      </w:r>
      <w:r w:rsidR="005D6B26">
        <w:rPr>
          <w:szCs w:val="26"/>
        </w:rPr>
        <w:t xml:space="preserve">, </w:t>
      </w:r>
      <w:r w:rsidR="006115DD">
        <w:rPr>
          <w:szCs w:val="26"/>
        </w:rPr>
        <w:t>52 Pa. Code § 57.14</w:t>
      </w:r>
      <w:r w:rsidR="005C158C">
        <w:rPr>
          <w:szCs w:val="26"/>
        </w:rPr>
        <w:t xml:space="preserve"> (Section 5</w:t>
      </w:r>
      <w:r w:rsidR="00D4382A">
        <w:rPr>
          <w:szCs w:val="26"/>
        </w:rPr>
        <w:t>7</w:t>
      </w:r>
      <w:r w:rsidR="005C158C">
        <w:rPr>
          <w:szCs w:val="26"/>
        </w:rPr>
        <w:t>.1</w:t>
      </w:r>
      <w:r w:rsidR="00D4382A">
        <w:rPr>
          <w:szCs w:val="26"/>
        </w:rPr>
        <w:t>4</w:t>
      </w:r>
      <w:r w:rsidR="005C158C">
        <w:rPr>
          <w:szCs w:val="26"/>
        </w:rPr>
        <w:t>)</w:t>
      </w:r>
      <w:r w:rsidR="006115DD">
        <w:rPr>
          <w:szCs w:val="26"/>
        </w:rPr>
        <w:t xml:space="preserve">.  PECO Exc. at 5.  PECO avers that the ALJ completely ignored </w:t>
      </w:r>
      <w:r w:rsidR="00FC045B">
        <w:rPr>
          <w:szCs w:val="26"/>
        </w:rPr>
        <w:t>Section 57.14</w:t>
      </w:r>
      <w:r w:rsidR="006115DD">
        <w:rPr>
          <w:szCs w:val="26"/>
        </w:rPr>
        <w:t>(</w:t>
      </w:r>
      <w:r w:rsidR="003C1AB2">
        <w:rPr>
          <w:szCs w:val="26"/>
        </w:rPr>
        <w:t>d</w:t>
      </w:r>
      <w:r w:rsidR="006115DD">
        <w:rPr>
          <w:szCs w:val="26"/>
        </w:rPr>
        <w:t>)(2)</w:t>
      </w:r>
      <w:r w:rsidR="006F5D0B">
        <w:rPr>
          <w:szCs w:val="26"/>
        </w:rPr>
        <w:t>,</w:t>
      </w:r>
      <w:r w:rsidR="006115DD">
        <w:rPr>
          <w:szCs w:val="26"/>
        </w:rPr>
        <w:t xml:space="preserve"> which exempts instances of low voltage from causes beyond the utility’s control. </w:t>
      </w:r>
      <w:r w:rsidR="009C0421">
        <w:rPr>
          <w:szCs w:val="26"/>
        </w:rPr>
        <w:t xml:space="preserve"> PECO also avers that the Complainant did not demonstrate by substantial evidence that PECO violated the Commission’s regulations on June 30, 2010. </w:t>
      </w:r>
    </w:p>
    <w:p w:rsidR="006115DD" w:rsidRDefault="006115DD" w:rsidP="00DA4A5E">
      <w:pPr>
        <w:keepNext/>
        <w:rPr>
          <w:szCs w:val="26"/>
        </w:rPr>
      </w:pPr>
    </w:p>
    <w:p w:rsidR="007604B0" w:rsidRPr="007604B0" w:rsidRDefault="005D6B26" w:rsidP="00DA4A5E">
      <w:pPr>
        <w:keepNext/>
        <w:rPr>
          <w:szCs w:val="26"/>
        </w:rPr>
      </w:pPr>
      <w:r>
        <w:rPr>
          <w:szCs w:val="26"/>
        </w:rPr>
        <w:t xml:space="preserve">Section </w:t>
      </w:r>
      <w:r w:rsidR="007604B0" w:rsidRPr="007604B0">
        <w:rPr>
          <w:szCs w:val="26"/>
        </w:rPr>
        <w:t xml:space="preserve">57.14 governs service voltage provided by electric companies and the allowable voltage variation parameters.  Specifically, </w:t>
      </w:r>
      <w:r w:rsidR="007604B0">
        <w:rPr>
          <w:szCs w:val="26"/>
        </w:rPr>
        <w:t xml:space="preserve">Section 57.14 </w:t>
      </w:r>
      <w:r w:rsidR="007604B0" w:rsidRPr="007604B0">
        <w:rPr>
          <w:szCs w:val="26"/>
        </w:rPr>
        <w:t>provides</w:t>
      </w:r>
      <w:r w:rsidR="00DA4A5E">
        <w:rPr>
          <w:szCs w:val="26"/>
        </w:rPr>
        <w:t>,</w:t>
      </w:r>
      <w:r w:rsidR="007604B0">
        <w:rPr>
          <w:szCs w:val="26"/>
        </w:rPr>
        <w:t xml:space="preserve"> in pertinent part</w:t>
      </w:r>
      <w:r w:rsidR="00DA4A5E">
        <w:rPr>
          <w:szCs w:val="26"/>
        </w:rPr>
        <w:t>, as follows</w:t>
      </w:r>
      <w:r w:rsidR="007604B0" w:rsidRPr="007604B0">
        <w:rPr>
          <w:szCs w:val="26"/>
        </w:rPr>
        <w:t>:</w:t>
      </w:r>
    </w:p>
    <w:p w:rsidR="007604B0" w:rsidRDefault="007604B0" w:rsidP="007604B0">
      <w:pPr>
        <w:rPr>
          <w:sz w:val="24"/>
        </w:rPr>
      </w:pPr>
    </w:p>
    <w:p w:rsidR="007604B0" w:rsidRPr="007604B0" w:rsidRDefault="007604B0" w:rsidP="00DA4A5E">
      <w:pPr>
        <w:spacing w:line="240" w:lineRule="auto"/>
        <w:ind w:left="1440" w:right="1440" w:firstLine="0"/>
        <w:rPr>
          <w:szCs w:val="26"/>
        </w:rPr>
      </w:pPr>
      <w:r w:rsidRPr="007604B0">
        <w:rPr>
          <w:b/>
          <w:szCs w:val="26"/>
        </w:rPr>
        <w:t>§ 57.14 Service voltage.</w:t>
      </w:r>
    </w:p>
    <w:p w:rsidR="007604B0" w:rsidRPr="007604B0" w:rsidRDefault="007604B0" w:rsidP="007604B0">
      <w:pPr>
        <w:spacing w:line="240" w:lineRule="auto"/>
        <w:ind w:left="1440" w:right="1440"/>
        <w:rPr>
          <w:szCs w:val="26"/>
        </w:rPr>
      </w:pPr>
    </w:p>
    <w:p w:rsidR="007604B0" w:rsidRPr="007604B0" w:rsidRDefault="007604B0" w:rsidP="007604B0">
      <w:pPr>
        <w:spacing w:line="240" w:lineRule="auto"/>
        <w:ind w:left="1440" w:right="1440" w:firstLine="0"/>
        <w:jc w:val="center"/>
        <w:rPr>
          <w:szCs w:val="26"/>
        </w:rPr>
      </w:pPr>
      <w:r w:rsidRPr="007604B0">
        <w:rPr>
          <w:szCs w:val="26"/>
        </w:rPr>
        <w:t>* * * *</w:t>
      </w:r>
    </w:p>
    <w:p w:rsidR="007604B0" w:rsidRPr="007604B0" w:rsidRDefault="007604B0" w:rsidP="007604B0">
      <w:pPr>
        <w:spacing w:line="240" w:lineRule="auto"/>
        <w:ind w:left="1440" w:right="1440"/>
        <w:rPr>
          <w:szCs w:val="26"/>
        </w:rPr>
      </w:pPr>
    </w:p>
    <w:p w:rsidR="007604B0" w:rsidRPr="007604B0" w:rsidRDefault="007604B0" w:rsidP="007604B0">
      <w:pPr>
        <w:spacing w:line="240" w:lineRule="auto"/>
        <w:ind w:left="1440" w:right="1440" w:firstLine="360"/>
        <w:rPr>
          <w:szCs w:val="26"/>
        </w:rPr>
      </w:pPr>
      <w:r w:rsidRPr="007604B0">
        <w:rPr>
          <w:szCs w:val="26"/>
        </w:rPr>
        <w:t xml:space="preserve">(b) </w:t>
      </w:r>
      <w:r w:rsidRPr="007604B0">
        <w:rPr>
          <w:i/>
          <w:szCs w:val="26"/>
        </w:rPr>
        <w:t>Allowable voltage variation (primarily lighting)</w:t>
      </w:r>
      <w:r w:rsidRPr="007604B0">
        <w:rPr>
          <w:szCs w:val="26"/>
        </w:rPr>
        <w:t xml:space="preserve">.  For service rendered primarily for lighting purposes, the allowable variation in voltage measured at the service terminals of the customer may not exceed, for a longer period than 1 minute in each instance, 5% above or below the standard nominal service voltage and a total variation from </w:t>
      </w:r>
      <w:r w:rsidRPr="007604B0">
        <w:rPr>
          <w:szCs w:val="26"/>
        </w:rPr>
        <w:lastRenderedPageBreak/>
        <w:t>minimum to maximum of 8% during normal system operation.</w:t>
      </w:r>
    </w:p>
    <w:p w:rsidR="007604B0" w:rsidRPr="007604B0" w:rsidRDefault="007604B0" w:rsidP="007604B0">
      <w:pPr>
        <w:spacing w:line="240" w:lineRule="auto"/>
        <w:ind w:left="1440" w:right="1440" w:firstLine="360"/>
        <w:rPr>
          <w:szCs w:val="26"/>
        </w:rPr>
      </w:pPr>
    </w:p>
    <w:p w:rsidR="007604B0" w:rsidRDefault="007604B0" w:rsidP="007604B0">
      <w:pPr>
        <w:spacing w:line="240" w:lineRule="auto"/>
        <w:ind w:left="1440" w:right="1440" w:firstLine="360"/>
        <w:rPr>
          <w:szCs w:val="26"/>
        </w:rPr>
      </w:pPr>
      <w:r w:rsidRPr="007604B0">
        <w:rPr>
          <w:szCs w:val="26"/>
        </w:rPr>
        <w:t xml:space="preserve">(c) </w:t>
      </w:r>
      <w:r w:rsidRPr="007604B0">
        <w:rPr>
          <w:i/>
          <w:szCs w:val="26"/>
        </w:rPr>
        <w:t>Allowable voltage variation (primarily power)</w:t>
      </w:r>
      <w:r w:rsidRPr="007604B0">
        <w:rPr>
          <w:szCs w:val="26"/>
        </w:rPr>
        <w:t>.  For service rendered primarily for power purposes, the allowable variation in voltage measured at the service terminals of the customer may not exceed, for a longer period than 1 minute in each instance, 10% above or below the standard nominal service voltage during normal system operation.</w:t>
      </w:r>
    </w:p>
    <w:p w:rsidR="00A2769B" w:rsidRDefault="00A2769B" w:rsidP="007604B0">
      <w:pPr>
        <w:spacing w:line="240" w:lineRule="auto"/>
        <w:ind w:left="1440" w:right="1440" w:firstLine="360"/>
        <w:rPr>
          <w:szCs w:val="26"/>
        </w:rPr>
      </w:pPr>
    </w:p>
    <w:p w:rsidR="00A2769B" w:rsidRDefault="00A2769B" w:rsidP="003355E0">
      <w:pPr>
        <w:keepNext/>
        <w:spacing w:line="240" w:lineRule="auto"/>
        <w:ind w:left="1440" w:right="1440" w:firstLine="360"/>
        <w:rPr>
          <w:i/>
          <w:szCs w:val="26"/>
        </w:rPr>
      </w:pPr>
      <w:r>
        <w:rPr>
          <w:szCs w:val="26"/>
        </w:rPr>
        <w:t xml:space="preserve">(d) </w:t>
      </w:r>
      <w:r w:rsidRPr="00A2769B">
        <w:rPr>
          <w:i/>
          <w:szCs w:val="26"/>
        </w:rPr>
        <w:t>Variatio</w:t>
      </w:r>
      <w:r>
        <w:rPr>
          <w:i/>
          <w:szCs w:val="26"/>
        </w:rPr>
        <w:t>ns in excess of allowable limits.</w:t>
      </w:r>
    </w:p>
    <w:p w:rsidR="00EF5559" w:rsidRDefault="00EF5559" w:rsidP="003355E0">
      <w:pPr>
        <w:keepNext/>
        <w:spacing w:line="240" w:lineRule="auto"/>
        <w:ind w:left="1440" w:right="1440" w:firstLine="360"/>
        <w:rPr>
          <w:i/>
          <w:szCs w:val="26"/>
        </w:rPr>
      </w:pPr>
    </w:p>
    <w:p w:rsidR="00EF5559" w:rsidRPr="007604B0" w:rsidRDefault="00EF5559" w:rsidP="003355E0">
      <w:pPr>
        <w:keepNext/>
        <w:ind w:left="1440" w:right="1440" w:firstLine="0"/>
        <w:jc w:val="center"/>
        <w:rPr>
          <w:szCs w:val="26"/>
        </w:rPr>
      </w:pPr>
      <w:r w:rsidRPr="007604B0">
        <w:rPr>
          <w:szCs w:val="26"/>
        </w:rPr>
        <w:t>* * * *</w:t>
      </w:r>
    </w:p>
    <w:p w:rsidR="00A2769B" w:rsidRPr="00A2769B" w:rsidRDefault="00A2769B" w:rsidP="003355E0">
      <w:pPr>
        <w:keepNext/>
        <w:spacing w:line="240" w:lineRule="auto"/>
        <w:ind w:left="1440" w:right="1440" w:firstLine="360"/>
        <w:rPr>
          <w:szCs w:val="26"/>
        </w:rPr>
      </w:pPr>
      <w:r w:rsidRPr="00A2769B">
        <w:rPr>
          <w:szCs w:val="26"/>
        </w:rPr>
        <w:t>(2)</w:t>
      </w:r>
      <w:r>
        <w:rPr>
          <w:szCs w:val="26"/>
        </w:rPr>
        <w:t xml:space="preserve"> Variations of voltage in excess of those specific, caused by the operations of the facilities of the customer in violation of his contract or the field tariff rules of the public utility, or from causes beyond the control of the public utility, will not be considered as violations of this section. </w:t>
      </w:r>
    </w:p>
    <w:p w:rsidR="007604B0" w:rsidRPr="007604B0" w:rsidRDefault="007604B0" w:rsidP="007604B0">
      <w:pPr>
        <w:spacing w:line="240" w:lineRule="auto"/>
        <w:ind w:left="1440" w:right="1440"/>
        <w:rPr>
          <w:szCs w:val="26"/>
        </w:rPr>
      </w:pPr>
    </w:p>
    <w:p w:rsidR="00C73DFC" w:rsidRDefault="00C73DFC" w:rsidP="009C0421">
      <w:pPr>
        <w:pStyle w:val="Heading3"/>
        <w:spacing w:after="0"/>
      </w:pPr>
      <w:r>
        <w:t>ALJ’s Recommendation</w:t>
      </w:r>
    </w:p>
    <w:p w:rsidR="009C0421" w:rsidRPr="009C0421" w:rsidRDefault="009C0421" w:rsidP="009C0421">
      <w:pPr>
        <w:spacing w:line="240" w:lineRule="auto"/>
      </w:pPr>
    </w:p>
    <w:p w:rsidR="005D6B26" w:rsidRDefault="007604B0" w:rsidP="005D6B26">
      <w:r>
        <w:t xml:space="preserve">With regard to the </w:t>
      </w:r>
      <w:r w:rsidR="005D6B26">
        <w:t xml:space="preserve">low voltage incident that occurred on </w:t>
      </w:r>
      <w:r>
        <w:t xml:space="preserve">May 24, 2010, </w:t>
      </w:r>
      <w:r w:rsidR="005D6B26">
        <w:t xml:space="preserve">the ALJ found that </w:t>
      </w:r>
      <w:r>
        <w:t>substantial record evidence demonstrate</w:t>
      </w:r>
      <w:r w:rsidR="005D6B26">
        <w:t>d</w:t>
      </w:r>
      <w:r>
        <w:t xml:space="preserve"> that PECO violated Section 57.14</w:t>
      </w:r>
      <w:r w:rsidR="00FC045B">
        <w:t xml:space="preserve"> of the Commission’s regulations.</w:t>
      </w:r>
      <w:r w:rsidR="005D6B26">
        <w:t xml:space="preserve">  I.D. at 10.  The ALJ provided the following summary of the record evidence upon which he based his </w:t>
      </w:r>
      <w:r w:rsidR="00B22E62">
        <w:t>finding</w:t>
      </w:r>
      <w:r w:rsidR="005D6B26">
        <w:t xml:space="preserve">: </w:t>
      </w:r>
    </w:p>
    <w:p w:rsidR="005D6B26" w:rsidRDefault="005D6B26" w:rsidP="00D27B42">
      <w:pPr>
        <w:spacing w:line="240" w:lineRule="auto"/>
      </w:pPr>
    </w:p>
    <w:p w:rsidR="007604B0" w:rsidRDefault="007604B0" w:rsidP="005D6B26">
      <w:pPr>
        <w:spacing w:line="240" w:lineRule="auto"/>
        <w:ind w:left="1440" w:right="1440" w:firstLine="720"/>
      </w:pPr>
      <w:r>
        <w:t>Mr. Starzmann testified that on May 24, 2010</w:t>
      </w:r>
      <w:r w:rsidR="008C6357">
        <w:t>,</w:t>
      </w:r>
      <w:r>
        <w:t xml:space="preserve"> he experienced approximately 60 volts on his circuit instead of what should be 120 volts.  Tr. 9.  Mr. Starzmann, who is an engineer, indicated that he determined that he was only receiving 60 volts by testing his circuit with a volt meter that he purchased in 1977 from United Electric, a distributor house in Wilmington, Delaware.  Tr. 11.  Mr. Starzmann testified that his lights become very dim and any motor that is running, like the motor in his refrigerator, will start to growl when he has the incidents of low voltage.  Tr. 26.  Mr. Starzmann believes that PECO should have in place a system that senses voltage parameters on individual lines and that trips the line when those parameters are not met.  Tr. 13, 17.  </w:t>
      </w:r>
      <w:r>
        <w:lastRenderedPageBreak/>
        <w:t>Mr. Starzmann believes that such a process would prevent damage to motors or other equipment that rely on certain voltage levels.  Tr. 14.</w:t>
      </w:r>
    </w:p>
    <w:p w:rsidR="007604B0" w:rsidRDefault="007604B0" w:rsidP="005D6B26">
      <w:pPr>
        <w:spacing w:line="240" w:lineRule="auto"/>
        <w:ind w:left="1440" w:right="1440" w:firstLine="720"/>
      </w:pPr>
    </w:p>
    <w:p w:rsidR="007604B0" w:rsidRDefault="007604B0" w:rsidP="005D6B26">
      <w:pPr>
        <w:spacing w:line="240" w:lineRule="auto"/>
        <w:ind w:left="1440" w:right="1440" w:firstLine="720"/>
      </w:pPr>
      <w:r>
        <w:t>PECO Exhibit Number 2 indicates that Mr. Starzmann called PECO on May 24, 2010 to report dim/flickering lights.  PECO Exh. No. 2.  Additionally, PECO’s witness, Mr. Alan Baldwin, testified that, according to PECO Exhibit Number 1, the incident lasted for forty-seven (47) minutes and was caused by a “burnt C phase tap on pole 97.”  PECO Exh. No.</w:t>
      </w:r>
      <w:r w:rsidR="005937BA">
        <w:t> </w:t>
      </w:r>
      <w:r>
        <w:t>1.  Mr. Baldwin testified that the troubleman who responded to the call believed the incident was caused by a lightning strike that broke the insulators and severed a connection.  Tr. 36.  Mr. Baldwin testified that this caused some customers to be without power and that it is possible, although rare, that it could have caused other customers to experience low voltage.  Tr. 36.  To fix the situation, the PECO repairmen transferred the load to another source and remade the connection.  Tr. 37.  Mr. Baldwin recognized that the incident on May 24</w:t>
      </w:r>
      <w:r w:rsidRPr="006858A2">
        <w:rPr>
          <w:vertAlign w:val="superscript"/>
        </w:rPr>
        <w:t>th</w:t>
      </w:r>
      <w:r>
        <w:t xml:space="preserve"> could have led to half voltage circumstances.  Tr. 44. </w:t>
      </w:r>
    </w:p>
    <w:p w:rsidR="005D6B26" w:rsidRDefault="005D6B26" w:rsidP="005D6B26">
      <w:pPr>
        <w:spacing w:line="240" w:lineRule="auto"/>
        <w:ind w:left="1440" w:right="1440" w:firstLine="720"/>
      </w:pPr>
    </w:p>
    <w:p w:rsidR="005D6B26" w:rsidRDefault="002533A0" w:rsidP="002533A0">
      <w:pPr>
        <w:ind w:firstLine="0"/>
      </w:pPr>
      <w:r>
        <w:t>I.D. at 9-10.</w:t>
      </w:r>
    </w:p>
    <w:p w:rsidR="003355E0" w:rsidRDefault="003355E0" w:rsidP="00C73DFC">
      <w:pPr>
        <w:rPr>
          <w:sz w:val="24"/>
        </w:rPr>
      </w:pPr>
    </w:p>
    <w:p w:rsidR="00C73DFC" w:rsidRDefault="003355E0" w:rsidP="00956B12">
      <w:r>
        <w:t>From the record evidence, the ALJ found that PE</w:t>
      </w:r>
      <w:r w:rsidR="00C73DFC">
        <w:t xml:space="preserve">CO exceeded the “allowable variation in voltage measured at the service terminal of the customer… for a longer period than 1 minute in each instance, 5% above or below the standard nominal voltage and total variation from minimum to maximum of 8% during normal system operation” as is </w:t>
      </w:r>
      <w:r w:rsidR="00B22E62">
        <w:t xml:space="preserve">prohibited </w:t>
      </w:r>
      <w:r w:rsidR="00C73DFC">
        <w:t>by Section 57.14(b) of the Commission’s regulations</w:t>
      </w:r>
      <w:r w:rsidR="00707C9F">
        <w:t>.</w:t>
      </w:r>
      <w:r w:rsidR="00C73DFC">
        <w:t xml:space="preserve">  </w:t>
      </w:r>
      <w:r w:rsidR="00956B12">
        <w:t>I.D.</w:t>
      </w:r>
      <w:r w:rsidR="005937BA">
        <w:t> </w:t>
      </w:r>
      <w:r w:rsidR="00956B12">
        <w:t>at</w:t>
      </w:r>
      <w:r w:rsidR="005937BA">
        <w:t> </w:t>
      </w:r>
      <w:r w:rsidR="00956B12">
        <w:t xml:space="preserve">10.  The ALJ pointed to </w:t>
      </w:r>
      <w:r w:rsidR="00C73DFC">
        <w:t>Mr. Starzmann</w:t>
      </w:r>
      <w:r w:rsidR="00956B12">
        <w:t xml:space="preserve">’s testimony </w:t>
      </w:r>
      <w:r w:rsidR="00C73DFC">
        <w:t xml:space="preserve">that, using his own meter, the voltage showed </w:t>
      </w:r>
      <w:r w:rsidR="00956B12">
        <w:t xml:space="preserve">sixty </w:t>
      </w:r>
      <w:r w:rsidR="00C73DFC">
        <w:t xml:space="preserve">volts and the PECO exhibits showed that the incident lasted for forty-seven minutes.  </w:t>
      </w:r>
      <w:r w:rsidR="00956B12">
        <w:t>The ALJ submitted that b</w:t>
      </w:r>
      <w:r w:rsidR="00C73DFC">
        <w:t xml:space="preserve">oth of these </w:t>
      </w:r>
      <w:r w:rsidR="00956B12">
        <w:t xml:space="preserve">parameters </w:t>
      </w:r>
      <w:r w:rsidR="00C73DFC">
        <w:t>exceed</w:t>
      </w:r>
      <w:r w:rsidR="00956B12">
        <w:t>ed</w:t>
      </w:r>
      <w:r w:rsidR="00C73DFC">
        <w:t xml:space="preserve"> the threshold</w:t>
      </w:r>
      <w:r w:rsidR="00956B12">
        <w:t>s</w:t>
      </w:r>
      <w:r w:rsidR="00C73DFC">
        <w:t xml:space="preserve"> allowed in Section 57.14.</w:t>
      </w:r>
      <w:r w:rsidR="00956B12">
        <w:t xml:space="preserve">  </w:t>
      </w:r>
      <w:r w:rsidR="00D27B42" w:rsidRPr="00D27B42">
        <w:rPr>
          <w:i/>
        </w:rPr>
        <w:t>Id.</w:t>
      </w:r>
      <w:r w:rsidR="00D27B42">
        <w:t xml:space="preserve"> </w:t>
      </w:r>
    </w:p>
    <w:p w:rsidR="00C73DFC" w:rsidRDefault="00C73DFC" w:rsidP="00C73DFC">
      <w:pPr>
        <w:rPr>
          <w:sz w:val="24"/>
        </w:rPr>
      </w:pPr>
    </w:p>
    <w:p w:rsidR="00C73DFC" w:rsidRPr="00124DEF" w:rsidRDefault="00956B12" w:rsidP="00124DEF">
      <w:pPr>
        <w:rPr>
          <w:i/>
        </w:rPr>
      </w:pPr>
      <w:r>
        <w:t xml:space="preserve">The ALJ acknowledged </w:t>
      </w:r>
      <w:r w:rsidR="00C73DFC">
        <w:t>PECO</w:t>
      </w:r>
      <w:r>
        <w:t>’s argument that a</w:t>
      </w:r>
      <w:r w:rsidR="00C73DFC">
        <w:t xml:space="preserve"> low voltage incident </w:t>
      </w:r>
      <w:r>
        <w:t xml:space="preserve">caused </w:t>
      </w:r>
      <w:r w:rsidR="00C73DFC">
        <w:t xml:space="preserve">by a lightning </w:t>
      </w:r>
      <w:r w:rsidR="00B22E62">
        <w:t xml:space="preserve">strike </w:t>
      </w:r>
      <w:r w:rsidR="00124DEF">
        <w:t xml:space="preserve">does not meet the </w:t>
      </w:r>
      <w:r w:rsidR="00C73DFC">
        <w:t xml:space="preserve">“during normal system operation” </w:t>
      </w:r>
      <w:r w:rsidR="00124DEF">
        <w:t xml:space="preserve">criteria </w:t>
      </w:r>
      <w:r w:rsidR="00C73DFC">
        <w:lastRenderedPageBreak/>
        <w:t xml:space="preserve">under Section 57.14.  </w:t>
      </w:r>
      <w:r w:rsidR="00124DEF">
        <w:t>However, the ALJ</w:t>
      </w:r>
      <w:r w:rsidR="00C73DFC">
        <w:t xml:space="preserve"> f</w:t>
      </w:r>
      <w:r w:rsidR="00124DEF">
        <w:t>ound</w:t>
      </w:r>
      <w:r w:rsidR="00C73DFC">
        <w:t xml:space="preserve"> this argument to be unpersuasive.  </w:t>
      </w:r>
      <w:r w:rsidR="00124DEF">
        <w:t xml:space="preserve">The ALJ stated that </w:t>
      </w:r>
      <w:r w:rsidR="00F100C6">
        <w:t>“[</w:t>
      </w:r>
      <w:r w:rsidR="00124DEF">
        <w:t>w</w:t>
      </w:r>
      <w:r w:rsidR="00F100C6">
        <w:t>]</w:t>
      </w:r>
      <w:r w:rsidR="00C73DFC">
        <w:t xml:space="preserve">hile </w:t>
      </w:r>
      <w:r w:rsidR="00124DEF">
        <w:t xml:space="preserve">lightning strikes are </w:t>
      </w:r>
      <w:r w:rsidR="00C73DFC">
        <w:t xml:space="preserve">certainly not an everyday occurrence, </w:t>
      </w:r>
      <w:r w:rsidR="00124DEF">
        <w:t xml:space="preserve">they </w:t>
      </w:r>
      <w:r w:rsidR="00C73DFC">
        <w:t xml:space="preserve">are also not so rare that PECO’s distribution system should not be able to avoid low voltage situations </w:t>
      </w:r>
      <w:r w:rsidR="00124DEF">
        <w:t>or that PE</w:t>
      </w:r>
      <w:r w:rsidR="00C73DFC">
        <w:t>CO should not be subject to a civil penalty under the Commission’s regulations if such an incident occurs.</w:t>
      </w:r>
      <w:r w:rsidR="00F100C6">
        <w:t>”</w:t>
      </w:r>
      <w:r w:rsidR="00C73DFC">
        <w:t xml:space="preserve">  </w:t>
      </w:r>
      <w:r w:rsidR="00124DEF">
        <w:t>I.D. at 10-11.  The ALJ reasoned that “[c]</w:t>
      </w:r>
      <w:r w:rsidR="00C73DFC">
        <w:t>ertainly, low voltage situations do not arise every time there is a lightning strike.</w:t>
      </w:r>
      <w:r w:rsidR="00124DEF">
        <w:t xml:space="preserve">”  </w:t>
      </w:r>
      <w:r w:rsidR="00124DEF" w:rsidRPr="00124DEF">
        <w:rPr>
          <w:i/>
        </w:rPr>
        <w:t>Id.</w:t>
      </w:r>
      <w:r w:rsidR="00124DEF">
        <w:t xml:space="preserve"> at 11.  The ALJ concluded that, </w:t>
      </w:r>
      <w:r w:rsidR="00B22E62">
        <w:t>while</w:t>
      </w:r>
      <w:r w:rsidR="00C73DFC">
        <w:t xml:space="preserve"> this incident of low voltage may have been caused by a lightning strike</w:t>
      </w:r>
      <w:r w:rsidR="00124DEF">
        <w:t xml:space="preserve">, </w:t>
      </w:r>
      <w:r w:rsidR="00B22E62">
        <w:t xml:space="preserve">it was </w:t>
      </w:r>
      <w:r w:rsidR="00C73DFC">
        <w:t>not out of “normal system operation” and does not negate the violation of Section 57.14.</w:t>
      </w:r>
      <w:r w:rsidR="00124DEF">
        <w:t xml:space="preserve">  </w:t>
      </w:r>
      <w:r w:rsidR="004F3833" w:rsidRPr="00D27B42">
        <w:rPr>
          <w:i/>
        </w:rPr>
        <w:t>I</w:t>
      </w:r>
      <w:r w:rsidR="00D27B42" w:rsidRPr="00D27B42">
        <w:rPr>
          <w:i/>
        </w:rPr>
        <w:t>d.</w:t>
      </w:r>
      <w:r w:rsidR="00D27B42">
        <w:t xml:space="preserve"> </w:t>
      </w:r>
      <w:r w:rsidR="00124DEF" w:rsidRPr="00124DEF">
        <w:rPr>
          <w:i/>
        </w:rPr>
        <w:t xml:space="preserve"> </w:t>
      </w:r>
    </w:p>
    <w:p w:rsidR="00C73DFC" w:rsidRDefault="00C73DFC" w:rsidP="007604B0">
      <w:pPr>
        <w:rPr>
          <w:sz w:val="24"/>
        </w:rPr>
      </w:pPr>
    </w:p>
    <w:p w:rsidR="00082B20" w:rsidRDefault="00082B20" w:rsidP="00E35788">
      <w:r>
        <w:t>The ALJ also found that PECO violated Section 57.14 of the Commission’s regulations with regard to the allegations of low voltage on June 11, 2010.  The ALJ stated that</w:t>
      </w:r>
      <w:r w:rsidR="00D27B42">
        <w:t>,</w:t>
      </w:r>
      <w:r>
        <w:t xml:space="preserve"> </w:t>
      </w:r>
      <w:r w:rsidR="006F5D0B">
        <w:t>according to PECO Exhibit No.</w:t>
      </w:r>
      <w:r>
        <w:t xml:space="preserve"> 1, Mr. Starzmann experienced low voltage for 1,840 minutes, or thirty hours and forty minutes, on June 11, 2010.  The ALJ noted th</w:t>
      </w:r>
      <w:r w:rsidR="00B22E62">
        <w:t>at</w:t>
      </w:r>
      <w:r>
        <w:t xml:space="preserve"> PECO</w:t>
      </w:r>
      <w:r w:rsidR="00B22E62">
        <w:t>’s</w:t>
      </w:r>
      <w:r>
        <w:t xml:space="preserve"> witness</w:t>
      </w:r>
      <w:r w:rsidR="00B22E62">
        <w:t xml:space="preserve">, Mr. Baldwin, </w:t>
      </w:r>
      <w:r w:rsidR="00E35788">
        <w:t xml:space="preserve">testified </w:t>
      </w:r>
      <w:r>
        <w:t xml:space="preserve">that scheduled maintenance was being performed by PECO and that, during such instances, the Company will reconfigure the system to allow the work to be done safely.  </w:t>
      </w:r>
      <w:r w:rsidR="00E35788">
        <w:t xml:space="preserve">The ALJ also noted </w:t>
      </w:r>
      <w:r>
        <w:t>Mr. Baldwin</w:t>
      </w:r>
      <w:r w:rsidR="00E35788">
        <w:t>’s testimony that PECO wo</w:t>
      </w:r>
      <w:r>
        <w:t>uld not knowingly reconfigure the system to create a half voltage incident but</w:t>
      </w:r>
      <w:r w:rsidR="00E35788">
        <w:t xml:space="preserve"> that it is </w:t>
      </w:r>
      <w:r>
        <w:t xml:space="preserve">conceivable that </w:t>
      </w:r>
      <w:r w:rsidR="00E35788">
        <w:t xml:space="preserve">there may have been </w:t>
      </w:r>
      <w:r>
        <w:t>marginally low voltage</w:t>
      </w:r>
      <w:r w:rsidR="00E35788">
        <w:t xml:space="preserve">. </w:t>
      </w:r>
      <w:r w:rsidR="00932E6E">
        <w:t xml:space="preserve"> </w:t>
      </w:r>
      <w:r w:rsidR="00E35788">
        <w:t xml:space="preserve">The ALJ </w:t>
      </w:r>
      <w:r w:rsidR="00B22E62">
        <w:t xml:space="preserve">concluded </w:t>
      </w:r>
      <w:r w:rsidR="00E35788">
        <w:t>that</w:t>
      </w:r>
      <w:r w:rsidR="00D27B42">
        <w:t>,</w:t>
      </w:r>
      <w:r w:rsidR="00E35788">
        <w:t xml:space="preserve"> while </w:t>
      </w:r>
      <w:r>
        <w:t xml:space="preserve">Mr. Baldwin contested any assertion that the voltage would go to half in such an instance, a variation of half is not required in order to violate Section 57.14.  </w:t>
      </w:r>
      <w:r w:rsidR="00E35788">
        <w:t>The ALJ reasoned that o</w:t>
      </w:r>
      <w:r>
        <w:t xml:space="preserve">nly a variation of greater than </w:t>
      </w:r>
      <w:r w:rsidR="008C6357">
        <w:t xml:space="preserve">five to ten percent </w:t>
      </w:r>
      <w:r>
        <w:t xml:space="preserve">is required.  </w:t>
      </w:r>
      <w:r w:rsidR="00E35788">
        <w:t>The ALJ found that</w:t>
      </w:r>
      <w:r w:rsidR="00707C9F">
        <w:t>,</w:t>
      </w:r>
      <w:r w:rsidR="00E35788">
        <w:t xml:space="preserve"> b</w:t>
      </w:r>
      <w:r>
        <w:t xml:space="preserve">ased on Mr. Baldwin’s testimony that “it is conceivable that we perhaps may have had marginally low voltage,” and the notation of “LV” (or low voltage) in PECO’s own exhibits, </w:t>
      </w:r>
      <w:r w:rsidR="00E35788">
        <w:t>the evidence demonstrates</w:t>
      </w:r>
      <w:r>
        <w:t xml:space="preserve"> that Mr. Starzmann did in fact experience a low voltage incident on June 11, 2010</w:t>
      </w:r>
      <w:r w:rsidR="004F3833">
        <w:t>,</w:t>
      </w:r>
      <w:r>
        <w:t xml:space="preserve"> in violation of Section 57.14</w:t>
      </w:r>
      <w:r w:rsidR="00E35788">
        <w:t xml:space="preserve">.  I.D. at 11-12. </w:t>
      </w:r>
    </w:p>
    <w:p w:rsidR="007914C3" w:rsidRDefault="007914C3" w:rsidP="007604B0">
      <w:pPr>
        <w:rPr>
          <w:sz w:val="24"/>
        </w:rPr>
      </w:pPr>
    </w:p>
    <w:p w:rsidR="00E35788" w:rsidRDefault="00DF297B" w:rsidP="009C0421">
      <w:pPr>
        <w:pStyle w:val="Heading3"/>
        <w:spacing w:before="0" w:after="0"/>
      </w:pPr>
      <w:r>
        <w:lastRenderedPageBreak/>
        <w:t>PECO’s Exceptions</w:t>
      </w:r>
    </w:p>
    <w:p w:rsidR="009C0421" w:rsidRPr="009C0421" w:rsidRDefault="009C0421" w:rsidP="009C0421">
      <w:pPr>
        <w:spacing w:line="240" w:lineRule="auto"/>
      </w:pPr>
    </w:p>
    <w:p w:rsidR="001C142B" w:rsidRDefault="005C158C" w:rsidP="00DF297B">
      <w:r>
        <w:t xml:space="preserve">PECO argues that the ALJ’s finding of a violation of Section 57.14 for the May 24, 2010 and June 11, 2010 incidents is incorrect as a matter of law, </w:t>
      </w:r>
      <w:r w:rsidR="00B22E62">
        <w:t>and</w:t>
      </w:r>
      <w:r>
        <w:t xml:space="preserve"> must be rejected.  PECO states that on its face, Section 57.14 sets forth allowable voltage variances “during normal system operations.”  PECO Exc. at 7.  PECO submits that</w:t>
      </w:r>
      <w:r w:rsidR="00707C9F">
        <w:t>,</w:t>
      </w:r>
      <w:r>
        <w:t xml:space="preserve"> in order for the ALJ to find </w:t>
      </w:r>
      <w:r w:rsidR="00B22E62">
        <w:t xml:space="preserve">that </w:t>
      </w:r>
      <w:r>
        <w:t xml:space="preserve">PECO violated Section </w:t>
      </w:r>
      <w:r w:rsidR="00B317F9">
        <w:t>5</w:t>
      </w:r>
      <w:r>
        <w:t xml:space="preserve">7.14, the ALJ had to conclude that the low voltage incidents occurred during “normal system operation.” </w:t>
      </w:r>
      <w:r w:rsidR="004F3833">
        <w:t xml:space="preserve"> </w:t>
      </w:r>
      <w:r w:rsidRPr="005C158C">
        <w:rPr>
          <w:i/>
        </w:rPr>
        <w:t>Id.</w:t>
      </w:r>
      <w:r>
        <w:t xml:space="preserve">   </w:t>
      </w:r>
    </w:p>
    <w:p w:rsidR="009C0421" w:rsidRDefault="009C0421" w:rsidP="00DF297B"/>
    <w:p w:rsidR="00DF297B" w:rsidRDefault="00B22E62" w:rsidP="00DF297B">
      <w:r>
        <w:t xml:space="preserve">With respect to the low voltage incident on May 24, 2010, </w:t>
      </w:r>
      <w:r w:rsidR="005C158C">
        <w:t xml:space="preserve">PECO avers that </w:t>
      </w:r>
      <w:r w:rsidR="001C142B">
        <w:t>an “outage” caused by a lightning strike is not “normal system operation.”  PECO Exc. at</w:t>
      </w:r>
      <w:r w:rsidR="00B317F9">
        <w:t> </w:t>
      </w:r>
      <w:r w:rsidR="005D256D">
        <w:t>8</w:t>
      </w:r>
      <w:r w:rsidR="001C142B">
        <w:t>.  PECO states that</w:t>
      </w:r>
      <w:r w:rsidR="005D256D">
        <w:t>, “</w:t>
      </w:r>
      <w:r w:rsidR="001C142B">
        <w:t xml:space="preserve">if a storm outage is considered ‘normal system operation,’ then one is left to wonder what circumstances could be considered outside of normal operations.”  </w:t>
      </w:r>
      <w:r w:rsidR="001C142B" w:rsidRPr="001C142B">
        <w:rPr>
          <w:i/>
        </w:rPr>
        <w:t>Id.</w:t>
      </w:r>
      <w:r w:rsidR="001C142B">
        <w:t xml:space="preserve">  PECO also avers that the June 11, 2010 incident </w:t>
      </w:r>
      <w:r>
        <w:t xml:space="preserve">also </w:t>
      </w:r>
      <w:r w:rsidR="001C142B">
        <w:t xml:space="preserve">cannot </w:t>
      </w:r>
      <w:r w:rsidR="005D256D">
        <w:t>reasonably</w:t>
      </w:r>
      <w:r w:rsidR="001C142B">
        <w:t xml:space="preserve"> be said to have occurred </w:t>
      </w:r>
      <w:r w:rsidR="005D256D">
        <w:t xml:space="preserve">during normal system operation.  PECO explains </w:t>
      </w:r>
      <w:r>
        <w:t xml:space="preserve">that </w:t>
      </w:r>
      <w:r w:rsidR="005D256D">
        <w:t>on June</w:t>
      </w:r>
      <w:r w:rsidR="00B317F9">
        <w:t> </w:t>
      </w:r>
      <w:r w:rsidR="005D256D">
        <w:t>11, 2010, a main circuit was taken out of configuration temporarily for safety purposes, and t</w:t>
      </w:r>
      <w:r w:rsidR="008C6357">
        <w:t xml:space="preserve">hat it was “restored to normal” </w:t>
      </w:r>
      <w:r w:rsidR="005D256D">
        <w:t xml:space="preserve">later that day.  </w:t>
      </w:r>
      <w:r w:rsidR="005D256D" w:rsidRPr="005D256D">
        <w:rPr>
          <w:i/>
        </w:rPr>
        <w:t xml:space="preserve">Id. </w:t>
      </w:r>
      <w:r w:rsidR="005D256D">
        <w:rPr>
          <w:i/>
        </w:rPr>
        <w:t xml:space="preserve"> </w:t>
      </w:r>
      <w:r w:rsidR="005D256D">
        <w:t>PECO argues that</w:t>
      </w:r>
      <w:r w:rsidR="00707C9F">
        <w:t>,</w:t>
      </w:r>
      <w:r w:rsidR="005D256D">
        <w:t xml:space="preserve"> if the configuration was “returned to normal” at some point, then implicitly, the configuration was not “normal” for some period of time.  </w:t>
      </w:r>
      <w:r w:rsidR="005D256D" w:rsidRPr="005D256D">
        <w:rPr>
          <w:i/>
        </w:rPr>
        <w:t>Id.</w:t>
      </w:r>
      <w:r w:rsidR="005D256D">
        <w:t xml:space="preserve"> </w:t>
      </w:r>
    </w:p>
    <w:p w:rsidR="00F2248B" w:rsidRDefault="00F2248B" w:rsidP="00DF297B"/>
    <w:p w:rsidR="00F2248B" w:rsidRDefault="00B22E62" w:rsidP="00DF297B">
      <w:r>
        <w:t>PECO notes</w:t>
      </w:r>
      <w:r w:rsidR="00F2248B">
        <w:t xml:space="preserve"> that the ALJ rejected the system upgrades </w:t>
      </w:r>
      <w:r>
        <w:t xml:space="preserve">requested </w:t>
      </w:r>
      <w:r w:rsidR="00667684">
        <w:t>by Mr. </w:t>
      </w:r>
      <w:r w:rsidR="000720D0">
        <w:t xml:space="preserve">Starzmann and found them to be “excessive and unnecessary.”  Exc. at 8. </w:t>
      </w:r>
      <w:r w:rsidR="00B92CB6">
        <w:t xml:space="preserve"> </w:t>
      </w:r>
      <w:r w:rsidR="000720D0">
        <w:t xml:space="preserve">PECO also </w:t>
      </w:r>
      <w:r w:rsidR="00B92CB6">
        <w:t>note</w:t>
      </w:r>
      <w:r>
        <w:t>s</w:t>
      </w:r>
      <w:r w:rsidR="00B92CB6">
        <w:t xml:space="preserve"> that the ALJ found that these incidents of low voltage are not indicative of a larger problem with PECO’s distribution network and the service it provides to Mr. Starzmann.  </w:t>
      </w:r>
      <w:r w:rsidR="00B92CB6" w:rsidRPr="00B92CB6">
        <w:rPr>
          <w:i/>
        </w:rPr>
        <w:t>Id.</w:t>
      </w:r>
      <w:r w:rsidR="00AD5FFB">
        <w:rPr>
          <w:i/>
        </w:rPr>
        <w:t xml:space="preserve"> </w:t>
      </w:r>
      <w:r w:rsidR="00AD5FFB" w:rsidRPr="0002107F">
        <w:t>at 9.</w:t>
      </w:r>
      <w:r w:rsidR="00B92CB6">
        <w:t xml:space="preserve"> </w:t>
      </w:r>
      <w:r w:rsidR="000720D0">
        <w:t xml:space="preserve"> </w:t>
      </w:r>
      <w:r w:rsidR="00B92CB6">
        <w:t>PECO opines that the ALJ found that low voltage is bound to occur at certain times and at some points on the distribution system</w:t>
      </w:r>
      <w:r w:rsidR="00197676">
        <w:t>,</w:t>
      </w:r>
      <w:r w:rsidR="00B92CB6">
        <w:t xml:space="preserve"> and it would take an unreasonable and excessive amount of effort to protect against all incidences of low voltage.  </w:t>
      </w:r>
      <w:r w:rsidR="00AD5FFB">
        <w:t>PECO argues that</w:t>
      </w:r>
      <w:r w:rsidR="00707C9F">
        <w:t>,</w:t>
      </w:r>
      <w:r w:rsidR="00AD5FFB">
        <w:t xml:space="preserve"> if it is acknowledged that low voltage will occur from time to time throughout a distribution system, and that no amount of effort can completely prevent </w:t>
      </w:r>
      <w:r w:rsidR="00AD5FFB">
        <w:lastRenderedPageBreak/>
        <w:t xml:space="preserve">incidents of low voltage, then it is not reasonable to impose civil penalties against a utility when low voltage occurs under normal system conditions.  </w:t>
      </w:r>
      <w:r w:rsidR="00AD5FFB" w:rsidRPr="00AD5FFB">
        <w:rPr>
          <w:i/>
        </w:rPr>
        <w:t>Id.</w:t>
      </w:r>
      <w:r w:rsidR="00AD5FFB">
        <w:t xml:space="preserve">   </w:t>
      </w:r>
    </w:p>
    <w:p w:rsidR="009C0421" w:rsidRDefault="009C0421" w:rsidP="00DF297B"/>
    <w:p w:rsidR="00C60BF5" w:rsidRDefault="00964FF6" w:rsidP="00DF297B">
      <w:r>
        <w:t>PE</w:t>
      </w:r>
      <w:r w:rsidR="006F5D0B">
        <w:t>CO also submits that the ALJ’s F</w:t>
      </w:r>
      <w:r>
        <w:t xml:space="preserve">indings of </w:t>
      </w:r>
      <w:r w:rsidR="006F5D0B">
        <w:t>F</w:t>
      </w:r>
      <w:r>
        <w:t>act regarding the June 11, 2010 incident are not support</w:t>
      </w:r>
      <w:r w:rsidR="00197676">
        <w:t>ed</w:t>
      </w:r>
      <w:r>
        <w:t xml:space="preserve"> by substantial record evidence and</w:t>
      </w:r>
      <w:r w:rsidR="00B317F9">
        <w:t>,</w:t>
      </w:r>
      <w:r>
        <w:t xml:space="preserve"> therefore</w:t>
      </w:r>
      <w:r w:rsidR="00B317F9">
        <w:t>,</w:t>
      </w:r>
      <w:r>
        <w:t xml:space="preserve"> should not be accepted by the Commission.  PECO states that a review of the record reveals that the Complainant produced no evidence about a low voltage episode on June 11, 2010.  </w:t>
      </w:r>
      <w:r w:rsidR="004F3833">
        <w:t xml:space="preserve">Additionally, </w:t>
      </w:r>
      <w:r>
        <w:t xml:space="preserve">PECO avers that the Complainant’s testimony at the hearing consisted of generalized discussions of low-voltage tests he performed using a thirty-four year-old </w:t>
      </w:r>
      <w:r w:rsidR="00D46131">
        <w:t>un</w:t>
      </w:r>
      <w:r>
        <w:t>ca</w:t>
      </w:r>
      <w:r w:rsidR="004F3833">
        <w:t>l</w:t>
      </w:r>
      <w:r>
        <w:t xml:space="preserve">ibrated voltmeter </w:t>
      </w:r>
      <w:r w:rsidR="00D46131">
        <w:t xml:space="preserve">with no independent corroboration.  </w:t>
      </w:r>
      <w:r w:rsidR="00012686">
        <w:t>Exc. at 12.</w:t>
      </w:r>
    </w:p>
    <w:p w:rsidR="00C60BF5" w:rsidRDefault="00C60BF5" w:rsidP="00DF297B"/>
    <w:p w:rsidR="00AC2D9A" w:rsidRDefault="00D46131" w:rsidP="00DF297B">
      <w:r>
        <w:t>PECO states that</w:t>
      </w:r>
      <w:r w:rsidR="00012686">
        <w:t>, in reaching his findings on the June 11, 2010 incident,</w:t>
      </w:r>
      <w:r>
        <w:t xml:space="preserve"> the ALJ appears to have relied solely on the “LV” (low voltage) notation on PECO Exh</w:t>
      </w:r>
      <w:r w:rsidR="00012686">
        <w:t>ibit</w:t>
      </w:r>
      <w:r w:rsidR="006F5D0B">
        <w:t xml:space="preserve"> No.</w:t>
      </w:r>
      <w:r>
        <w:t xml:space="preserve"> 1 and hypothetical testimony by PECO witness Baldwin that “it is conceivable that we perhaps may have ha</w:t>
      </w:r>
      <w:r w:rsidR="00012686">
        <w:t>d</w:t>
      </w:r>
      <w:r>
        <w:t xml:space="preserve"> marginally low voltage.” </w:t>
      </w:r>
      <w:r w:rsidR="00197676">
        <w:t xml:space="preserve"> </w:t>
      </w:r>
      <w:r>
        <w:t xml:space="preserve">Exc. at 13.  </w:t>
      </w:r>
      <w:r w:rsidR="00012686">
        <w:t>PECO explains that the “LV” designation on Exhibit 1 just reflect</w:t>
      </w:r>
      <w:r w:rsidR="00197676">
        <w:t>s</w:t>
      </w:r>
      <w:r w:rsidR="00012686">
        <w:t xml:space="preserve"> a report of low voltage by Mr. Starzmann based on a call by Ms. Starzmann, not proof that low voltage actually occurred.  PECO also submits that</w:t>
      </w:r>
      <w:r w:rsidR="00707C9F">
        <w:t>,</w:t>
      </w:r>
      <w:r w:rsidR="00012686">
        <w:t xml:space="preserve"> while the ALJ may have focused on Mr. Baldwin’s statement that marginal low voltage could have been experienced, Mr. Baldwin</w:t>
      </w:r>
      <w:r w:rsidR="001C073E">
        <w:t xml:space="preserve"> also testified that it is highly unlikely that the Complainant experienced any substantial voltage sag on June 11, 2010.  </w:t>
      </w:r>
      <w:r w:rsidR="001C073E" w:rsidRPr="001C073E">
        <w:rPr>
          <w:i/>
        </w:rPr>
        <w:t>Id.</w:t>
      </w:r>
      <w:r w:rsidR="001C073E">
        <w:t xml:space="preserve"> </w:t>
      </w:r>
      <w:r w:rsidR="00012686">
        <w:t xml:space="preserve">  </w:t>
      </w:r>
    </w:p>
    <w:p w:rsidR="00AC2D9A" w:rsidRDefault="00AC2D9A" w:rsidP="00DF297B"/>
    <w:p w:rsidR="00D7584A" w:rsidRDefault="002917E3" w:rsidP="00DF297B">
      <w:r>
        <w:t xml:space="preserve">PECO </w:t>
      </w:r>
      <w:r w:rsidR="00CA3C92">
        <w:t xml:space="preserve">contends </w:t>
      </w:r>
      <w:r>
        <w:t>that contrary to the ALJ’s findings</w:t>
      </w:r>
      <w:r w:rsidR="00CA3C92">
        <w:t>,</w:t>
      </w:r>
      <w:r>
        <w:t xml:space="preserve"> that the June 11, 2010 low voltage event lasted more than thirty hours, there is no evidence in the record to indicate how long Mr. Starzmann allegedly experienced low voltage on that day.  PECO avers that the ALJ’s findings </w:t>
      </w:r>
      <w:r w:rsidR="00197676">
        <w:t xml:space="preserve">regarding </w:t>
      </w:r>
      <w:r>
        <w:t xml:space="preserve">the June 11, 2010 incident were based solely on a report from PECO’s outage management system (PECO Exhibit </w:t>
      </w:r>
      <w:r w:rsidR="006F5D0B">
        <w:t xml:space="preserve">No. </w:t>
      </w:r>
      <w:r>
        <w:t>1) that references a duration of 1</w:t>
      </w:r>
      <w:r w:rsidR="00C81124">
        <w:t>,</w:t>
      </w:r>
      <w:r>
        <w:t xml:space="preserve">840 minutes.  PECO explains that </w:t>
      </w:r>
      <w:r w:rsidR="00C81124">
        <w:t xml:space="preserve">the 1,840 minutes </w:t>
      </w:r>
      <w:r w:rsidR="00197676">
        <w:t xml:space="preserve">was </w:t>
      </w:r>
      <w:r w:rsidR="00C81124">
        <w:t xml:space="preserve">the length of time </w:t>
      </w:r>
      <w:r w:rsidR="00C81124">
        <w:lastRenderedPageBreak/>
        <w:t xml:space="preserve">it took PECO to close the investigation of the incident and does not </w:t>
      </w:r>
      <w:r w:rsidR="00197676">
        <w:t>support</w:t>
      </w:r>
      <w:r w:rsidR="00C81124">
        <w:t xml:space="preserve"> a conclusion that Mr. Starzmann experienced low voltage for thirty straight hours. </w:t>
      </w:r>
      <w:r w:rsidR="00D7584A">
        <w:t xml:space="preserve"> Exc. at 13. </w:t>
      </w:r>
      <w:r>
        <w:t xml:space="preserve"> </w:t>
      </w:r>
    </w:p>
    <w:p w:rsidR="00D7584A" w:rsidRDefault="00D7584A" w:rsidP="00DF297B"/>
    <w:p w:rsidR="00D7584A" w:rsidRDefault="00D7584A" w:rsidP="00707C9F">
      <w:pPr>
        <w:pStyle w:val="Heading3"/>
        <w:spacing w:before="0" w:after="100" w:afterAutospacing="1" w:line="240" w:lineRule="auto"/>
      </w:pPr>
      <w:r>
        <w:t xml:space="preserve">Disposition </w:t>
      </w:r>
    </w:p>
    <w:p w:rsidR="00667684" w:rsidRPr="00667684" w:rsidRDefault="00667684" w:rsidP="00667684"/>
    <w:p w:rsidR="000B43D3" w:rsidRDefault="008F5BF5" w:rsidP="00707C9F">
      <w:pPr>
        <w:pStyle w:val="Heading4"/>
        <w:keepNext/>
        <w:numPr>
          <w:ilvl w:val="0"/>
          <w:numId w:val="0"/>
        </w:numPr>
        <w:spacing w:before="0" w:beforeAutospacing="0" w:after="0" w:afterAutospacing="0" w:line="240" w:lineRule="auto"/>
        <w:ind w:left="2160"/>
      </w:pPr>
      <w:r>
        <w:t>(a)</w:t>
      </w:r>
      <w:r w:rsidR="00D3485A">
        <w:tab/>
      </w:r>
      <w:r w:rsidR="000B43D3">
        <w:t>May 24, 2010 Incident</w:t>
      </w:r>
    </w:p>
    <w:p w:rsidR="000B43D3" w:rsidRDefault="000B43D3" w:rsidP="00707C9F">
      <w:pPr>
        <w:pStyle w:val="Heading4"/>
        <w:keepNext/>
        <w:numPr>
          <w:ilvl w:val="0"/>
          <w:numId w:val="0"/>
        </w:numPr>
        <w:spacing w:before="0" w:beforeAutospacing="0" w:after="0" w:afterAutospacing="0" w:line="240" w:lineRule="auto"/>
        <w:ind w:left="2520"/>
      </w:pPr>
    </w:p>
    <w:p w:rsidR="008F5BF5" w:rsidRDefault="00E54837" w:rsidP="00707C9F">
      <w:pPr>
        <w:keepNext/>
      </w:pPr>
      <w:r>
        <w:t xml:space="preserve">We </w:t>
      </w:r>
      <w:r w:rsidR="006F5D0B">
        <w:t>disagree</w:t>
      </w:r>
      <w:r>
        <w:t xml:space="preserve"> with the ALJ that the record evidence in this proceeding supports a finding that PECO violated Section 5</w:t>
      </w:r>
      <w:r w:rsidR="004B7044">
        <w:t>7</w:t>
      </w:r>
      <w:r>
        <w:t>.14 as a result of the incident on May</w:t>
      </w:r>
      <w:r w:rsidR="004B7044">
        <w:t> </w:t>
      </w:r>
      <w:r>
        <w:t xml:space="preserve">24, 2010.  As </w:t>
      </w:r>
      <w:r w:rsidR="008F5BF5">
        <w:t>noted</w:t>
      </w:r>
      <w:r>
        <w:t xml:space="preserve">, </w:t>
      </w:r>
      <w:r w:rsidRPr="00E54837">
        <w:rPr>
          <w:i/>
        </w:rPr>
        <w:t>supra</w:t>
      </w:r>
      <w:r>
        <w:t>, Section 5</w:t>
      </w:r>
      <w:r w:rsidR="004B7044">
        <w:t>7</w:t>
      </w:r>
      <w:r>
        <w:t xml:space="preserve">.14(d) provides that </w:t>
      </w:r>
      <w:r w:rsidR="006E3407">
        <w:t xml:space="preserve">variations in service voltage that result from causes beyond the control of the public utility will not be considered violations of this section.  </w:t>
      </w:r>
      <w:r w:rsidR="00F97B00">
        <w:t xml:space="preserve">The record indicates that the low voltage incident experienced by Mr. Starzmann on May 24, 2010, </w:t>
      </w:r>
      <w:r w:rsidR="000B43D3">
        <w:t xml:space="preserve">was believed to be the result of a </w:t>
      </w:r>
      <w:r w:rsidR="00F97B00">
        <w:t>burnt C phase tap on Pole 987</w:t>
      </w:r>
      <w:r w:rsidR="00BA0BCC">
        <w:rPr>
          <w:rStyle w:val="FootnoteReference"/>
        </w:rPr>
        <w:footnoteReference w:id="1"/>
      </w:r>
      <w:r w:rsidR="00F97B00">
        <w:t xml:space="preserve"> that was likely caused by a lightning strike that broke the insulators and severed the connection.  </w:t>
      </w:r>
      <w:r w:rsidR="000B43D3">
        <w:t>Findings of Fact Nos. 25 and 26, I.D at 6;</w:t>
      </w:r>
      <w:r w:rsidR="008F5BF5">
        <w:t xml:space="preserve"> </w:t>
      </w:r>
      <w:r w:rsidR="00667684">
        <w:t>Tr. at </w:t>
      </w:r>
      <w:r w:rsidR="00F97B00">
        <w:t>35</w:t>
      </w:r>
      <w:r w:rsidR="000B43D3">
        <w:t>;</w:t>
      </w:r>
      <w:r w:rsidR="00F97B00">
        <w:t xml:space="preserve"> </w:t>
      </w:r>
      <w:r w:rsidR="008F5BF5">
        <w:t xml:space="preserve"> </w:t>
      </w:r>
      <w:r w:rsidR="00F97B00">
        <w:t>PECO Exh</w:t>
      </w:r>
      <w:r w:rsidR="00144A9E">
        <w:t>.</w:t>
      </w:r>
      <w:r w:rsidR="00F97B00">
        <w:t xml:space="preserve"> 1.  </w:t>
      </w:r>
      <w:r w:rsidR="006E3407">
        <w:t>I</w:t>
      </w:r>
      <w:r w:rsidR="00F100C6">
        <w:t>n addressing the May 24, 2010 incident, t</w:t>
      </w:r>
      <w:r w:rsidR="004C7083">
        <w:t xml:space="preserve">he ALJ </w:t>
      </w:r>
      <w:r w:rsidR="00F100C6">
        <w:t xml:space="preserve">reasoned </w:t>
      </w:r>
      <w:r w:rsidR="006E3407">
        <w:t>“</w:t>
      </w:r>
      <w:r w:rsidR="00F100C6">
        <w:t xml:space="preserve">that </w:t>
      </w:r>
      <w:r w:rsidR="004C7083">
        <w:t>lightning strikes are not so rare that PECO’s distribution system should not be able to avoid low voltage situations or that PECO should not be subject to a civil penalty under the Commission’s regulations if such an incident occurs.</w:t>
      </w:r>
      <w:r w:rsidR="006E3407">
        <w:t>”</w:t>
      </w:r>
      <w:r w:rsidR="004C7083">
        <w:t xml:space="preserve">  I.D. at 10-11.  </w:t>
      </w:r>
      <w:r w:rsidR="00DC1285">
        <w:t xml:space="preserve">However, </w:t>
      </w:r>
      <w:r w:rsidR="00BE1D38">
        <w:t xml:space="preserve">in addressing the magnitude of the proposed fine against PECO, </w:t>
      </w:r>
      <w:r w:rsidR="00DC1285">
        <w:t>the ALJ also stated that “[l]</w:t>
      </w:r>
      <w:r w:rsidR="00136AA1">
        <w:t>ightning strikes are not rare, but it is not clear what remedial action PECO could take to prevent low voltage outages from occurring as a result of future lightning strikes.”</w:t>
      </w:r>
      <w:r w:rsidR="00637B3B">
        <w:rPr>
          <w:rStyle w:val="FootnoteReference"/>
        </w:rPr>
        <w:footnoteReference w:id="2"/>
      </w:r>
      <w:r w:rsidR="00136AA1">
        <w:t xml:space="preserve">  I.D. at 16.</w:t>
      </w:r>
    </w:p>
    <w:p w:rsidR="008F5BF5" w:rsidRDefault="008F5BF5" w:rsidP="004C7083"/>
    <w:p w:rsidR="00560DCA" w:rsidRDefault="00BA1A5A" w:rsidP="004C7083">
      <w:r>
        <w:lastRenderedPageBreak/>
        <w:t>We are of the opinion that t</w:t>
      </w:r>
      <w:r w:rsidR="006E3407">
        <w:t xml:space="preserve">he record in this proceeding does </w:t>
      </w:r>
      <w:r w:rsidR="00373C0A">
        <w:t xml:space="preserve">not </w:t>
      </w:r>
      <w:r w:rsidR="006E3407">
        <w:t xml:space="preserve">support a finding that </w:t>
      </w:r>
      <w:r w:rsidR="00DC1285">
        <w:t xml:space="preserve">the </w:t>
      </w:r>
      <w:r w:rsidR="00144A9E">
        <w:t xml:space="preserve">low voltage experienced by Mr. Starzmann on May 24, 2010, was the result of inadequate </w:t>
      </w:r>
      <w:r w:rsidR="00DC1285">
        <w:t>design</w:t>
      </w:r>
      <w:r w:rsidR="00D3485A">
        <w:t>,</w:t>
      </w:r>
      <w:r w:rsidR="00DC1285">
        <w:t xml:space="preserve"> maintenance </w:t>
      </w:r>
      <w:r w:rsidR="00D3485A">
        <w:t xml:space="preserve">or operation </w:t>
      </w:r>
      <w:r w:rsidR="00144A9E">
        <w:t xml:space="preserve">of </w:t>
      </w:r>
      <w:r w:rsidR="00BA0BCC">
        <w:t xml:space="preserve">PECO </w:t>
      </w:r>
      <w:r w:rsidR="00DC1285">
        <w:t>facilities</w:t>
      </w:r>
      <w:r w:rsidR="00144A9E">
        <w:t xml:space="preserve">.  </w:t>
      </w:r>
      <w:r>
        <w:t xml:space="preserve">In our view, </w:t>
      </w:r>
      <w:r w:rsidR="00144A9E">
        <w:t>the record supports a finding that the low voltage incident on May 24, 2010</w:t>
      </w:r>
      <w:r w:rsidR="009E6F71">
        <w:t>,</w:t>
      </w:r>
      <w:r w:rsidR="00144A9E">
        <w:t xml:space="preserve"> </w:t>
      </w:r>
      <w:r w:rsidR="009E6F71">
        <w:t>resulted from causes beyond the control of PECO and does not constitute a violation of Section 57.14.  Consequently, we will not adopt the ALJ’s recommendation</w:t>
      </w:r>
      <w:r w:rsidR="008F5BF5" w:rsidRPr="008F5BF5">
        <w:t xml:space="preserve"> </w:t>
      </w:r>
      <w:r w:rsidR="00E84613">
        <w:t xml:space="preserve">that </w:t>
      </w:r>
      <w:r>
        <w:t xml:space="preserve">assesses a </w:t>
      </w:r>
      <w:r w:rsidR="00D13E3D">
        <w:t xml:space="preserve">civil </w:t>
      </w:r>
      <w:r>
        <w:t xml:space="preserve">penalty on </w:t>
      </w:r>
      <w:r w:rsidR="008F5BF5">
        <w:t xml:space="preserve">PECO </w:t>
      </w:r>
      <w:r w:rsidR="00E84613">
        <w:t xml:space="preserve">for </w:t>
      </w:r>
      <w:r w:rsidR="008F5BF5">
        <w:t>violat</w:t>
      </w:r>
      <w:r w:rsidR="00E84613">
        <w:t>ing</w:t>
      </w:r>
      <w:r w:rsidR="008F5BF5">
        <w:t xml:space="preserve"> Section 54.14 </w:t>
      </w:r>
      <w:r>
        <w:t xml:space="preserve">of our regulations </w:t>
      </w:r>
      <w:r w:rsidR="008F5BF5">
        <w:t>as a result of the incident on May 24, 2010</w:t>
      </w:r>
      <w:r w:rsidR="00E84613">
        <w:t>.</w:t>
      </w:r>
    </w:p>
    <w:p w:rsidR="00BE1D38" w:rsidRDefault="00BE1D38" w:rsidP="004C7083"/>
    <w:p w:rsidR="000B43D3" w:rsidRDefault="008F5BF5" w:rsidP="00D3485A">
      <w:pPr>
        <w:pStyle w:val="Heading4"/>
        <w:keepNext/>
        <w:numPr>
          <w:ilvl w:val="0"/>
          <w:numId w:val="0"/>
        </w:numPr>
        <w:spacing w:before="0" w:beforeAutospacing="0" w:after="0" w:afterAutospacing="0" w:line="240" w:lineRule="auto"/>
        <w:ind w:left="2520"/>
      </w:pPr>
      <w:r>
        <w:t>(b)</w:t>
      </w:r>
      <w:r w:rsidR="00F66F99">
        <w:tab/>
      </w:r>
      <w:r w:rsidR="00560DCA">
        <w:t>June 11, 2010 Incident</w:t>
      </w:r>
    </w:p>
    <w:p w:rsidR="00560DCA" w:rsidRDefault="00560DCA" w:rsidP="00D3485A">
      <w:pPr>
        <w:pStyle w:val="Heading4"/>
        <w:keepNext/>
        <w:numPr>
          <w:ilvl w:val="0"/>
          <w:numId w:val="0"/>
        </w:numPr>
        <w:spacing w:before="0" w:beforeAutospacing="0" w:after="0" w:afterAutospacing="0" w:line="240" w:lineRule="auto"/>
        <w:ind w:left="2160"/>
      </w:pPr>
    </w:p>
    <w:p w:rsidR="00E35788" w:rsidRDefault="00560DCA" w:rsidP="00197676">
      <w:pPr>
        <w:keepNext/>
      </w:pPr>
      <w:r>
        <w:t xml:space="preserve">We </w:t>
      </w:r>
      <w:r w:rsidR="008F5BF5">
        <w:t xml:space="preserve">also </w:t>
      </w:r>
      <w:r>
        <w:t>find th</w:t>
      </w:r>
      <w:r w:rsidR="00F26A7B">
        <w:t>at</w:t>
      </w:r>
      <w:r>
        <w:t xml:space="preserve"> </w:t>
      </w:r>
      <w:r w:rsidR="00D327D3">
        <w:t>the ALJ</w:t>
      </w:r>
      <w:r w:rsidR="00BC6905">
        <w:t xml:space="preserve">’s recommendation that PECO be </w:t>
      </w:r>
      <w:r w:rsidR="00D13E3D">
        <w:t>assessed a civil penalty f</w:t>
      </w:r>
      <w:r w:rsidR="00BC6905">
        <w:t xml:space="preserve">or a low voltage incident on June 11, 2010, </w:t>
      </w:r>
      <w:r w:rsidR="00F66F99">
        <w:t>is</w:t>
      </w:r>
      <w:r w:rsidR="00BC6905">
        <w:t xml:space="preserve"> based on the incorrect assumption that Mr. Starzmann reported such an incident.</w:t>
      </w:r>
      <w:r w:rsidR="00D327D3">
        <w:t xml:space="preserve">  </w:t>
      </w:r>
      <w:r w:rsidR="00197676">
        <w:t>Other than</w:t>
      </w:r>
      <w:r w:rsidR="00B116AA">
        <w:t xml:space="preserve"> </w:t>
      </w:r>
      <w:r w:rsidR="00D327D3">
        <w:t>Mr. Starzmann</w:t>
      </w:r>
      <w:r w:rsidR="00B116AA">
        <w:t>’s averments that he experienced low voltage incidents during the 1980s,</w:t>
      </w:r>
      <w:r w:rsidR="00814001" w:rsidRPr="00E93F3C">
        <w:t xml:space="preserve"> </w:t>
      </w:r>
      <w:r w:rsidR="00B116AA">
        <w:t>Mr. Starzmann’s Complaint and testimony only address</w:t>
      </w:r>
      <w:r w:rsidR="00BC6905">
        <w:t>ed</w:t>
      </w:r>
      <w:r w:rsidR="00B116AA">
        <w:t xml:space="preserve"> the May 24, 2010 incident.  Moreover, in his </w:t>
      </w:r>
      <w:r w:rsidR="00197676">
        <w:t>Answer</w:t>
      </w:r>
      <w:r w:rsidR="00B116AA">
        <w:t xml:space="preserve"> to PECO’s New Matter, the Complainant noted PECO’s references to June 1, </w:t>
      </w:r>
      <w:r w:rsidR="00F66F99">
        <w:t>2010</w:t>
      </w:r>
      <w:r w:rsidR="006F5D0B">
        <w:t>,</w:t>
      </w:r>
      <w:r w:rsidR="00B116AA">
        <w:t xml:space="preserve"> and June</w:t>
      </w:r>
      <w:r w:rsidR="00D13E3D">
        <w:t> </w:t>
      </w:r>
      <w:r w:rsidR="00B116AA">
        <w:t>11, 2010</w:t>
      </w:r>
      <w:r w:rsidR="00FA0348">
        <w:t>, and</w:t>
      </w:r>
      <w:r w:rsidR="00B116AA">
        <w:t xml:space="preserve"> stated that he “was not aware of, nor did he report a power quality issue on those June dates.”  </w:t>
      </w:r>
      <w:r w:rsidR="00AD381D">
        <w:t xml:space="preserve">Starzmann Answer at 3.  </w:t>
      </w:r>
      <w:r w:rsidR="00421C8E">
        <w:t xml:space="preserve">Consequently, </w:t>
      </w:r>
      <w:r w:rsidR="00197676">
        <w:t>we shall reverse t</w:t>
      </w:r>
      <w:r w:rsidR="00421C8E">
        <w:t xml:space="preserve">he ALJ’s recommendation </w:t>
      </w:r>
      <w:r w:rsidR="00D13E3D">
        <w:t xml:space="preserve">that </w:t>
      </w:r>
      <w:r w:rsidR="00197676">
        <w:t>impose</w:t>
      </w:r>
      <w:r w:rsidR="00D13E3D">
        <w:t>s</w:t>
      </w:r>
      <w:r w:rsidR="00197676">
        <w:t xml:space="preserve"> a civil penalty on PECO </w:t>
      </w:r>
      <w:r w:rsidR="00421C8E">
        <w:t xml:space="preserve">for a low voltage incident on </w:t>
      </w:r>
      <w:r w:rsidR="00A920CF">
        <w:t>June 11, 2010,</w:t>
      </w:r>
      <w:r w:rsidR="00421C8E">
        <w:t xml:space="preserve"> </w:t>
      </w:r>
      <w:r w:rsidR="00197676">
        <w:t>as beyond the scope of the Complaint.</w:t>
      </w:r>
    </w:p>
    <w:p w:rsidR="00197676" w:rsidRDefault="00197676" w:rsidP="00197676">
      <w:pPr>
        <w:keepNext/>
        <w:rPr>
          <w:sz w:val="24"/>
        </w:rPr>
      </w:pPr>
    </w:p>
    <w:p w:rsidR="00C73DFC" w:rsidRDefault="00A47E51" w:rsidP="00A47E51">
      <w:pPr>
        <w:pStyle w:val="Heading2"/>
      </w:pPr>
      <w:r>
        <w:t>C.</w:t>
      </w:r>
      <w:r>
        <w:tab/>
        <w:t>Complainant’s Customer Service Concerns</w:t>
      </w:r>
    </w:p>
    <w:p w:rsidR="00A47E51" w:rsidRDefault="00A47E51" w:rsidP="0090331F">
      <w:pPr>
        <w:spacing w:line="240" w:lineRule="auto"/>
      </w:pPr>
    </w:p>
    <w:p w:rsidR="00972CDD" w:rsidRPr="00833755" w:rsidRDefault="0090331F" w:rsidP="00972CDD">
      <w:pPr>
        <w:rPr>
          <w:szCs w:val="26"/>
        </w:rPr>
      </w:pPr>
      <w:r w:rsidRPr="00833755">
        <w:rPr>
          <w:szCs w:val="26"/>
        </w:rPr>
        <w:t>In his Complaint</w:t>
      </w:r>
      <w:r>
        <w:rPr>
          <w:szCs w:val="26"/>
        </w:rPr>
        <w:t xml:space="preserve">, </w:t>
      </w:r>
      <w:r w:rsidR="00972CDD" w:rsidRPr="00833755">
        <w:rPr>
          <w:szCs w:val="26"/>
        </w:rPr>
        <w:t>Mr. Starzmann argued that PECO’s customer service response was inadequate.  Mr. Starzmann stated that “this phone number generally has an automatic response to push phone telephone buttons in answer to prerecorded standard questions; not to follow-up with a discussion with a PECO representative.”  Complaint at</w:t>
      </w:r>
      <w:r w:rsidR="00D13E3D">
        <w:rPr>
          <w:szCs w:val="26"/>
        </w:rPr>
        <w:t> </w:t>
      </w:r>
      <w:r w:rsidR="00972CDD" w:rsidRPr="00833755">
        <w:rPr>
          <w:szCs w:val="26"/>
        </w:rPr>
        <w:t>2.</w:t>
      </w:r>
    </w:p>
    <w:p w:rsidR="00972CDD" w:rsidRPr="00833755" w:rsidRDefault="00972CDD" w:rsidP="00972CDD">
      <w:pPr>
        <w:rPr>
          <w:szCs w:val="26"/>
        </w:rPr>
      </w:pPr>
    </w:p>
    <w:p w:rsidR="00972CDD" w:rsidRDefault="00972CDD" w:rsidP="00972CDD">
      <w:pPr>
        <w:rPr>
          <w:szCs w:val="26"/>
        </w:rPr>
      </w:pPr>
      <w:r w:rsidRPr="00833755">
        <w:rPr>
          <w:szCs w:val="26"/>
        </w:rPr>
        <w:lastRenderedPageBreak/>
        <w:t xml:space="preserve">The ALJ </w:t>
      </w:r>
      <w:r w:rsidR="00833755" w:rsidRPr="00833755">
        <w:rPr>
          <w:szCs w:val="26"/>
        </w:rPr>
        <w:t xml:space="preserve">noted that </w:t>
      </w:r>
      <w:r w:rsidRPr="00833755">
        <w:rPr>
          <w:szCs w:val="26"/>
        </w:rPr>
        <w:t xml:space="preserve">Mr. Starzmann is clearly frustrated by PECO’s handling of his situation.  </w:t>
      </w:r>
      <w:r w:rsidR="00833755" w:rsidRPr="00833755">
        <w:rPr>
          <w:szCs w:val="26"/>
        </w:rPr>
        <w:t>The ALJ stated that “[n]</w:t>
      </w:r>
      <w:r w:rsidRPr="00833755">
        <w:rPr>
          <w:szCs w:val="26"/>
        </w:rPr>
        <w:t>onetheless, Mr. Starzmann’s arguments regarding PECO’s customer service response are not sufficient to make a finding of any violation of a Commission Order or regulation, or of the Company’s own Commission-approved tariffs.</w:t>
      </w:r>
      <w:r w:rsidR="00833755" w:rsidRPr="00833755">
        <w:rPr>
          <w:szCs w:val="26"/>
        </w:rPr>
        <w:t>”</w:t>
      </w:r>
      <w:r w:rsidR="00D30D2A">
        <w:rPr>
          <w:rStyle w:val="FootnoteReference"/>
          <w:szCs w:val="26"/>
        </w:rPr>
        <w:footnoteReference w:id="3"/>
      </w:r>
      <w:r w:rsidR="00833755" w:rsidRPr="00833755">
        <w:rPr>
          <w:szCs w:val="26"/>
        </w:rPr>
        <w:t xml:space="preserve">  I.D. at 19.  </w:t>
      </w:r>
      <w:r w:rsidRPr="00833755">
        <w:rPr>
          <w:szCs w:val="26"/>
        </w:rPr>
        <w:t xml:space="preserve">The </w:t>
      </w:r>
      <w:r w:rsidR="00833755" w:rsidRPr="00833755">
        <w:rPr>
          <w:szCs w:val="26"/>
        </w:rPr>
        <w:t xml:space="preserve">ALJ pointed out that the </w:t>
      </w:r>
      <w:r w:rsidRPr="00833755">
        <w:rPr>
          <w:szCs w:val="26"/>
        </w:rPr>
        <w:t xml:space="preserve">Commission is aware of the customer service processes of electric distribution companies in general, especially during outages, and has held hearings on how to improve such processes.  </w:t>
      </w:r>
      <w:r w:rsidR="00833755" w:rsidRPr="00833755">
        <w:rPr>
          <w:szCs w:val="26"/>
        </w:rPr>
        <w:t xml:space="preserve">The ALJ also reached the following conclusions: </w:t>
      </w:r>
    </w:p>
    <w:p w:rsidR="00833755" w:rsidRDefault="00833755" w:rsidP="00972CDD">
      <w:pPr>
        <w:rPr>
          <w:szCs w:val="26"/>
        </w:rPr>
      </w:pPr>
    </w:p>
    <w:p w:rsidR="00972CDD" w:rsidRPr="008C180B" w:rsidRDefault="00972CDD" w:rsidP="00833755">
      <w:pPr>
        <w:spacing w:after="120" w:line="240" w:lineRule="auto"/>
        <w:ind w:left="1440" w:right="1440" w:firstLine="720"/>
        <w:rPr>
          <w:szCs w:val="26"/>
        </w:rPr>
      </w:pPr>
      <w:r w:rsidRPr="008C180B">
        <w:rPr>
          <w:szCs w:val="26"/>
        </w:rPr>
        <w:t xml:space="preserve">Issues such as customer service are generally managerial decisions.  It is long established that the Commission may not interfere in the management of a utility unless an abuse of discretion or arbitrary action by the utility has been shown.  </w:t>
      </w:r>
      <w:r w:rsidRPr="008C180B">
        <w:rPr>
          <w:szCs w:val="26"/>
          <w:u w:val="single"/>
        </w:rPr>
        <w:t>Pa. P.U.C. v. Philadelphia Electric Co.</w:t>
      </w:r>
      <w:r w:rsidRPr="008C180B">
        <w:rPr>
          <w:szCs w:val="26"/>
        </w:rPr>
        <w:t>, 561 A.2d 1224 (Pa. 1989).  The Commission lacks the statutory power to sit as a super</w:t>
      </w:r>
      <w:r w:rsidRPr="008C180B">
        <w:rPr>
          <w:szCs w:val="26"/>
        </w:rPr>
        <w:noBreakHyphen/>
        <w:t xml:space="preserve">board of directors for utilities and may not invade utility business decisions.  Absent express legislative authority, the Commission may not interfere with general management decisions of public utilities.  </w:t>
      </w:r>
      <w:r w:rsidRPr="008C180B">
        <w:rPr>
          <w:szCs w:val="26"/>
          <w:u w:val="single"/>
        </w:rPr>
        <w:t>Id.</w:t>
      </w:r>
      <w:r w:rsidRPr="008C180B">
        <w:rPr>
          <w:szCs w:val="26"/>
        </w:rPr>
        <w:t xml:space="preserve">  There is not substantial evidence in the record in this proceeding that supports a finding that PECO’s customer service response is inadequate.  Mr. Starzmann’s arguments to the contrary should be denied.</w:t>
      </w:r>
    </w:p>
    <w:p w:rsidR="00667684" w:rsidRDefault="00667684" w:rsidP="00833755">
      <w:pPr>
        <w:ind w:firstLine="0"/>
      </w:pPr>
    </w:p>
    <w:p w:rsidR="00A47E51" w:rsidRDefault="00833755" w:rsidP="00833755">
      <w:pPr>
        <w:ind w:firstLine="0"/>
      </w:pPr>
      <w:r>
        <w:t>I.D. at 19-20.</w:t>
      </w:r>
    </w:p>
    <w:p w:rsidR="00833755" w:rsidRPr="00A47E51" w:rsidRDefault="00833755" w:rsidP="00833755">
      <w:pPr>
        <w:ind w:firstLine="0"/>
      </w:pPr>
    </w:p>
    <w:p w:rsidR="00D30D2A" w:rsidRDefault="008C180B" w:rsidP="00D30D2A">
      <w:pPr>
        <w:rPr>
          <w:szCs w:val="26"/>
        </w:rPr>
      </w:pPr>
      <w:r>
        <w:t>We</w:t>
      </w:r>
      <w:r w:rsidR="00833755">
        <w:t xml:space="preserve"> concur with the ALJ that </w:t>
      </w:r>
      <w:r>
        <w:t xml:space="preserve">there is not sufficient record evidence </w:t>
      </w:r>
      <w:r w:rsidRPr="00833755">
        <w:rPr>
          <w:szCs w:val="26"/>
        </w:rPr>
        <w:t>to make a finding of a</w:t>
      </w:r>
      <w:r>
        <w:rPr>
          <w:szCs w:val="26"/>
        </w:rPr>
        <w:t xml:space="preserve"> </w:t>
      </w:r>
      <w:r w:rsidRPr="00833755">
        <w:rPr>
          <w:szCs w:val="26"/>
        </w:rPr>
        <w:t xml:space="preserve">violation of a Commission Order or regulation, or of </w:t>
      </w:r>
      <w:r>
        <w:rPr>
          <w:szCs w:val="26"/>
        </w:rPr>
        <w:t xml:space="preserve">PECO’s </w:t>
      </w:r>
      <w:r w:rsidRPr="00833755">
        <w:rPr>
          <w:szCs w:val="26"/>
        </w:rPr>
        <w:t>tariff</w:t>
      </w:r>
      <w:r>
        <w:rPr>
          <w:szCs w:val="26"/>
        </w:rPr>
        <w:t xml:space="preserve">.  However in light of the ALJ’s conclusions, </w:t>
      </w:r>
      <w:r w:rsidRPr="008C180B">
        <w:rPr>
          <w:i/>
          <w:szCs w:val="26"/>
        </w:rPr>
        <w:t>supra</w:t>
      </w:r>
      <w:r>
        <w:rPr>
          <w:szCs w:val="26"/>
        </w:rPr>
        <w:t xml:space="preserve">, we find it necessary to make a clarification of our </w:t>
      </w:r>
      <w:r w:rsidR="0090331F">
        <w:rPr>
          <w:szCs w:val="26"/>
        </w:rPr>
        <w:t xml:space="preserve">authority and activities related to the performance of </w:t>
      </w:r>
      <w:r>
        <w:rPr>
          <w:szCs w:val="26"/>
        </w:rPr>
        <w:t>electric utility customer service</w:t>
      </w:r>
      <w:r w:rsidR="00903013">
        <w:rPr>
          <w:szCs w:val="26"/>
        </w:rPr>
        <w:t xml:space="preserve"> </w:t>
      </w:r>
      <w:r w:rsidR="0090331F">
        <w:rPr>
          <w:szCs w:val="26"/>
        </w:rPr>
        <w:t>functions.</w:t>
      </w:r>
    </w:p>
    <w:p w:rsidR="00FC12B7" w:rsidRDefault="003D6034" w:rsidP="005D2676">
      <w:r>
        <w:lastRenderedPageBreak/>
        <w:t xml:space="preserve">The </w:t>
      </w:r>
      <w:r w:rsidR="00047F2F">
        <w:t xml:space="preserve">Electricity Generation Customer Choice and Competition Act (Act) of 1996, 66 Pa. C.S. §§ 2801-2812, requires, </w:t>
      </w:r>
      <w:r w:rsidR="00047F2F" w:rsidRPr="00047F2F">
        <w:rPr>
          <w:i/>
        </w:rPr>
        <w:t>inter alia</w:t>
      </w:r>
      <w:r w:rsidR="00047F2F">
        <w:t xml:space="preserve">, that electric distribution companies (EDCs) maintain, at a minimum, the levels of customer service that were in existence prior to the effective dates of the </w:t>
      </w:r>
      <w:r w:rsidR="0045665F">
        <w:t>A</w:t>
      </w:r>
      <w:r w:rsidR="00047F2F">
        <w:t>ct.</w:t>
      </w:r>
      <w:r>
        <w:rPr>
          <w:rStyle w:val="FootnoteReference"/>
        </w:rPr>
        <w:footnoteReference w:id="4"/>
      </w:r>
      <w:r w:rsidR="00047F2F">
        <w:t xml:space="preserve">  In response</w:t>
      </w:r>
      <w:r w:rsidR="00903013">
        <w:t xml:space="preserve"> to the Act</w:t>
      </w:r>
      <w:r w:rsidR="00047F2F">
        <w:t xml:space="preserve">, the Commission took steps to ensure the continued provision of high-quality customer service through the implementation of regulations at 52 Pa. Code </w:t>
      </w:r>
      <w:r>
        <w:t xml:space="preserve">§§ </w:t>
      </w:r>
      <w:r w:rsidR="00047F2F">
        <w:t>54.151</w:t>
      </w:r>
      <w:r>
        <w:t xml:space="preserve">-54.156 </w:t>
      </w:r>
      <w:r w:rsidR="00047F2F">
        <w:t>that</w:t>
      </w:r>
      <w:r w:rsidR="00F66F99">
        <w:t xml:space="preserve">, </w:t>
      </w:r>
      <w:r w:rsidR="00F66F99" w:rsidRPr="00F66F99">
        <w:rPr>
          <w:i/>
        </w:rPr>
        <w:t>inter alia</w:t>
      </w:r>
      <w:r w:rsidR="00F66F99">
        <w:t xml:space="preserve">, </w:t>
      </w:r>
      <w:r w:rsidR="00047F2F">
        <w:t xml:space="preserve">require the EDCs to report statistics on important components of customer service, including timely response to customer </w:t>
      </w:r>
      <w:r w:rsidR="0045665F">
        <w:t xml:space="preserve">calls and </w:t>
      </w:r>
      <w:r w:rsidR="00047F2F">
        <w:t>disputes</w:t>
      </w:r>
      <w:r w:rsidR="00903013">
        <w:t>,</w:t>
      </w:r>
      <w:r w:rsidR="0045665F">
        <w:t xml:space="preserve"> and customer satisfaction</w:t>
      </w:r>
      <w:r w:rsidR="006F7E19">
        <w:t>.</w:t>
      </w:r>
      <w:r w:rsidR="0045665F">
        <w:t xml:space="preserve"> </w:t>
      </w:r>
      <w:r w:rsidR="00C807D0">
        <w:t xml:space="preserve"> The EDCs have been submitting annual reports to the Commission since February 2002</w:t>
      </w:r>
      <w:r w:rsidR="005D2676">
        <w:t>,</w:t>
      </w:r>
      <w:r w:rsidR="00C807D0">
        <w:t xml:space="preserve"> and the Commission has released Annual Customer Performance Reports for the EDCs (and Natural Gas Distribution Utilities).  Consequently, </w:t>
      </w:r>
      <w:r w:rsidR="00F66F99">
        <w:t xml:space="preserve">pursuant to the Act, </w:t>
      </w:r>
      <w:r w:rsidR="00C807D0">
        <w:t>the Commission</w:t>
      </w:r>
      <w:r w:rsidR="00903013">
        <w:t xml:space="preserve"> does</w:t>
      </w:r>
      <w:r w:rsidR="00C807D0">
        <w:t xml:space="preserve"> actively review the customer service activities of the EDCs.  </w:t>
      </w:r>
    </w:p>
    <w:p w:rsidR="005D2676" w:rsidRDefault="005D2676" w:rsidP="005D2676">
      <w:pPr>
        <w:rPr>
          <w:b/>
          <w:color w:val="00B050"/>
          <w:szCs w:val="26"/>
        </w:rPr>
      </w:pPr>
    </w:p>
    <w:p w:rsidR="0090331F" w:rsidRDefault="0090331F" w:rsidP="0090331F">
      <w:pPr>
        <w:pStyle w:val="Heading1"/>
      </w:pPr>
      <w:r>
        <w:t>Conclusion</w:t>
      </w:r>
    </w:p>
    <w:p w:rsidR="0090331F" w:rsidRPr="0090331F" w:rsidRDefault="0090331F" w:rsidP="0090331F">
      <w:pPr>
        <w:spacing w:line="240" w:lineRule="auto"/>
      </w:pPr>
    </w:p>
    <w:p w:rsidR="006125C6" w:rsidRPr="00197676" w:rsidRDefault="00392C2A" w:rsidP="00EE601D">
      <w:pPr>
        <w:keepNext/>
        <w:rPr>
          <w:b/>
          <w:szCs w:val="26"/>
        </w:rPr>
      </w:pPr>
      <w:r w:rsidRPr="001708DF">
        <w:rPr>
          <w:szCs w:val="26"/>
        </w:rPr>
        <w:t xml:space="preserve">Based </w:t>
      </w:r>
      <w:r w:rsidR="003D2219" w:rsidRPr="001708DF">
        <w:rPr>
          <w:szCs w:val="26"/>
        </w:rPr>
        <w:t>up</w:t>
      </w:r>
      <w:r w:rsidRPr="001708DF">
        <w:rPr>
          <w:szCs w:val="26"/>
        </w:rPr>
        <w:t xml:space="preserve">on </w:t>
      </w:r>
      <w:r w:rsidR="006F7830" w:rsidRPr="001708DF">
        <w:rPr>
          <w:szCs w:val="26"/>
        </w:rPr>
        <w:t>the forgoing discussion</w:t>
      </w:r>
      <w:r w:rsidR="00D40776" w:rsidRPr="001708DF">
        <w:rPr>
          <w:szCs w:val="26"/>
        </w:rPr>
        <w:t>,</w:t>
      </w:r>
      <w:r w:rsidR="006F7830" w:rsidRPr="001708DF">
        <w:rPr>
          <w:szCs w:val="26"/>
        </w:rPr>
        <w:t xml:space="preserve"> </w:t>
      </w:r>
      <w:r w:rsidR="002710D4" w:rsidRPr="001708DF">
        <w:rPr>
          <w:szCs w:val="26"/>
        </w:rPr>
        <w:t xml:space="preserve">we </w:t>
      </w:r>
      <w:r w:rsidR="005F1C6B" w:rsidRPr="001708DF">
        <w:rPr>
          <w:szCs w:val="26"/>
        </w:rPr>
        <w:t xml:space="preserve">shall </w:t>
      </w:r>
      <w:r w:rsidR="002710D4" w:rsidRPr="001708DF">
        <w:rPr>
          <w:szCs w:val="26"/>
        </w:rPr>
        <w:t xml:space="preserve">grant </w:t>
      </w:r>
      <w:r w:rsidR="003F0D04" w:rsidRPr="001708DF">
        <w:rPr>
          <w:szCs w:val="26"/>
        </w:rPr>
        <w:t xml:space="preserve">the Exceptions of </w:t>
      </w:r>
      <w:r w:rsidR="00806AA7" w:rsidRPr="001708DF">
        <w:rPr>
          <w:szCs w:val="26"/>
        </w:rPr>
        <w:t>PECO</w:t>
      </w:r>
      <w:r w:rsidR="00197676">
        <w:rPr>
          <w:szCs w:val="26"/>
        </w:rPr>
        <w:t>, reverse</w:t>
      </w:r>
      <w:r w:rsidR="003D6D81" w:rsidRPr="001708DF">
        <w:rPr>
          <w:szCs w:val="26"/>
        </w:rPr>
        <w:t xml:space="preserve"> </w:t>
      </w:r>
      <w:r w:rsidR="0090331F" w:rsidRPr="001708DF">
        <w:rPr>
          <w:szCs w:val="26"/>
        </w:rPr>
        <w:t xml:space="preserve">the </w:t>
      </w:r>
      <w:r w:rsidR="003F0D04" w:rsidRPr="001708DF">
        <w:rPr>
          <w:szCs w:val="26"/>
        </w:rPr>
        <w:t xml:space="preserve">Initial Decision of ALJ </w:t>
      </w:r>
      <w:r w:rsidR="0090331F" w:rsidRPr="001708DF">
        <w:rPr>
          <w:szCs w:val="26"/>
        </w:rPr>
        <w:t>Cheskis</w:t>
      </w:r>
      <w:r w:rsidR="00197676">
        <w:rPr>
          <w:szCs w:val="26"/>
        </w:rPr>
        <w:t>,</w:t>
      </w:r>
      <w:r w:rsidR="0090331F" w:rsidRPr="001708DF">
        <w:rPr>
          <w:szCs w:val="26"/>
        </w:rPr>
        <w:t xml:space="preserve"> </w:t>
      </w:r>
      <w:r w:rsidR="003F0D04" w:rsidRPr="001708DF">
        <w:rPr>
          <w:szCs w:val="26"/>
        </w:rPr>
        <w:t xml:space="preserve">and </w:t>
      </w:r>
      <w:r w:rsidR="0090331F" w:rsidRPr="001708DF">
        <w:rPr>
          <w:szCs w:val="26"/>
        </w:rPr>
        <w:t>dismiss</w:t>
      </w:r>
      <w:r w:rsidR="00215713">
        <w:rPr>
          <w:szCs w:val="26"/>
        </w:rPr>
        <w:t xml:space="preserve"> the Complaint of Mr. </w:t>
      </w:r>
      <w:r w:rsidR="0090331F" w:rsidRPr="001708DF">
        <w:rPr>
          <w:szCs w:val="26"/>
        </w:rPr>
        <w:t>Starzmann</w:t>
      </w:r>
      <w:r w:rsidR="005D2676">
        <w:rPr>
          <w:szCs w:val="26"/>
        </w:rPr>
        <w:t>;</w:t>
      </w:r>
      <w:r w:rsidR="0021652D" w:rsidRPr="001708DF">
        <w:rPr>
          <w:szCs w:val="26"/>
        </w:rPr>
        <w:t xml:space="preserve"> </w:t>
      </w:r>
      <w:r w:rsidR="003D6D81" w:rsidRPr="001708DF">
        <w:rPr>
          <w:szCs w:val="26"/>
        </w:rPr>
        <w:t xml:space="preserve"> </w:t>
      </w:r>
      <w:r w:rsidR="0090331F" w:rsidRPr="00197676">
        <w:rPr>
          <w:b/>
          <w:szCs w:val="26"/>
        </w:rPr>
        <w:t>THE</w:t>
      </w:r>
      <w:r w:rsidR="00045D50" w:rsidRPr="00197676">
        <w:rPr>
          <w:b/>
          <w:szCs w:val="26"/>
        </w:rPr>
        <w:t>REFORE</w:t>
      </w:r>
      <w:r w:rsidR="00EC2792" w:rsidRPr="00197676">
        <w:rPr>
          <w:b/>
          <w:szCs w:val="26"/>
        </w:rPr>
        <w:t>,</w:t>
      </w:r>
    </w:p>
    <w:p w:rsidR="006125C6" w:rsidRPr="001708DF" w:rsidRDefault="006125C6" w:rsidP="006125C6">
      <w:pPr>
        <w:rPr>
          <w:szCs w:val="26"/>
        </w:rPr>
      </w:pPr>
    </w:p>
    <w:p w:rsidR="006125C6" w:rsidRPr="005D2676" w:rsidRDefault="00F930D7" w:rsidP="00475B8B">
      <w:pPr>
        <w:spacing w:line="240" w:lineRule="auto"/>
        <w:rPr>
          <w:b/>
          <w:szCs w:val="26"/>
        </w:rPr>
      </w:pPr>
      <w:r w:rsidRPr="005D2676">
        <w:rPr>
          <w:b/>
          <w:szCs w:val="26"/>
        </w:rPr>
        <w:t>IT IS ORDERED:</w:t>
      </w:r>
    </w:p>
    <w:p w:rsidR="006125C6" w:rsidRPr="001708DF" w:rsidRDefault="006125C6" w:rsidP="006125C6">
      <w:pPr>
        <w:rPr>
          <w:szCs w:val="26"/>
        </w:rPr>
      </w:pPr>
    </w:p>
    <w:p w:rsidR="0071426C" w:rsidRPr="001708DF" w:rsidRDefault="00E87F92" w:rsidP="00EC2792">
      <w:pPr>
        <w:numPr>
          <w:ilvl w:val="0"/>
          <w:numId w:val="1"/>
        </w:numPr>
        <w:tabs>
          <w:tab w:val="left" w:pos="-720"/>
        </w:tabs>
        <w:suppressAutoHyphens/>
        <w:ind w:left="0" w:firstLine="1440"/>
        <w:rPr>
          <w:szCs w:val="26"/>
        </w:rPr>
      </w:pPr>
      <w:r w:rsidRPr="001708DF">
        <w:rPr>
          <w:szCs w:val="26"/>
        </w:rPr>
        <w:t>That the Exceptions</w:t>
      </w:r>
      <w:r w:rsidR="00031444" w:rsidRPr="001708DF">
        <w:rPr>
          <w:szCs w:val="26"/>
        </w:rPr>
        <w:t>,</w:t>
      </w:r>
      <w:r w:rsidRPr="001708DF">
        <w:rPr>
          <w:szCs w:val="26"/>
        </w:rPr>
        <w:t xml:space="preserve"> </w:t>
      </w:r>
      <w:r w:rsidR="005F1C6B" w:rsidRPr="001708DF">
        <w:rPr>
          <w:szCs w:val="26"/>
        </w:rPr>
        <w:t xml:space="preserve">filed on </w:t>
      </w:r>
      <w:r w:rsidR="001708DF" w:rsidRPr="001708DF">
        <w:rPr>
          <w:szCs w:val="26"/>
        </w:rPr>
        <w:t xml:space="preserve">June 11, </w:t>
      </w:r>
      <w:r w:rsidR="00A604E3" w:rsidRPr="001708DF">
        <w:rPr>
          <w:szCs w:val="26"/>
        </w:rPr>
        <w:t xml:space="preserve">2012, </w:t>
      </w:r>
      <w:r w:rsidR="00031444" w:rsidRPr="001708DF">
        <w:rPr>
          <w:szCs w:val="26"/>
        </w:rPr>
        <w:t xml:space="preserve">by </w:t>
      </w:r>
      <w:r w:rsidR="00A604E3" w:rsidRPr="001708DF">
        <w:rPr>
          <w:szCs w:val="26"/>
        </w:rPr>
        <w:t>PECO Energy Company</w:t>
      </w:r>
      <w:r w:rsidR="00EC2792" w:rsidRPr="001708DF">
        <w:rPr>
          <w:szCs w:val="26"/>
        </w:rPr>
        <w:t>,</w:t>
      </w:r>
      <w:r w:rsidR="00270428" w:rsidRPr="001708DF">
        <w:rPr>
          <w:szCs w:val="26"/>
        </w:rPr>
        <w:t xml:space="preserve"> </w:t>
      </w:r>
      <w:r w:rsidRPr="001708DF">
        <w:rPr>
          <w:szCs w:val="26"/>
        </w:rPr>
        <w:t xml:space="preserve">to the </w:t>
      </w:r>
      <w:r w:rsidR="005D327E" w:rsidRPr="001708DF">
        <w:rPr>
          <w:szCs w:val="26"/>
        </w:rPr>
        <w:t xml:space="preserve">Initial </w:t>
      </w:r>
      <w:r w:rsidRPr="001708DF">
        <w:rPr>
          <w:szCs w:val="26"/>
        </w:rPr>
        <w:t xml:space="preserve">Decision of Administrative Law </w:t>
      </w:r>
      <w:r w:rsidR="00EC2792" w:rsidRPr="001708DF">
        <w:rPr>
          <w:szCs w:val="26"/>
        </w:rPr>
        <w:t xml:space="preserve">Judge </w:t>
      </w:r>
      <w:r w:rsidR="001708DF" w:rsidRPr="001708DF">
        <w:rPr>
          <w:szCs w:val="26"/>
        </w:rPr>
        <w:t>Joel H. Cheskis,</w:t>
      </w:r>
      <w:r w:rsidR="002B7574" w:rsidRPr="001708DF">
        <w:rPr>
          <w:szCs w:val="26"/>
        </w:rPr>
        <w:t xml:space="preserve"> </w:t>
      </w:r>
      <w:r w:rsidR="0071426C" w:rsidRPr="001708DF">
        <w:rPr>
          <w:szCs w:val="26"/>
        </w:rPr>
        <w:t xml:space="preserve">are </w:t>
      </w:r>
      <w:r w:rsidR="00270428" w:rsidRPr="001708DF">
        <w:rPr>
          <w:szCs w:val="26"/>
        </w:rPr>
        <w:t>granted, consiste</w:t>
      </w:r>
      <w:r w:rsidR="00031444" w:rsidRPr="001708DF">
        <w:rPr>
          <w:szCs w:val="26"/>
        </w:rPr>
        <w:t>nt with this Opinion and Order.</w:t>
      </w:r>
    </w:p>
    <w:p w:rsidR="00A604E3" w:rsidRPr="001708DF" w:rsidRDefault="00A604E3" w:rsidP="00A604E3">
      <w:pPr>
        <w:tabs>
          <w:tab w:val="left" w:pos="-720"/>
        </w:tabs>
        <w:suppressAutoHyphens/>
        <w:ind w:left="1440" w:firstLine="0"/>
        <w:rPr>
          <w:szCs w:val="26"/>
        </w:rPr>
      </w:pPr>
    </w:p>
    <w:p w:rsidR="0071426C" w:rsidRPr="001708DF" w:rsidRDefault="0071426C" w:rsidP="008E0863">
      <w:pPr>
        <w:numPr>
          <w:ilvl w:val="0"/>
          <w:numId w:val="1"/>
        </w:numPr>
        <w:tabs>
          <w:tab w:val="left" w:pos="-720"/>
        </w:tabs>
        <w:suppressAutoHyphens/>
        <w:ind w:left="0" w:firstLine="1440"/>
        <w:rPr>
          <w:szCs w:val="26"/>
        </w:rPr>
      </w:pPr>
      <w:r w:rsidRPr="001708DF">
        <w:rPr>
          <w:szCs w:val="26"/>
        </w:rPr>
        <w:t xml:space="preserve">That the </w:t>
      </w:r>
      <w:r w:rsidR="005D327E" w:rsidRPr="001708DF">
        <w:rPr>
          <w:szCs w:val="26"/>
        </w:rPr>
        <w:t>Initial</w:t>
      </w:r>
      <w:r w:rsidRPr="001708DF">
        <w:rPr>
          <w:szCs w:val="26"/>
        </w:rPr>
        <w:t xml:space="preserve"> Decision of </w:t>
      </w:r>
      <w:r w:rsidR="00E07226" w:rsidRPr="001708DF">
        <w:rPr>
          <w:szCs w:val="26"/>
        </w:rPr>
        <w:t xml:space="preserve">Administrative Law </w:t>
      </w:r>
      <w:r w:rsidR="00EC2792" w:rsidRPr="001708DF">
        <w:rPr>
          <w:szCs w:val="26"/>
        </w:rPr>
        <w:t xml:space="preserve">Judge </w:t>
      </w:r>
      <w:r w:rsidR="001708DF" w:rsidRPr="001708DF">
        <w:rPr>
          <w:szCs w:val="26"/>
        </w:rPr>
        <w:t xml:space="preserve">Joel H. Cheskis </w:t>
      </w:r>
      <w:r w:rsidR="00EC2792" w:rsidRPr="001708DF">
        <w:rPr>
          <w:szCs w:val="26"/>
        </w:rPr>
        <w:t xml:space="preserve">issued </w:t>
      </w:r>
      <w:r w:rsidR="00A604E3" w:rsidRPr="001708DF">
        <w:rPr>
          <w:szCs w:val="26"/>
        </w:rPr>
        <w:t>on May 2</w:t>
      </w:r>
      <w:r w:rsidR="001708DF" w:rsidRPr="001708DF">
        <w:rPr>
          <w:szCs w:val="26"/>
        </w:rPr>
        <w:t>1</w:t>
      </w:r>
      <w:r w:rsidR="00A604E3" w:rsidRPr="001708DF">
        <w:rPr>
          <w:szCs w:val="26"/>
        </w:rPr>
        <w:t xml:space="preserve">, 2012, </w:t>
      </w:r>
      <w:r w:rsidR="00EC2792" w:rsidRPr="001708DF">
        <w:rPr>
          <w:szCs w:val="26"/>
        </w:rPr>
        <w:t>i</w:t>
      </w:r>
      <w:r w:rsidRPr="001708DF">
        <w:rPr>
          <w:szCs w:val="26"/>
        </w:rPr>
        <w:t>s</w:t>
      </w:r>
      <w:r w:rsidR="004E5DDF" w:rsidRPr="001708DF">
        <w:rPr>
          <w:szCs w:val="26"/>
        </w:rPr>
        <w:t xml:space="preserve"> </w:t>
      </w:r>
      <w:r w:rsidR="001708DF" w:rsidRPr="001708DF">
        <w:rPr>
          <w:szCs w:val="26"/>
        </w:rPr>
        <w:t>re</w:t>
      </w:r>
      <w:r w:rsidR="002035CF">
        <w:rPr>
          <w:szCs w:val="26"/>
        </w:rPr>
        <w:t xml:space="preserve">versed, </w:t>
      </w:r>
      <w:r w:rsidR="004E5DDF" w:rsidRPr="001708DF">
        <w:rPr>
          <w:szCs w:val="26"/>
        </w:rPr>
        <w:t>consistent with t</w:t>
      </w:r>
      <w:r w:rsidR="00EC2792" w:rsidRPr="001708DF">
        <w:rPr>
          <w:szCs w:val="26"/>
        </w:rPr>
        <w:t>his Opinion and Order.</w:t>
      </w:r>
    </w:p>
    <w:p w:rsidR="00B35B68" w:rsidRPr="001708DF" w:rsidRDefault="00B35B68" w:rsidP="00234D8E">
      <w:pPr>
        <w:numPr>
          <w:ilvl w:val="0"/>
          <w:numId w:val="1"/>
        </w:numPr>
        <w:tabs>
          <w:tab w:val="left" w:pos="-720"/>
        </w:tabs>
        <w:suppressAutoHyphens/>
        <w:ind w:left="0" w:firstLine="1440"/>
        <w:rPr>
          <w:szCs w:val="26"/>
        </w:rPr>
      </w:pPr>
      <w:r w:rsidRPr="001708DF">
        <w:rPr>
          <w:szCs w:val="26"/>
        </w:rPr>
        <w:lastRenderedPageBreak/>
        <w:t xml:space="preserve">That the </w:t>
      </w:r>
      <w:r w:rsidR="00E07226" w:rsidRPr="001708DF">
        <w:rPr>
          <w:szCs w:val="26"/>
        </w:rPr>
        <w:t xml:space="preserve">Complaint filed by </w:t>
      </w:r>
      <w:r w:rsidR="001708DF" w:rsidRPr="001708DF">
        <w:rPr>
          <w:szCs w:val="26"/>
        </w:rPr>
        <w:t xml:space="preserve">John R. Starzmann </w:t>
      </w:r>
      <w:r w:rsidR="002B7574" w:rsidRPr="001708DF">
        <w:rPr>
          <w:szCs w:val="26"/>
        </w:rPr>
        <w:t xml:space="preserve">on </w:t>
      </w:r>
      <w:r w:rsidR="001708DF" w:rsidRPr="001708DF">
        <w:rPr>
          <w:szCs w:val="26"/>
        </w:rPr>
        <w:t xml:space="preserve">August 5, 2010, is </w:t>
      </w:r>
      <w:r w:rsidR="00146048" w:rsidRPr="001708DF">
        <w:rPr>
          <w:szCs w:val="26"/>
        </w:rPr>
        <w:t>d</w:t>
      </w:r>
      <w:r w:rsidR="0038048A" w:rsidRPr="001708DF">
        <w:rPr>
          <w:szCs w:val="26"/>
        </w:rPr>
        <w:t>ismissed</w:t>
      </w:r>
      <w:r w:rsidR="001708DF" w:rsidRPr="001708DF">
        <w:rPr>
          <w:szCs w:val="26"/>
        </w:rPr>
        <w:t>.</w:t>
      </w:r>
      <w:r w:rsidR="007816A3" w:rsidRPr="001708DF">
        <w:rPr>
          <w:szCs w:val="26"/>
        </w:rPr>
        <w:t xml:space="preserve"> </w:t>
      </w:r>
      <w:r w:rsidR="00146048" w:rsidRPr="001708DF">
        <w:rPr>
          <w:szCs w:val="26"/>
        </w:rPr>
        <w:t xml:space="preserve"> </w:t>
      </w:r>
    </w:p>
    <w:p w:rsidR="00A920CF" w:rsidRDefault="00A920CF">
      <w:pPr>
        <w:spacing w:line="240" w:lineRule="auto"/>
        <w:ind w:firstLine="0"/>
        <w:rPr>
          <w:szCs w:val="26"/>
        </w:rPr>
      </w:pPr>
    </w:p>
    <w:p w:rsidR="00171C1E" w:rsidRPr="001708DF" w:rsidRDefault="00171C1E" w:rsidP="00DE4F08">
      <w:pPr>
        <w:numPr>
          <w:ilvl w:val="0"/>
          <w:numId w:val="1"/>
        </w:numPr>
        <w:tabs>
          <w:tab w:val="left" w:pos="-720"/>
        </w:tabs>
        <w:suppressAutoHyphens/>
        <w:ind w:left="0" w:firstLine="1440"/>
        <w:rPr>
          <w:szCs w:val="26"/>
        </w:rPr>
      </w:pPr>
      <w:r w:rsidRPr="001708DF">
        <w:rPr>
          <w:szCs w:val="26"/>
        </w:rPr>
        <w:t xml:space="preserve">That the </w:t>
      </w:r>
      <w:r w:rsidR="00476AF8" w:rsidRPr="001708DF">
        <w:rPr>
          <w:szCs w:val="26"/>
        </w:rPr>
        <w:t xml:space="preserve">record at </w:t>
      </w:r>
      <w:r w:rsidR="001708DF" w:rsidRPr="001708DF">
        <w:rPr>
          <w:szCs w:val="26"/>
        </w:rPr>
        <w:t>Do</w:t>
      </w:r>
      <w:r w:rsidR="00476AF8" w:rsidRPr="001708DF">
        <w:rPr>
          <w:szCs w:val="26"/>
        </w:rPr>
        <w:t xml:space="preserve">cket </w:t>
      </w:r>
      <w:r w:rsidR="001708DF" w:rsidRPr="001708DF">
        <w:rPr>
          <w:szCs w:val="26"/>
        </w:rPr>
        <w:t xml:space="preserve">Number C-2010-21927509 be marked closed. </w:t>
      </w:r>
    </w:p>
    <w:p w:rsidR="00574EAD" w:rsidRPr="001708DF" w:rsidRDefault="00574EAD" w:rsidP="001A504D">
      <w:pPr>
        <w:tabs>
          <w:tab w:val="left" w:pos="-720"/>
        </w:tabs>
        <w:suppressAutoHyphens/>
        <w:rPr>
          <w:szCs w:val="26"/>
        </w:rPr>
      </w:pPr>
    </w:p>
    <w:p w:rsidR="00F930D7" w:rsidRPr="005D2676" w:rsidRDefault="00AE6BA0" w:rsidP="009B2B7B">
      <w:pPr>
        <w:tabs>
          <w:tab w:val="left" w:pos="-720"/>
        </w:tabs>
        <w:suppressAutoHyphens/>
        <w:ind w:left="5040" w:firstLine="0"/>
        <w:rPr>
          <w:b/>
          <w:szCs w:val="26"/>
        </w:rPr>
      </w:pPr>
      <w:r>
        <w:rPr>
          <w:noProof/>
        </w:rPr>
        <w:drawing>
          <wp:anchor distT="0" distB="0" distL="114300" distR="114300" simplePos="0" relativeHeight="251658240" behindDoc="1" locked="0" layoutInCell="1" allowOverlap="1" wp14:anchorId="450380AF" wp14:editId="326C9ECE">
            <wp:simplePos x="0" y="0"/>
            <wp:positionH relativeFrom="column">
              <wp:posOffset>3086100</wp:posOffset>
            </wp:positionH>
            <wp:positionV relativeFrom="paragraph">
              <wp:posOffset>208915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930D7" w:rsidRPr="005D2676">
        <w:rPr>
          <w:b/>
          <w:szCs w:val="26"/>
        </w:rPr>
        <w:t>BY THE COMMISSION,</w:t>
      </w:r>
    </w:p>
    <w:p w:rsidR="00F930D7" w:rsidRPr="001708DF" w:rsidRDefault="00F930D7" w:rsidP="009B2B7B">
      <w:pPr>
        <w:tabs>
          <w:tab w:val="left" w:pos="-720"/>
        </w:tabs>
        <w:suppressAutoHyphens/>
        <w:ind w:left="5040" w:firstLine="0"/>
        <w:rPr>
          <w:szCs w:val="26"/>
        </w:rPr>
      </w:pPr>
    </w:p>
    <w:p w:rsidR="00F930D7" w:rsidRPr="001708DF" w:rsidRDefault="00F930D7" w:rsidP="009B2B7B">
      <w:pPr>
        <w:tabs>
          <w:tab w:val="left" w:pos="-720"/>
        </w:tabs>
        <w:suppressAutoHyphens/>
        <w:ind w:left="5040" w:firstLine="0"/>
        <w:rPr>
          <w:szCs w:val="26"/>
        </w:rPr>
      </w:pPr>
    </w:p>
    <w:p w:rsidR="00F930D7" w:rsidRPr="001708DF" w:rsidRDefault="009B2B7B" w:rsidP="009B2B7B">
      <w:pPr>
        <w:tabs>
          <w:tab w:val="left" w:pos="-720"/>
        </w:tabs>
        <w:suppressAutoHyphens/>
        <w:spacing w:line="240" w:lineRule="auto"/>
        <w:ind w:left="5040" w:firstLine="0"/>
        <w:rPr>
          <w:szCs w:val="26"/>
        </w:rPr>
      </w:pPr>
      <w:r w:rsidRPr="001708DF">
        <w:rPr>
          <w:szCs w:val="26"/>
        </w:rPr>
        <w:t>Rosemary Chiavetta</w:t>
      </w:r>
    </w:p>
    <w:p w:rsidR="00F930D7" w:rsidRPr="001708DF" w:rsidRDefault="00F930D7" w:rsidP="009B2B7B">
      <w:pPr>
        <w:tabs>
          <w:tab w:val="left" w:pos="-720"/>
        </w:tabs>
        <w:suppressAutoHyphens/>
        <w:spacing w:line="240" w:lineRule="auto"/>
        <w:ind w:left="5040" w:firstLine="0"/>
        <w:rPr>
          <w:szCs w:val="26"/>
        </w:rPr>
      </w:pPr>
      <w:r w:rsidRPr="001708DF">
        <w:rPr>
          <w:szCs w:val="26"/>
        </w:rPr>
        <w:t>Secretary</w:t>
      </w:r>
    </w:p>
    <w:p w:rsidR="00031444" w:rsidRPr="001708DF" w:rsidRDefault="00031444" w:rsidP="009B2B7B">
      <w:pPr>
        <w:tabs>
          <w:tab w:val="left" w:pos="-720"/>
        </w:tabs>
        <w:suppressAutoHyphens/>
        <w:spacing w:line="240" w:lineRule="auto"/>
        <w:ind w:left="5040" w:firstLine="0"/>
        <w:rPr>
          <w:szCs w:val="26"/>
        </w:rPr>
      </w:pPr>
    </w:p>
    <w:p w:rsidR="00F930D7" w:rsidRPr="001708DF" w:rsidRDefault="00F930D7" w:rsidP="00F930D7">
      <w:pPr>
        <w:tabs>
          <w:tab w:val="left" w:pos="-720"/>
        </w:tabs>
        <w:suppressAutoHyphens/>
        <w:rPr>
          <w:szCs w:val="26"/>
        </w:rPr>
      </w:pPr>
    </w:p>
    <w:p w:rsidR="00F930D7" w:rsidRPr="001708DF" w:rsidRDefault="00F930D7" w:rsidP="00DF35F2">
      <w:pPr>
        <w:tabs>
          <w:tab w:val="left" w:pos="-720"/>
        </w:tabs>
        <w:suppressAutoHyphens/>
        <w:ind w:firstLine="0"/>
        <w:rPr>
          <w:szCs w:val="26"/>
        </w:rPr>
      </w:pPr>
      <w:r w:rsidRPr="001708DF">
        <w:rPr>
          <w:szCs w:val="26"/>
        </w:rPr>
        <w:t>(SEAL)</w:t>
      </w:r>
    </w:p>
    <w:p w:rsidR="00F930D7" w:rsidRPr="001708DF" w:rsidRDefault="00F930D7" w:rsidP="00DF35F2">
      <w:pPr>
        <w:tabs>
          <w:tab w:val="left" w:pos="-720"/>
        </w:tabs>
        <w:suppressAutoHyphens/>
        <w:ind w:firstLine="0"/>
        <w:rPr>
          <w:szCs w:val="26"/>
        </w:rPr>
      </w:pPr>
    </w:p>
    <w:p w:rsidR="00F930D7" w:rsidRPr="001708DF" w:rsidRDefault="00475B8B" w:rsidP="00A920CF">
      <w:pPr>
        <w:tabs>
          <w:tab w:val="left" w:pos="-720"/>
        </w:tabs>
        <w:suppressAutoHyphens/>
        <w:spacing w:line="240" w:lineRule="auto"/>
        <w:ind w:firstLine="0"/>
        <w:rPr>
          <w:szCs w:val="26"/>
        </w:rPr>
      </w:pPr>
      <w:r w:rsidRPr="001708DF">
        <w:rPr>
          <w:szCs w:val="26"/>
        </w:rPr>
        <w:t xml:space="preserve">ORDER ADOPTED: </w:t>
      </w:r>
      <w:r w:rsidR="001708DF" w:rsidRPr="001708DF">
        <w:rPr>
          <w:szCs w:val="26"/>
        </w:rPr>
        <w:t>December 5,</w:t>
      </w:r>
      <w:r w:rsidRPr="001708DF">
        <w:rPr>
          <w:szCs w:val="26"/>
        </w:rPr>
        <w:t xml:space="preserve"> 2012</w:t>
      </w:r>
    </w:p>
    <w:p w:rsidR="00A422F0" w:rsidRPr="001708DF" w:rsidRDefault="00A422F0" w:rsidP="00A920CF">
      <w:pPr>
        <w:tabs>
          <w:tab w:val="left" w:pos="-720"/>
        </w:tabs>
        <w:suppressAutoHyphens/>
        <w:spacing w:line="240" w:lineRule="auto"/>
        <w:ind w:firstLine="0"/>
        <w:rPr>
          <w:szCs w:val="26"/>
        </w:rPr>
      </w:pPr>
    </w:p>
    <w:p w:rsidR="00F930D7" w:rsidRPr="001708DF" w:rsidRDefault="00B677FB" w:rsidP="00DF35F2">
      <w:pPr>
        <w:tabs>
          <w:tab w:val="left" w:pos="-720"/>
        </w:tabs>
        <w:suppressAutoHyphens/>
        <w:ind w:firstLine="0"/>
        <w:rPr>
          <w:szCs w:val="26"/>
        </w:rPr>
      </w:pPr>
      <w:r w:rsidRPr="001708DF">
        <w:rPr>
          <w:szCs w:val="26"/>
        </w:rPr>
        <w:t>ORDER ENTERED:</w:t>
      </w:r>
      <w:r w:rsidR="00D45463" w:rsidRPr="001708DF">
        <w:rPr>
          <w:szCs w:val="26"/>
        </w:rPr>
        <w:t xml:space="preserve">  </w:t>
      </w:r>
      <w:r w:rsidR="00AE6BA0">
        <w:rPr>
          <w:szCs w:val="26"/>
        </w:rPr>
        <w:t>December 5</w:t>
      </w:r>
      <w:bookmarkStart w:id="0" w:name="_GoBack"/>
      <w:bookmarkEnd w:id="0"/>
    </w:p>
    <w:sectPr w:rsidR="00F930D7" w:rsidRPr="001708DF" w:rsidSect="00D270D9">
      <w:footerReference w:type="even" r:id="rId1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854" w:rsidRDefault="00D61854">
      <w:r>
        <w:separator/>
      </w:r>
    </w:p>
  </w:endnote>
  <w:endnote w:type="continuationSeparator" w:id="0">
    <w:p w:rsidR="00D61854" w:rsidRDefault="00D6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092" w:rsidRDefault="00626092"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6092" w:rsidRDefault="006260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092" w:rsidRDefault="00626092"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AE6BA0">
      <w:rPr>
        <w:rStyle w:val="PageNumber"/>
        <w:noProof/>
      </w:rPr>
      <w:t>18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854" w:rsidRDefault="00D61854">
      <w:r>
        <w:separator/>
      </w:r>
    </w:p>
  </w:footnote>
  <w:footnote w:type="continuationSeparator" w:id="0">
    <w:p w:rsidR="00D61854" w:rsidRDefault="00D61854">
      <w:r>
        <w:continuationSeparator/>
      </w:r>
    </w:p>
  </w:footnote>
  <w:footnote w:id="1">
    <w:p w:rsidR="00BA0BCC" w:rsidRPr="00BA0BCC" w:rsidRDefault="00BA0BCC" w:rsidP="00BA0BCC">
      <w:pPr>
        <w:pStyle w:val="FootnoteText"/>
        <w:spacing w:line="240" w:lineRule="auto"/>
        <w:ind w:firstLine="720"/>
        <w:rPr>
          <w:sz w:val="26"/>
          <w:szCs w:val="26"/>
        </w:rPr>
      </w:pPr>
      <w:r w:rsidRPr="00BA0BCC">
        <w:rPr>
          <w:rStyle w:val="FootnoteReference"/>
          <w:sz w:val="26"/>
          <w:szCs w:val="26"/>
        </w:rPr>
        <w:footnoteRef/>
      </w:r>
      <w:r>
        <w:rPr>
          <w:sz w:val="26"/>
          <w:szCs w:val="26"/>
        </w:rPr>
        <w:tab/>
      </w:r>
      <w:r w:rsidRPr="00BA0BCC">
        <w:rPr>
          <w:sz w:val="26"/>
          <w:szCs w:val="26"/>
        </w:rPr>
        <w:t>The transcript of Mr. Baldwin’s testimony states the incident occurred on “pole 97” while PECO Exhibit</w:t>
      </w:r>
      <w:r>
        <w:rPr>
          <w:sz w:val="26"/>
          <w:szCs w:val="26"/>
        </w:rPr>
        <w:t xml:space="preserve"> </w:t>
      </w:r>
      <w:r w:rsidRPr="00BA0BCC">
        <w:rPr>
          <w:sz w:val="26"/>
          <w:szCs w:val="26"/>
        </w:rPr>
        <w:t>1</w:t>
      </w:r>
      <w:r w:rsidR="00197676">
        <w:rPr>
          <w:sz w:val="26"/>
          <w:szCs w:val="26"/>
        </w:rPr>
        <w:t xml:space="preserve"> </w:t>
      </w:r>
      <w:r w:rsidRPr="00BA0BCC">
        <w:rPr>
          <w:sz w:val="26"/>
          <w:szCs w:val="26"/>
        </w:rPr>
        <w:t xml:space="preserve">indicates the burnt phase </w:t>
      </w:r>
      <w:r w:rsidR="00197676">
        <w:rPr>
          <w:sz w:val="26"/>
          <w:szCs w:val="26"/>
        </w:rPr>
        <w:t>C</w:t>
      </w:r>
      <w:r w:rsidRPr="00BA0BCC">
        <w:rPr>
          <w:sz w:val="26"/>
          <w:szCs w:val="26"/>
        </w:rPr>
        <w:t xml:space="preserve"> tap was located on “P# 987.” </w:t>
      </w:r>
    </w:p>
  </w:footnote>
  <w:footnote w:id="2">
    <w:p w:rsidR="00637B3B" w:rsidRPr="0014753A" w:rsidRDefault="00637B3B" w:rsidP="0014753A">
      <w:pPr>
        <w:pStyle w:val="FootnoteText"/>
        <w:spacing w:line="240" w:lineRule="auto"/>
        <w:ind w:firstLine="720"/>
        <w:rPr>
          <w:sz w:val="26"/>
          <w:szCs w:val="26"/>
        </w:rPr>
      </w:pPr>
      <w:r w:rsidRPr="0014753A">
        <w:rPr>
          <w:rStyle w:val="FootnoteReference"/>
          <w:sz w:val="26"/>
          <w:szCs w:val="26"/>
        </w:rPr>
        <w:footnoteRef/>
      </w:r>
      <w:r w:rsidR="0014753A">
        <w:rPr>
          <w:sz w:val="26"/>
          <w:szCs w:val="26"/>
        </w:rPr>
        <w:tab/>
      </w:r>
      <w:r w:rsidRPr="0014753A">
        <w:rPr>
          <w:sz w:val="26"/>
          <w:szCs w:val="26"/>
        </w:rPr>
        <w:t xml:space="preserve">The ALJ noted that Mr. Starzmann provided an extensive list of upgrades or modifications that he would like </w:t>
      </w:r>
      <w:r w:rsidR="0014753A" w:rsidRPr="0014753A">
        <w:rPr>
          <w:sz w:val="26"/>
          <w:szCs w:val="26"/>
        </w:rPr>
        <w:t xml:space="preserve">the Commission to order PECO to undertake as a result of these incidents of low voltage.  The ALJ found that these actions are “excessive and unnecessary” and recommended that a civil penalty is appropriate.  I.D. at 13. </w:t>
      </w:r>
    </w:p>
  </w:footnote>
  <w:footnote w:id="3">
    <w:p w:rsidR="00D30D2A" w:rsidRPr="00D30D2A" w:rsidRDefault="00D30D2A" w:rsidP="00D30D2A">
      <w:pPr>
        <w:pStyle w:val="FootnoteText"/>
        <w:spacing w:line="240" w:lineRule="auto"/>
        <w:ind w:firstLine="720"/>
        <w:rPr>
          <w:sz w:val="26"/>
          <w:szCs w:val="26"/>
        </w:rPr>
      </w:pPr>
      <w:r w:rsidRPr="00D30D2A">
        <w:rPr>
          <w:rStyle w:val="FootnoteReference"/>
          <w:sz w:val="26"/>
          <w:szCs w:val="26"/>
        </w:rPr>
        <w:footnoteRef/>
      </w:r>
      <w:r w:rsidRPr="00D30D2A">
        <w:rPr>
          <w:sz w:val="26"/>
          <w:szCs w:val="26"/>
        </w:rPr>
        <w:t xml:space="preserve"> </w:t>
      </w:r>
      <w:r w:rsidRPr="00D30D2A">
        <w:rPr>
          <w:sz w:val="26"/>
          <w:szCs w:val="26"/>
        </w:rPr>
        <w:tab/>
        <w:t xml:space="preserve">Mr. Starzmann did not except to these specific findings of the ALJ. </w:t>
      </w:r>
    </w:p>
  </w:footnote>
  <w:footnote w:id="4">
    <w:p w:rsidR="003D6034" w:rsidRPr="0045665F" w:rsidRDefault="003D6034" w:rsidP="0045665F">
      <w:pPr>
        <w:pStyle w:val="FootnoteText"/>
        <w:ind w:firstLine="720"/>
        <w:rPr>
          <w:sz w:val="26"/>
          <w:szCs w:val="26"/>
        </w:rPr>
      </w:pPr>
      <w:r w:rsidRPr="0045665F">
        <w:rPr>
          <w:rStyle w:val="FootnoteReference"/>
          <w:sz w:val="26"/>
          <w:szCs w:val="26"/>
        </w:rPr>
        <w:footnoteRef/>
      </w:r>
      <w:r w:rsidRPr="0045665F">
        <w:rPr>
          <w:sz w:val="26"/>
          <w:szCs w:val="26"/>
        </w:rPr>
        <w:t xml:space="preserve"> </w:t>
      </w:r>
      <w:r w:rsidR="0045665F" w:rsidRPr="0045665F">
        <w:rPr>
          <w:sz w:val="26"/>
          <w:szCs w:val="26"/>
        </w:rPr>
        <w:t xml:space="preserve"> </w:t>
      </w:r>
      <w:r w:rsidRPr="0045665F">
        <w:rPr>
          <w:sz w:val="26"/>
          <w:szCs w:val="26"/>
        </w:rPr>
        <w:t>66 Pa.</w:t>
      </w:r>
      <w:r w:rsidR="0045665F" w:rsidRPr="0045665F">
        <w:rPr>
          <w:sz w:val="26"/>
          <w:szCs w:val="26"/>
        </w:rPr>
        <w:t xml:space="preserve"> C.S. § 2807(d).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71A5"/>
    <w:multiLevelType w:val="hybridMultilevel"/>
    <w:tmpl w:val="187A89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8445169"/>
    <w:multiLevelType w:val="hybridMultilevel"/>
    <w:tmpl w:val="3006BF5A"/>
    <w:lvl w:ilvl="0" w:tplc="9252B850">
      <w:start w:val="1"/>
      <w:numFmt w:val="decimal"/>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BA623B8"/>
    <w:multiLevelType w:val="hybridMultilevel"/>
    <w:tmpl w:val="05A01A58"/>
    <w:lvl w:ilvl="0" w:tplc="992CCB84">
      <w:start w:val="1"/>
      <w:numFmt w:val="decimal"/>
      <w:pStyle w:val="Heading3"/>
      <w:lvlText w:val="%1."/>
      <w:lvlJc w:val="left"/>
      <w:pPr>
        <w:ind w:left="360" w:hanging="360"/>
      </w:pPr>
      <w:rPr>
        <w:rFonts w:cs="Times New Roman" w:hint="default"/>
      </w:rPr>
    </w:lvl>
    <w:lvl w:ilvl="1" w:tplc="04090019" w:tentative="1">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3">
    <w:nsid w:val="296F5370"/>
    <w:multiLevelType w:val="hybridMultilevel"/>
    <w:tmpl w:val="39828440"/>
    <w:lvl w:ilvl="0" w:tplc="093EDE6A">
      <w:start w:val="4"/>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D5E5801"/>
    <w:multiLevelType w:val="hybridMultilevel"/>
    <w:tmpl w:val="D528FF7A"/>
    <w:lvl w:ilvl="0" w:tplc="29EE1E2A">
      <w:start w:val="1"/>
      <w:numFmt w:val="lowerLetter"/>
      <w:pStyle w:val="Heading4"/>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6C7D374D"/>
    <w:multiLevelType w:val="hybridMultilevel"/>
    <w:tmpl w:val="7CC2A220"/>
    <w:lvl w:ilvl="0" w:tplc="A4AAABA8">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207CE9"/>
    <w:multiLevelType w:val="hybridMultilevel"/>
    <w:tmpl w:val="DB061F32"/>
    <w:lvl w:ilvl="0" w:tplc="188030D0">
      <w:start w:val="1"/>
      <w:numFmt w:val="decimal"/>
      <w:lvlText w:val="%1."/>
      <w:lvlJc w:val="left"/>
      <w:pPr>
        <w:ind w:left="52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4"/>
  </w:num>
  <w:num w:numId="5">
    <w:abstractNumId w:val="5"/>
  </w:num>
  <w:num w:numId="6">
    <w:abstractNumId w:val="2"/>
  </w:num>
  <w:num w:numId="7">
    <w:abstractNumId w:val="4"/>
    <w:lvlOverride w:ilvl="0">
      <w:startOverride w:val="1"/>
    </w:lvlOverride>
  </w:num>
  <w:num w:numId="8">
    <w:abstractNumId w:val="2"/>
    <w:lvlOverride w:ilvl="0">
      <w:startOverride w:val="1"/>
    </w:lvlOverride>
  </w:num>
  <w:num w:numId="9">
    <w:abstractNumId w:val="4"/>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8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87"/>
    <w:rsid w:val="000002F3"/>
    <w:rsid w:val="000014E2"/>
    <w:rsid w:val="000037C4"/>
    <w:rsid w:val="00003B9D"/>
    <w:rsid w:val="00003CE8"/>
    <w:rsid w:val="0000428F"/>
    <w:rsid w:val="00004F6D"/>
    <w:rsid w:val="00005A5F"/>
    <w:rsid w:val="00006183"/>
    <w:rsid w:val="00006BA5"/>
    <w:rsid w:val="00007103"/>
    <w:rsid w:val="00007669"/>
    <w:rsid w:val="000076FF"/>
    <w:rsid w:val="00007782"/>
    <w:rsid w:val="00007CB1"/>
    <w:rsid w:val="00007ECA"/>
    <w:rsid w:val="00011C32"/>
    <w:rsid w:val="00012686"/>
    <w:rsid w:val="00013957"/>
    <w:rsid w:val="00013C41"/>
    <w:rsid w:val="000142D3"/>
    <w:rsid w:val="000143C4"/>
    <w:rsid w:val="00015184"/>
    <w:rsid w:val="000156E2"/>
    <w:rsid w:val="00015D57"/>
    <w:rsid w:val="000167DB"/>
    <w:rsid w:val="00020113"/>
    <w:rsid w:val="0002095D"/>
    <w:rsid w:val="00020C31"/>
    <w:rsid w:val="0002107F"/>
    <w:rsid w:val="0002192E"/>
    <w:rsid w:val="0002251A"/>
    <w:rsid w:val="00023324"/>
    <w:rsid w:val="00023680"/>
    <w:rsid w:val="000236BD"/>
    <w:rsid w:val="00024846"/>
    <w:rsid w:val="00024A2F"/>
    <w:rsid w:val="000254F8"/>
    <w:rsid w:val="00026292"/>
    <w:rsid w:val="0002653D"/>
    <w:rsid w:val="000265D0"/>
    <w:rsid w:val="00026B92"/>
    <w:rsid w:val="0002736E"/>
    <w:rsid w:val="00027B63"/>
    <w:rsid w:val="00027E6F"/>
    <w:rsid w:val="00030A5E"/>
    <w:rsid w:val="00031444"/>
    <w:rsid w:val="00031BBE"/>
    <w:rsid w:val="00032D16"/>
    <w:rsid w:val="00033140"/>
    <w:rsid w:val="0003342B"/>
    <w:rsid w:val="0003373D"/>
    <w:rsid w:val="00033814"/>
    <w:rsid w:val="00033DB2"/>
    <w:rsid w:val="0003455A"/>
    <w:rsid w:val="00034ED0"/>
    <w:rsid w:val="000354E7"/>
    <w:rsid w:val="00037894"/>
    <w:rsid w:val="000404BD"/>
    <w:rsid w:val="00040EC2"/>
    <w:rsid w:val="00040F84"/>
    <w:rsid w:val="00040FDC"/>
    <w:rsid w:val="00041D7C"/>
    <w:rsid w:val="00042223"/>
    <w:rsid w:val="0004250B"/>
    <w:rsid w:val="00042541"/>
    <w:rsid w:val="00042A39"/>
    <w:rsid w:val="00042A8A"/>
    <w:rsid w:val="00045231"/>
    <w:rsid w:val="00045B3E"/>
    <w:rsid w:val="00045D0F"/>
    <w:rsid w:val="00045D50"/>
    <w:rsid w:val="00046544"/>
    <w:rsid w:val="00046B1E"/>
    <w:rsid w:val="00046D3B"/>
    <w:rsid w:val="00047F2F"/>
    <w:rsid w:val="00051036"/>
    <w:rsid w:val="00051E02"/>
    <w:rsid w:val="000522E4"/>
    <w:rsid w:val="000527AB"/>
    <w:rsid w:val="00052B91"/>
    <w:rsid w:val="0005412F"/>
    <w:rsid w:val="000545BD"/>
    <w:rsid w:val="00054CFD"/>
    <w:rsid w:val="000552F8"/>
    <w:rsid w:val="00055DFA"/>
    <w:rsid w:val="000564F3"/>
    <w:rsid w:val="00056678"/>
    <w:rsid w:val="0005777D"/>
    <w:rsid w:val="00057957"/>
    <w:rsid w:val="0006066A"/>
    <w:rsid w:val="000613F0"/>
    <w:rsid w:val="000618BD"/>
    <w:rsid w:val="000619A9"/>
    <w:rsid w:val="00061B1F"/>
    <w:rsid w:val="000621E4"/>
    <w:rsid w:val="000625BB"/>
    <w:rsid w:val="00062B01"/>
    <w:rsid w:val="00062B99"/>
    <w:rsid w:val="0006357E"/>
    <w:rsid w:val="00063EF6"/>
    <w:rsid w:val="000655C9"/>
    <w:rsid w:val="000655FA"/>
    <w:rsid w:val="000657A4"/>
    <w:rsid w:val="00066742"/>
    <w:rsid w:val="00067A73"/>
    <w:rsid w:val="00067DE5"/>
    <w:rsid w:val="00070122"/>
    <w:rsid w:val="0007013B"/>
    <w:rsid w:val="00070983"/>
    <w:rsid w:val="00070AFC"/>
    <w:rsid w:val="00071006"/>
    <w:rsid w:val="00071A21"/>
    <w:rsid w:val="000720D0"/>
    <w:rsid w:val="0007288A"/>
    <w:rsid w:val="000728AD"/>
    <w:rsid w:val="00072E1F"/>
    <w:rsid w:val="000733E6"/>
    <w:rsid w:val="00073F0A"/>
    <w:rsid w:val="00074C59"/>
    <w:rsid w:val="00077BD9"/>
    <w:rsid w:val="000805D8"/>
    <w:rsid w:val="0008068C"/>
    <w:rsid w:val="0008080B"/>
    <w:rsid w:val="00080BB7"/>
    <w:rsid w:val="00080F10"/>
    <w:rsid w:val="00081C61"/>
    <w:rsid w:val="00081DF8"/>
    <w:rsid w:val="00082B20"/>
    <w:rsid w:val="000835EC"/>
    <w:rsid w:val="00083739"/>
    <w:rsid w:val="0008405F"/>
    <w:rsid w:val="00084CFD"/>
    <w:rsid w:val="00084FCF"/>
    <w:rsid w:val="000857F9"/>
    <w:rsid w:val="00085923"/>
    <w:rsid w:val="00085C33"/>
    <w:rsid w:val="00086B0F"/>
    <w:rsid w:val="00087BB0"/>
    <w:rsid w:val="000902DC"/>
    <w:rsid w:val="00090436"/>
    <w:rsid w:val="000905E2"/>
    <w:rsid w:val="000906FA"/>
    <w:rsid w:val="00090A90"/>
    <w:rsid w:val="00091BDB"/>
    <w:rsid w:val="00091ECC"/>
    <w:rsid w:val="000920FF"/>
    <w:rsid w:val="0009364A"/>
    <w:rsid w:val="000937CC"/>
    <w:rsid w:val="00093887"/>
    <w:rsid w:val="00093A9A"/>
    <w:rsid w:val="00094014"/>
    <w:rsid w:val="00094F2A"/>
    <w:rsid w:val="000951AD"/>
    <w:rsid w:val="0009555D"/>
    <w:rsid w:val="00096304"/>
    <w:rsid w:val="0009789B"/>
    <w:rsid w:val="000A0EF6"/>
    <w:rsid w:val="000A0FA1"/>
    <w:rsid w:val="000A1647"/>
    <w:rsid w:val="000A1FD2"/>
    <w:rsid w:val="000A2723"/>
    <w:rsid w:val="000A2D4A"/>
    <w:rsid w:val="000A3531"/>
    <w:rsid w:val="000A3AB9"/>
    <w:rsid w:val="000A3D6D"/>
    <w:rsid w:val="000A47B1"/>
    <w:rsid w:val="000A4D27"/>
    <w:rsid w:val="000A524A"/>
    <w:rsid w:val="000A5D9B"/>
    <w:rsid w:val="000A690F"/>
    <w:rsid w:val="000A71D0"/>
    <w:rsid w:val="000A71E0"/>
    <w:rsid w:val="000B1568"/>
    <w:rsid w:val="000B1A16"/>
    <w:rsid w:val="000B2425"/>
    <w:rsid w:val="000B2922"/>
    <w:rsid w:val="000B2C23"/>
    <w:rsid w:val="000B2E16"/>
    <w:rsid w:val="000B32CF"/>
    <w:rsid w:val="000B41D4"/>
    <w:rsid w:val="000B43AE"/>
    <w:rsid w:val="000B43D3"/>
    <w:rsid w:val="000B47FF"/>
    <w:rsid w:val="000B4A79"/>
    <w:rsid w:val="000B4F08"/>
    <w:rsid w:val="000B56E6"/>
    <w:rsid w:val="000B6CBE"/>
    <w:rsid w:val="000C05F0"/>
    <w:rsid w:val="000C19C7"/>
    <w:rsid w:val="000C1E13"/>
    <w:rsid w:val="000C210B"/>
    <w:rsid w:val="000C26A1"/>
    <w:rsid w:val="000C3756"/>
    <w:rsid w:val="000C4A82"/>
    <w:rsid w:val="000C5194"/>
    <w:rsid w:val="000C5A9A"/>
    <w:rsid w:val="000C5D76"/>
    <w:rsid w:val="000D1801"/>
    <w:rsid w:val="000D38E6"/>
    <w:rsid w:val="000D4004"/>
    <w:rsid w:val="000D4977"/>
    <w:rsid w:val="000D4D17"/>
    <w:rsid w:val="000D53C1"/>
    <w:rsid w:val="000D6779"/>
    <w:rsid w:val="000D6A7B"/>
    <w:rsid w:val="000D7A9C"/>
    <w:rsid w:val="000E2310"/>
    <w:rsid w:val="000E2C94"/>
    <w:rsid w:val="000E316C"/>
    <w:rsid w:val="000E3685"/>
    <w:rsid w:val="000E3AE6"/>
    <w:rsid w:val="000E3DC8"/>
    <w:rsid w:val="000E4FEE"/>
    <w:rsid w:val="000E59C6"/>
    <w:rsid w:val="000E5C54"/>
    <w:rsid w:val="000E6295"/>
    <w:rsid w:val="000E64A4"/>
    <w:rsid w:val="000E6CB9"/>
    <w:rsid w:val="000E6ECE"/>
    <w:rsid w:val="000E7072"/>
    <w:rsid w:val="000F118B"/>
    <w:rsid w:val="000F1E50"/>
    <w:rsid w:val="000F2E80"/>
    <w:rsid w:val="000F398D"/>
    <w:rsid w:val="000F3CC9"/>
    <w:rsid w:val="000F3E98"/>
    <w:rsid w:val="000F48AA"/>
    <w:rsid w:val="000F6F6F"/>
    <w:rsid w:val="000F78CD"/>
    <w:rsid w:val="000F78E5"/>
    <w:rsid w:val="0010001A"/>
    <w:rsid w:val="0010041F"/>
    <w:rsid w:val="0010070E"/>
    <w:rsid w:val="00100760"/>
    <w:rsid w:val="00100847"/>
    <w:rsid w:val="0010170A"/>
    <w:rsid w:val="00101C64"/>
    <w:rsid w:val="00103F99"/>
    <w:rsid w:val="0010404F"/>
    <w:rsid w:val="00104EC3"/>
    <w:rsid w:val="0010564E"/>
    <w:rsid w:val="00106794"/>
    <w:rsid w:val="00107935"/>
    <w:rsid w:val="00107A4E"/>
    <w:rsid w:val="00110368"/>
    <w:rsid w:val="001112A6"/>
    <w:rsid w:val="00112765"/>
    <w:rsid w:val="00113015"/>
    <w:rsid w:val="00113081"/>
    <w:rsid w:val="00113127"/>
    <w:rsid w:val="001134B3"/>
    <w:rsid w:val="001141CB"/>
    <w:rsid w:val="00114B79"/>
    <w:rsid w:val="001155B1"/>
    <w:rsid w:val="00115B43"/>
    <w:rsid w:val="00115D11"/>
    <w:rsid w:val="00115DB1"/>
    <w:rsid w:val="00116184"/>
    <w:rsid w:val="0011648F"/>
    <w:rsid w:val="0011689A"/>
    <w:rsid w:val="0011739B"/>
    <w:rsid w:val="0012014C"/>
    <w:rsid w:val="00121141"/>
    <w:rsid w:val="00121D33"/>
    <w:rsid w:val="00122AA3"/>
    <w:rsid w:val="001231CF"/>
    <w:rsid w:val="001239B8"/>
    <w:rsid w:val="00124DEF"/>
    <w:rsid w:val="00124E02"/>
    <w:rsid w:val="00125B05"/>
    <w:rsid w:val="00125EDF"/>
    <w:rsid w:val="00125F85"/>
    <w:rsid w:val="00126206"/>
    <w:rsid w:val="00126428"/>
    <w:rsid w:val="0012663E"/>
    <w:rsid w:val="001266A8"/>
    <w:rsid w:val="001266BA"/>
    <w:rsid w:val="00126800"/>
    <w:rsid w:val="00126ED9"/>
    <w:rsid w:val="001273C0"/>
    <w:rsid w:val="001300EA"/>
    <w:rsid w:val="001302ED"/>
    <w:rsid w:val="001304B2"/>
    <w:rsid w:val="001308B8"/>
    <w:rsid w:val="001316C4"/>
    <w:rsid w:val="00133834"/>
    <w:rsid w:val="00134829"/>
    <w:rsid w:val="00134B8C"/>
    <w:rsid w:val="00134EE0"/>
    <w:rsid w:val="0013571D"/>
    <w:rsid w:val="00135DC2"/>
    <w:rsid w:val="001362A2"/>
    <w:rsid w:val="001368F3"/>
    <w:rsid w:val="00136AA1"/>
    <w:rsid w:val="0013798A"/>
    <w:rsid w:val="00140001"/>
    <w:rsid w:val="00141633"/>
    <w:rsid w:val="001424E2"/>
    <w:rsid w:val="00143E0C"/>
    <w:rsid w:val="00144A9E"/>
    <w:rsid w:val="001451DF"/>
    <w:rsid w:val="00145A3F"/>
    <w:rsid w:val="00146048"/>
    <w:rsid w:val="00146076"/>
    <w:rsid w:val="00146274"/>
    <w:rsid w:val="001468B6"/>
    <w:rsid w:val="00146E34"/>
    <w:rsid w:val="0014753A"/>
    <w:rsid w:val="00147CB0"/>
    <w:rsid w:val="00147DCE"/>
    <w:rsid w:val="00152990"/>
    <w:rsid w:val="00152F14"/>
    <w:rsid w:val="00153F36"/>
    <w:rsid w:val="00154301"/>
    <w:rsid w:val="00154C9F"/>
    <w:rsid w:val="00155E8A"/>
    <w:rsid w:val="001566C2"/>
    <w:rsid w:val="00157002"/>
    <w:rsid w:val="0015757E"/>
    <w:rsid w:val="00157DCB"/>
    <w:rsid w:val="0016061C"/>
    <w:rsid w:val="00160DA3"/>
    <w:rsid w:val="0016165C"/>
    <w:rsid w:val="00161CAB"/>
    <w:rsid w:val="00161DAB"/>
    <w:rsid w:val="00161EBB"/>
    <w:rsid w:val="00163187"/>
    <w:rsid w:val="001635F3"/>
    <w:rsid w:val="0016378F"/>
    <w:rsid w:val="00163B2C"/>
    <w:rsid w:val="00164229"/>
    <w:rsid w:val="001645EB"/>
    <w:rsid w:val="00164CCE"/>
    <w:rsid w:val="001658A5"/>
    <w:rsid w:val="001665CE"/>
    <w:rsid w:val="001673EC"/>
    <w:rsid w:val="00170063"/>
    <w:rsid w:val="001705A8"/>
    <w:rsid w:val="001708DF"/>
    <w:rsid w:val="0017108B"/>
    <w:rsid w:val="001716F5"/>
    <w:rsid w:val="00171AFE"/>
    <w:rsid w:val="00171C16"/>
    <w:rsid w:val="00171C1E"/>
    <w:rsid w:val="0017214B"/>
    <w:rsid w:val="001727EC"/>
    <w:rsid w:val="00172A67"/>
    <w:rsid w:val="0017301D"/>
    <w:rsid w:val="00173174"/>
    <w:rsid w:val="00174712"/>
    <w:rsid w:val="001754B4"/>
    <w:rsid w:val="00175800"/>
    <w:rsid w:val="001763B4"/>
    <w:rsid w:val="00176F74"/>
    <w:rsid w:val="00180528"/>
    <w:rsid w:val="0018058F"/>
    <w:rsid w:val="001806B9"/>
    <w:rsid w:val="00180EDF"/>
    <w:rsid w:val="001814DF"/>
    <w:rsid w:val="001815BF"/>
    <w:rsid w:val="00181CAD"/>
    <w:rsid w:val="0018222D"/>
    <w:rsid w:val="00183895"/>
    <w:rsid w:val="00184493"/>
    <w:rsid w:val="00184535"/>
    <w:rsid w:val="00185194"/>
    <w:rsid w:val="001861CE"/>
    <w:rsid w:val="00190394"/>
    <w:rsid w:val="0019063F"/>
    <w:rsid w:val="00190D46"/>
    <w:rsid w:val="00191183"/>
    <w:rsid w:val="00191399"/>
    <w:rsid w:val="0019152A"/>
    <w:rsid w:val="0019161B"/>
    <w:rsid w:val="00191EA8"/>
    <w:rsid w:val="00192596"/>
    <w:rsid w:val="00192686"/>
    <w:rsid w:val="00192A46"/>
    <w:rsid w:val="00193171"/>
    <w:rsid w:val="0019320B"/>
    <w:rsid w:val="0019650F"/>
    <w:rsid w:val="00196519"/>
    <w:rsid w:val="00197330"/>
    <w:rsid w:val="00197676"/>
    <w:rsid w:val="001A2552"/>
    <w:rsid w:val="001A2A86"/>
    <w:rsid w:val="001A2E2F"/>
    <w:rsid w:val="001A431C"/>
    <w:rsid w:val="001A485D"/>
    <w:rsid w:val="001A4FF7"/>
    <w:rsid w:val="001A504D"/>
    <w:rsid w:val="001A51F1"/>
    <w:rsid w:val="001A5399"/>
    <w:rsid w:val="001A5F47"/>
    <w:rsid w:val="001A72E9"/>
    <w:rsid w:val="001B0588"/>
    <w:rsid w:val="001B0A2D"/>
    <w:rsid w:val="001B217A"/>
    <w:rsid w:val="001B2F98"/>
    <w:rsid w:val="001B3194"/>
    <w:rsid w:val="001B335E"/>
    <w:rsid w:val="001B3746"/>
    <w:rsid w:val="001B37A8"/>
    <w:rsid w:val="001B3DD4"/>
    <w:rsid w:val="001B3E73"/>
    <w:rsid w:val="001B4547"/>
    <w:rsid w:val="001B54FA"/>
    <w:rsid w:val="001B591B"/>
    <w:rsid w:val="001B66DB"/>
    <w:rsid w:val="001C00B7"/>
    <w:rsid w:val="001C01F6"/>
    <w:rsid w:val="001C073E"/>
    <w:rsid w:val="001C0ADE"/>
    <w:rsid w:val="001C136B"/>
    <w:rsid w:val="001C142B"/>
    <w:rsid w:val="001C1653"/>
    <w:rsid w:val="001C3784"/>
    <w:rsid w:val="001C466E"/>
    <w:rsid w:val="001C46D4"/>
    <w:rsid w:val="001C4ECE"/>
    <w:rsid w:val="001C5D79"/>
    <w:rsid w:val="001C615E"/>
    <w:rsid w:val="001C6E68"/>
    <w:rsid w:val="001C6E9A"/>
    <w:rsid w:val="001C7B4B"/>
    <w:rsid w:val="001D06A8"/>
    <w:rsid w:val="001D1F2F"/>
    <w:rsid w:val="001D2656"/>
    <w:rsid w:val="001D3013"/>
    <w:rsid w:val="001D323A"/>
    <w:rsid w:val="001D3376"/>
    <w:rsid w:val="001D33A8"/>
    <w:rsid w:val="001D414C"/>
    <w:rsid w:val="001D4845"/>
    <w:rsid w:val="001D4D99"/>
    <w:rsid w:val="001D5798"/>
    <w:rsid w:val="001D59C3"/>
    <w:rsid w:val="001D59D1"/>
    <w:rsid w:val="001D6265"/>
    <w:rsid w:val="001D65AC"/>
    <w:rsid w:val="001D66EB"/>
    <w:rsid w:val="001D67E5"/>
    <w:rsid w:val="001D6FDD"/>
    <w:rsid w:val="001D7182"/>
    <w:rsid w:val="001D7453"/>
    <w:rsid w:val="001D77F5"/>
    <w:rsid w:val="001E0C89"/>
    <w:rsid w:val="001E10DA"/>
    <w:rsid w:val="001E1A41"/>
    <w:rsid w:val="001E1A4E"/>
    <w:rsid w:val="001E1D19"/>
    <w:rsid w:val="001E1EE7"/>
    <w:rsid w:val="001E247B"/>
    <w:rsid w:val="001E254C"/>
    <w:rsid w:val="001E3C03"/>
    <w:rsid w:val="001E3E18"/>
    <w:rsid w:val="001E3F4F"/>
    <w:rsid w:val="001E48DF"/>
    <w:rsid w:val="001E48E2"/>
    <w:rsid w:val="001E55C3"/>
    <w:rsid w:val="001E5728"/>
    <w:rsid w:val="001E6236"/>
    <w:rsid w:val="001E779B"/>
    <w:rsid w:val="001E7A60"/>
    <w:rsid w:val="001E7B70"/>
    <w:rsid w:val="001E7CBC"/>
    <w:rsid w:val="001F01C9"/>
    <w:rsid w:val="001F143A"/>
    <w:rsid w:val="001F18F5"/>
    <w:rsid w:val="001F22ED"/>
    <w:rsid w:val="001F2F6E"/>
    <w:rsid w:val="001F3552"/>
    <w:rsid w:val="001F379B"/>
    <w:rsid w:val="001F5A5F"/>
    <w:rsid w:val="001F5C67"/>
    <w:rsid w:val="001F5FAB"/>
    <w:rsid w:val="001F60E7"/>
    <w:rsid w:val="001F641B"/>
    <w:rsid w:val="001F6B71"/>
    <w:rsid w:val="001F71E5"/>
    <w:rsid w:val="001F74B3"/>
    <w:rsid w:val="001F7B45"/>
    <w:rsid w:val="00201C29"/>
    <w:rsid w:val="00201E5D"/>
    <w:rsid w:val="002025BE"/>
    <w:rsid w:val="002033DD"/>
    <w:rsid w:val="002035CF"/>
    <w:rsid w:val="002036B0"/>
    <w:rsid w:val="00206C5F"/>
    <w:rsid w:val="002105F6"/>
    <w:rsid w:val="00210D44"/>
    <w:rsid w:val="002121E9"/>
    <w:rsid w:val="002123BE"/>
    <w:rsid w:val="00213AAA"/>
    <w:rsid w:val="00213F9D"/>
    <w:rsid w:val="002143FF"/>
    <w:rsid w:val="00214C50"/>
    <w:rsid w:val="0021558E"/>
    <w:rsid w:val="00215713"/>
    <w:rsid w:val="002159FA"/>
    <w:rsid w:val="002160BA"/>
    <w:rsid w:val="0021652D"/>
    <w:rsid w:val="00216F09"/>
    <w:rsid w:val="002170B3"/>
    <w:rsid w:val="00217390"/>
    <w:rsid w:val="0022007B"/>
    <w:rsid w:val="0022142D"/>
    <w:rsid w:val="00221A5C"/>
    <w:rsid w:val="00221F5B"/>
    <w:rsid w:val="00222FF4"/>
    <w:rsid w:val="00224928"/>
    <w:rsid w:val="00224963"/>
    <w:rsid w:val="00224988"/>
    <w:rsid w:val="002252E9"/>
    <w:rsid w:val="00225401"/>
    <w:rsid w:val="002254CF"/>
    <w:rsid w:val="00225594"/>
    <w:rsid w:val="00226331"/>
    <w:rsid w:val="002273FE"/>
    <w:rsid w:val="002277FC"/>
    <w:rsid w:val="00227D70"/>
    <w:rsid w:val="0023105C"/>
    <w:rsid w:val="00231592"/>
    <w:rsid w:val="00231CD2"/>
    <w:rsid w:val="00231D80"/>
    <w:rsid w:val="002326EA"/>
    <w:rsid w:val="00232729"/>
    <w:rsid w:val="00233468"/>
    <w:rsid w:val="002334E8"/>
    <w:rsid w:val="0023446E"/>
    <w:rsid w:val="00234D8E"/>
    <w:rsid w:val="00234E6E"/>
    <w:rsid w:val="0023513F"/>
    <w:rsid w:val="00235316"/>
    <w:rsid w:val="00235529"/>
    <w:rsid w:val="00235CCB"/>
    <w:rsid w:val="002364FF"/>
    <w:rsid w:val="00236926"/>
    <w:rsid w:val="00236CBF"/>
    <w:rsid w:val="002379A2"/>
    <w:rsid w:val="00240CB9"/>
    <w:rsid w:val="00240E69"/>
    <w:rsid w:val="00241A02"/>
    <w:rsid w:val="00241C08"/>
    <w:rsid w:val="00241D3F"/>
    <w:rsid w:val="00241F6D"/>
    <w:rsid w:val="002420A3"/>
    <w:rsid w:val="00242254"/>
    <w:rsid w:val="00242C87"/>
    <w:rsid w:val="00244025"/>
    <w:rsid w:val="002445A6"/>
    <w:rsid w:val="00244806"/>
    <w:rsid w:val="0024515D"/>
    <w:rsid w:val="0024518D"/>
    <w:rsid w:val="002451D9"/>
    <w:rsid w:val="00245B72"/>
    <w:rsid w:val="00245D23"/>
    <w:rsid w:val="00245D95"/>
    <w:rsid w:val="002464E9"/>
    <w:rsid w:val="00246FA9"/>
    <w:rsid w:val="002472D3"/>
    <w:rsid w:val="0024765F"/>
    <w:rsid w:val="002476A6"/>
    <w:rsid w:val="00250064"/>
    <w:rsid w:val="002505A3"/>
    <w:rsid w:val="0025105B"/>
    <w:rsid w:val="00251AAD"/>
    <w:rsid w:val="00251B6F"/>
    <w:rsid w:val="002533A0"/>
    <w:rsid w:val="00254DEB"/>
    <w:rsid w:val="002558AC"/>
    <w:rsid w:val="00255FB1"/>
    <w:rsid w:val="00256403"/>
    <w:rsid w:val="0025694E"/>
    <w:rsid w:val="00257060"/>
    <w:rsid w:val="00257618"/>
    <w:rsid w:val="00257DC2"/>
    <w:rsid w:val="00260AFC"/>
    <w:rsid w:val="00260D58"/>
    <w:rsid w:val="00261837"/>
    <w:rsid w:val="0026203F"/>
    <w:rsid w:val="002623B1"/>
    <w:rsid w:val="002626B2"/>
    <w:rsid w:val="002650F4"/>
    <w:rsid w:val="00266A6E"/>
    <w:rsid w:val="00266EEC"/>
    <w:rsid w:val="0026762C"/>
    <w:rsid w:val="002677BF"/>
    <w:rsid w:val="00270428"/>
    <w:rsid w:val="002710D4"/>
    <w:rsid w:val="002712E6"/>
    <w:rsid w:val="002726B2"/>
    <w:rsid w:val="002727AD"/>
    <w:rsid w:val="0027333B"/>
    <w:rsid w:val="0027373C"/>
    <w:rsid w:val="00274117"/>
    <w:rsid w:val="0027416E"/>
    <w:rsid w:val="00274337"/>
    <w:rsid w:val="00274517"/>
    <w:rsid w:val="00275B4F"/>
    <w:rsid w:val="00276425"/>
    <w:rsid w:val="00276DC8"/>
    <w:rsid w:val="00276DCF"/>
    <w:rsid w:val="00277345"/>
    <w:rsid w:val="00277DF4"/>
    <w:rsid w:val="00277FC0"/>
    <w:rsid w:val="0028027D"/>
    <w:rsid w:val="00280CAD"/>
    <w:rsid w:val="00280CBA"/>
    <w:rsid w:val="0028189B"/>
    <w:rsid w:val="00281BB3"/>
    <w:rsid w:val="00281BC5"/>
    <w:rsid w:val="002827D0"/>
    <w:rsid w:val="002829CC"/>
    <w:rsid w:val="00283511"/>
    <w:rsid w:val="00284019"/>
    <w:rsid w:val="002843A9"/>
    <w:rsid w:val="00284FF5"/>
    <w:rsid w:val="00285349"/>
    <w:rsid w:val="00286511"/>
    <w:rsid w:val="00287481"/>
    <w:rsid w:val="0029118A"/>
    <w:rsid w:val="002917E3"/>
    <w:rsid w:val="00291B87"/>
    <w:rsid w:val="0029221D"/>
    <w:rsid w:val="002924E5"/>
    <w:rsid w:val="00292D2B"/>
    <w:rsid w:val="0029325F"/>
    <w:rsid w:val="00293877"/>
    <w:rsid w:val="00293BC4"/>
    <w:rsid w:val="00293D30"/>
    <w:rsid w:val="00293F23"/>
    <w:rsid w:val="00294481"/>
    <w:rsid w:val="00294C59"/>
    <w:rsid w:val="00294F86"/>
    <w:rsid w:val="0029503D"/>
    <w:rsid w:val="002957B8"/>
    <w:rsid w:val="00295A5E"/>
    <w:rsid w:val="00296685"/>
    <w:rsid w:val="00296A9B"/>
    <w:rsid w:val="002A08C8"/>
    <w:rsid w:val="002A0BF0"/>
    <w:rsid w:val="002A15A4"/>
    <w:rsid w:val="002A1C0A"/>
    <w:rsid w:val="002A1DAA"/>
    <w:rsid w:val="002A24E2"/>
    <w:rsid w:val="002A285B"/>
    <w:rsid w:val="002A3367"/>
    <w:rsid w:val="002A3372"/>
    <w:rsid w:val="002A33F1"/>
    <w:rsid w:val="002A3705"/>
    <w:rsid w:val="002A3E63"/>
    <w:rsid w:val="002A418C"/>
    <w:rsid w:val="002A42AC"/>
    <w:rsid w:val="002A5123"/>
    <w:rsid w:val="002A512A"/>
    <w:rsid w:val="002A5345"/>
    <w:rsid w:val="002A575C"/>
    <w:rsid w:val="002A5845"/>
    <w:rsid w:val="002A5C6C"/>
    <w:rsid w:val="002A61B4"/>
    <w:rsid w:val="002A63AD"/>
    <w:rsid w:val="002A6D70"/>
    <w:rsid w:val="002A7463"/>
    <w:rsid w:val="002A78F1"/>
    <w:rsid w:val="002A7BDD"/>
    <w:rsid w:val="002A7ED9"/>
    <w:rsid w:val="002B0665"/>
    <w:rsid w:val="002B0E51"/>
    <w:rsid w:val="002B0EED"/>
    <w:rsid w:val="002B135C"/>
    <w:rsid w:val="002B1624"/>
    <w:rsid w:val="002B21ED"/>
    <w:rsid w:val="002B3332"/>
    <w:rsid w:val="002B3703"/>
    <w:rsid w:val="002B3D3A"/>
    <w:rsid w:val="002B416C"/>
    <w:rsid w:val="002B44CF"/>
    <w:rsid w:val="002B4C7F"/>
    <w:rsid w:val="002B4D16"/>
    <w:rsid w:val="002B4F49"/>
    <w:rsid w:val="002B566A"/>
    <w:rsid w:val="002B591E"/>
    <w:rsid w:val="002B6227"/>
    <w:rsid w:val="002B7574"/>
    <w:rsid w:val="002B7D6F"/>
    <w:rsid w:val="002C0989"/>
    <w:rsid w:val="002C183D"/>
    <w:rsid w:val="002C1E3A"/>
    <w:rsid w:val="002C4606"/>
    <w:rsid w:val="002C4F03"/>
    <w:rsid w:val="002C5974"/>
    <w:rsid w:val="002C7EDE"/>
    <w:rsid w:val="002D0014"/>
    <w:rsid w:val="002D0C06"/>
    <w:rsid w:val="002D0FF5"/>
    <w:rsid w:val="002D4126"/>
    <w:rsid w:val="002D446C"/>
    <w:rsid w:val="002D460D"/>
    <w:rsid w:val="002D46D8"/>
    <w:rsid w:val="002D5084"/>
    <w:rsid w:val="002D5909"/>
    <w:rsid w:val="002D5AF0"/>
    <w:rsid w:val="002D5BCB"/>
    <w:rsid w:val="002D6727"/>
    <w:rsid w:val="002D67DB"/>
    <w:rsid w:val="002D7278"/>
    <w:rsid w:val="002D7A66"/>
    <w:rsid w:val="002D7CE0"/>
    <w:rsid w:val="002D7D22"/>
    <w:rsid w:val="002D7F24"/>
    <w:rsid w:val="002E023D"/>
    <w:rsid w:val="002E0CBC"/>
    <w:rsid w:val="002E15AC"/>
    <w:rsid w:val="002E1822"/>
    <w:rsid w:val="002E1FB3"/>
    <w:rsid w:val="002E2C9D"/>
    <w:rsid w:val="002E34E5"/>
    <w:rsid w:val="002E3661"/>
    <w:rsid w:val="002E4BB6"/>
    <w:rsid w:val="002E6E37"/>
    <w:rsid w:val="002E7446"/>
    <w:rsid w:val="002E78A3"/>
    <w:rsid w:val="002E7E94"/>
    <w:rsid w:val="002F0008"/>
    <w:rsid w:val="002F032B"/>
    <w:rsid w:val="002F04E7"/>
    <w:rsid w:val="002F0ABE"/>
    <w:rsid w:val="002F1595"/>
    <w:rsid w:val="002F1919"/>
    <w:rsid w:val="002F206F"/>
    <w:rsid w:val="002F2360"/>
    <w:rsid w:val="002F25A1"/>
    <w:rsid w:val="002F25F1"/>
    <w:rsid w:val="002F2817"/>
    <w:rsid w:val="002F29F2"/>
    <w:rsid w:val="002F323D"/>
    <w:rsid w:val="002F35D9"/>
    <w:rsid w:val="002F3CE6"/>
    <w:rsid w:val="002F4731"/>
    <w:rsid w:val="002F47B2"/>
    <w:rsid w:val="002F4C13"/>
    <w:rsid w:val="002F56D8"/>
    <w:rsid w:val="002F5732"/>
    <w:rsid w:val="002F5F19"/>
    <w:rsid w:val="002F5FC8"/>
    <w:rsid w:val="002F68EB"/>
    <w:rsid w:val="0030050E"/>
    <w:rsid w:val="00300643"/>
    <w:rsid w:val="00300DC7"/>
    <w:rsid w:val="003024B6"/>
    <w:rsid w:val="00302D46"/>
    <w:rsid w:val="0030357E"/>
    <w:rsid w:val="003046EF"/>
    <w:rsid w:val="003056FC"/>
    <w:rsid w:val="00306870"/>
    <w:rsid w:val="00306940"/>
    <w:rsid w:val="003070DA"/>
    <w:rsid w:val="003071E9"/>
    <w:rsid w:val="003072C2"/>
    <w:rsid w:val="00307E7A"/>
    <w:rsid w:val="00310886"/>
    <w:rsid w:val="00311C03"/>
    <w:rsid w:val="00311DBC"/>
    <w:rsid w:val="00312237"/>
    <w:rsid w:val="00312751"/>
    <w:rsid w:val="00312C66"/>
    <w:rsid w:val="003131D1"/>
    <w:rsid w:val="003133FB"/>
    <w:rsid w:val="0031360A"/>
    <w:rsid w:val="00313FB1"/>
    <w:rsid w:val="00314ACE"/>
    <w:rsid w:val="00314E09"/>
    <w:rsid w:val="00314F20"/>
    <w:rsid w:val="00314F96"/>
    <w:rsid w:val="00314FAC"/>
    <w:rsid w:val="003157C1"/>
    <w:rsid w:val="0031652F"/>
    <w:rsid w:val="003167BE"/>
    <w:rsid w:val="00317137"/>
    <w:rsid w:val="003174B5"/>
    <w:rsid w:val="0031751D"/>
    <w:rsid w:val="00317A2B"/>
    <w:rsid w:val="00317F81"/>
    <w:rsid w:val="00322113"/>
    <w:rsid w:val="00322ED8"/>
    <w:rsid w:val="00323427"/>
    <w:rsid w:val="0032384A"/>
    <w:rsid w:val="00324606"/>
    <w:rsid w:val="00324B38"/>
    <w:rsid w:val="00325697"/>
    <w:rsid w:val="003260A8"/>
    <w:rsid w:val="00326454"/>
    <w:rsid w:val="00326DAD"/>
    <w:rsid w:val="00326E07"/>
    <w:rsid w:val="00327251"/>
    <w:rsid w:val="00327B43"/>
    <w:rsid w:val="00327F61"/>
    <w:rsid w:val="003301C3"/>
    <w:rsid w:val="003307CA"/>
    <w:rsid w:val="00330DE0"/>
    <w:rsid w:val="00330F1C"/>
    <w:rsid w:val="00330F95"/>
    <w:rsid w:val="00331B1D"/>
    <w:rsid w:val="0033376B"/>
    <w:rsid w:val="00333AA5"/>
    <w:rsid w:val="00334377"/>
    <w:rsid w:val="00334691"/>
    <w:rsid w:val="00334936"/>
    <w:rsid w:val="00335073"/>
    <w:rsid w:val="003355E0"/>
    <w:rsid w:val="003357FA"/>
    <w:rsid w:val="0033687F"/>
    <w:rsid w:val="003374F2"/>
    <w:rsid w:val="00340944"/>
    <w:rsid w:val="00340C90"/>
    <w:rsid w:val="0034161B"/>
    <w:rsid w:val="00341BF1"/>
    <w:rsid w:val="003422EF"/>
    <w:rsid w:val="00342BC5"/>
    <w:rsid w:val="00343B75"/>
    <w:rsid w:val="00343D8B"/>
    <w:rsid w:val="0034490E"/>
    <w:rsid w:val="00345818"/>
    <w:rsid w:val="0034688C"/>
    <w:rsid w:val="00346DDC"/>
    <w:rsid w:val="003470E7"/>
    <w:rsid w:val="00347B77"/>
    <w:rsid w:val="00350A39"/>
    <w:rsid w:val="00351738"/>
    <w:rsid w:val="00352000"/>
    <w:rsid w:val="00352A36"/>
    <w:rsid w:val="003530D6"/>
    <w:rsid w:val="00353A8E"/>
    <w:rsid w:val="00353D4E"/>
    <w:rsid w:val="003544E6"/>
    <w:rsid w:val="0035456C"/>
    <w:rsid w:val="0035460C"/>
    <w:rsid w:val="0035463E"/>
    <w:rsid w:val="003560D3"/>
    <w:rsid w:val="003565EC"/>
    <w:rsid w:val="0035663C"/>
    <w:rsid w:val="00356ED4"/>
    <w:rsid w:val="00362120"/>
    <w:rsid w:val="003621F7"/>
    <w:rsid w:val="00362BAF"/>
    <w:rsid w:val="0036464E"/>
    <w:rsid w:val="0036497D"/>
    <w:rsid w:val="00364B05"/>
    <w:rsid w:val="00364B79"/>
    <w:rsid w:val="00364DFD"/>
    <w:rsid w:val="00365D4E"/>
    <w:rsid w:val="00366684"/>
    <w:rsid w:val="0036759E"/>
    <w:rsid w:val="0036786C"/>
    <w:rsid w:val="00367B85"/>
    <w:rsid w:val="00367C77"/>
    <w:rsid w:val="003708B4"/>
    <w:rsid w:val="00371B31"/>
    <w:rsid w:val="0037220C"/>
    <w:rsid w:val="003731A2"/>
    <w:rsid w:val="003734E2"/>
    <w:rsid w:val="003735F8"/>
    <w:rsid w:val="00373BB5"/>
    <w:rsid w:val="00373C0A"/>
    <w:rsid w:val="00373D9C"/>
    <w:rsid w:val="00375428"/>
    <w:rsid w:val="0037563E"/>
    <w:rsid w:val="003761C9"/>
    <w:rsid w:val="00376BCB"/>
    <w:rsid w:val="00376DC7"/>
    <w:rsid w:val="0037769E"/>
    <w:rsid w:val="003779E0"/>
    <w:rsid w:val="003802F9"/>
    <w:rsid w:val="0038048A"/>
    <w:rsid w:val="003808DA"/>
    <w:rsid w:val="00380E3F"/>
    <w:rsid w:val="00381684"/>
    <w:rsid w:val="00381BEE"/>
    <w:rsid w:val="0038245B"/>
    <w:rsid w:val="00382905"/>
    <w:rsid w:val="00384105"/>
    <w:rsid w:val="00384150"/>
    <w:rsid w:val="003841AC"/>
    <w:rsid w:val="00385253"/>
    <w:rsid w:val="00385598"/>
    <w:rsid w:val="00385BFF"/>
    <w:rsid w:val="00385CED"/>
    <w:rsid w:val="00386240"/>
    <w:rsid w:val="00387247"/>
    <w:rsid w:val="003874FD"/>
    <w:rsid w:val="003900CC"/>
    <w:rsid w:val="003908DC"/>
    <w:rsid w:val="003910C4"/>
    <w:rsid w:val="003912B2"/>
    <w:rsid w:val="00391BCF"/>
    <w:rsid w:val="00391F40"/>
    <w:rsid w:val="00392C2A"/>
    <w:rsid w:val="00392D4D"/>
    <w:rsid w:val="003930DA"/>
    <w:rsid w:val="00393142"/>
    <w:rsid w:val="003931F8"/>
    <w:rsid w:val="003937DD"/>
    <w:rsid w:val="00393D89"/>
    <w:rsid w:val="003951D9"/>
    <w:rsid w:val="00395220"/>
    <w:rsid w:val="0039543F"/>
    <w:rsid w:val="00395F2D"/>
    <w:rsid w:val="00395F64"/>
    <w:rsid w:val="00397DA0"/>
    <w:rsid w:val="003A0091"/>
    <w:rsid w:val="003A0BB9"/>
    <w:rsid w:val="003A1124"/>
    <w:rsid w:val="003A1469"/>
    <w:rsid w:val="003A26EA"/>
    <w:rsid w:val="003A2C92"/>
    <w:rsid w:val="003A2E4B"/>
    <w:rsid w:val="003A33EC"/>
    <w:rsid w:val="003A342A"/>
    <w:rsid w:val="003A3ECF"/>
    <w:rsid w:val="003A462A"/>
    <w:rsid w:val="003A4C63"/>
    <w:rsid w:val="003A4FD1"/>
    <w:rsid w:val="003A6EBD"/>
    <w:rsid w:val="003A7154"/>
    <w:rsid w:val="003A7726"/>
    <w:rsid w:val="003B0680"/>
    <w:rsid w:val="003B1FA6"/>
    <w:rsid w:val="003B2243"/>
    <w:rsid w:val="003B2CDB"/>
    <w:rsid w:val="003B2F3A"/>
    <w:rsid w:val="003B4653"/>
    <w:rsid w:val="003B490A"/>
    <w:rsid w:val="003B4B39"/>
    <w:rsid w:val="003B4EAE"/>
    <w:rsid w:val="003B500D"/>
    <w:rsid w:val="003B5323"/>
    <w:rsid w:val="003B54B1"/>
    <w:rsid w:val="003B563F"/>
    <w:rsid w:val="003B6EE5"/>
    <w:rsid w:val="003B7596"/>
    <w:rsid w:val="003B7FD3"/>
    <w:rsid w:val="003C0667"/>
    <w:rsid w:val="003C09A0"/>
    <w:rsid w:val="003C1AB2"/>
    <w:rsid w:val="003C228C"/>
    <w:rsid w:val="003C2CFA"/>
    <w:rsid w:val="003C3074"/>
    <w:rsid w:val="003C3331"/>
    <w:rsid w:val="003C50B2"/>
    <w:rsid w:val="003C50BE"/>
    <w:rsid w:val="003C520C"/>
    <w:rsid w:val="003C534F"/>
    <w:rsid w:val="003C5AF0"/>
    <w:rsid w:val="003C5B19"/>
    <w:rsid w:val="003C5CA5"/>
    <w:rsid w:val="003C62AA"/>
    <w:rsid w:val="003C63B1"/>
    <w:rsid w:val="003C6BB4"/>
    <w:rsid w:val="003C714B"/>
    <w:rsid w:val="003C792E"/>
    <w:rsid w:val="003D1348"/>
    <w:rsid w:val="003D1981"/>
    <w:rsid w:val="003D1B0A"/>
    <w:rsid w:val="003D20BE"/>
    <w:rsid w:val="003D2219"/>
    <w:rsid w:val="003D23CB"/>
    <w:rsid w:val="003D30F3"/>
    <w:rsid w:val="003D34C1"/>
    <w:rsid w:val="003D378F"/>
    <w:rsid w:val="003D418F"/>
    <w:rsid w:val="003D4822"/>
    <w:rsid w:val="003D4CA2"/>
    <w:rsid w:val="003D4EDA"/>
    <w:rsid w:val="003D50F4"/>
    <w:rsid w:val="003D542A"/>
    <w:rsid w:val="003D5FCF"/>
    <w:rsid w:val="003D6034"/>
    <w:rsid w:val="003D6275"/>
    <w:rsid w:val="003D65E7"/>
    <w:rsid w:val="003D6D81"/>
    <w:rsid w:val="003D71D5"/>
    <w:rsid w:val="003D77D8"/>
    <w:rsid w:val="003E0CB6"/>
    <w:rsid w:val="003E41C2"/>
    <w:rsid w:val="003E43C6"/>
    <w:rsid w:val="003E4C2D"/>
    <w:rsid w:val="003E4D21"/>
    <w:rsid w:val="003E521C"/>
    <w:rsid w:val="003E6082"/>
    <w:rsid w:val="003E6742"/>
    <w:rsid w:val="003E67B8"/>
    <w:rsid w:val="003E6DF7"/>
    <w:rsid w:val="003E6E82"/>
    <w:rsid w:val="003E7432"/>
    <w:rsid w:val="003E7538"/>
    <w:rsid w:val="003F05B9"/>
    <w:rsid w:val="003F0C5B"/>
    <w:rsid w:val="003F0C84"/>
    <w:rsid w:val="003F0D04"/>
    <w:rsid w:val="003F0F3B"/>
    <w:rsid w:val="003F0FB2"/>
    <w:rsid w:val="003F1069"/>
    <w:rsid w:val="003F1162"/>
    <w:rsid w:val="003F1194"/>
    <w:rsid w:val="003F11F6"/>
    <w:rsid w:val="003F1F7E"/>
    <w:rsid w:val="003F361F"/>
    <w:rsid w:val="003F472D"/>
    <w:rsid w:val="003F4826"/>
    <w:rsid w:val="003F5806"/>
    <w:rsid w:val="003F60F2"/>
    <w:rsid w:val="003F62C7"/>
    <w:rsid w:val="003F70DD"/>
    <w:rsid w:val="003F72E7"/>
    <w:rsid w:val="003F7C41"/>
    <w:rsid w:val="00400ED4"/>
    <w:rsid w:val="0040104A"/>
    <w:rsid w:val="0040167D"/>
    <w:rsid w:val="00401B8A"/>
    <w:rsid w:val="00402034"/>
    <w:rsid w:val="004020F9"/>
    <w:rsid w:val="004021A1"/>
    <w:rsid w:val="00402B42"/>
    <w:rsid w:val="00402EBD"/>
    <w:rsid w:val="00402F2A"/>
    <w:rsid w:val="004034D0"/>
    <w:rsid w:val="00403821"/>
    <w:rsid w:val="00403B76"/>
    <w:rsid w:val="004056AA"/>
    <w:rsid w:val="004061F6"/>
    <w:rsid w:val="00406588"/>
    <w:rsid w:val="00410525"/>
    <w:rsid w:val="0041057E"/>
    <w:rsid w:val="00410D73"/>
    <w:rsid w:val="004116E8"/>
    <w:rsid w:val="00414E86"/>
    <w:rsid w:val="00414FE7"/>
    <w:rsid w:val="00415452"/>
    <w:rsid w:val="00415863"/>
    <w:rsid w:val="00415A94"/>
    <w:rsid w:val="004162B0"/>
    <w:rsid w:val="00416F3D"/>
    <w:rsid w:val="0041779E"/>
    <w:rsid w:val="00417C9A"/>
    <w:rsid w:val="004202EB"/>
    <w:rsid w:val="004207C4"/>
    <w:rsid w:val="00420B60"/>
    <w:rsid w:val="00420F7C"/>
    <w:rsid w:val="0042164E"/>
    <w:rsid w:val="00421C8E"/>
    <w:rsid w:val="0042274C"/>
    <w:rsid w:val="004236D8"/>
    <w:rsid w:val="00424134"/>
    <w:rsid w:val="0042568E"/>
    <w:rsid w:val="00425846"/>
    <w:rsid w:val="004266DB"/>
    <w:rsid w:val="0042684D"/>
    <w:rsid w:val="00426B2A"/>
    <w:rsid w:val="00426D82"/>
    <w:rsid w:val="004277F7"/>
    <w:rsid w:val="00427DDE"/>
    <w:rsid w:val="004306E0"/>
    <w:rsid w:val="004310DF"/>
    <w:rsid w:val="00431313"/>
    <w:rsid w:val="00431D20"/>
    <w:rsid w:val="0043201E"/>
    <w:rsid w:val="00432734"/>
    <w:rsid w:val="00432C5A"/>
    <w:rsid w:val="00433EBF"/>
    <w:rsid w:val="00434CCE"/>
    <w:rsid w:val="00434F82"/>
    <w:rsid w:val="004359DB"/>
    <w:rsid w:val="00435D69"/>
    <w:rsid w:val="00436536"/>
    <w:rsid w:val="004367E5"/>
    <w:rsid w:val="00437585"/>
    <w:rsid w:val="0044010B"/>
    <w:rsid w:val="00440DE0"/>
    <w:rsid w:val="004411BD"/>
    <w:rsid w:val="0044188D"/>
    <w:rsid w:val="004419BA"/>
    <w:rsid w:val="00441B98"/>
    <w:rsid w:val="00441D93"/>
    <w:rsid w:val="00441FD3"/>
    <w:rsid w:val="00441FF5"/>
    <w:rsid w:val="00443457"/>
    <w:rsid w:val="004435C0"/>
    <w:rsid w:val="00443C44"/>
    <w:rsid w:val="00444581"/>
    <w:rsid w:val="00446546"/>
    <w:rsid w:val="0044688F"/>
    <w:rsid w:val="00446B66"/>
    <w:rsid w:val="00450755"/>
    <w:rsid w:val="004519DF"/>
    <w:rsid w:val="00451ED3"/>
    <w:rsid w:val="00452444"/>
    <w:rsid w:val="004536E4"/>
    <w:rsid w:val="004539F7"/>
    <w:rsid w:val="00453BB1"/>
    <w:rsid w:val="00453F80"/>
    <w:rsid w:val="00454BBC"/>
    <w:rsid w:val="00454F41"/>
    <w:rsid w:val="00455A14"/>
    <w:rsid w:val="004560D6"/>
    <w:rsid w:val="0045665F"/>
    <w:rsid w:val="004566CD"/>
    <w:rsid w:val="0045759F"/>
    <w:rsid w:val="0045766A"/>
    <w:rsid w:val="00457B3A"/>
    <w:rsid w:val="00457E0D"/>
    <w:rsid w:val="004609C1"/>
    <w:rsid w:val="00460B2E"/>
    <w:rsid w:val="00460CFE"/>
    <w:rsid w:val="00460D82"/>
    <w:rsid w:val="00461AFA"/>
    <w:rsid w:val="00461E29"/>
    <w:rsid w:val="00462DA2"/>
    <w:rsid w:val="00462DEA"/>
    <w:rsid w:val="004631AC"/>
    <w:rsid w:val="004631F4"/>
    <w:rsid w:val="004639F6"/>
    <w:rsid w:val="00463D0C"/>
    <w:rsid w:val="00463EDB"/>
    <w:rsid w:val="00464120"/>
    <w:rsid w:val="00465881"/>
    <w:rsid w:val="00465AA2"/>
    <w:rsid w:val="00467522"/>
    <w:rsid w:val="00467602"/>
    <w:rsid w:val="00471BD3"/>
    <w:rsid w:val="00471C0F"/>
    <w:rsid w:val="00472614"/>
    <w:rsid w:val="004726E5"/>
    <w:rsid w:val="004732FF"/>
    <w:rsid w:val="004752AD"/>
    <w:rsid w:val="0047538B"/>
    <w:rsid w:val="00475B8B"/>
    <w:rsid w:val="0047615C"/>
    <w:rsid w:val="004764C9"/>
    <w:rsid w:val="00476AF8"/>
    <w:rsid w:val="004770F5"/>
    <w:rsid w:val="0047746E"/>
    <w:rsid w:val="004775F9"/>
    <w:rsid w:val="004777B2"/>
    <w:rsid w:val="00477B25"/>
    <w:rsid w:val="004805DC"/>
    <w:rsid w:val="004806CF"/>
    <w:rsid w:val="00480DC1"/>
    <w:rsid w:val="004817EE"/>
    <w:rsid w:val="00481C47"/>
    <w:rsid w:val="004820A9"/>
    <w:rsid w:val="00483036"/>
    <w:rsid w:val="0048341C"/>
    <w:rsid w:val="00483883"/>
    <w:rsid w:val="00483908"/>
    <w:rsid w:val="00484115"/>
    <w:rsid w:val="004846DB"/>
    <w:rsid w:val="00484B23"/>
    <w:rsid w:val="00485169"/>
    <w:rsid w:val="00486729"/>
    <w:rsid w:val="00486CE2"/>
    <w:rsid w:val="00487B2C"/>
    <w:rsid w:val="00487C79"/>
    <w:rsid w:val="004904AF"/>
    <w:rsid w:val="004916A8"/>
    <w:rsid w:val="00492836"/>
    <w:rsid w:val="00492DC3"/>
    <w:rsid w:val="00492DFD"/>
    <w:rsid w:val="00493560"/>
    <w:rsid w:val="0049381B"/>
    <w:rsid w:val="004939CF"/>
    <w:rsid w:val="004946E8"/>
    <w:rsid w:val="00494E27"/>
    <w:rsid w:val="00495DF3"/>
    <w:rsid w:val="004962C1"/>
    <w:rsid w:val="00496A32"/>
    <w:rsid w:val="00496AE4"/>
    <w:rsid w:val="0049740A"/>
    <w:rsid w:val="00497E01"/>
    <w:rsid w:val="00497E16"/>
    <w:rsid w:val="004A03A9"/>
    <w:rsid w:val="004A041A"/>
    <w:rsid w:val="004A04F4"/>
    <w:rsid w:val="004A0908"/>
    <w:rsid w:val="004A10E4"/>
    <w:rsid w:val="004A1125"/>
    <w:rsid w:val="004A1B8A"/>
    <w:rsid w:val="004A2BAB"/>
    <w:rsid w:val="004A2F81"/>
    <w:rsid w:val="004A2F8E"/>
    <w:rsid w:val="004A3548"/>
    <w:rsid w:val="004A48DD"/>
    <w:rsid w:val="004A493E"/>
    <w:rsid w:val="004A4A43"/>
    <w:rsid w:val="004A5582"/>
    <w:rsid w:val="004A5A39"/>
    <w:rsid w:val="004A5F53"/>
    <w:rsid w:val="004A6343"/>
    <w:rsid w:val="004A66AB"/>
    <w:rsid w:val="004A692C"/>
    <w:rsid w:val="004A6CD9"/>
    <w:rsid w:val="004A6FE6"/>
    <w:rsid w:val="004B0097"/>
    <w:rsid w:val="004B08BF"/>
    <w:rsid w:val="004B0DEC"/>
    <w:rsid w:val="004B1366"/>
    <w:rsid w:val="004B26AB"/>
    <w:rsid w:val="004B2E32"/>
    <w:rsid w:val="004B35DF"/>
    <w:rsid w:val="004B4C50"/>
    <w:rsid w:val="004B50FE"/>
    <w:rsid w:val="004B5686"/>
    <w:rsid w:val="004B59E5"/>
    <w:rsid w:val="004B59E9"/>
    <w:rsid w:val="004B5ED7"/>
    <w:rsid w:val="004B5F69"/>
    <w:rsid w:val="004B64F1"/>
    <w:rsid w:val="004B6D18"/>
    <w:rsid w:val="004B7044"/>
    <w:rsid w:val="004B78ED"/>
    <w:rsid w:val="004B7ED9"/>
    <w:rsid w:val="004C1A16"/>
    <w:rsid w:val="004C212E"/>
    <w:rsid w:val="004C21AA"/>
    <w:rsid w:val="004C2721"/>
    <w:rsid w:val="004C316E"/>
    <w:rsid w:val="004C3363"/>
    <w:rsid w:val="004C3423"/>
    <w:rsid w:val="004C388B"/>
    <w:rsid w:val="004C4196"/>
    <w:rsid w:val="004C433E"/>
    <w:rsid w:val="004C4785"/>
    <w:rsid w:val="004C49FD"/>
    <w:rsid w:val="004C4F76"/>
    <w:rsid w:val="004C5051"/>
    <w:rsid w:val="004C5C8D"/>
    <w:rsid w:val="004C602A"/>
    <w:rsid w:val="004C6118"/>
    <w:rsid w:val="004C6DAD"/>
    <w:rsid w:val="004C7083"/>
    <w:rsid w:val="004C7C16"/>
    <w:rsid w:val="004D0AF9"/>
    <w:rsid w:val="004D10A5"/>
    <w:rsid w:val="004D165A"/>
    <w:rsid w:val="004D1790"/>
    <w:rsid w:val="004D1F2D"/>
    <w:rsid w:val="004D21F8"/>
    <w:rsid w:val="004D2222"/>
    <w:rsid w:val="004D2A68"/>
    <w:rsid w:val="004D2A8B"/>
    <w:rsid w:val="004D2B49"/>
    <w:rsid w:val="004D4689"/>
    <w:rsid w:val="004D48C8"/>
    <w:rsid w:val="004D4C65"/>
    <w:rsid w:val="004D4C7D"/>
    <w:rsid w:val="004D52B3"/>
    <w:rsid w:val="004D5985"/>
    <w:rsid w:val="004D6093"/>
    <w:rsid w:val="004D60E7"/>
    <w:rsid w:val="004D6B97"/>
    <w:rsid w:val="004D6F50"/>
    <w:rsid w:val="004D72A9"/>
    <w:rsid w:val="004D770D"/>
    <w:rsid w:val="004D77E9"/>
    <w:rsid w:val="004E004A"/>
    <w:rsid w:val="004E092A"/>
    <w:rsid w:val="004E1CE9"/>
    <w:rsid w:val="004E3774"/>
    <w:rsid w:val="004E419D"/>
    <w:rsid w:val="004E4EFD"/>
    <w:rsid w:val="004E4FE5"/>
    <w:rsid w:val="004E51A2"/>
    <w:rsid w:val="004E5C74"/>
    <w:rsid w:val="004E5DDF"/>
    <w:rsid w:val="004E66EC"/>
    <w:rsid w:val="004E6C97"/>
    <w:rsid w:val="004F189C"/>
    <w:rsid w:val="004F2658"/>
    <w:rsid w:val="004F2DB6"/>
    <w:rsid w:val="004F3213"/>
    <w:rsid w:val="004F3833"/>
    <w:rsid w:val="004F43E2"/>
    <w:rsid w:val="004F4871"/>
    <w:rsid w:val="004F4B8E"/>
    <w:rsid w:val="004F5A2F"/>
    <w:rsid w:val="004F5D35"/>
    <w:rsid w:val="004F5EF2"/>
    <w:rsid w:val="004F679A"/>
    <w:rsid w:val="004F6EC0"/>
    <w:rsid w:val="004F733E"/>
    <w:rsid w:val="004F7F9E"/>
    <w:rsid w:val="005004C2"/>
    <w:rsid w:val="00500AB5"/>
    <w:rsid w:val="00500B7C"/>
    <w:rsid w:val="00503165"/>
    <w:rsid w:val="005035AE"/>
    <w:rsid w:val="00503A01"/>
    <w:rsid w:val="00504117"/>
    <w:rsid w:val="00504A71"/>
    <w:rsid w:val="00504F63"/>
    <w:rsid w:val="0050542C"/>
    <w:rsid w:val="005066D9"/>
    <w:rsid w:val="00506BEE"/>
    <w:rsid w:val="00507A2D"/>
    <w:rsid w:val="00510FC4"/>
    <w:rsid w:val="00511C75"/>
    <w:rsid w:val="005120DB"/>
    <w:rsid w:val="005132A8"/>
    <w:rsid w:val="00513565"/>
    <w:rsid w:val="005137D4"/>
    <w:rsid w:val="00513B6D"/>
    <w:rsid w:val="00513D53"/>
    <w:rsid w:val="00514971"/>
    <w:rsid w:val="00514E62"/>
    <w:rsid w:val="0051567B"/>
    <w:rsid w:val="00515C68"/>
    <w:rsid w:val="00517062"/>
    <w:rsid w:val="005170BC"/>
    <w:rsid w:val="005170F7"/>
    <w:rsid w:val="00517717"/>
    <w:rsid w:val="00517C0A"/>
    <w:rsid w:val="00517DD4"/>
    <w:rsid w:val="005207EF"/>
    <w:rsid w:val="00520D24"/>
    <w:rsid w:val="00521A59"/>
    <w:rsid w:val="00521ED2"/>
    <w:rsid w:val="00522688"/>
    <w:rsid w:val="00523775"/>
    <w:rsid w:val="005237B8"/>
    <w:rsid w:val="00523EB6"/>
    <w:rsid w:val="00523EB7"/>
    <w:rsid w:val="0052437D"/>
    <w:rsid w:val="00524689"/>
    <w:rsid w:val="00525B42"/>
    <w:rsid w:val="00525D4F"/>
    <w:rsid w:val="00526605"/>
    <w:rsid w:val="00526D4E"/>
    <w:rsid w:val="00527D95"/>
    <w:rsid w:val="0053020D"/>
    <w:rsid w:val="0053089F"/>
    <w:rsid w:val="00530D6B"/>
    <w:rsid w:val="0053132A"/>
    <w:rsid w:val="00531782"/>
    <w:rsid w:val="00531EFD"/>
    <w:rsid w:val="005320A1"/>
    <w:rsid w:val="00532E1F"/>
    <w:rsid w:val="00532EE5"/>
    <w:rsid w:val="005334AC"/>
    <w:rsid w:val="005336A8"/>
    <w:rsid w:val="00533977"/>
    <w:rsid w:val="005339E3"/>
    <w:rsid w:val="00533FF2"/>
    <w:rsid w:val="0053456C"/>
    <w:rsid w:val="0053568C"/>
    <w:rsid w:val="00535743"/>
    <w:rsid w:val="00535889"/>
    <w:rsid w:val="005360ED"/>
    <w:rsid w:val="00536274"/>
    <w:rsid w:val="00536568"/>
    <w:rsid w:val="00536C16"/>
    <w:rsid w:val="00536CEF"/>
    <w:rsid w:val="00536F5B"/>
    <w:rsid w:val="005370EA"/>
    <w:rsid w:val="005378A5"/>
    <w:rsid w:val="00537AAD"/>
    <w:rsid w:val="00540472"/>
    <w:rsid w:val="00540565"/>
    <w:rsid w:val="00540EF0"/>
    <w:rsid w:val="00541915"/>
    <w:rsid w:val="00542F87"/>
    <w:rsid w:val="00543594"/>
    <w:rsid w:val="00543EAC"/>
    <w:rsid w:val="00544AAC"/>
    <w:rsid w:val="00544F81"/>
    <w:rsid w:val="005455B8"/>
    <w:rsid w:val="00545710"/>
    <w:rsid w:val="00545B87"/>
    <w:rsid w:val="0054694F"/>
    <w:rsid w:val="005469A0"/>
    <w:rsid w:val="0054710A"/>
    <w:rsid w:val="005475EC"/>
    <w:rsid w:val="005514C1"/>
    <w:rsid w:val="005520F0"/>
    <w:rsid w:val="00552E19"/>
    <w:rsid w:val="00552F06"/>
    <w:rsid w:val="005536CD"/>
    <w:rsid w:val="00553E47"/>
    <w:rsid w:val="00554072"/>
    <w:rsid w:val="0055442B"/>
    <w:rsid w:val="00554CE3"/>
    <w:rsid w:val="00554F2A"/>
    <w:rsid w:val="00554FF2"/>
    <w:rsid w:val="0055661D"/>
    <w:rsid w:val="00556FFD"/>
    <w:rsid w:val="00557490"/>
    <w:rsid w:val="00557BB5"/>
    <w:rsid w:val="005602A6"/>
    <w:rsid w:val="00560866"/>
    <w:rsid w:val="00560DB2"/>
    <w:rsid w:val="00560DCA"/>
    <w:rsid w:val="00562672"/>
    <w:rsid w:val="00562F97"/>
    <w:rsid w:val="005638F2"/>
    <w:rsid w:val="005640BB"/>
    <w:rsid w:val="005641A9"/>
    <w:rsid w:val="005654B7"/>
    <w:rsid w:val="00567059"/>
    <w:rsid w:val="00567368"/>
    <w:rsid w:val="005673A1"/>
    <w:rsid w:val="005675A5"/>
    <w:rsid w:val="005675BE"/>
    <w:rsid w:val="00570D0D"/>
    <w:rsid w:val="0057148B"/>
    <w:rsid w:val="00571D87"/>
    <w:rsid w:val="00572496"/>
    <w:rsid w:val="00572520"/>
    <w:rsid w:val="00572705"/>
    <w:rsid w:val="00573518"/>
    <w:rsid w:val="005737B3"/>
    <w:rsid w:val="00574381"/>
    <w:rsid w:val="00574EAD"/>
    <w:rsid w:val="005755D9"/>
    <w:rsid w:val="0057617A"/>
    <w:rsid w:val="00576CAF"/>
    <w:rsid w:val="00576E6C"/>
    <w:rsid w:val="005771D7"/>
    <w:rsid w:val="005774E5"/>
    <w:rsid w:val="0057765F"/>
    <w:rsid w:val="00580B8E"/>
    <w:rsid w:val="005823A1"/>
    <w:rsid w:val="00582C9B"/>
    <w:rsid w:val="00583AB7"/>
    <w:rsid w:val="0058403A"/>
    <w:rsid w:val="005847A0"/>
    <w:rsid w:val="005847E7"/>
    <w:rsid w:val="005848AB"/>
    <w:rsid w:val="00584950"/>
    <w:rsid w:val="00584DC5"/>
    <w:rsid w:val="005866C8"/>
    <w:rsid w:val="00586AF2"/>
    <w:rsid w:val="00586FBC"/>
    <w:rsid w:val="00587B4D"/>
    <w:rsid w:val="0059025F"/>
    <w:rsid w:val="00590455"/>
    <w:rsid w:val="00590938"/>
    <w:rsid w:val="00590BCF"/>
    <w:rsid w:val="00590FA8"/>
    <w:rsid w:val="005913E0"/>
    <w:rsid w:val="00591B1B"/>
    <w:rsid w:val="00591B83"/>
    <w:rsid w:val="00592FBC"/>
    <w:rsid w:val="00592FE0"/>
    <w:rsid w:val="005937BA"/>
    <w:rsid w:val="00593910"/>
    <w:rsid w:val="00593B1E"/>
    <w:rsid w:val="00593BEE"/>
    <w:rsid w:val="005946C3"/>
    <w:rsid w:val="0059598A"/>
    <w:rsid w:val="00596095"/>
    <w:rsid w:val="0059780D"/>
    <w:rsid w:val="005A053B"/>
    <w:rsid w:val="005A05C9"/>
    <w:rsid w:val="005A0B9C"/>
    <w:rsid w:val="005A0F4D"/>
    <w:rsid w:val="005A2090"/>
    <w:rsid w:val="005A44C6"/>
    <w:rsid w:val="005A4737"/>
    <w:rsid w:val="005A4914"/>
    <w:rsid w:val="005A4DDF"/>
    <w:rsid w:val="005A55B1"/>
    <w:rsid w:val="005A6A93"/>
    <w:rsid w:val="005A7CE7"/>
    <w:rsid w:val="005B0F78"/>
    <w:rsid w:val="005B19E2"/>
    <w:rsid w:val="005B1ADC"/>
    <w:rsid w:val="005B2882"/>
    <w:rsid w:val="005B2C34"/>
    <w:rsid w:val="005B35CD"/>
    <w:rsid w:val="005B36F9"/>
    <w:rsid w:val="005B3795"/>
    <w:rsid w:val="005B39E0"/>
    <w:rsid w:val="005B4C0C"/>
    <w:rsid w:val="005B578C"/>
    <w:rsid w:val="005B5F04"/>
    <w:rsid w:val="005B6DCD"/>
    <w:rsid w:val="005B77D5"/>
    <w:rsid w:val="005C00AA"/>
    <w:rsid w:val="005C04F3"/>
    <w:rsid w:val="005C10CF"/>
    <w:rsid w:val="005C158C"/>
    <w:rsid w:val="005C1829"/>
    <w:rsid w:val="005C24AF"/>
    <w:rsid w:val="005C3BEC"/>
    <w:rsid w:val="005C3F87"/>
    <w:rsid w:val="005C5385"/>
    <w:rsid w:val="005C53C6"/>
    <w:rsid w:val="005C57C3"/>
    <w:rsid w:val="005C5A90"/>
    <w:rsid w:val="005C5DCF"/>
    <w:rsid w:val="005C62CB"/>
    <w:rsid w:val="005C728F"/>
    <w:rsid w:val="005D00D8"/>
    <w:rsid w:val="005D0700"/>
    <w:rsid w:val="005D1AA6"/>
    <w:rsid w:val="005D1E75"/>
    <w:rsid w:val="005D256D"/>
    <w:rsid w:val="005D2676"/>
    <w:rsid w:val="005D2A9E"/>
    <w:rsid w:val="005D327E"/>
    <w:rsid w:val="005D3491"/>
    <w:rsid w:val="005D35F2"/>
    <w:rsid w:val="005D3818"/>
    <w:rsid w:val="005D3C87"/>
    <w:rsid w:val="005D4F52"/>
    <w:rsid w:val="005D5818"/>
    <w:rsid w:val="005D62C8"/>
    <w:rsid w:val="005D6604"/>
    <w:rsid w:val="005D66F5"/>
    <w:rsid w:val="005D6987"/>
    <w:rsid w:val="005D6B26"/>
    <w:rsid w:val="005D6E11"/>
    <w:rsid w:val="005D76ED"/>
    <w:rsid w:val="005D7DA7"/>
    <w:rsid w:val="005D7E71"/>
    <w:rsid w:val="005E0A7E"/>
    <w:rsid w:val="005E0EB2"/>
    <w:rsid w:val="005E1D7D"/>
    <w:rsid w:val="005E1E06"/>
    <w:rsid w:val="005E2843"/>
    <w:rsid w:val="005E3CAB"/>
    <w:rsid w:val="005E434C"/>
    <w:rsid w:val="005E4500"/>
    <w:rsid w:val="005E5287"/>
    <w:rsid w:val="005E586C"/>
    <w:rsid w:val="005E5B81"/>
    <w:rsid w:val="005E663C"/>
    <w:rsid w:val="005E725B"/>
    <w:rsid w:val="005E782A"/>
    <w:rsid w:val="005E7CCD"/>
    <w:rsid w:val="005F0301"/>
    <w:rsid w:val="005F0A43"/>
    <w:rsid w:val="005F16E8"/>
    <w:rsid w:val="005F1C6B"/>
    <w:rsid w:val="005F22C5"/>
    <w:rsid w:val="005F254E"/>
    <w:rsid w:val="005F2634"/>
    <w:rsid w:val="005F2AF0"/>
    <w:rsid w:val="005F2F36"/>
    <w:rsid w:val="005F2F38"/>
    <w:rsid w:val="005F3D59"/>
    <w:rsid w:val="005F4015"/>
    <w:rsid w:val="005F431C"/>
    <w:rsid w:val="005F4BD9"/>
    <w:rsid w:val="005F5240"/>
    <w:rsid w:val="005F58AA"/>
    <w:rsid w:val="005F65B2"/>
    <w:rsid w:val="005F7393"/>
    <w:rsid w:val="005F77B6"/>
    <w:rsid w:val="00601295"/>
    <w:rsid w:val="0060201E"/>
    <w:rsid w:val="00602D23"/>
    <w:rsid w:val="00603A12"/>
    <w:rsid w:val="00603AEC"/>
    <w:rsid w:val="00603D65"/>
    <w:rsid w:val="0060455E"/>
    <w:rsid w:val="00604732"/>
    <w:rsid w:val="0060473E"/>
    <w:rsid w:val="0060476C"/>
    <w:rsid w:val="00604B8F"/>
    <w:rsid w:val="006057BD"/>
    <w:rsid w:val="00605878"/>
    <w:rsid w:val="006060FC"/>
    <w:rsid w:val="00607BB6"/>
    <w:rsid w:val="00610747"/>
    <w:rsid w:val="00610CC0"/>
    <w:rsid w:val="00611044"/>
    <w:rsid w:val="006115DD"/>
    <w:rsid w:val="00611686"/>
    <w:rsid w:val="00611C3D"/>
    <w:rsid w:val="00612034"/>
    <w:rsid w:val="006124D0"/>
    <w:rsid w:val="006125C6"/>
    <w:rsid w:val="00612965"/>
    <w:rsid w:val="00612E93"/>
    <w:rsid w:val="00612EE6"/>
    <w:rsid w:val="00613463"/>
    <w:rsid w:val="0061375E"/>
    <w:rsid w:val="006138D1"/>
    <w:rsid w:val="00614195"/>
    <w:rsid w:val="00614446"/>
    <w:rsid w:val="006149B6"/>
    <w:rsid w:val="00614F19"/>
    <w:rsid w:val="006150F6"/>
    <w:rsid w:val="00615F26"/>
    <w:rsid w:val="00616618"/>
    <w:rsid w:val="00616CE3"/>
    <w:rsid w:val="00617242"/>
    <w:rsid w:val="0061779F"/>
    <w:rsid w:val="00617CC6"/>
    <w:rsid w:val="006200F6"/>
    <w:rsid w:val="0062066F"/>
    <w:rsid w:val="00620BC0"/>
    <w:rsid w:val="00620E4A"/>
    <w:rsid w:val="006212B0"/>
    <w:rsid w:val="0062375E"/>
    <w:rsid w:val="006238A4"/>
    <w:rsid w:val="0062414F"/>
    <w:rsid w:val="00624513"/>
    <w:rsid w:val="00624805"/>
    <w:rsid w:val="00625042"/>
    <w:rsid w:val="00626092"/>
    <w:rsid w:val="00626675"/>
    <w:rsid w:val="006278C3"/>
    <w:rsid w:val="006306D0"/>
    <w:rsid w:val="006316A8"/>
    <w:rsid w:val="00632006"/>
    <w:rsid w:val="00632B71"/>
    <w:rsid w:val="00633D07"/>
    <w:rsid w:val="00633EF3"/>
    <w:rsid w:val="0063437A"/>
    <w:rsid w:val="006346C3"/>
    <w:rsid w:val="006348CC"/>
    <w:rsid w:val="0063539F"/>
    <w:rsid w:val="006354E1"/>
    <w:rsid w:val="006358AA"/>
    <w:rsid w:val="00635E6A"/>
    <w:rsid w:val="006360D1"/>
    <w:rsid w:val="00636590"/>
    <w:rsid w:val="0063694A"/>
    <w:rsid w:val="00636B42"/>
    <w:rsid w:val="006370BC"/>
    <w:rsid w:val="006377D3"/>
    <w:rsid w:val="00637B3B"/>
    <w:rsid w:val="006419C8"/>
    <w:rsid w:val="00642734"/>
    <w:rsid w:val="00642BC3"/>
    <w:rsid w:val="006431F8"/>
    <w:rsid w:val="00643333"/>
    <w:rsid w:val="00643FBF"/>
    <w:rsid w:val="00644038"/>
    <w:rsid w:val="006448CB"/>
    <w:rsid w:val="00644F90"/>
    <w:rsid w:val="0064583A"/>
    <w:rsid w:val="006458D7"/>
    <w:rsid w:val="0064644D"/>
    <w:rsid w:val="00646F9D"/>
    <w:rsid w:val="00647000"/>
    <w:rsid w:val="0064718D"/>
    <w:rsid w:val="006474CF"/>
    <w:rsid w:val="00647753"/>
    <w:rsid w:val="00647981"/>
    <w:rsid w:val="00647DDB"/>
    <w:rsid w:val="00650B60"/>
    <w:rsid w:val="006511C6"/>
    <w:rsid w:val="00651282"/>
    <w:rsid w:val="00651EE3"/>
    <w:rsid w:val="00652EAD"/>
    <w:rsid w:val="00653D8E"/>
    <w:rsid w:val="0065464F"/>
    <w:rsid w:val="00654884"/>
    <w:rsid w:val="006549C3"/>
    <w:rsid w:val="00655A5D"/>
    <w:rsid w:val="00655BE9"/>
    <w:rsid w:val="00655BFE"/>
    <w:rsid w:val="00655CAA"/>
    <w:rsid w:val="0065626C"/>
    <w:rsid w:val="006562B7"/>
    <w:rsid w:val="00656388"/>
    <w:rsid w:val="0065643B"/>
    <w:rsid w:val="00656466"/>
    <w:rsid w:val="006564B2"/>
    <w:rsid w:val="00656F0E"/>
    <w:rsid w:val="00657487"/>
    <w:rsid w:val="00657B8B"/>
    <w:rsid w:val="00660340"/>
    <w:rsid w:val="006617AA"/>
    <w:rsid w:val="00661D0F"/>
    <w:rsid w:val="00663C4F"/>
    <w:rsid w:val="00664D72"/>
    <w:rsid w:val="00665B17"/>
    <w:rsid w:val="00665CB4"/>
    <w:rsid w:val="0066651C"/>
    <w:rsid w:val="0066726B"/>
    <w:rsid w:val="006675CA"/>
    <w:rsid w:val="00667684"/>
    <w:rsid w:val="006710AA"/>
    <w:rsid w:val="00672788"/>
    <w:rsid w:val="0067321B"/>
    <w:rsid w:val="006735B5"/>
    <w:rsid w:val="006736DA"/>
    <w:rsid w:val="0067396E"/>
    <w:rsid w:val="00673FB6"/>
    <w:rsid w:val="006744D8"/>
    <w:rsid w:val="00674BA0"/>
    <w:rsid w:val="00674EB5"/>
    <w:rsid w:val="00675345"/>
    <w:rsid w:val="00675CF5"/>
    <w:rsid w:val="00676083"/>
    <w:rsid w:val="006766EF"/>
    <w:rsid w:val="0067712B"/>
    <w:rsid w:val="00677DE2"/>
    <w:rsid w:val="00680015"/>
    <w:rsid w:val="006805A3"/>
    <w:rsid w:val="00680FAC"/>
    <w:rsid w:val="006810CC"/>
    <w:rsid w:val="006811B0"/>
    <w:rsid w:val="006819E9"/>
    <w:rsid w:val="00681B2B"/>
    <w:rsid w:val="00681EC4"/>
    <w:rsid w:val="006822A4"/>
    <w:rsid w:val="00682AC5"/>
    <w:rsid w:val="00683DA5"/>
    <w:rsid w:val="00684439"/>
    <w:rsid w:val="00684C70"/>
    <w:rsid w:val="00685135"/>
    <w:rsid w:val="00686544"/>
    <w:rsid w:val="0068663A"/>
    <w:rsid w:val="00686D1F"/>
    <w:rsid w:val="00686E76"/>
    <w:rsid w:val="00687656"/>
    <w:rsid w:val="006906A6"/>
    <w:rsid w:val="00691798"/>
    <w:rsid w:val="00692757"/>
    <w:rsid w:val="00692818"/>
    <w:rsid w:val="00692C61"/>
    <w:rsid w:val="00695F5C"/>
    <w:rsid w:val="006962CA"/>
    <w:rsid w:val="00696975"/>
    <w:rsid w:val="00696F48"/>
    <w:rsid w:val="00697F5C"/>
    <w:rsid w:val="006A00D6"/>
    <w:rsid w:val="006A0821"/>
    <w:rsid w:val="006A10E7"/>
    <w:rsid w:val="006A16F1"/>
    <w:rsid w:val="006A1D11"/>
    <w:rsid w:val="006A21DD"/>
    <w:rsid w:val="006A3697"/>
    <w:rsid w:val="006A553A"/>
    <w:rsid w:val="006A63D4"/>
    <w:rsid w:val="006A66CB"/>
    <w:rsid w:val="006A70CF"/>
    <w:rsid w:val="006A70FE"/>
    <w:rsid w:val="006A7361"/>
    <w:rsid w:val="006A76C8"/>
    <w:rsid w:val="006A77AF"/>
    <w:rsid w:val="006A79FE"/>
    <w:rsid w:val="006A7A3E"/>
    <w:rsid w:val="006A7B36"/>
    <w:rsid w:val="006B0674"/>
    <w:rsid w:val="006B068F"/>
    <w:rsid w:val="006B07D3"/>
    <w:rsid w:val="006B09AF"/>
    <w:rsid w:val="006B37DA"/>
    <w:rsid w:val="006B3A97"/>
    <w:rsid w:val="006B40E1"/>
    <w:rsid w:val="006B4128"/>
    <w:rsid w:val="006B4503"/>
    <w:rsid w:val="006B4651"/>
    <w:rsid w:val="006B46A7"/>
    <w:rsid w:val="006B4AF7"/>
    <w:rsid w:val="006B4E30"/>
    <w:rsid w:val="006B4EFC"/>
    <w:rsid w:val="006B6B17"/>
    <w:rsid w:val="006B6B34"/>
    <w:rsid w:val="006B6E19"/>
    <w:rsid w:val="006B78EB"/>
    <w:rsid w:val="006C041C"/>
    <w:rsid w:val="006C149D"/>
    <w:rsid w:val="006C23AF"/>
    <w:rsid w:val="006C3684"/>
    <w:rsid w:val="006C4246"/>
    <w:rsid w:val="006C4B7B"/>
    <w:rsid w:val="006C4C89"/>
    <w:rsid w:val="006C50AA"/>
    <w:rsid w:val="006C63CF"/>
    <w:rsid w:val="006C663B"/>
    <w:rsid w:val="006C697E"/>
    <w:rsid w:val="006C768A"/>
    <w:rsid w:val="006C7FD0"/>
    <w:rsid w:val="006D0419"/>
    <w:rsid w:val="006D0D18"/>
    <w:rsid w:val="006D0E86"/>
    <w:rsid w:val="006D10EB"/>
    <w:rsid w:val="006D22AB"/>
    <w:rsid w:val="006D2982"/>
    <w:rsid w:val="006D2CFF"/>
    <w:rsid w:val="006D324C"/>
    <w:rsid w:val="006D453F"/>
    <w:rsid w:val="006D4742"/>
    <w:rsid w:val="006D4DF3"/>
    <w:rsid w:val="006D61DF"/>
    <w:rsid w:val="006E0191"/>
    <w:rsid w:val="006E04A6"/>
    <w:rsid w:val="006E0506"/>
    <w:rsid w:val="006E06C1"/>
    <w:rsid w:val="006E0C0F"/>
    <w:rsid w:val="006E1279"/>
    <w:rsid w:val="006E1384"/>
    <w:rsid w:val="006E13C0"/>
    <w:rsid w:val="006E21D0"/>
    <w:rsid w:val="006E2364"/>
    <w:rsid w:val="006E251D"/>
    <w:rsid w:val="006E2FC9"/>
    <w:rsid w:val="006E3194"/>
    <w:rsid w:val="006E3407"/>
    <w:rsid w:val="006E3A8B"/>
    <w:rsid w:val="006E422D"/>
    <w:rsid w:val="006E5209"/>
    <w:rsid w:val="006E540C"/>
    <w:rsid w:val="006E59DD"/>
    <w:rsid w:val="006E5F60"/>
    <w:rsid w:val="006E64A5"/>
    <w:rsid w:val="006E64C3"/>
    <w:rsid w:val="006E6AA5"/>
    <w:rsid w:val="006E6D13"/>
    <w:rsid w:val="006E79D5"/>
    <w:rsid w:val="006E7DAE"/>
    <w:rsid w:val="006E7DB5"/>
    <w:rsid w:val="006E7E92"/>
    <w:rsid w:val="006F0037"/>
    <w:rsid w:val="006F0A4B"/>
    <w:rsid w:val="006F161A"/>
    <w:rsid w:val="006F2908"/>
    <w:rsid w:val="006F3626"/>
    <w:rsid w:val="006F3C9D"/>
    <w:rsid w:val="006F4284"/>
    <w:rsid w:val="006F51A2"/>
    <w:rsid w:val="006F5A07"/>
    <w:rsid w:val="006F5D0B"/>
    <w:rsid w:val="006F63D8"/>
    <w:rsid w:val="006F69D2"/>
    <w:rsid w:val="006F755D"/>
    <w:rsid w:val="006F7830"/>
    <w:rsid w:val="006F7E19"/>
    <w:rsid w:val="0070013D"/>
    <w:rsid w:val="00700C5B"/>
    <w:rsid w:val="00701026"/>
    <w:rsid w:val="007014A9"/>
    <w:rsid w:val="0070181C"/>
    <w:rsid w:val="00701E1B"/>
    <w:rsid w:val="00702544"/>
    <w:rsid w:val="00703336"/>
    <w:rsid w:val="007036FB"/>
    <w:rsid w:val="00703B53"/>
    <w:rsid w:val="00704252"/>
    <w:rsid w:val="0070447F"/>
    <w:rsid w:val="007052D2"/>
    <w:rsid w:val="00706021"/>
    <w:rsid w:val="00706471"/>
    <w:rsid w:val="007065E2"/>
    <w:rsid w:val="00707C9F"/>
    <w:rsid w:val="00710303"/>
    <w:rsid w:val="0071042E"/>
    <w:rsid w:val="00710560"/>
    <w:rsid w:val="007116A6"/>
    <w:rsid w:val="0071426C"/>
    <w:rsid w:val="00714B2F"/>
    <w:rsid w:val="00714B78"/>
    <w:rsid w:val="007151EE"/>
    <w:rsid w:val="00715439"/>
    <w:rsid w:val="00715556"/>
    <w:rsid w:val="007155BD"/>
    <w:rsid w:val="00715673"/>
    <w:rsid w:val="007169CC"/>
    <w:rsid w:val="0071714A"/>
    <w:rsid w:val="00717452"/>
    <w:rsid w:val="007218F4"/>
    <w:rsid w:val="0072304E"/>
    <w:rsid w:val="007232CD"/>
    <w:rsid w:val="00724916"/>
    <w:rsid w:val="007255AD"/>
    <w:rsid w:val="00726C22"/>
    <w:rsid w:val="00730AC8"/>
    <w:rsid w:val="007311CB"/>
    <w:rsid w:val="0073192C"/>
    <w:rsid w:val="00732045"/>
    <w:rsid w:val="00732288"/>
    <w:rsid w:val="007325DF"/>
    <w:rsid w:val="00733046"/>
    <w:rsid w:val="0073325E"/>
    <w:rsid w:val="007333C4"/>
    <w:rsid w:val="007343F8"/>
    <w:rsid w:val="00734FD4"/>
    <w:rsid w:val="00735CB7"/>
    <w:rsid w:val="007367C2"/>
    <w:rsid w:val="0073743E"/>
    <w:rsid w:val="00737A9D"/>
    <w:rsid w:val="00737AAD"/>
    <w:rsid w:val="00740072"/>
    <w:rsid w:val="0074068B"/>
    <w:rsid w:val="007407DE"/>
    <w:rsid w:val="00741B32"/>
    <w:rsid w:val="00742835"/>
    <w:rsid w:val="0074293C"/>
    <w:rsid w:val="007430D6"/>
    <w:rsid w:val="0074330C"/>
    <w:rsid w:val="007434DA"/>
    <w:rsid w:val="00743860"/>
    <w:rsid w:val="00743ABD"/>
    <w:rsid w:val="00743CD6"/>
    <w:rsid w:val="0074461E"/>
    <w:rsid w:val="00744E83"/>
    <w:rsid w:val="00745376"/>
    <w:rsid w:val="00745CBB"/>
    <w:rsid w:val="00745CC7"/>
    <w:rsid w:val="00746092"/>
    <w:rsid w:val="00746244"/>
    <w:rsid w:val="007465BC"/>
    <w:rsid w:val="007466EF"/>
    <w:rsid w:val="00746B0F"/>
    <w:rsid w:val="00747424"/>
    <w:rsid w:val="00747CE5"/>
    <w:rsid w:val="00751EFB"/>
    <w:rsid w:val="007521C2"/>
    <w:rsid w:val="00752F7A"/>
    <w:rsid w:val="00754070"/>
    <w:rsid w:val="007542EA"/>
    <w:rsid w:val="00754478"/>
    <w:rsid w:val="00754529"/>
    <w:rsid w:val="007545EC"/>
    <w:rsid w:val="00754E51"/>
    <w:rsid w:val="00755DA3"/>
    <w:rsid w:val="0075631F"/>
    <w:rsid w:val="00757D8C"/>
    <w:rsid w:val="007604A1"/>
    <w:rsid w:val="007604B0"/>
    <w:rsid w:val="007604B6"/>
    <w:rsid w:val="00760660"/>
    <w:rsid w:val="00760682"/>
    <w:rsid w:val="00760F67"/>
    <w:rsid w:val="00761938"/>
    <w:rsid w:val="00762C2A"/>
    <w:rsid w:val="00763EC3"/>
    <w:rsid w:val="00764025"/>
    <w:rsid w:val="00764148"/>
    <w:rsid w:val="0076457F"/>
    <w:rsid w:val="00764FF0"/>
    <w:rsid w:val="00765317"/>
    <w:rsid w:val="00765716"/>
    <w:rsid w:val="00765A30"/>
    <w:rsid w:val="0076602D"/>
    <w:rsid w:val="00766E7C"/>
    <w:rsid w:val="0077080B"/>
    <w:rsid w:val="00771267"/>
    <w:rsid w:val="007712A8"/>
    <w:rsid w:val="00773E13"/>
    <w:rsid w:val="00773F0C"/>
    <w:rsid w:val="007746F0"/>
    <w:rsid w:val="007748FE"/>
    <w:rsid w:val="00774B13"/>
    <w:rsid w:val="00774BDF"/>
    <w:rsid w:val="007751A0"/>
    <w:rsid w:val="00775594"/>
    <w:rsid w:val="00775F4E"/>
    <w:rsid w:val="00776401"/>
    <w:rsid w:val="00776BAD"/>
    <w:rsid w:val="00777526"/>
    <w:rsid w:val="0077758C"/>
    <w:rsid w:val="0078055D"/>
    <w:rsid w:val="00780D60"/>
    <w:rsid w:val="007816A3"/>
    <w:rsid w:val="007819F4"/>
    <w:rsid w:val="00781EC3"/>
    <w:rsid w:val="00782A42"/>
    <w:rsid w:val="0078434D"/>
    <w:rsid w:val="00784C85"/>
    <w:rsid w:val="00784FC9"/>
    <w:rsid w:val="007850BA"/>
    <w:rsid w:val="00785FD0"/>
    <w:rsid w:val="007869B5"/>
    <w:rsid w:val="0078762A"/>
    <w:rsid w:val="0078769A"/>
    <w:rsid w:val="00787AF0"/>
    <w:rsid w:val="00787C76"/>
    <w:rsid w:val="00790AFF"/>
    <w:rsid w:val="0079100F"/>
    <w:rsid w:val="00791395"/>
    <w:rsid w:val="007914C3"/>
    <w:rsid w:val="00791EA6"/>
    <w:rsid w:val="007930D4"/>
    <w:rsid w:val="00794D62"/>
    <w:rsid w:val="0079556B"/>
    <w:rsid w:val="00795D86"/>
    <w:rsid w:val="007969EE"/>
    <w:rsid w:val="00796CB8"/>
    <w:rsid w:val="007971A5"/>
    <w:rsid w:val="007A0ACB"/>
    <w:rsid w:val="007A13E7"/>
    <w:rsid w:val="007A1744"/>
    <w:rsid w:val="007A23FD"/>
    <w:rsid w:val="007A24D5"/>
    <w:rsid w:val="007A26A6"/>
    <w:rsid w:val="007A296A"/>
    <w:rsid w:val="007A3348"/>
    <w:rsid w:val="007A3ACE"/>
    <w:rsid w:val="007A4136"/>
    <w:rsid w:val="007A4C70"/>
    <w:rsid w:val="007A4E21"/>
    <w:rsid w:val="007A512C"/>
    <w:rsid w:val="007A5761"/>
    <w:rsid w:val="007A5BAC"/>
    <w:rsid w:val="007A664E"/>
    <w:rsid w:val="007A7A88"/>
    <w:rsid w:val="007B05EE"/>
    <w:rsid w:val="007B1821"/>
    <w:rsid w:val="007B260E"/>
    <w:rsid w:val="007B3290"/>
    <w:rsid w:val="007B3A8D"/>
    <w:rsid w:val="007B3F97"/>
    <w:rsid w:val="007B5DD8"/>
    <w:rsid w:val="007B5EA7"/>
    <w:rsid w:val="007B6AE3"/>
    <w:rsid w:val="007C1D31"/>
    <w:rsid w:val="007C2070"/>
    <w:rsid w:val="007C2458"/>
    <w:rsid w:val="007C2D30"/>
    <w:rsid w:val="007C32AB"/>
    <w:rsid w:val="007C3EA3"/>
    <w:rsid w:val="007C3FD8"/>
    <w:rsid w:val="007C4033"/>
    <w:rsid w:val="007C40BB"/>
    <w:rsid w:val="007C4485"/>
    <w:rsid w:val="007C48A1"/>
    <w:rsid w:val="007C48C7"/>
    <w:rsid w:val="007C4D87"/>
    <w:rsid w:val="007C5153"/>
    <w:rsid w:val="007C56B5"/>
    <w:rsid w:val="007C6B3A"/>
    <w:rsid w:val="007C764B"/>
    <w:rsid w:val="007C7EF2"/>
    <w:rsid w:val="007D052A"/>
    <w:rsid w:val="007D0932"/>
    <w:rsid w:val="007D0BD4"/>
    <w:rsid w:val="007D0D31"/>
    <w:rsid w:val="007D0E83"/>
    <w:rsid w:val="007D1928"/>
    <w:rsid w:val="007D19DA"/>
    <w:rsid w:val="007D28A3"/>
    <w:rsid w:val="007D3BAC"/>
    <w:rsid w:val="007D3DCA"/>
    <w:rsid w:val="007D412F"/>
    <w:rsid w:val="007D4ED1"/>
    <w:rsid w:val="007D5B9A"/>
    <w:rsid w:val="007D5D09"/>
    <w:rsid w:val="007D5FF9"/>
    <w:rsid w:val="007D6215"/>
    <w:rsid w:val="007D6718"/>
    <w:rsid w:val="007D7343"/>
    <w:rsid w:val="007E0583"/>
    <w:rsid w:val="007E15EA"/>
    <w:rsid w:val="007E16DA"/>
    <w:rsid w:val="007E28E8"/>
    <w:rsid w:val="007E3B6C"/>
    <w:rsid w:val="007E493A"/>
    <w:rsid w:val="007E56A0"/>
    <w:rsid w:val="007E5BF1"/>
    <w:rsid w:val="007E6285"/>
    <w:rsid w:val="007E69A5"/>
    <w:rsid w:val="007E71FD"/>
    <w:rsid w:val="007E761E"/>
    <w:rsid w:val="007F014A"/>
    <w:rsid w:val="007F0576"/>
    <w:rsid w:val="007F14A3"/>
    <w:rsid w:val="007F262D"/>
    <w:rsid w:val="007F2A26"/>
    <w:rsid w:val="007F2D4A"/>
    <w:rsid w:val="007F35AB"/>
    <w:rsid w:val="007F4A6D"/>
    <w:rsid w:val="007F5B6F"/>
    <w:rsid w:val="007F5E7B"/>
    <w:rsid w:val="007F654D"/>
    <w:rsid w:val="007F6971"/>
    <w:rsid w:val="007F6C93"/>
    <w:rsid w:val="007F7AAC"/>
    <w:rsid w:val="007F7CBF"/>
    <w:rsid w:val="00800100"/>
    <w:rsid w:val="00800EB3"/>
    <w:rsid w:val="00801560"/>
    <w:rsid w:val="00801FAF"/>
    <w:rsid w:val="008035CE"/>
    <w:rsid w:val="00804238"/>
    <w:rsid w:val="00804BC5"/>
    <w:rsid w:val="00804C91"/>
    <w:rsid w:val="008060B6"/>
    <w:rsid w:val="00806556"/>
    <w:rsid w:val="0080695B"/>
    <w:rsid w:val="00806AA7"/>
    <w:rsid w:val="00806AAC"/>
    <w:rsid w:val="00807A12"/>
    <w:rsid w:val="00807DB4"/>
    <w:rsid w:val="00810502"/>
    <w:rsid w:val="0081052C"/>
    <w:rsid w:val="00811102"/>
    <w:rsid w:val="00811572"/>
    <w:rsid w:val="008127EF"/>
    <w:rsid w:val="00814001"/>
    <w:rsid w:val="00815763"/>
    <w:rsid w:val="00815AEA"/>
    <w:rsid w:val="00815C4F"/>
    <w:rsid w:val="008161BA"/>
    <w:rsid w:val="008163DE"/>
    <w:rsid w:val="0081669A"/>
    <w:rsid w:val="008169FC"/>
    <w:rsid w:val="00816A09"/>
    <w:rsid w:val="00816C53"/>
    <w:rsid w:val="00816E95"/>
    <w:rsid w:val="00816EF0"/>
    <w:rsid w:val="008174FA"/>
    <w:rsid w:val="008179D4"/>
    <w:rsid w:val="008216EB"/>
    <w:rsid w:val="00822DCE"/>
    <w:rsid w:val="00822E56"/>
    <w:rsid w:val="00823164"/>
    <w:rsid w:val="00824567"/>
    <w:rsid w:val="008251ED"/>
    <w:rsid w:val="00825218"/>
    <w:rsid w:val="00825F96"/>
    <w:rsid w:val="00827290"/>
    <w:rsid w:val="008302EC"/>
    <w:rsid w:val="00830380"/>
    <w:rsid w:val="00830993"/>
    <w:rsid w:val="00830D2E"/>
    <w:rsid w:val="008315B7"/>
    <w:rsid w:val="008315FF"/>
    <w:rsid w:val="00831A74"/>
    <w:rsid w:val="00833755"/>
    <w:rsid w:val="00833AA3"/>
    <w:rsid w:val="00834097"/>
    <w:rsid w:val="0083450A"/>
    <w:rsid w:val="008345EF"/>
    <w:rsid w:val="00834F62"/>
    <w:rsid w:val="0083537C"/>
    <w:rsid w:val="008356AB"/>
    <w:rsid w:val="00835A62"/>
    <w:rsid w:val="008409F7"/>
    <w:rsid w:val="00840A2E"/>
    <w:rsid w:val="00842CF1"/>
    <w:rsid w:val="00842F8E"/>
    <w:rsid w:val="00843799"/>
    <w:rsid w:val="00843DF8"/>
    <w:rsid w:val="008447C0"/>
    <w:rsid w:val="00844C26"/>
    <w:rsid w:val="00845CFB"/>
    <w:rsid w:val="008460F9"/>
    <w:rsid w:val="0084671D"/>
    <w:rsid w:val="008468B5"/>
    <w:rsid w:val="00846FF2"/>
    <w:rsid w:val="00847191"/>
    <w:rsid w:val="00847E9C"/>
    <w:rsid w:val="008513ED"/>
    <w:rsid w:val="00853071"/>
    <w:rsid w:val="008533FD"/>
    <w:rsid w:val="00853849"/>
    <w:rsid w:val="00853AC8"/>
    <w:rsid w:val="00855730"/>
    <w:rsid w:val="008559A8"/>
    <w:rsid w:val="00855FE1"/>
    <w:rsid w:val="00856396"/>
    <w:rsid w:val="00856CC9"/>
    <w:rsid w:val="00857689"/>
    <w:rsid w:val="00857ECC"/>
    <w:rsid w:val="00857FFC"/>
    <w:rsid w:val="00860570"/>
    <w:rsid w:val="00861742"/>
    <w:rsid w:val="00862FDD"/>
    <w:rsid w:val="008633F1"/>
    <w:rsid w:val="00863C81"/>
    <w:rsid w:val="00864A40"/>
    <w:rsid w:val="00865EFA"/>
    <w:rsid w:val="0086636B"/>
    <w:rsid w:val="00866461"/>
    <w:rsid w:val="00866ADD"/>
    <w:rsid w:val="00870576"/>
    <w:rsid w:val="00870DB5"/>
    <w:rsid w:val="00870F89"/>
    <w:rsid w:val="00871793"/>
    <w:rsid w:val="00872826"/>
    <w:rsid w:val="00872DF4"/>
    <w:rsid w:val="00873481"/>
    <w:rsid w:val="008750DC"/>
    <w:rsid w:val="00875363"/>
    <w:rsid w:val="00875C59"/>
    <w:rsid w:val="0087608C"/>
    <w:rsid w:val="00877100"/>
    <w:rsid w:val="008771DD"/>
    <w:rsid w:val="00877344"/>
    <w:rsid w:val="00877763"/>
    <w:rsid w:val="0087781D"/>
    <w:rsid w:val="00877A7E"/>
    <w:rsid w:val="008809DD"/>
    <w:rsid w:val="0088182E"/>
    <w:rsid w:val="008818AA"/>
    <w:rsid w:val="0088281B"/>
    <w:rsid w:val="008828F7"/>
    <w:rsid w:val="008830A6"/>
    <w:rsid w:val="008836D0"/>
    <w:rsid w:val="00883A9D"/>
    <w:rsid w:val="00883ECC"/>
    <w:rsid w:val="008847E4"/>
    <w:rsid w:val="00884A08"/>
    <w:rsid w:val="00884F5F"/>
    <w:rsid w:val="00885ACB"/>
    <w:rsid w:val="00885DDF"/>
    <w:rsid w:val="00886E73"/>
    <w:rsid w:val="00890FD9"/>
    <w:rsid w:val="00891228"/>
    <w:rsid w:val="008917A5"/>
    <w:rsid w:val="00892289"/>
    <w:rsid w:val="00892DC1"/>
    <w:rsid w:val="00892F84"/>
    <w:rsid w:val="008931A4"/>
    <w:rsid w:val="008932A5"/>
    <w:rsid w:val="008943B6"/>
    <w:rsid w:val="00895FDE"/>
    <w:rsid w:val="0089718B"/>
    <w:rsid w:val="00897199"/>
    <w:rsid w:val="00897AB8"/>
    <w:rsid w:val="00897B39"/>
    <w:rsid w:val="008A0549"/>
    <w:rsid w:val="008A09C1"/>
    <w:rsid w:val="008A0D7B"/>
    <w:rsid w:val="008A1035"/>
    <w:rsid w:val="008A12C0"/>
    <w:rsid w:val="008A1A5E"/>
    <w:rsid w:val="008A1CEF"/>
    <w:rsid w:val="008A2377"/>
    <w:rsid w:val="008A3E9C"/>
    <w:rsid w:val="008A48EB"/>
    <w:rsid w:val="008A4906"/>
    <w:rsid w:val="008A490F"/>
    <w:rsid w:val="008A4DD7"/>
    <w:rsid w:val="008A510C"/>
    <w:rsid w:val="008A5955"/>
    <w:rsid w:val="008A5E34"/>
    <w:rsid w:val="008A6683"/>
    <w:rsid w:val="008A66CA"/>
    <w:rsid w:val="008A6B55"/>
    <w:rsid w:val="008A7A60"/>
    <w:rsid w:val="008A7B0F"/>
    <w:rsid w:val="008B02C7"/>
    <w:rsid w:val="008B033D"/>
    <w:rsid w:val="008B1255"/>
    <w:rsid w:val="008B1898"/>
    <w:rsid w:val="008B1AA5"/>
    <w:rsid w:val="008B2E52"/>
    <w:rsid w:val="008B2EDE"/>
    <w:rsid w:val="008B32AB"/>
    <w:rsid w:val="008B32AD"/>
    <w:rsid w:val="008B398E"/>
    <w:rsid w:val="008B3A40"/>
    <w:rsid w:val="008B410E"/>
    <w:rsid w:val="008B4629"/>
    <w:rsid w:val="008B4635"/>
    <w:rsid w:val="008B50E2"/>
    <w:rsid w:val="008B5CA1"/>
    <w:rsid w:val="008B75C7"/>
    <w:rsid w:val="008B7CCD"/>
    <w:rsid w:val="008C0543"/>
    <w:rsid w:val="008C05BB"/>
    <w:rsid w:val="008C113B"/>
    <w:rsid w:val="008C1241"/>
    <w:rsid w:val="008C180B"/>
    <w:rsid w:val="008C2905"/>
    <w:rsid w:val="008C29BC"/>
    <w:rsid w:val="008C2B31"/>
    <w:rsid w:val="008C3A5C"/>
    <w:rsid w:val="008C3E5C"/>
    <w:rsid w:val="008C442E"/>
    <w:rsid w:val="008C4BCD"/>
    <w:rsid w:val="008C53B8"/>
    <w:rsid w:val="008C569E"/>
    <w:rsid w:val="008C56F9"/>
    <w:rsid w:val="008C5AE3"/>
    <w:rsid w:val="008C5C81"/>
    <w:rsid w:val="008C6173"/>
    <w:rsid w:val="008C6357"/>
    <w:rsid w:val="008C6658"/>
    <w:rsid w:val="008C68E5"/>
    <w:rsid w:val="008C7081"/>
    <w:rsid w:val="008C78DB"/>
    <w:rsid w:val="008C7AFD"/>
    <w:rsid w:val="008D1841"/>
    <w:rsid w:val="008D18FF"/>
    <w:rsid w:val="008D1A55"/>
    <w:rsid w:val="008D3313"/>
    <w:rsid w:val="008D3A69"/>
    <w:rsid w:val="008D4069"/>
    <w:rsid w:val="008D44CA"/>
    <w:rsid w:val="008D4764"/>
    <w:rsid w:val="008D6C56"/>
    <w:rsid w:val="008D6DD8"/>
    <w:rsid w:val="008D728B"/>
    <w:rsid w:val="008D72B5"/>
    <w:rsid w:val="008E00E2"/>
    <w:rsid w:val="008E05AC"/>
    <w:rsid w:val="008E0863"/>
    <w:rsid w:val="008E18CE"/>
    <w:rsid w:val="008E19D3"/>
    <w:rsid w:val="008E25A4"/>
    <w:rsid w:val="008E2A3E"/>
    <w:rsid w:val="008E3200"/>
    <w:rsid w:val="008E330D"/>
    <w:rsid w:val="008E3E4D"/>
    <w:rsid w:val="008E6638"/>
    <w:rsid w:val="008E6FC9"/>
    <w:rsid w:val="008E75C4"/>
    <w:rsid w:val="008E78F6"/>
    <w:rsid w:val="008E7C80"/>
    <w:rsid w:val="008F0CB0"/>
    <w:rsid w:val="008F0E5D"/>
    <w:rsid w:val="008F3381"/>
    <w:rsid w:val="008F57E1"/>
    <w:rsid w:val="008F5BF5"/>
    <w:rsid w:val="008F705A"/>
    <w:rsid w:val="008F78BD"/>
    <w:rsid w:val="008F7CBD"/>
    <w:rsid w:val="008F7F4B"/>
    <w:rsid w:val="009001ED"/>
    <w:rsid w:val="0090062F"/>
    <w:rsid w:val="00900CCD"/>
    <w:rsid w:val="00902B72"/>
    <w:rsid w:val="00903013"/>
    <w:rsid w:val="0090331F"/>
    <w:rsid w:val="00903BB1"/>
    <w:rsid w:val="0090541C"/>
    <w:rsid w:val="009057B0"/>
    <w:rsid w:val="00906CB5"/>
    <w:rsid w:val="00907370"/>
    <w:rsid w:val="00907AEF"/>
    <w:rsid w:val="009105A8"/>
    <w:rsid w:val="00911DAA"/>
    <w:rsid w:val="00913506"/>
    <w:rsid w:val="0091380E"/>
    <w:rsid w:val="0091392B"/>
    <w:rsid w:val="00913C7D"/>
    <w:rsid w:val="00915BA2"/>
    <w:rsid w:val="0091637B"/>
    <w:rsid w:val="00916FC4"/>
    <w:rsid w:val="00917CA8"/>
    <w:rsid w:val="00917E64"/>
    <w:rsid w:val="00920D02"/>
    <w:rsid w:val="00921309"/>
    <w:rsid w:val="0092170E"/>
    <w:rsid w:val="009223B1"/>
    <w:rsid w:val="009231DE"/>
    <w:rsid w:val="00923862"/>
    <w:rsid w:val="00924350"/>
    <w:rsid w:val="009243CD"/>
    <w:rsid w:val="00924AD9"/>
    <w:rsid w:val="009250D9"/>
    <w:rsid w:val="009255C0"/>
    <w:rsid w:val="00925686"/>
    <w:rsid w:val="00925BDE"/>
    <w:rsid w:val="009263C8"/>
    <w:rsid w:val="00926A98"/>
    <w:rsid w:val="00926E19"/>
    <w:rsid w:val="00926F8E"/>
    <w:rsid w:val="00927D29"/>
    <w:rsid w:val="00927F50"/>
    <w:rsid w:val="00930CCA"/>
    <w:rsid w:val="00931303"/>
    <w:rsid w:val="00932E6E"/>
    <w:rsid w:val="00933C39"/>
    <w:rsid w:val="00933C53"/>
    <w:rsid w:val="00934217"/>
    <w:rsid w:val="009347F0"/>
    <w:rsid w:val="00934F56"/>
    <w:rsid w:val="009351E9"/>
    <w:rsid w:val="009354D0"/>
    <w:rsid w:val="00936BF0"/>
    <w:rsid w:val="0094071F"/>
    <w:rsid w:val="00940C59"/>
    <w:rsid w:val="00941928"/>
    <w:rsid w:val="00941CDE"/>
    <w:rsid w:val="00941D5C"/>
    <w:rsid w:val="0094305F"/>
    <w:rsid w:val="00943FB4"/>
    <w:rsid w:val="009441EB"/>
    <w:rsid w:val="009460C5"/>
    <w:rsid w:val="00946473"/>
    <w:rsid w:val="009466A2"/>
    <w:rsid w:val="009473C0"/>
    <w:rsid w:val="00947782"/>
    <w:rsid w:val="00947B6A"/>
    <w:rsid w:val="00951B6F"/>
    <w:rsid w:val="00952321"/>
    <w:rsid w:val="0095269D"/>
    <w:rsid w:val="00954C7D"/>
    <w:rsid w:val="00955356"/>
    <w:rsid w:val="009556C8"/>
    <w:rsid w:val="00956774"/>
    <w:rsid w:val="00956B12"/>
    <w:rsid w:val="00956D75"/>
    <w:rsid w:val="00957024"/>
    <w:rsid w:val="009573DB"/>
    <w:rsid w:val="00957A0D"/>
    <w:rsid w:val="00957EE5"/>
    <w:rsid w:val="0096047A"/>
    <w:rsid w:val="00960C8F"/>
    <w:rsid w:val="00961449"/>
    <w:rsid w:val="00961F42"/>
    <w:rsid w:val="00963DF9"/>
    <w:rsid w:val="009641CE"/>
    <w:rsid w:val="00964FF6"/>
    <w:rsid w:val="00965AAE"/>
    <w:rsid w:val="009666B8"/>
    <w:rsid w:val="009677A6"/>
    <w:rsid w:val="009700E2"/>
    <w:rsid w:val="00972AF0"/>
    <w:rsid w:val="00972CC3"/>
    <w:rsid w:val="00972CDD"/>
    <w:rsid w:val="009733F4"/>
    <w:rsid w:val="00974D41"/>
    <w:rsid w:val="00974F8B"/>
    <w:rsid w:val="00975231"/>
    <w:rsid w:val="009757AD"/>
    <w:rsid w:val="00976CB1"/>
    <w:rsid w:val="00976CF9"/>
    <w:rsid w:val="0097733F"/>
    <w:rsid w:val="0097761C"/>
    <w:rsid w:val="0097786D"/>
    <w:rsid w:val="00977D60"/>
    <w:rsid w:val="0098021F"/>
    <w:rsid w:val="00980254"/>
    <w:rsid w:val="009804BC"/>
    <w:rsid w:val="00980C14"/>
    <w:rsid w:val="00981087"/>
    <w:rsid w:val="009817B3"/>
    <w:rsid w:val="00981CD8"/>
    <w:rsid w:val="009828E6"/>
    <w:rsid w:val="00982B5C"/>
    <w:rsid w:val="00983E69"/>
    <w:rsid w:val="00985912"/>
    <w:rsid w:val="00985B95"/>
    <w:rsid w:val="009873A8"/>
    <w:rsid w:val="00987731"/>
    <w:rsid w:val="009903C3"/>
    <w:rsid w:val="009911B8"/>
    <w:rsid w:val="00991240"/>
    <w:rsid w:val="00991D0D"/>
    <w:rsid w:val="00992022"/>
    <w:rsid w:val="00993CE9"/>
    <w:rsid w:val="009945AF"/>
    <w:rsid w:val="009956C6"/>
    <w:rsid w:val="00995810"/>
    <w:rsid w:val="00995AF9"/>
    <w:rsid w:val="00996107"/>
    <w:rsid w:val="00996161"/>
    <w:rsid w:val="009966EB"/>
    <w:rsid w:val="00996980"/>
    <w:rsid w:val="00996B37"/>
    <w:rsid w:val="00996F4A"/>
    <w:rsid w:val="009A03F9"/>
    <w:rsid w:val="009A07F1"/>
    <w:rsid w:val="009A1E3E"/>
    <w:rsid w:val="009A2B34"/>
    <w:rsid w:val="009A4393"/>
    <w:rsid w:val="009A4587"/>
    <w:rsid w:val="009A473B"/>
    <w:rsid w:val="009A4E46"/>
    <w:rsid w:val="009A53CD"/>
    <w:rsid w:val="009A5412"/>
    <w:rsid w:val="009A5C2E"/>
    <w:rsid w:val="009A62BD"/>
    <w:rsid w:val="009A68C4"/>
    <w:rsid w:val="009B0368"/>
    <w:rsid w:val="009B067A"/>
    <w:rsid w:val="009B151E"/>
    <w:rsid w:val="009B1531"/>
    <w:rsid w:val="009B25EE"/>
    <w:rsid w:val="009B260E"/>
    <w:rsid w:val="009B2B7B"/>
    <w:rsid w:val="009B2EAB"/>
    <w:rsid w:val="009B3615"/>
    <w:rsid w:val="009B4949"/>
    <w:rsid w:val="009B5202"/>
    <w:rsid w:val="009B5248"/>
    <w:rsid w:val="009B54C2"/>
    <w:rsid w:val="009B614D"/>
    <w:rsid w:val="009B7FF8"/>
    <w:rsid w:val="009C0421"/>
    <w:rsid w:val="009C243F"/>
    <w:rsid w:val="009C2B57"/>
    <w:rsid w:val="009C3292"/>
    <w:rsid w:val="009C34B7"/>
    <w:rsid w:val="009C4216"/>
    <w:rsid w:val="009C4931"/>
    <w:rsid w:val="009C560E"/>
    <w:rsid w:val="009C5CCE"/>
    <w:rsid w:val="009D0053"/>
    <w:rsid w:val="009D06DC"/>
    <w:rsid w:val="009D14A4"/>
    <w:rsid w:val="009D27C5"/>
    <w:rsid w:val="009D2DE4"/>
    <w:rsid w:val="009D4FAF"/>
    <w:rsid w:val="009D56DF"/>
    <w:rsid w:val="009D5929"/>
    <w:rsid w:val="009D62CA"/>
    <w:rsid w:val="009D657F"/>
    <w:rsid w:val="009D6F47"/>
    <w:rsid w:val="009D709A"/>
    <w:rsid w:val="009D7A23"/>
    <w:rsid w:val="009E0841"/>
    <w:rsid w:val="009E0A63"/>
    <w:rsid w:val="009E0CA6"/>
    <w:rsid w:val="009E0F06"/>
    <w:rsid w:val="009E1841"/>
    <w:rsid w:val="009E19EC"/>
    <w:rsid w:val="009E3542"/>
    <w:rsid w:val="009E3600"/>
    <w:rsid w:val="009E3C4D"/>
    <w:rsid w:val="009E4C4A"/>
    <w:rsid w:val="009E6437"/>
    <w:rsid w:val="009E6F71"/>
    <w:rsid w:val="009E75FD"/>
    <w:rsid w:val="009E7A26"/>
    <w:rsid w:val="009E7BE5"/>
    <w:rsid w:val="009F002D"/>
    <w:rsid w:val="009F008B"/>
    <w:rsid w:val="009F032C"/>
    <w:rsid w:val="009F0675"/>
    <w:rsid w:val="009F083B"/>
    <w:rsid w:val="009F0EBF"/>
    <w:rsid w:val="009F15FC"/>
    <w:rsid w:val="009F228E"/>
    <w:rsid w:val="009F3A49"/>
    <w:rsid w:val="009F3E7B"/>
    <w:rsid w:val="009F545E"/>
    <w:rsid w:val="009F56C1"/>
    <w:rsid w:val="009F5744"/>
    <w:rsid w:val="009F713E"/>
    <w:rsid w:val="009F75F3"/>
    <w:rsid w:val="00A00C96"/>
    <w:rsid w:val="00A00E69"/>
    <w:rsid w:val="00A013C3"/>
    <w:rsid w:val="00A01486"/>
    <w:rsid w:val="00A01882"/>
    <w:rsid w:val="00A01964"/>
    <w:rsid w:val="00A02AD4"/>
    <w:rsid w:val="00A03886"/>
    <w:rsid w:val="00A038DC"/>
    <w:rsid w:val="00A03D35"/>
    <w:rsid w:val="00A04C1F"/>
    <w:rsid w:val="00A05000"/>
    <w:rsid w:val="00A05297"/>
    <w:rsid w:val="00A06F56"/>
    <w:rsid w:val="00A07925"/>
    <w:rsid w:val="00A11298"/>
    <w:rsid w:val="00A11A18"/>
    <w:rsid w:val="00A11AE6"/>
    <w:rsid w:val="00A11D33"/>
    <w:rsid w:val="00A133F1"/>
    <w:rsid w:val="00A1491F"/>
    <w:rsid w:val="00A14C3C"/>
    <w:rsid w:val="00A14FEC"/>
    <w:rsid w:val="00A15769"/>
    <w:rsid w:val="00A163E3"/>
    <w:rsid w:val="00A173D3"/>
    <w:rsid w:val="00A179C5"/>
    <w:rsid w:val="00A179F4"/>
    <w:rsid w:val="00A17A67"/>
    <w:rsid w:val="00A20628"/>
    <w:rsid w:val="00A20789"/>
    <w:rsid w:val="00A20F90"/>
    <w:rsid w:val="00A2289C"/>
    <w:rsid w:val="00A22BCA"/>
    <w:rsid w:val="00A2333B"/>
    <w:rsid w:val="00A24C57"/>
    <w:rsid w:val="00A24DBF"/>
    <w:rsid w:val="00A24F05"/>
    <w:rsid w:val="00A258C1"/>
    <w:rsid w:val="00A2596F"/>
    <w:rsid w:val="00A25A7F"/>
    <w:rsid w:val="00A25B71"/>
    <w:rsid w:val="00A25BAF"/>
    <w:rsid w:val="00A25F82"/>
    <w:rsid w:val="00A2769B"/>
    <w:rsid w:val="00A27B94"/>
    <w:rsid w:val="00A30141"/>
    <w:rsid w:val="00A302AC"/>
    <w:rsid w:val="00A3127F"/>
    <w:rsid w:val="00A341E0"/>
    <w:rsid w:val="00A347DB"/>
    <w:rsid w:val="00A35BC2"/>
    <w:rsid w:val="00A35DEE"/>
    <w:rsid w:val="00A3639B"/>
    <w:rsid w:val="00A363DD"/>
    <w:rsid w:val="00A367EF"/>
    <w:rsid w:val="00A36FE7"/>
    <w:rsid w:val="00A374DE"/>
    <w:rsid w:val="00A4181A"/>
    <w:rsid w:val="00A41D4E"/>
    <w:rsid w:val="00A422F0"/>
    <w:rsid w:val="00A4270F"/>
    <w:rsid w:val="00A42C1B"/>
    <w:rsid w:val="00A435B9"/>
    <w:rsid w:val="00A43D32"/>
    <w:rsid w:val="00A44239"/>
    <w:rsid w:val="00A44506"/>
    <w:rsid w:val="00A44BA0"/>
    <w:rsid w:val="00A45CFA"/>
    <w:rsid w:val="00A45E20"/>
    <w:rsid w:val="00A47E51"/>
    <w:rsid w:val="00A47E71"/>
    <w:rsid w:val="00A47F3E"/>
    <w:rsid w:val="00A505E9"/>
    <w:rsid w:val="00A505F9"/>
    <w:rsid w:val="00A50660"/>
    <w:rsid w:val="00A511CA"/>
    <w:rsid w:val="00A512CD"/>
    <w:rsid w:val="00A512F3"/>
    <w:rsid w:val="00A52009"/>
    <w:rsid w:val="00A52E4C"/>
    <w:rsid w:val="00A5400A"/>
    <w:rsid w:val="00A54B3D"/>
    <w:rsid w:val="00A54CBB"/>
    <w:rsid w:val="00A54D3D"/>
    <w:rsid w:val="00A54DB5"/>
    <w:rsid w:val="00A55A82"/>
    <w:rsid w:val="00A560C4"/>
    <w:rsid w:val="00A5631B"/>
    <w:rsid w:val="00A56CBE"/>
    <w:rsid w:val="00A56EEB"/>
    <w:rsid w:val="00A575CF"/>
    <w:rsid w:val="00A57CDC"/>
    <w:rsid w:val="00A6028F"/>
    <w:rsid w:val="00A604E3"/>
    <w:rsid w:val="00A60DD8"/>
    <w:rsid w:val="00A619B1"/>
    <w:rsid w:val="00A61D2F"/>
    <w:rsid w:val="00A61D6F"/>
    <w:rsid w:val="00A61D72"/>
    <w:rsid w:val="00A61DF8"/>
    <w:rsid w:val="00A61E1E"/>
    <w:rsid w:val="00A63FDD"/>
    <w:rsid w:val="00A640A5"/>
    <w:rsid w:val="00A64F41"/>
    <w:rsid w:val="00A64FA2"/>
    <w:rsid w:val="00A65414"/>
    <w:rsid w:val="00A669C1"/>
    <w:rsid w:val="00A66A93"/>
    <w:rsid w:val="00A67190"/>
    <w:rsid w:val="00A7013E"/>
    <w:rsid w:val="00A707DA"/>
    <w:rsid w:val="00A70ED3"/>
    <w:rsid w:val="00A710C9"/>
    <w:rsid w:val="00A7123C"/>
    <w:rsid w:val="00A71380"/>
    <w:rsid w:val="00A72869"/>
    <w:rsid w:val="00A72B36"/>
    <w:rsid w:val="00A72E45"/>
    <w:rsid w:val="00A735F7"/>
    <w:rsid w:val="00A7364A"/>
    <w:rsid w:val="00A737C9"/>
    <w:rsid w:val="00A73C39"/>
    <w:rsid w:val="00A74F97"/>
    <w:rsid w:val="00A75196"/>
    <w:rsid w:val="00A75B3B"/>
    <w:rsid w:val="00A761A3"/>
    <w:rsid w:val="00A76DD2"/>
    <w:rsid w:val="00A8050A"/>
    <w:rsid w:val="00A80661"/>
    <w:rsid w:val="00A807DC"/>
    <w:rsid w:val="00A80B34"/>
    <w:rsid w:val="00A814C1"/>
    <w:rsid w:val="00A81E83"/>
    <w:rsid w:val="00A8233C"/>
    <w:rsid w:val="00A8238F"/>
    <w:rsid w:val="00A8362C"/>
    <w:rsid w:val="00A83657"/>
    <w:rsid w:val="00A861E3"/>
    <w:rsid w:val="00A8697D"/>
    <w:rsid w:val="00A86CCE"/>
    <w:rsid w:val="00A87F56"/>
    <w:rsid w:val="00A91524"/>
    <w:rsid w:val="00A919F9"/>
    <w:rsid w:val="00A91C83"/>
    <w:rsid w:val="00A91F22"/>
    <w:rsid w:val="00A920CF"/>
    <w:rsid w:val="00A92102"/>
    <w:rsid w:val="00A925A6"/>
    <w:rsid w:val="00A927AB"/>
    <w:rsid w:val="00A92A0D"/>
    <w:rsid w:val="00A93469"/>
    <w:rsid w:val="00A93552"/>
    <w:rsid w:val="00A93713"/>
    <w:rsid w:val="00A937C9"/>
    <w:rsid w:val="00A93BFE"/>
    <w:rsid w:val="00A94A2E"/>
    <w:rsid w:val="00A95298"/>
    <w:rsid w:val="00A97438"/>
    <w:rsid w:val="00AA0153"/>
    <w:rsid w:val="00AA0FA8"/>
    <w:rsid w:val="00AA1709"/>
    <w:rsid w:val="00AA18F9"/>
    <w:rsid w:val="00AA1DA0"/>
    <w:rsid w:val="00AA22F5"/>
    <w:rsid w:val="00AA2954"/>
    <w:rsid w:val="00AA2CB7"/>
    <w:rsid w:val="00AA3573"/>
    <w:rsid w:val="00AA401A"/>
    <w:rsid w:val="00AA4C83"/>
    <w:rsid w:val="00AA54DA"/>
    <w:rsid w:val="00AA5C63"/>
    <w:rsid w:val="00AA71EF"/>
    <w:rsid w:val="00AA7B68"/>
    <w:rsid w:val="00AB04BA"/>
    <w:rsid w:val="00AB15D7"/>
    <w:rsid w:val="00AB1756"/>
    <w:rsid w:val="00AB2052"/>
    <w:rsid w:val="00AB3124"/>
    <w:rsid w:val="00AB3552"/>
    <w:rsid w:val="00AB3CB9"/>
    <w:rsid w:val="00AB4741"/>
    <w:rsid w:val="00AB4C5D"/>
    <w:rsid w:val="00AB5C43"/>
    <w:rsid w:val="00AB5F23"/>
    <w:rsid w:val="00AB60B4"/>
    <w:rsid w:val="00AB7B58"/>
    <w:rsid w:val="00AB7D06"/>
    <w:rsid w:val="00AC0994"/>
    <w:rsid w:val="00AC0D41"/>
    <w:rsid w:val="00AC15B4"/>
    <w:rsid w:val="00AC1ECB"/>
    <w:rsid w:val="00AC2056"/>
    <w:rsid w:val="00AC2D9A"/>
    <w:rsid w:val="00AC363E"/>
    <w:rsid w:val="00AC3A19"/>
    <w:rsid w:val="00AC3A6D"/>
    <w:rsid w:val="00AC44F1"/>
    <w:rsid w:val="00AC5EA1"/>
    <w:rsid w:val="00AC6654"/>
    <w:rsid w:val="00AD068E"/>
    <w:rsid w:val="00AD0723"/>
    <w:rsid w:val="00AD118D"/>
    <w:rsid w:val="00AD1670"/>
    <w:rsid w:val="00AD2075"/>
    <w:rsid w:val="00AD24F5"/>
    <w:rsid w:val="00AD30A8"/>
    <w:rsid w:val="00AD36FA"/>
    <w:rsid w:val="00AD381D"/>
    <w:rsid w:val="00AD3930"/>
    <w:rsid w:val="00AD3BA4"/>
    <w:rsid w:val="00AD3E2B"/>
    <w:rsid w:val="00AD4444"/>
    <w:rsid w:val="00AD48CA"/>
    <w:rsid w:val="00AD4E8A"/>
    <w:rsid w:val="00AD54D8"/>
    <w:rsid w:val="00AD5FFB"/>
    <w:rsid w:val="00AD618C"/>
    <w:rsid w:val="00AD63AE"/>
    <w:rsid w:val="00AD6DB0"/>
    <w:rsid w:val="00AE1283"/>
    <w:rsid w:val="00AE13E4"/>
    <w:rsid w:val="00AE1B96"/>
    <w:rsid w:val="00AE24DE"/>
    <w:rsid w:val="00AE337E"/>
    <w:rsid w:val="00AE349C"/>
    <w:rsid w:val="00AE43CB"/>
    <w:rsid w:val="00AE4C3A"/>
    <w:rsid w:val="00AE4E94"/>
    <w:rsid w:val="00AE52C4"/>
    <w:rsid w:val="00AE579D"/>
    <w:rsid w:val="00AE592B"/>
    <w:rsid w:val="00AE6105"/>
    <w:rsid w:val="00AE6BA0"/>
    <w:rsid w:val="00AE7557"/>
    <w:rsid w:val="00AF01C9"/>
    <w:rsid w:val="00AF0615"/>
    <w:rsid w:val="00AF0F58"/>
    <w:rsid w:val="00AF127B"/>
    <w:rsid w:val="00AF14DD"/>
    <w:rsid w:val="00AF1912"/>
    <w:rsid w:val="00AF1B37"/>
    <w:rsid w:val="00AF1D5B"/>
    <w:rsid w:val="00AF2131"/>
    <w:rsid w:val="00AF2758"/>
    <w:rsid w:val="00AF3830"/>
    <w:rsid w:val="00AF3E10"/>
    <w:rsid w:val="00AF3E16"/>
    <w:rsid w:val="00AF4392"/>
    <w:rsid w:val="00AF460D"/>
    <w:rsid w:val="00AF49BA"/>
    <w:rsid w:val="00AF5D12"/>
    <w:rsid w:val="00AF5D81"/>
    <w:rsid w:val="00AF6FE4"/>
    <w:rsid w:val="00B007F4"/>
    <w:rsid w:val="00B02EE7"/>
    <w:rsid w:val="00B02F7F"/>
    <w:rsid w:val="00B03CE4"/>
    <w:rsid w:val="00B0439C"/>
    <w:rsid w:val="00B05B76"/>
    <w:rsid w:val="00B06406"/>
    <w:rsid w:val="00B0667D"/>
    <w:rsid w:val="00B06C90"/>
    <w:rsid w:val="00B07227"/>
    <w:rsid w:val="00B0739C"/>
    <w:rsid w:val="00B0776B"/>
    <w:rsid w:val="00B078E3"/>
    <w:rsid w:val="00B07C15"/>
    <w:rsid w:val="00B111C2"/>
    <w:rsid w:val="00B116AA"/>
    <w:rsid w:val="00B12570"/>
    <w:rsid w:val="00B13569"/>
    <w:rsid w:val="00B1368A"/>
    <w:rsid w:val="00B14445"/>
    <w:rsid w:val="00B14AA3"/>
    <w:rsid w:val="00B14B30"/>
    <w:rsid w:val="00B14CE0"/>
    <w:rsid w:val="00B14D85"/>
    <w:rsid w:val="00B150D2"/>
    <w:rsid w:val="00B1526B"/>
    <w:rsid w:val="00B1602B"/>
    <w:rsid w:val="00B1678B"/>
    <w:rsid w:val="00B16A1D"/>
    <w:rsid w:val="00B17058"/>
    <w:rsid w:val="00B17F4F"/>
    <w:rsid w:val="00B20172"/>
    <w:rsid w:val="00B20254"/>
    <w:rsid w:val="00B2074F"/>
    <w:rsid w:val="00B21DE1"/>
    <w:rsid w:val="00B227AE"/>
    <w:rsid w:val="00B22AE9"/>
    <w:rsid w:val="00B22B2C"/>
    <w:rsid w:val="00B22DCA"/>
    <w:rsid w:val="00B22E62"/>
    <w:rsid w:val="00B23621"/>
    <w:rsid w:val="00B23D15"/>
    <w:rsid w:val="00B23F04"/>
    <w:rsid w:val="00B244D9"/>
    <w:rsid w:val="00B24FB2"/>
    <w:rsid w:val="00B256FC"/>
    <w:rsid w:val="00B26113"/>
    <w:rsid w:val="00B277B4"/>
    <w:rsid w:val="00B305A6"/>
    <w:rsid w:val="00B30918"/>
    <w:rsid w:val="00B317F9"/>
    <w:rsid w:val="00B31EE0"/>
    <w:rsid w:val="00B3319D"/>
    <w:rsid w:val="00B332CA"/>
    <w:rsid w:val="00B34374"/>
    <w:rsid w:val="00B35B68"/>
    <w:rsid w:val="00B360D4"/>
    <w:rsid w:val="00B36E9C"/>
    <w:rsid w:val="00B4115D"/>
    <w:rsid w:val="00B417DC"/>
    <w:rsid w:val="00B42AE9"/>
    <w:rsid w:val="00B4359F"/>
    <w:rsid w:val="00B4381B"/>
    <w:rsid w:val="00B43DE1"/>
    <w:rsid w:val="00B441E2"/>
    <w:rsid w:val="00B446F0"/>
    <w:rsid w:val="00B45134"/>
    <w:rsid w:val="00B46D35"/>
    <w:rsid w:val="00B46F20"/>
    <w:rsid w:val="00B47C5F"/>
    <w:rsid w:val="00B50973"/>
    <w:rsid w:val="00B50F40"/>
    <w:rsid w:val="00B50F47"/>
    <w:rsid w:val="00B51114"/>
    <w:rsid w:val="00B51592"/>
    <w:rsid w:val="00B535BF"/>
    <w:rsid w:val="00B547B2"/>
    <w:rsid w:val="00B549A2"/>
    <w:rsid w:val="00B55144"/>
    <w:rsid w:val="00B55483"/>
    <w:rsid w:val="00B558E2"/>
    <w:rsid w:val="00B55DDD"/>
    <w:rsid w:val="00B570DD"/>
    <w:rsid w:val="00B570E2"/>
    <w:rsid w:val="00B57965"/>
    <w:rsid w:val="00B579A0"/>
    <w:rsid w:val="00B57CE5"/>
    <w:rsid w:val="00B60248"/>
    <w:rsid w:val="00B6141C"/>
    <w:rsid w:val="00B62C56"/>
    <w:rsid w:val="00B63330"/>
    <w:rsid w:val="00B6402E"/>
    <w:rsid w:val="00B64CEA"/>
    <w:rsid w:val="00B65273"/>
    <w:rsid w:val="00B65666"/>
    <w:rsid w:val="00B657A5"/>
    <w:rsid w:val="00B65E29"/>
    <w:rsid w:val="00B66DC3"/>
    <w:rsid w:val="00B67088"/>
    <w:rsid w:val="00B677FB"/>
    <w:rsid w:val="00B67FDB"/>
    <w:rsid w:val="00B70842"/>
    <w:rsid w:val="00B71995"/>
    <w:rsid w:val="00B7379E"/>
    <w:rsid w:val="00B73FB2"/>
    <w:rsid w:val="00B73FF0"/>
    <w:rsid w:val="00B75111"/>
    <w:rsid w:val="00B763AA"/>
    <w:rsid w:val="00B7656A"/>
    <w:rsid w:val="00B76632"/>
    <w:rsid w:val="00B76AAE"/>
    <w:rsid w:val="00B770D8"/>
    <w:rsid w:val="00B77946"/>
    <w:rsid w:val="00B77951"/>
    <w:rsid w:val="00B801B8"/>
    <w:rsid w:val="00B80332"/>
    <w:rsid w:val="00B811EF"/>
    <w:rsid w:val="00B8176D"/>
    <w:rsid w:val="00B83605"/>
    <w:rsid w:val="00B83AED"/>
    <w:rsid w:val="00B83F0A"/>
    <w:rsid w:val="00B858BA"/>
    <w:rsid w:val="00B85B26"/>
    <w:rsid w:val="00B85E95"/>
    <w:rsid w:val="00B8630D"/>
    <w:rsid w:val="00B869CB"/>
    <w:rsid w:val="00B90912"/>
    <w:rsid w:val="00B9116D"/>
    <w:rsid w:val="00B91BC2"/>
    <w:rsid w:val="00B92624"/>
    <w:rsid w:val="00B92CB6"/>
    <w:rsid w:val="00B9442A"/>
    <w:rsid w:val="00B94FF4"/>
    <w:rsid w:val="00B95361"/>
    <w:rsid w:val="00B95877"/>
    <w:rsid w:val="00B960A1"/>
    <w:rsid w:val="00B96642"/>
    <w:rsid w:val="00B97543"/>
    <w:rsid w:val="00B97B99"/>
    <w:rsid w:val="00B97E22"/>
    <w:rsid w:val="00BA0717"/>
    <w:rsid w:val="00BA0930"/>
    <w:rsid w:val="00BA0BCC"/>
    <w:rsid w:val="00BA1A5A"/>
    <w:rsid w:val="00BA1D26"/>
    <w:rsid w:val="00BA3BFC"/>
    <w:rsid w:val="00BA41C3"/>
    <w:rsid w:val="00BA42AB"/>
    <w:rsid w:val="00BA51E3"/>
    <w:rsid w:val="00BA59E4"/>
    <w:rsid w:val="00BA5BAB"/>
    <w:rsid w:val="00BA6EF3"/>
    <w:rsid w:val="00BA7390"/>
    <w:rsid w:val="00BA7DCD"/>
    <w:rsid w:val="00BB07F8"/>
    <w:rsid w:val="00BB095C"/>
    <w:rsid w:val="00BB1A80"/>
    <w:rsid w:val="00BB1E57"/>
    <w:rsid w:val="00BB28D0"/>
    <w:rsid w:val="00BB3251"/>
    <w:rsid w:val="00BB59A8"/>
    <w:rsid w:val="00BB611D"/>
    <w:rsid w:val="00BB6B83"/>
    <w:rsid w:val="00BC0426"/>
    <w:rsid w:val="00BC0F8A"/>
    <w:rsid w:val="00BC175D"/>
    <w:rsid w:val="00BC1F40"/>
    <w:rsid w:val="00BC239A"/>
    <w:rsid w:val="00BC2864"/>
    <w:rsid w:val="00BC2878"/>
    <w:rsid w:val="00BC394A"/>
    <w:rsid w:val="00BC3E36"/>
    <w:rsid w:val="00BC42FB"/>
    <w:rsid w:val="00BC4512"/>
    <w:rsid w:val="00BC4DA9"/>
    <w:rsid w:val="00BC50A9"/>
    <w:rsid w:val="00BC5868"/>
    <w:rsid w:val="00BC6146"/>
    <w:rsid w:val="00BC6905"/>
    <w:rsid w:val="00BC7CDA"/>
    <w:rsid w:val="00BD137B"/>
    <w:rsid w:val="00BD144F"/>
    <w:rsid w:val="00BD18E1"/>
    <w:rsid w:val="00BD1A8A"/>
    <w:rsid w:val="00BD20B7"/>
    <w:rsid w:val="00BD2154"/>
    <w:rsid w:val="00BD3054"/>
    <w:rsid w:val="00BD3D26"/>
    <w:rsid w:val="00BD4394"/>
    <w:rsid w:val="00BD48ED"/>
    <w:rsid w:val="00BD4B18"/>
    <w:rsid w:val="00BD5373"/>
    <w:rsid w:val="00BD54B4"/>
    <w:rsid w:val="00BD57C6"/>
    <w:rsid w:val="00BD5BDB"/>
    <w:rsid w:val="00BD6851"/>
    <w:rsid w:val="00BD7F4A"/>
    <w:rsid w:val="00BE0D5E"/>
    <w:rsid w:val="00BE14C0"/>
    <w:rsid w:val="00BE14C1"/>
    <w:rsid w:val="00BE1D38"/>
    <w:rsid w:val="00BE1E64"/>
    <w:rsid w:val="00BE263B"/>
    <w:rsid w:val="00BE26A4"/>
    <w:rsid w:val="00BE3376"/>
    <w:rsid w:val="00BE33CC"/>
    <w:rsid w:val="00BE34C9"/>
    <w:rsid w:val="00BE34F8"/>
    <w:rsid w:val="00BE35A8"/>
    <w:rsid w:val="00BE4185"/>
    <w:rsid w:val="00BE474C"/>
    <w:rsid w:val="00BE564C"/>
    <w:rsid w:val="00BE5ED1"/>
    <w:rsid w:val="00BE6324"/>
    <w:rsid w:val="00BE6FD6"/>
    <w:rsid w:val="00BE74EF"/>
    <w:rsid w:val="00BE7727"/>
    <w:rsid w:val="00BE7770"/>
    <w:rsid w:val="00BE78E7"/>
    <w:rsid w:val="00BF185C"/>
    <w:rsid w:val="00BF1D90"/>
    <w:rsid w:val="00BF2B24"/>
    <w:rsid w:val="00BF2EDE"/>
    <w:rsid w:val="00BF31F5"/>
    <w:rsid w:val="00BF3224"/>
    <w:rsid w:val="00BF34C0"/>
    <w:rsid w:val="00BF3664"/>
    <w:rsid w:val="00BF3701"/>
    <w:rsid w:val="00BF4B45"/>
    <w:rsid w:val="00BF4F59"/>
    <w:rsid w:val="00BF5359"/>
    <w:rsid w:val="00BF6926"/>
    <w:rsid w:val="00BF74E1"/>
    <w:rsid w:val="00C00B2A"/>
    <w:rsid w:val="00C012E0"/>
    <w:rsid w:val="00C0199D"/>
    <w:rsid w:val="00C01C6B"/>
    <w:rsid w:val="00C01F36"/>
    <w:rsid w:val="00C02A33"/>
    <w:rsid w:val="00C0325A"/>
    <w:rsid w:val="00C03E20"/>
    <w:rsid w:val="00C03E73"/>
    <w:rsid w:val="00C04840"/>
    <w:rsid w:val="00C04950"/>
    <w:rsid w:val="00C04A94"/>
    <w:rsid w:val="00C0548A"/>
    <w:rsid w:val="00C059E2"/>
    <w:rsid w:val="00C06633"/>
    <w:rsid w:val="00C06B2C"/>
    <w:rsid w:val="00C074D7"/>
    <w:rsid w:val="00C104B5"/>
    <w:rsid w:val="00C10EA9"/>
    <w:rsid w:val="00C1122F"/>
    <w:rsid w:val="00C11569"/>
    <w:rsid w:val="00C12FFE"/>
    <w:rsid w:val="00C13458"/>
    <w:rsid w:val="00C13820"/>
    <w:rsid w:val="00C13838"/>
    <w:rsid w:val="00C146EA"/>
    <w:rsid w:val="00C14B1A"/>
    <w:rsid w:val="00C15BE1"/>
    <w:rsid w:val="00C17098"/>
    <w:rsid w:val="00C17406"/>
    <w:rsid w:val="00C17DF8"/>
    <w:rsid w:val="00C204C6"/>
    <w:rsid w:val="00C2097E"/>
    <w:rsid w:val="00C20B7C"/>
    <w:rsid w:val="00C20CC7"/>
    <w:rsid w:val="00C210A5"/>
    <w:rsid w:val="00C2152E"/>
    <w:rsid w:val="00C24B98"/>
    <w:rsid w:val="00C25109"/>
    <w:rsid w:val="00C25ED3"/>
    <w:rsid w:val="00C263EA"/>
    <w:rsid w:val="00C26457"/>
    <w:rsid w:val="00C26912"/>
    <w:rsid w:val="00C274A2"/>
    <w:rsid w:val="00C275F2"/>
    <w:rsid w:val="00C27818"/>
    <w:rsid w:val="00C27A7E"/>
    <w:rsid w:val="00C320C2"/>
    <w:rsid w:val="00C32CD2"/>
    <w:rsid w:val="00C34D07"/>
    <w:rsid w:val="00C35408"/>
    <w:rsid w:val="00C35F6C"/>
    <w:rsid w:val="00C36118"/>
    <w:rsid w:val="00C36892"/>
    <w:rsid w:val="00C378DD"/>
    <w:rsid w:val="00C4004F"/>
    <w:rsid w:val="00C403AB"/>
    <w:rsid w:val="00C4150A"/>
    <w:rsid w:val="00C41901"/>
    <w:rsid w:val="00C4213A"/>
    <w:rsid w:val="00C42F34"/>
    <w:rsid w:val="00C43087"/>
    <w:rsid w:val="00C4366E"/>
    <w:rsid w:val="00C43D83"/>
    <w:rsid w:val="00C44718"/>
    <w:rsid w:val="00C4479B"/>
    <w:rsid w:val="00C448BD"/>
    <w:rsid w:val="00C458DA"/>
    <w:rsid w:val="00C45DA0"/>
    <w:rsid w:val="00C47F72"/>
    <w:rsid w:val="00C50111"/>
    <w:rsid w:val="00C502B2"/>
    <w:rsid w:val="00C5043A"/>
    <w:rsid w:val="00C5073D"/>
    <w:rsid w:val="00C51EA1"/>
    <w:rsid w:val="00C52C32"/>
    <w:rsid w:val="00C53012"/>
    <w:rsid w:val="00C533E7"/>
    <w:rsid w:val="00C5361C"/>
    <w:rsid w:val="00C54859"/>
    <w:rsid w:val="00C5552C"/>
    <w:rsid w:val="00C5567F"/>
    <w:rsid w:val="00C55681"/>
    <w:rsid w:val="00C557F3"/>
    <w:rsid w:val="00C55BCA"/>
    <w:rsid w:val="00C60079"/>
    <w:rsid w:val="00C60B82"/>
    <w:rsid w:val="00C60BF5"/>
    <w:rsid w:val="00C61DD6"/>
    <w:rsid w:val="00C6202E"/>
    <w:rsid w:val="00C62535"/>
    <w:rsid w:val="00C62DAD"/>
    <w:rsid w:val="00C63810"/>
    <w:rsid w:val="00C64245"/>
    <w:rsid w:val="00C64702"/>
    <w:rsid w:val="00C64CC8"/>
    <w:rsid w:val="00C65090"/>
    <w:rsid w:val="00C650FC"/>
    <w:rsid w:val="00C65198"/>
    <w:rsid w:val="00C654EF"/>
    <w:rsid w:val="00C663D3"/>
    <w:rsid w:val="00C708FE"/>
    <w:rsid w:val="00C70FA1"/>
    <w:rsid w:val="00C717CE"/>
    <w:rsid w:val="00C719D3"/>
    <w:rsid w:val="00C71D54"/>
    <w:rsid w:val="00C71E46"/>
    <w:rsid w:val="00C72723"/>
    <w:rsid w:val="00C7381E"/>
    <w:rsid w:val="00C73DFC"/>
    <w:rsid w:val="00C7541A"/>
    <w:rsid w:val="00C756A7"/>
    <w:rsid w:val="00C76111"/>
    <w:rsid w:val="00C76A20"/>
    <w:rsid w:val="00C77FA8"/>
    <w:rsid w:val="00C804A6"/>
    <w:rsid w:val="00C80704"/>
    <w:rsid w:val="00C807D0"/>
    <w:rsid w:val="00C80AF2"/>
    <w:rsid w:val="00C81124"/>
    <w:rsid w:val="00C813EF"/>
    <w:rsid w:val="00C8178C"/>
    <w:rsid w:val="00C81837"/>
    <w:rsid w:val="00C823AA"/>
    <w:rsid w:val="00C82805"/>
    <w:rsid w:val="00C84138"/>
    <w:rsid w:val="00C846F4"/>
    <w:rsid w:val="00C84B2B"/>
    <w:rsid w:val="00C8514D"/>
    <w:rsid w:val="00C8595E"/>
    <w:rsid w:val="00C85FC1"/>
    <w:rsid w:val="00C9110B"/>
    <w:rsid w:val="00C9113B"/>
    <w:rsid w:val="00C91864"/>
    <w:rsid w:val="00C91D89"/>
    <w:rsid w:val="00C9223E"/>
    <w:rsid w:val="00C922F6"/>
    <w:rsid w:val="00C93287"/>
    <w:rsid w:val="00C94392"/>
    <w:rsid w:val="00C948D3"/>
    <w:rsid w:val="00C9516E"/>
    <w:rsid w:val="00C95607"/>
    <w:rsid w:val="00C9562C"/>
    <w:rsid w:val="00C9641C"/>
    <w:rsid w:val="00C96C09"/>
    <w:rsid w:val="00C96E0C"/>
    <w:rsid w:val="00C978C2"/>
    <w:rsid w:val="00CA10E0"/>
    <w:rsid w:val="00CA10F3"/>
    <w:rsid w:val="00CA1A91"/>
    <w:rsid w:val="00CA26BA"/>
    <w:rsid w:val="00CA2BE1"/>
    <w:rsid w:val="00CA3165"/>
    <w:rsid w:val="00CA326E"/>
    <w:rsid w:val="00CA3ABF"/>
    <w:rsid w:val="00CA3C92"/>
    <w:rsid w:val="00CA5F04"/>
    <w:rsid w:val="00CA610F"/>
    <w:rsid w:val="00CA67CC"/>
    <w:rsid w:val="00CA6DE5"/>
    <w:rsid w:val="00CA7ACE"/>
    <w:rsid w:val="00CB048A"/>
    <w:rsid w:val="00CB0A56"/>
    <w:rsid w:val="00CB0AF9"/>
    <w:rsid w:val="00CB10D8"/>
    <w:rsid w:val="00CB1227"/>
    <w:rsid w:val="00CB25A8"/>
    <w:rsid w:val="00CB26D3"/>
    <w:rsid w:val="00CB306A"/>
    <w:rsid w:val="00CB3BC7"/>
    <w:rsid w:val="00CB466E"/>
    <w:rsid w:val="00CB5997"/>
    <w:rsid w:val="00CB59E5"/>
    <w:rsid w:val="00CB6226"/>
    <w:rsid w:val="00CB6439"/>
    <w:rsid w:val="00CB658B"/>
    <w:rsid w:val="00CB7F26"/>
    <w:rsid w:val="00CC08E7"/>
    <w:rsid w:val="00CC0AE3"/>
    <w:rsid w:val="00CC0D70"/>
    <w:rsid w:val="00CC12EB"/>
    <w:rsid w:val="00CC1A5C"/>
    <w:rsid w:val="00CC1FB6"/>
    <w:rsid w:val="00CC24F4"/>
    <w:rsid w:val="00CC298D"/>
    <w:rsid w:val="00CC3442"/>
    <w:rsid w:val="00CC3BA6"/>
    <w:rsid w:val="00CC530F"/>
    <w:rsid w:val="00CC5DBC"/>
    <w:rsid w:val="00CC5FA4"/>
    <w:rsid w:val="00CC5FCE"/>
    <w:rsid w:val="00CC69D3"/>
    <w:rsid w:val="00CC6EF4"/>
    <w:rsid w:val="00CC7A58"/>
    <w:rsid w:val="00CC7C0B"/>
    <w:rsid w:val="00CD0683"/>
    <w:rsid w:val="00CD0DF1"/>
    <w:rsid w:val="00CD3B27"/>
    <w:rsid w:val="00CD435D"/>
    <w:rsid w:val="00CD45FE"/>
    <w:rsid w:val="00CD4D58"/>
    <w:rsid w:val="00CD5266"/>
    <w:rsid w:val="00CD5819"/>
    <w:rsid w:val="00CD5900"/>
    <w:rsid w:val="00CD5A7C"/>
    <w:rsid w:val="00CD5D68"/>
    <w:rsid w:val="00CD5E3C"/>
    <w:rsid w:val="00CD5F21"/>
    <w:rsid w:val="00CD70A0"/>
    <w:rsid w:val="00CD71B7"/>
    <w:rsid w:val="00CD7EF7"/>
    <w:rsid w:val="00CE0037"/>
    <w:rsid w:val="00CE17C7"/>
    <w:rsid w:val="00CE186B"/>
    <w:rsid w:val="00CE20E5"/>
    <w:rsid w:val="00CE2961"/>
    <w:rsid w:val="00CE3343"/>
    <w:rsid w:val="00CE3377"/>
    <w:rsid w:val="00CE44BB"/>
    <w:rsid w:val="00CE48CA"/>
    <w:rsid w:val="00CE4B02"/>
    <w:rsid w:val="00CE4C69"/>
    <w:rsid w:val="00CE5440"/>
    <w:rsid w:val="00CE5591"/>
    <w:rsid w:val="00CE6350"/>
    <w:rsid w:val="00CE6B97"/>
    <w:rsid w:val="00CE6E11"/>
    <w:rsid w:val="00CE6EB9"/>
    <w:rsid w:val="00CE6F76"/>
    <w:rsid w:val="00CE7291"/>
    <w:rsid w:val="00CE7922"/>
    <w:rsid w:val="00CF0917"/>
    <w:rsid w:val="00CF2421"/>
    <w:rsid w:val="00CF276C"/>
    <w:rsid w:val="00CF347E"/>
    <w:rsid w:val="00CF4190"/>
    <w:rsid w:val="00CF473E"/>
    <w:rsid w:val="00CF47CA"/>
    <w:rsid w:val="00CF490D"/>
    <w:rsid w:val="00CF4B7A"/>
    <w:rsid w:val="00CF5143"/>
    <w:rsid w:val="00CF54F9"/>
    <w:rsid w:val="00CF5650"/>
    <w:rsid w:val="00CF633A"/>
    <w:rsid w:val="00CF66E3"/>
    <w:rsid w:val="00CF68A1"/>
    <w:rsid w:val="00CF6CA1"/>
    <w:rsid w:val="00CF7E65"/>
    <w:rsid w:val="00CF7FAA"/>
    <w:rsid w:val="00D005A3"/>
    <w:rsid w:val="00D018D3"/>
    <w:rsid w:val="00D01A8D"/>
    <w:rsid w:val="00D01CB0"/>
    <w:rsid w:val="00D02D2F"/>
    <w:rsid w:val="00D02F20"/>
    <w:rsid w:val="00D03C98"/>
    <w:rsid w:val="00D045C6"/>
    <w:rsid w:val="00D04EC2"/>
    <w:rsid w:val="00D04F22"/>
    <w:rsid w:val="00D05423"/>
    <w:rsid w:val="00D05458"/>
    <w:rsid w:val="00D05836"/>
    <w:rsid w:val="00D071B5"/>
    <w:rsid w:val="00D073F2"/>
    <w:rsid w:val="00D11D74"/>
    <w:rsid w:val="00D124FF"/>
    <w:rsid w:val="00D133A7"/>
    <w:rsid w:val="00D13E3D"/>
    <w:rsid w:val="00D14DB4"/>
    <w:rsid w:val="00D15B7D"/>
    <w:rsid w:val="00D15C26"/>
    <w:rsid w:val="00D17708"/>
    <w:rsid w:val="00D17DF2"/>
    <w:rsid w:val="00D20C21"/>
    <w:rsid w:val="00D218EE"/>
    <w:rsid w:val="00D22B45"/>
    <w:rsid w:val="00D24333"/>
    <w:rsid w:val="00D24E57"/>
    <w:rsid w:val="00D24E58"/>
    <w:rsid w:val="00D252EB"/>
    <w:rsid w:val="00D2693C"/>
    <w:rsid w:val="00D270D9"/>
    <w:rsid w:val="00D27B42"/>
    <w:rsid w:val="00D3015D"/>
    <w:rsid w:val="00D30D2A"/>
    <w:rsid w:val="00D30D94"/>
    <w:rsid w:val="00D31735"/>
    <w:rsid w:val="00D317AF"/>
    <w:rsid w:val="00D32789"/>
    <w:rsid w:val="00D327D3"/>
    <w:rsid w:val="00D33C78"/>
    <w:rsid w:val="00D34005"/>
    <w:rsid w:val="00D3485A"/>
    <w:rsid w:val="00D35014"/>
    <w:rsid w:val="00D35050"/>
    <w:rsid w:val="00D3581B"/>
    <w:rsid w:val="00D358D1"/>
    <w:rsid w:val="00D35CC1"/>
    <w:rsid w:val="00D3730B"/>
    <w:rsid w:val="00D4049F"/>
    <w:rsid w:val="00D40776"/>
    <w:rsid w:val="00D407E4"/>
    <w:rsid w:val="00D41D89"/>
    <w:rsid w:val="00D4205C"/>
    <w:rsid w:val="00D43493"/>
    <w:rsid w:val="00D4382A"/>
    <w:rsid w:val="00D4436D"/>
    <w:rsid w:val="00D44BED"/>
    <w:rsid w:val="00D44C51"/>
    <w:rsid w:val="00D45463"/>
    <w:rsid w:val="00D46129"/>
    <w:rsid w:val="00D46131"/>
    <w:rsid w:val="00D4650D"/>
    <w:rsid w:val="00D47320"/>
    <w:rsid w:val="00D477F2"/>
    <w:rsid w:val="00D504EE"/>
    <w:rsid w:val="00D509BE"/>
    <w:rsid w:val="00D50A5C"/>
    <w:rsid w:val="00D50A73"/>
    <w:rsid w:val="00D51596"/>
    <w:rsid w:val="00D51C60"/>
    <w:rsid w:val="00D51DA5"/>
    <w:rsid w:val="00D52868"/>
    <w:rsid w:val="00D532B4"/>
    <w:rsid w:val="00D53CE9"/>
    <w:rsid w:val="00D543C3"/>
    <w:rsid w:val="00D54C4E"/>
    <w:rsid w:val="00D54CFA"/>
    <w:rsid w:val="00D54E54"/>
    <w:rsid w:val="00D5555C"/>
    <w:rsid w:val="00D558DF"/>
    <w:rsid w:val="00D55CE7"/>
    <w:rsid w:val="00D56560"/>
    <w:rsid w:val="00D56B63"/>
    <w:rsid w:val="00D56E9B"/>
    <w:rsid w:val="00D56F85"/>
    <w:rsid w:val="00D5706D"/>
    <w:rsid w:val="00D575E2"/>
    <w:rsid w:val="00D6023F"/>
    <w:rsid w:val="00D609AE"/>
    <w:rsid w:val="00D60B2C"/>
    <w:rsid w:val="00D60D4E"/>
    <w:rsid w:val="00D61854"/>
    <w:rsid w:val="00D61A6D"/>
    <w:rsid w:val="00D62E02"/>
    <w:rsid w:val="00D62E4D"/>
    <w:rsid w:val="00D63336"/>
    <w:rsid w:val="00D635D4"/>
    <w:rsid w:val="00D63CD6"/>
    <w:rsid w:val="00D6444C"/>
    <w:rsid w:val="00D64D96"/>
    <w:rsid w:val="00D6619C"/>
    <w:rsid w:val="00D66E3E"/>
    <w:rsid w:val="00D7091A"/>
    <w:rsid w:val="00D71A49"/>
    <w:rsid w:val="00D71A94"/>
    <w:rsid w:val="00D72A68"/>
    <w:rsid w:val="00D7385B"/>
    <w:rsid w:val="00D750B6"/>
    <w:rsid w:val="00D75303"/>
    <w:rsid w:val="00D75505"/>
    <w:rsid w:val="00D7584A"/>
    <w:rsid w:val="00D75A5F"/>
    <w:rsid w:val="00D75F5F"/>
    <w:rsid w:val="00D76BAA"/>
    <w:rsid w:val="00D776EC"/>
    <w:rsid w:val="00D77981"/>
    <w:rsid w:val="00D809EC"/>
    <w:rsid w:val="00D81206"/>
    <w:rsid w:val="00D8181F"/>
    <w:rsid w:val="00D825D0"/>
    <w:rsid w:val="00D827DA"/>
    <w:rsid w:val="00D82B9E"/>
    <w:rsid w:val="00D82BB2"/>
    <w:rsid w:val="00D83A19"/>
    <w:rsid w:val="00D84218"/>
    <w:rsid w:val="00D84E10"/>
    <w:rsid w:val="00D85716"/>
    <w:rsid w:val="00D86215"/>
    <w:rsid w:val="00D86DF0"/>
    <w:rsid w:val="00D87F22"/>
    <w:rsid w:val="00D9146B"/>
    <w:rsid w:val="00D91909"/>
    <w:rsid w:val="00D919D0"/>
    <w:rsid w:val="00D91E17"/>
    <w:rsid w:val="00D93814"/>
    <w:rsid w:val="00D93C86"/>
    <w:rsid w:val="00D945E6"/>
    <w:rsid w:val="00D94669"/>
    <w:rsid w:val="00D946D4"/>
    <w:rsid w:val="00D95A96"/>
    <w:rsid w:val="00D95D35"/>
    <w:rsid w:val="00D96150"/>
    <w:rsid w:val="00D9635B"/>
    <w:rsid w:val="00D977A3"/>
    <w:rsid w:val="00DA0B20"/>
    <w:rsid w:val="00DA0B86"/>
    <w:rsid w:val="00DA239D"/>
    <w:rsid w:val="00DA23F1"/>
    <w:rsid w:val="00DA2712"/>
    <w:rsid w:val="00DA42C4"/>
    <w:rsid w:val="00DA4A5E"/>
    <w:rsid w:val="00DA4B7A"/>
    <w:rsid w:val="00DA55EE"/>
    <w:rsid w:val="00DA5ECA"/>
    <w:rsid w:val="00DA6298"/>
    <w:rsid w:val="00DA6384"/>
    <w:rsid w:val="00DA65EC"/>
    <w:rsid w:val="00DA6B25"/>
    <w:rsid w:val="00DA737C"/>
    <w:rsid w:val="00DA7385"/>
    <w:rsid w:val="00DA761D"/>
    <w:rsid w:val="00DA76CC"/>
    <w:rsid w:val="00DA7B6E"/>
    <w:rsid w:val="00DB02A2"/>
    <w:rsid w:val="00DB041C"/>
    <w:rsid w:val="00DB04BD"/>
    <w:rsid w:val="00DB0F76"/>
    <w:rsid w:val="00DB1B64"/>
    <w:rsid w:val="00DB2AF2"/>
    <w:rsid w:val="00DB2FE0"/>
    <w:rsid w:val="00DB4215"/>
    <w:rsid w:val="00DB490C"/>
    <w:rsid w:val="00DB5D19"/>
    <w:rsid w:val="00DB65AF"/>
    <w:rsid w:val="00DB6EB8"/>
    <w:rsid w:val="00DB77EF"/>
    <w:rsid w:val="00DB79FA"/>
    <w:rsid w:val="00DB7C79"/>
    <w:rsid w:val="00DC0169"/>
    <w:rsid w:val="00DC0A87"/>
    <w:rsid w:val="00DC1285"/>
    <w:rsid w:val="00DC20F5"/>
    <w:rsid w:val="00DC2303"/>
    <w:rsid w:val="00DC38D9"/>
    <w:rsid w:val="00DC4139"/>
    <w:rsid w:val="00DC413D"/>
    <w:rsid w:val="00DC49CD"/>
    <w:rsid w:val="00DC4C4C"/>
    <w:rsid w:val="00DC4C5F"/>
    <w:rsid w:val="00DC5C4D"/>
    <w:rsid w:val="00DC5D4B"/>
    <w:rsid w:val="00DC60FE"/>
    <w:rsid w:val="00DC6838"/>
    <w:rsid w:val="00DC7384"/>
    <w:rsid w:val="00DD01C7"/>
    <w:rsid w:val="00DD1D6D"/>
    <w:rsid w:val="00DD2227"/>
    <w:rsid w:val="00DD239C"/>
    <w:rsid w:val="00DD2755"/>
    <w:rsid w:val="00DD2E86"/>
    <w:rsid w:val="00DD311F"/>
    <w:rsid w:val="00DD3D21"/>
    <w:rsid w:val="00DD48CF"/>
    <w:rsid w:val="00DD4AC8"/>
    <w:rsid w:val="00DD5087"/>
    <w:rsid w:val="00DD60FF"/>
    <w:rsid w:val="00DD6E2E"/>
    <w:rsid w:val="00DD6F1A"/>
    <w:rsid w:val="00DD752C"/>
    <w:rsid w:val="00DD7577"/>
    <w:rsid w:val="00DD76AC"/>
    <w:rsid w:val="00DD7706"/>
    <w:rsid w:val="00DE0081"/>
    <w:rsid w:val="00DE024F"/>
    <w:rsid w:val="00DE0EB3"/>
    <w:rsid w:val="00DE1505"/>
    <w:rsid w:val="00DE27C8"/>
    <w:rsid w:val="00DE35FA"/>
    <w:rsid w:val="00DE3B45"/>
    <w:rsid w:val="00DE4F08"/>
    <w:rsid w:val="00DE5829"/>
    <w:rsid w:val="00DE5F57"/>
    <w:rsid w:val="00DE67F9"/>
    <w:rsid w:val="00DE7068"/>
    <w:rsid w:val="00DE7171"/>
    <w:rsid w:val="00DE738A"/>
    <w:rsid w:val="00DE7C45"/>
    <w:rsid w:val="00DF03C6"/>
    <w:rsid w:val="00DF0A26"/>
    <w:rsid w:val="00DF1185"/>
    <w:rsid w:val="00DF134E"/>
    <w:rsid w:val="00DF24B5"/>
    <w:rsid w:val="00DF297B"/>
    <w:rsid w:val="00DF2B72"/>
    <w:rsid w:val="00DF2C7A"/>
    <w:rsid w:val="00DF3138"/>
    <w:rsid w:val="00DF35F2"/>
    <w:rsid w:val="00DF3918"/>
    <w:rsid w:val="00DF58D3"/>
    <w:rsid w:val="00DF5A80"/>
    <w:rsid w:val="00DF5BAB"/>
    <w:rsid w:val="00DF6E53"/>
    <w:rsid w:val="00DF6EBA"/>
    <w:rsid w:val="00E000A0"/>
    <w:rsid w:val="00E00442"/>
    <w:rsid w:val="00E00BB9"/>
    <w:rsid w:val="00E00C92"/>
    <w:rsid w:val="00E00F7C"/>
    <w:rsid w:val="00E01CF8"/>
    <w:rsid w:val="00E02109"/>
    <w:rsid w:val="00E02790"/>
    <w:rsid w:val="00E02890"/>
    <w:rsid w:val="00E03B41"/>
    <w:rsid w:val="00E03CC4"/>
    <w:rsid w:val="00E04311"/>
    <w:rsid w:val="00E04660"/>
    <w:rsid w:val="00E04BF2"/>
    <w:rsid w:val="00E053B9"/>
    <w:rsid w:val="00E057A8"/>
    <w:rsid w:val="00E05ADE"/>
    <w:rsid w:val="00E06380"/>
    <w:rsid w:val="00E06430"/>
    <w:rsid w:val="00E06472"/>
    <w:rsid w:val="00E06D77"/>
    <w:rsid w:val="00E070D1"/>
    <w:rsid w:val="00E07152"/>
    <w:rsid w:val="00E07226"/>
    <w:rsid w:val="00E0730F"/>
    <w:rsid w:val="00E073BC"/>
    <w:rsid w:val="00E075AC"/>
    <w:rsid w:val="00E07EE7"/>
    <w:rsid w:val="00E103CC"/>
    <w:rsid w:val="00E10B04"/>
    <w:rsid w:val="00E10B51"/>
    <w:rsid w:val="00E1193F"/>
    <w:rsid w:val="00E13925"/>
    <w:rsid w:val="00E13949"/>
    <w:rsid w:val="00E13B3D"/>
    <w:rsid w:val="00E1526D"/>
    <w:rsid w:val="00E15AAC"/>
    <w:rsid w:val="00E16BA5"/>
    <w:rsid w:val="00E177DB"/>
    <w:rsid w:val="00E202F5"/>
    <w:rsid w:val="00E22282"/>
    <w:rsid w:val="00E22B0C"/>
    <w:rsid w:val="00E22F8F"/>
    <w:rsid w:val="00E234D4"/>
    <w:rsid w:val="00E242BF"/>
    <w:rsid w:val="00E24751"/>
    <w:rsid w:val="00E259EB"/>
    <w:rsid w:val="00E26293"/>
    <w:rsid w:val="00E26501"/>
    <w:rsid w:val="00E272EE"/>
    <w:rsid w:val="00E27F2F"/>
    <w:rsid w:val="00E27FF5"/>
    <w:rsid w:val="00E30353"/>
    <w:rsid w:val="00E30772"/>
    <w:rsid w:val="00E30FE6"/>
    <w:rsid w:val="00E323B4"/>
    <w:rsid w:val="00E32490"/>
    <w:rsid w:val="00E3336A"/>
    <w:rsid w:val="00E33CE9"/>
    <w:rsid w:val="00E3459D"/>
    <w:rsid w:val="00E34743"/>
    <w:rsid w:val="00E35672"/>
    <w:rsid w:val="00E35788"/>
    <w:rsid w:val="00E35C54"/>
    <w:rsid w:val="00E36AAB"/>
    <w:rsid w:val="00E36D89"/>
    <w:rsid w:val="00E37757"/>
    <w:rsid w:val="00E40987"/>
    <w:rsid w:val="00E40D45"/>
    <w:rsid w:val="00E411A6"/>
    <w:rsid w:val="00E41715"/>
    <w:rsid w:val="00E41B94"/>
    <w:rsid w:val="00E41C7C"/>
    <w:rsid w:val="00E4202E"/>
    <w:rsid w:val="00E424A9"/>
    <w:rsid w:val="00E425B4"/>
    <w:rsid w:val="00E43D3D"/>
    <w:rsid w:val="00E43DCD"/>
    <w:rsid w:val="00E46545"/>
    <w:rsid w:val="00E473C1"/>
    <w:rsid w:val="00E47876"/>
    <w:rsid w:val="00E50626"/>
    <w:rsid w:val="00E50ECA"/>
    <w:rsid w:val="00E51489"/>
    <w:rsid w:val="00E51CAF"/>
    <w:rsid w:val="00E521A2"/>
    <w:rsid w:val="00E534D9"/>
    <w:rsid w:val="00E5358F"/>
    <w:rsid w:val="00E5392E"/>
    <w:rsid w:val="00E53FF3"/>
    <w:rsid w:val="00E54837"/>
    <w:rsid w:val="00E54A44"/>
    <w:rsid w:val="00E55165"/>
    <w:rsid w:val="00E552B8"/>
    <w:rsid w:val="00E55E35"/>
    <w:rsid w:val="00E5674F"/>
    <w:rsid w:val="00E56FAC"/>
    <w:rsid w:val="00E577D3"/>
    <w:rsid w:val="00E60020"/>
    <w:rsid w:val="00E60746"/>
    <w:rsid w:val="00E60B7A"/>
    <w:rsid w:val="00E62228"/>
    <w:rsid w:val="00E62348"/>
    <w:rsid w:val="00E6384B"/>
    <w:rsid w:val="00E638DD"/>
    <w:rsid w:val="00E63A6E"/>
    <w:rsid w:val="00E63D03"/>
    <w:rsid w:val="00E64079"/>
    <w:rsid w:val="00E646DA"/>
    <w:rsid w:val="00E65F6D"/>
    <w:rsid w:val="00E669DA"/>
    <w:rsid w:val="00E66AEB"/>
    <w:rsid w:val="00E66C8D"/>
    <w:rsid w:val="00E671EC"/>
    <w:rsid w:val="00E6789C"/>
    <w:rsid w:val="00E67CC4"/>
    <w:rsid w:val="00E701A8"/>
    <w:rsid w:val="00E702AA"/>
    <w:rsid w:val="00E70A92"/>
    <w:rsid w:val="00E70AFE"/>
    <w:rsid w:val="00E7169A"/>
    <w:rsid w:val="00E716B1"/>
    <w:rsid w:val="00E7335F"/>
    <w:rsid w:val="00E735D3"/>
    <w:rsid w:val="00E7377E"/>
    <w:rsid w:val="00E737AB"/>
    <w:rsid w:val="00E73FC8"/>
    <w:rsid w:val="00E74258"/>
    <w:rsid w:val="00E743FE"/>
    <w:rsid w:val="00E7477E"/>
    <w:rsid w:val="00E75D1E"/>
    <w:rsid w:val="00E761A3"/>
    <w:rsid w:val="00E76516"/>
    <w:rsid w:val="00E767C7"/>
    <w:rsid w:val="00E76911"/>
    <w:rsid w:val="00E776CE"/>
    <w:rsid w:val="00E776EB"/>
    <w:rsid w:val="00E77F52"/>
    <w:rsid w:val="00E8040F"/>
    <w:rsid w:val="00E81024"/>
    <w:rsid w:val="00E81220"/>
    <w:rsid w:val="00E812D4"/>
    <w:rsid w:val="00E81700"/>
    <w:rsid w:val="00E817A9"/>
    <w:rsid w:val="00E821FF"/>
    <w:rsid w:val="00E82EDC"/>
    <w:rsid w:val="00E8378D"/>
    <w:rsid w:val="00E845E3"/>
    <w:rsid w:val="00E84613"/>
    <w:rsid w:val="00E84678"/>
    <w:rsid w:val="00E84C72"/>
    <w:rsid w:val="00E85714"/>
    <w:rsid w:val="00E857A9"/>
    <w:rsid w:val="00E86648"/>
    <w:rsid w:val="00E86E2B"/>
    <w:rsid w:val="00E86F6E"/>
    <w:rsid w:val="00E8749C"/>
    <w:rsid w:val="00E87F92"/>
    <w:rsid w:val="00E90182"/>
    <w:rsid w:val="00E90400"/>
    <w:rsid w:val="00E9107C"/>
    <w:rsid w:val="00E91659"/>
    <w:rsid w:val="00E919F9"/>
    <w:rsid w:val="00E91F24"/>
    <w:rsid w:val="00E9213F"/>
    <w:rsid w:val="00E931E9"/>
    <w:rsid w:val="00E93A22"/>
    <w:rsid w:val="00E93F3C"/>
    <w:rsid w:val="00E93F94"/>
    <w:rsid w:val="00E9510C"/>
    <w:rsid w:val="00E95665"/>
    <w:rsid w:val="00E96976"/>
    <w:rsid w:val="00E969ED"/>
    <w:rsid w:val="00E96E70"/>
    <w:rsid w:val="00EA003C"/>
    <w:rsid w:val="00EA0AD8"/>
    <w:rsid w:val="00EA120A"/>
    <w:rsid w:val="00EA138C"/>
    <w:rsid w:val="00EA18D9"/>
    <w:rsid w:val="00EA1D3A"/>
    <w:rsid w:val="00EA2210"/>
    <w:rsid w:val="00EA2C4B"/>
    <w:rsid w:val="00EA44D5"/>
    <w:rsid w:val="00EA5F0C"/>
    <w:rsid w:val="00EA6861"/>
    <w:rsid w:val="00EA7963"/>
    <w:rsid w:val="00EA7B96"/>
    <w:rsid w:val="00EB0A28"/>
    <w:rsid w:val="00EB214A"/>
    <w:rsid w:val="00EB2579"/>
    <w:rsid w:val="00EB279B"/>
    <w:rsid w:val="00EB3110"/>
    <w:rsid w:val="00EB3278"/>
    <w:rsid w:val="00EB4A2A"/>
    <w:rsid w:val="00EB5692"/>
    <w:rsid w:val="00EB5D93"/>
    <w:rsid w:val="00EB5F20"/>
    <w:rsid w:val="00EB60C6"/>
    <w:rsid w:val="00EB63A7"/>
    <w:rsid w:val="00EC0CC3"/>
    <w:rsid w:val="00EC1138"/>
    <w:rsid w:val="00EC146F"/>
    <w:rsid w:val="00EC1806"/>
    <w:rsid w:val="00EC1B95"/>
    <w:rsid w:val="00EC20FB"/>
    <w:rsid w:val="00EC2193"/>
    <w:rsid w:val="00EC2792"/>
    <w:rsid w:val="00EC2C8B"/>
    <w:rsid w:val="00EC35C2"/>
    <w:rsid w:val="00EC3B3F"/>
    <w:rsid w:val="00EC3D05"/>
    <w:rsid w:val="00EC420B"/>
    <w:rsid w:val="00EC477E"/>
    <w:rsid w:val="00EC4E9B"/>
    <w:rsid w:val="00EC58B0"/>
    <w:rsid w:val="00EC5F9B"/>
    <w:rsid w:val="00EC776A"/>
    <w:rsid w:val="00EC77B2"/>
    <w:rsid w:val="00EC7CF1"/>
    <w:rsid w:val="00ED0EBB"/>
    <w:rsid w:val="00ED1D3F"/>
    <w:rsid w:val="00ED2530"/>
    <w:rsid w:val="00ED2562"/>
    <w:rsid w:val="00ED2633"/>
    <w:rsid w:val="00ED2A57"/>
    <w:rsid w:val="00ED2CE7"/>
    <w:rsid w:val="00ED3DDA"/>
    <w:rsid w:val="00ED543E"/>
    <w:rsid w:val="00ED5A5F"/>
    <w:rsid w:val="00ED5DCA"/>
    <w:rsid w:val="00ED707A"/>
    <w:rsid w:val="00ED70E4"/>
    <w:rsid w:val="00ED748A"/>
    <w:rsid w:val="00ED7799"/>
    <w:rsid w:val="00EE05C0"/>
    <w:rsid w:val="00EE0AD5"/>
    <w:rsid w:val="00EE0DE7"/>
    <w:rsid w:val="00EE1E4A"/>
    <w:rsid w:val="00EE2717"/>
    <w:rsid w:val="00EE3115"/>
    <w:rsid w:val="00EE416C"/>
    <w:rsid w:val="00EE43E1"/>
    <w:rsid w:val="00EE480F"/>
    <w:rsid w:val="00EE4965"/>
    <w:rsid w:val="00EE5303"/>
    <w:rsid w:val="00EE55C2"/>
    <w:rsid w:val="00EE5C7B"/>
    <w:rsid w:val="00EE5DB5"/>
    <w:rsid w:val="00EE5F02"/>
    <w:rsid w:val="00EE601D"/>
    <w:rsid w:val="00EE7BFF"/>
    <w:rsid w:val="00EF0643"/>
    <w:rsid w:val="00EF06E2"/>
    <w:rsid w:val="00EF0E7C"/>
    <w:rsid w:val="00EF166B"/>
    <w:rsid w:val="00EF1F7C"/>
    <w:rsid w:val="00EF31F4"/>
    <w:rsid w:val="00EF3357"/>
    <w:rsid w:val="00EF366F"/>
    <w:rsid w:val="00EF3728"/>
    <w:rsid w:val="00EF4228"/>
    <w:rsid w:val="00EF47EC"/>
    <w:rsid w:val="00EF5102"/>
    <w:rsid w:val="00EF5559"/>
    <w:rsid w:val="00EF67A9"/>
    <w:rsid w:val="00F00023"/>
    <w:rsid w:val="00F004CF"/>
    <w:rsid w:val="00F015D9"/>
    <w:rsid w:val="00F02770"/>
    <w:rsid w:val="00F039A9"/>
    <w:rsid w:val="00F039EE"/>
    <w:rsid w:val="00F03A45"/>
    <w:rsid w:val="00F03AF3"/>
    <w:rsid w:val="00F040C4"/>
    <w:rsid w:val="00F042EB"/>
    <w:rsid w:val="00F04CAC"/>
    <w:rsid w:val="00F05866"/>
    <w:rsid w:val="00F05B4F"/>
    <w:rsid w:val="00F05F1C"/>
    <w:rsid w:val="00F0653E"/>
    <w:rsid w:val="00F06CFB"/>
    <w:rsid w:val="00F06E46"/>
    <w:rsid w:val="00F072D4"/>
    <w:rsid w:val="00F078BC"/>
    <w:rsid w:val="00F100C6"/>
    <w:rsid w:val="00F10807"/>
    <w:rsid w:val="00F10B5B"/>
    <w:rsid w:val="00F11D12"/>
    <w:rsid w:val="00F12B34"/>
    <w:rsid w:val="00F12E89"/>
    <w:rsid w:val="00F13C39"/>
    <w:rsid w:val="00F13F17"/>
    <w:rsid w:val="00F1515F"/>
    <w:rsid w:val="00F155E1"/>
    <w:rsid w:val="00F159EA"/>
    <w:rsid w:val="00F1793C"/>
    <w:rsid w:val="00F2021B"/>
    <w:rsid w:val="00F203C8"/>
    <w:rsid w:val="00F20675"/>
    <w:rsid w:val="00F20851"/>
    <w:rsid w:val="00F20864"/>
    <w:rsid w:val="00F20FDA"/>
    <w:rsid w:val="00F217DC"/>
    <w:rsid w:val="00F2248B"/>
    <w:rsid w:val="00F2268F"/>
    <w:rsid w:val="00F2293A"/>
    <w:rsid w:val="00F22F6F"/>
    <w:rsid w:val="00F23609"/>
    <w:rsid w:val="00F24906"/>
    <w:rsid w:val="00F2523E"/>
    <w:rsid w:val="00F26A7B"/>
    <w:rsid w:val="00F26E52"/>
    <w:rsid w:val="00F2734C"/>
    <w:rsid w:val="00F30459"/>
    <w:rsid w:val="00F30522"/>
    <w:rsid w:val="00F30A7C"/>
    <w:rsid w:val="00F328B5"/>
    <w:rsid w:val="00F32AF4"/>
    <w:rsid w:val="00F32B32"/>
    <w:rsid w:val="00F334AF"/>
    <w:rsid w:val="00F3427E"/>
    <w:rsid w:val="00F342C3"/>
    <w:rsid w:val="00F3555F"/>
    <w:rsid w:val="00F35FBC"/>
    <w:rsid w:val="00F3626E"/>
    <w:rsid w:val="00F377B9"/>
    <w:rsid w:val="00F3780E"/>
    <w:rsid w:val="00F37B77"/>
    <w:rsid w:val="00F37CA7"/>
    <w:rsid w:val="00F405EB"/>
    <w:rsid w:val="00F415B9"/>
    <w:rsid w:val="00F42E56"/>
    <w:rsid w:val="00F439BE"/>
    <w:rsid w:val="00F4415F"/>
    <w:rsid w:val="00F441D2"/>
    <w:rsid w:val="00F44311"/>
    <w:rsid w:val="00F443A8"/>
    <w:rsid w:val="00F44952"/>
    <w:rsid w:val="00F44D01"/>
    <w:rsid w:val="00F44D47"/>
    <w:rsid w:val="00F452D2"/>
    <w:rsid w:val="00F45987"/>
    <w:rsid w:val="00F45E99"/>
    <w:rsid w:val="00F45E9B"/>
    <w:rsid w:val="00F46235"/>
    <w:rsid w:val="00F466B2"/>
    <w:rsid w:val="00F478A5"/>
    <w:rsid w:val="00F50460"/>
    <w:rsid w:val="00F50792"/>
    <w:rsid w:val="00F5374E"/>
    <w:rsid w:val="00F538C9"/>
    <w:rsid w:val="00F53AAA"/>
    <w:rsid w:val="00F54505"/>
    <w:rsid w:val="00F54786"/>
    <w:rsid w:val="00F549A5"/>
    <w:rsid w:val="00F54EE3"/>
    <w:rsid w:val="00F56700"/>
    <w:rsid w:val="00F57B08"/>
    <w:rsid w:val="00F63B4E"/>
    <w:rsid w:val="00F63E0F"/>
    <w:rsid w:val="00F64304"/>
    <w:rsid w:val="00F643A5"/>
    <w:rsid w:val="00F646A0"/>
    <w:rsid w:val="00F6471D"/>
    <w:rsid w:val="00F64849"/>
    <w:rsid w:val="00F65910"/>
    <w:rsid w:val="00F659CF"/>
    <w:rsid w:val="00F662A5"/>
    <w:rsid w:val="00F6654B"/>
    <w:rsid w:val="00F6665C"/>
    <w:rsid w:val="00F6698F"/>
    <w:rsid w:val="00F66C5F"/>
    <w:rsid w:val="00F66F99"/>
    <w:rsid w:val="00F671FB"/>
    <w:rsid w:val="00F67C25"/>
    <w:rsid w:val="00F70042"/>
    <w:rsid w:val="00F715C6"/>
    <w:rsid w:val="00F7174E"/>
    <w:rsid w:val="00F71BBF"/>
    <w:rsid w:val="00F73333"/>
    <w:rsid w:val="00F7348B"/>
    <w:rsid w:val="00F74CF8"/>
    <w:rsid w:val="00F74F12"/>
    <w:rsid w:val="00F75233"/>
    <w:rsid w:val="00F75472"/>
    <w:rsid w:val="00F754B1"/>
    <w:rsid w:val="00F7576C"/>
    <w:rsid w:val="00F75EEE"/>
    <w:rsid w:val="00F77766"/>
    <w:rsid w:val="00F77A2F"/>
    <w:rsid w:val="00F77A6E"/>
    <w:rsid w:val="00F77DF9"/>
    <w:rsid w:val="00F80BFC"/>
    <w:rsid w:val="00F80E0A"/>
    <w:rsid w:val="00F8174F"/>
    <w:rsid w:val="00F8211D"/>
    <w:rsid w:val="00F83969"/>
    <w:rsid w:val="00F83FBB"/>
    <w:rsid w:val="00F844DB"/>
    <w:rsid w:val="00F845C9"/>
    <w:rsid w:val="00F85BEB"/>
    <w:rsid w:val="00F86512"/>
    <w:rsid w:val="00F868D6"/>
    <w:rsid w:val="00F86937"/>
    <w:rsid w:val="00F8737E"/>
    <w:rsid w:val="00F87833"/>
    <w:rsid w:val="00F91553"/>
    <w:rsid w:val="00F919D8"/>
    <w:rsid w:val="00F91CD5"/>
    <w:rsid w:val="00F92C22"/>
    <w:rsid w:val="00F930D7"/>
    <w:rsid w:val="00F93455"/>
    <w:rsid w:val="00F944B6"/>
    <w:rsid w:val="00F9587C"/>
    <w:rsid w:val="00F95902"/>
    <w:rsid w:val="00F972BE"/>
    <w:rsid w:val="00F97B00"/>
    <w:rsid w:val="00FA012E"/>
    <w:rsid w:val="00FA02FB"/>
    <w:rsid w:val="00FA0348"/>
    <w:rsid w:val="00FA0A09"/>
    <w:rsid w:val="00FA1EAB"/>
    <w:rsid w:val="00FA24BB"/>
    <w:rsid w:val="00FA29EC"/>
    <w:rsid w:val="00FA2B50"/>
    <w:rsid w:val="00FA36B7"/>
    <w:rsid w:val="00FA4F84"/>
    <w:rsid w:val="00FA4FE5"/>
    <w:rsid w:val="00FA5805"/>
    <w:rsid w:val="00FA5EB0"/>
    <w:rsid w:val="00FA696C"/>
    <w:rsid w:val="00FA7D99"/>
    <w:rsid w:val="00FA7DED"/>
    <w:rsid w:val="00FB0B74"/>
    <w:rsid w:val="00FB17C6"/>
    <w:rsid w:val="00FB1A4B"/>
    <w:rsid w:val="00FB24F5"/>
    <w:rsid w:val="00FB4490"/>
    <w:rsid w:val="00FB4F67"/>
    <w:rsid w:val="00FB648B"/>
    <w:rsid w:val="00FB6D02"/>
    <w:rsid w:val="00FB6E05"/>
    <w:rsid w:val="00FB7137"/>
    <w:rsid w:val="00FB7563"/>
    <w:rsid w:val="00FC02AB"/>
    <w:rsid w:val="00FC045B"/>
    <w:rsid w:val="00FC12B7"/>
    <w:rsid w:val="00FC1335"/>
    <w:rsid w:val="00FC1AB4"/>
    <w:rsid w:val="00FC2EFA"/>
    <w:rsid w:val="00FC3B6A"/>
    <w:rsid w:val="00FC3E6F"/>
    <w:rsid w:val="00FC411C"/>
    <w:rsid w:val="00FC47A0"/>
    <w:rsid w:val="00FC4D9F"/>
    <w:rsid w:val="00FC4F1A"/>
    <w:rsid w:val="00FC5B9E"/>
    <w:rsid w:val="00FC5F71"/>
    <w:rsid w:val="00FC6727"/>
    <w:rsid w:val="00FC6961"/>
    <w:rsid w:val="00FC6BF2"/>
    <w:rsid w:val="00FC78C4"/>
    <w:rsid w:val="00FD1D62"/>
    <w:rsid w:val="00FD21AC"/>
    <w:rsid w:val="00FD22DA"/>
    <w:rsid w:val="00FD4573"/>
    <w:rsid w:val="00FD50A9"/>
    <w:rsid w:val="00FD587D"/>
    <w:rsid w:val="00FD5F73"/>
    <w:rsid w:val="00FD63B1"/>
    <w:rsid w:val="00FD682C"/>
    <w:rsid w:val="00FE066B"/>
    <w:rsid w:val="00FE0DE0"/>
    <w:rsid w:val="00FE1220"/>
    <w:rsid w:val="00FE2752"/>
    <w:rsid w:val="00FE292D"/>
    <w:rsid w:val="00FE2D43"/>
    <w:rsid w:val="00FE2D67"/>
    <w:rsid w:val="00FE3252"/>
    <w:rsid w:val="00FE32CB"/>
    <w:rsid w:val="00FE39E9"/>
    <w:rsid w:val="00FE43CB"/>
    <w:rsid w:val="00FE5137"/>
    <w:rsid w:val="00FE5563"/>
    <w:rsid w:val="00FE5763"/>
    <w:rsid w:val="00FE6714"/>
    <w:rsid w:val="00FE6E33"/>
    <w:rsid w:val="00FF0413"/>
    <w:rsid w:val="00FF0809"/>
    <w:rsid w:val="00FF0C24"/>
    <w:rsid w:val="00FF1449"/>
    <w:rsid w:val="00FF181A"/>
    <w:rsid w:val="00FF2AD3"/>
    <w:rsid w:val="00FF3586"/>
    <w:rsid w:val="00FF3737"/>
    <w:rsid w:val="00FF4357"/>
    <w:rsid w:val="00FF45E5"/>
    <w:rsid w:val="00FF4912"/>
    <w:rsid w:val="00FF4B7B"/>
    <w:rsid w:val="00FF4E92"/>
    <w:rsid w:val="00FF6191"/>
    <w:rsid w:val="00FF6D5A"/>
    <w:rsid w:val="00FF6F77"/>
    <w:rsid w:val="00FF6FAB"/>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1705A8"/>
    <w:pPr>
      <w:keepNext/>
      <w:numPr>
        <w:numId w:val="5"/>
      </w:numPr>
      <w:ind w:hanging="720"/>
      <w:outlineLvl w:val="0"/>
    </w:pPr>
    <w:rPr>
      <w:rFonts w:ascii="Times New Roman Bold" w:hAnsi="Times New Roman Bold" w:cs="Arial"/>
      <w:b/>
      <w:bCs/>
      <w:kern w:val="32"/>
      <w:szCs w:val="32"/>
    </w:rPr>
  </w:style>
  <w:style w:type="paragraph" w:styleId="Heading2">
    <w:name w:val="heading 2"/>
    <w:basedOn w:val="Normal"/>
    <w:next w:val="Normal"/>
    <w:qFormat/>
    <w:rsid w:val="001705A8"/>
    <w:pPr>
      <w:keepNext/>
      <w:ind w:left="1440" w:hanging="720"/>
      <w:outlineLvl w:val="1"/>
    </w:pPr>
    <w:rPr>
      <w:rFonts w:cs="Arial"/>
      <w:b/>
      <w:bCs/>
      <w:iCs/>
      <w:szCs w:val="28"/>
    </w:rPr>
  </w:style>
  <w:style w:type="paragraph" w:styleId="Heading3">
    <w:name w:val="heading 3"/>
    <w:basedOn w:val="Normal"/>
    <w:next w:val="Normal"/>
    <w:qFormat/>
    <w:rsid w:val="000657A4"/>
    <w:pPr>
      <w:keepNext/>
      <w:numPr>
        <w:numId w:val="6"/>
      </w:numPr>
      <w:spacing w:before="240" w:after="60"/>
      <w:ind w:left="2160" w:hanging="720"/>
      <w:outlineLvl w:val="2"/>
    </w:pPr>
    <w:rPr>
      <w:rFonts w:cs="Arial"/>
      <w:b/>
      <w:bCs/>
      <w:szCs w:val="26"/>
    </w:rPr>
  </w:style>
  <w:style w:type="paragraph" w:styleId="Heading4">
    <w:name w:val="heading 4"/>
    <w:basedOn w:val="Normal"/>
    <w:qFormat/>
    <w:rsid w:val="001705A8"/>
    <w:pPr>
      <w:numPr>
        <w:numId w:val="4"/>
      </w:num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semiHidden/>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rsid w:val="007C4D87"/>
    <w:rPr>
      <w:vertAlign w:val="superscript"/>
    </w:rPr>
  </w:style>
  <w:style w:type="character" w:styleId="Hyperlink">
    <w:name w:val="Hyperlink"/>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rsid w:val="00BC175D"/>
    <w:rPr>
      <w:b/>
      <w:bCs/>
    </w:rPr>
  </w:style>
  <w:style w:type="character" w:customStyle="1" w:styleId="pmterms11">
    <w:name w:val="pmterms11"/>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2B7574"/>
    <w:pPr>
      <w:ind w:left="720"/>
    </w:pPr>
  </w:style>
  <w:style w:type="paragraph" w:styleId="EndnoteText">
    <w:name w:val="endnote text"/>
    <w:basedOn w:val="Normal"/>
    <w:link w:val="EndnoteTextChar"/>
    <w:rsid w:val="00CF4B7A"/>
    <w:rPr>
      <w:sz w:val="20"/>
      <w:szCs w:val="20"/>
    </w:rPr>
  </w:style>
  <w:style w:type="character" w:customStyle="1" w:styleId="EndnoteTextChar">
    <w:name w:val="Endnote Text Char"/>
    <w:basedOn w:val="DefaultParagraphFont"/>
    <w:link w:val="EndnoteText"/>
    <w:rsid w:val="00CF4B7A"/>
  </w:style>
  <w:style w:type="character" w:styleId="EndnoteReference">
    <w:name w:val="endnote reference"/>
    <w:rsid w:val="00CF4B7A"/>
    <w:rPr>
      <w:vertAlign w:val="superscript"/>
    </w:rPr>
  </w:style>
  <w:style w:type="paragraph" w:customStyle="1" w:styleId="ParaTab1">
    <w:name w:val="ParaTab 1"/>
    <w:rsid w:val="002159FA"/>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1705A8"/>
    <w:pPr>
      <w:keepNext/>
      <w:numPr>
        <w:numId w:val="5"/>
      </w:numPr>
      <w:ind w:hanging="720"/>
      <w:outlineLvl w:val="0"/>
    </w:pPr>
    <w:rPr>
      <w:rFonts w:ascii="Times New Roman Bold" w:hAnsi="Times New Roman Bold" w:cs="Arial"/>
      <w:b/>
      <w:bCs/>
      <w:kern w:val="32"/>
      <w:szCs w:val="32"/>
    </w:rPr>
  </w:style>
  <w:style w:type="paragraph" w:styleId="Heading2">
    <w:name w:val="heading 2"/>
    <w:basedOn w:val="Normal"/>
    <w:next w:val="Normal"/>
    <w:qFormat/>
    <w:rsid w:val="001705A8"/>
    <w:pPr>
      <w:keepNext/>
      <w:ind w:left="1440" w:hanging="720"/>
      <w:outlineLvl w:val="1"/>
    </w:pPr>
    <w:rPr>
      <w:rFonts w:cs="Arial"/>
      <w:b/>
      <w:bCs/>
      <w:iCs/>
      <w:szCs w:val="28"/>
    </w:rPr>
  </w:style>
  <w:style w:type="paragraph" w:styleId="Heading3">
    <w:name w:val="heading 3"/>
    <w:basedOn w:val="Normal"/>
    <w:next w:val="Normal"/>
    <w:qFormat/>
    <w:rsid w:val="000657A4"/>
    <w:pPr>
      <w:keepNext/>
      <w:numPr>
        <w:numId w:val="6"/>
      </w:numPr>
      <w:spacing w:before="240" w:after="60"/>
      <w:ind w:left="2160" w:hanging="720"/>
      <w:outlineLvl w:val="2"/>
    </w:pPr>
    <w:rPr>
      <w:rFonts w:cs="Arial"/>
      <w:b/>
      <w:bCs/>
      <w:szCs w:val="26"/>
    </w:rPr>
  </w:style>
  <w:style w:type="paragraph" w:styleId="Heading4">
    <w:name w:val="heading 4"/>
    <w:basedOn w:val="Normal"/>
    <w:qFormat/>
    <w:rsid w:val="001705A8"/>
    <w:pPr>
      <w:numPr>
        <w:numId w:val="4"/>
      </w:num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semiHidden/>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rsid w:val="007C4D87"/>
    <w:rPr>
      <w:vertAlign w:val="superscript"/>
    </w:rPr>
  </w:style>
  <w:style w:type="character" w:styleId="Hyperlink">
    <w:name w:val="Hyperlink"/>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rsid w:val="00BC175D"/>
    <w:rPr>
      <w:b/>
      <w:bCs/>
    </w:rPr>
  </w:style>
  <w:style w:type="character" w:customStyle="1" w:styleId="pmterms11">
    <w:name w:val="pmterms11"/>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2B7574"/>
    <w:pPr>
      <w:ind w:left="720"/>
    </w:pPr>
  </w:style>
  <w:style w:type="paragraph" w:styleId="EndnoteText">
    <w:name w:val="endnote text"/>
    <w:basedOn w:val="Normal"/>
    <w:link w:val="EndnoteTextChar"/>
    <w:rsid w:val="00CF4B7A"/>
    <w:rPr>
      <w:sz w:val="20"/>
      <w:szCs w:val="20"/>
    </w:rPr>
  </w:style>
  <w:style w:type="character" w:customStyle="1" w:styleId="EndnoteTextChar">
    <w:name w:val="Endnote Text Char"/>
    <w:basedOn w:val="DefaultParagraphFont"/>
    <w:link w:val="EndnoteText"/>
    <w:rsid w:val="00CF4B7A"/>
  </w:style>
  <w:style w:type="character" w:styleId="EndnoteReference">
    <w:name w:val="endnote reference"/>
    <w:rsid w:val="00CF4B7A"/>
    <w:rPr>
      <w:vertAlign w:val="superscript"/>
    </w:rPr>
  </w:style>
  <w:style w:type="paragraph" w:customStyle="1" w:styleId="ParaTab1">
    <w:name w:val="ParaTab 1"/>
    <w:rsid w:val="002159FA"/>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50230C4-996E-4878-BFAB-B2F3A6769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4657</Words>
  <Characters>26550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31145</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Hinds, Margaret</cp:lastModifiedBy>
  <cp:revision>8</cp:revision>
  <cp:lastPrinted>2012-12-05T17:18:00Z</cp:lastPrinted>
  <dcterms:created xsi:type="dcterms:W3CDTF">2012-11-20T17:02:00Z</dcterms:created>
  <dcterms:modified xsi:type="dcterms:W3CDTF">2012-12-05T17:18:00Z</dcterms:modified>
</cp:coreProperties>
</file>