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F74B4F" w:rsidRPr="00C0451E" w:rsidTr="0031334E">
        <w:tc>
          <w:tcPr>
            <w:tcW w:w="2448" w:type="dxa"/>
          </w:tcPr>
          <w:p w:rsidR="00F74B4F" w:rsidRPr="00C0451E" w:rsidRDefault="00F74B4F" w:rsidP="0031334E">
            <w:pPr>
              <w:pStyle w:val="Heading3"/>
              <w:rPr>
                <w:rFonts w:ascii="Times New Roman" w:hAnsi="Times New Roman" w:cs="Times New Roman"/>
              </w:rPr>
            </w:pPr>
          </w:p>
        </w:tc>
        <w:tc>
          <w:tcPr>
            <w:tcW w:w="5130" w:type="dxa"/>
          </w:tcPr>
          <w:p w:rsidR="00F74B4F" w:rsidRPr="00C0451E" w:rsidRDefault="00F74B4F" w:rsidP="0031334E">
            <w:pPr>
              <w:jc w:val="center"/>
              <w:rPr>
                <w:b/>
                <w:sz w:val="26"/>
                <w:szCs w:val="26"/>
              </w:rPr>
            </w:pPr>
            <w:r w:rsidRPr="00C0451E">
              <w:rPr>
                <w:b/>
                <w:sz w:val="26"/>
                <w:szCs w:val="26"/>
              </w:rPr>
              <w:t>PENNSYLVANIA</w:t>
            </w:r>
          </w:p>
          <w:p w:rsidR="00F74B4F" w:rsidRPr="00C0451E" w:rsidRDefault="00F74B4F" w:rsidP="0031334E">
            <w:pPr>
              <w:jc w:val="center"/>
              <w:rPr>
                <w:b/>
                <w:sz w:val="26"/>
                <w:szCs w:val="26"/>
              </w:rPr>
            </w:pPr>
            <w:r w:rsidRPr="00C0451E">
              <w:rPr>
                <w:b/>
                <w:sz w:val="26"/>
                <w:szCs w:val="26"/>
              </w:rPr>
              <w:t>PUBLIC UTILITY COMMISSION</w:t>
            </w:r>
          </w:p>
          <w:p w:rsidR="00F74B4F" w:rsidRPr="00C0451E" w:rsidRDefault="00F74B4F" w:rsidP="0031334E">
            <w:pPr>
              <w:pStyle w:val="StyleCentered"/>
              <w:rPr>
                <w:b/>
                <w:sz w:val="26"/>
                <w:szCs w:val="26"/>
              </w:rPr>
            </w:pPr>
            <w:r w:rsidRPr="00C0451E">
              <w:rPr>
                <w:b/>
                <w:sz w:val="26"/>
                <w:szCs w:val="26"/>
              </w:rPr>
              <w:t>Harrisburg, PA  17105-3265</w:t>
            </w:r>
          </w:p>
        </w:tc>
        <w:tc>
          <w:tcPr>
            <w:tcW w:w="2700" w:type="dxa"/>
          </w:tcPr>
          <w:p w:rsidR="00F74B4F" w:rsidRPr="00C0451E" w:rsidRDefault="00F74B4F" w:rsidP="0031334E">
            <w:pPr>
              <w:rPr>
                <w:sz w:val="26"/>
                <w:szCs w:val="26"/>
              </w:rPr>
            </w:pPr>
          </w:p>
        </w:tc>
      </w:tr>
    </w:tbl>
    <w:p w:rsidR="00F74B4F" w:rsidRPr="00C0451E" w:rsidRDefault="00F74B4F" w:rsidP="00F74B4F">
      <w:pPr>
        <w:rPr>
          <w:sz w:val="26"/>
          <w:szCs w:val="26"/>
        </w:rPr>
      </w:pPr>
    </w:p>
    <w:tbl>
      <w:tblPr>
        <w:tblW w:w="0" w:type="auto"/>
        <w:tblLayout w:type="fixed"/>
        <w:tblLook w:val="0000" w:firstRow="0" w:lastRow="0" w:firstColumn="0" w:lastColumn="0" w:noHBand="0" w:noVBand="0"/>
      </w:tblPr>
      <w:tblGrid>
        <w:gridCol w:w="5148"/>
        <w:gridCol w:w="5148"/>
      </w:tblGrid>
      <w:tr w:rsidR="00F74B4F" w:rsidRPr="00C0451E" w:rsidTr="0031334E">
        <w:tc>
          <w:tcPr>
            <w:tcW w:w="5148" w:type="dxa"/>
          </w:tcPr>
          <w:p w:rsidR="00F74B4F" w:rsidRPr="00C0451E" w:rsidRDefault="00F74B4F" w:rsidP="0031334E">
            <w:pPr>
              <w:rPr>
                <w:sz w:val="26"/>
                <w:szCs w:val="26"/>
              </w:rPr>
            </w:pPr>
          </w:p>
        </w:tc>
        <w:tc>
          <w:tcPr>
            <w:tcW w:w="5148" w:type="dxa"/>
          </w:tcPr>
          <w:p w:rsidR="00F74B4F" w:rsidRPr="00C0451E" w:rsidRDefault="00F74B4F" w:rsidP="00F74B4F">
            <w:pPr>
              <w:ind w:firstLine="612"/>
              <w:rPr>
                <w:sz w:val="26"/>
                <w:szCs w:val="26"/>
              </w:rPr>
            </w:pPr>
            <w:r w:rsidRPr="00C0451E">
              <w:rPr>
                <w:sz w:val="26"/>
                <w:szCs w:val="26"/>
              </w:rPr>
              <w:t xml:space="preserve">Public Meeting held </w:t>
            </w:r>
            <w:r>
              <w:rPr>
                <w:sz w:val="26"/>
                <w:szCs w:val="26"/>
              </w:rPr>
              <w:t>December 5, 2012</w:t>
            </w:r>
          </w:p>
        </w:tc>
      </w:tr>
      <w:tr w:rsidR="00F74B4F" w:rsidRPr="00C0451E" w:rsidTr="0031334E">
        <w:tc>
          <w:tcPr>
            <w:tcW w:w="5148" w:type="dxa"/>
          </w:tcPr>
          <w:p w:rsidR="00F74B4F" w:rsidRPr="00C0451E" w:rsidRDefault="00F74B4F" w:rsidP="0031334E">
            <w:pPr>
              <w:rPr>
                <w:sz w:val="26"/>
                <w:szCs w:val="26"/>
              </w:rPr>
            </w:pPr>
            <w:r w:rsidRPr="00C0451E">
              <w:rPr>
                <w:sz w:val="26"/>
                <w:szCs w:val="26"/>
              </w:rPr>
              <w:t>Commissioners Present:</w:t>
            </w:r>
          </w:p>
        </w:tc>
        <w:tc>
          <w:tcPr>
            <w:tcW w:w="5148" w:type="dxa"/>
          </w:tcPr>
          <w:p w:rsidR="00F74B4F" w:rsidRPr="00C0451E" w:rsidRDefault="00F74B4F" w:rsidP="0031334E">
            <w:pPr>
              <w:rPr>
                <w:sz w:val="26"/>
                <w:szCs w:val="26"/>
              </w:rPr>
            </w:pPr>
          </w:p>
        </w:tc>
      </w:tr>
    </w:tbl>
    <w:p w:rsidR="00F74B4F" w:rsidRPr="00C0451E" w:rsidRDefault="00F74B4F" w:rsidP="00F74B4F">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F74B4F" w:rsidRPr="00C0451E" w:rsidTr="0031334E">
        <w:tc>
          <w:tcPr>
            <w:tcW w:w="9378" w:type="dxa"/>
            <w:gridSpan w:val="3"/>
          </w:tcPr>
          <w:p w:rsidR="00F74B4F" w:rsidRPr="00C0451E" w:rsidRDefault="00F74B4F" w:rsidP="0031334E">
            <w:pPr>
              <w:overflowPunct/>
              <w:ind w:left="450"/>
              <w:textAlignment w:val="auto"/>
              <w:rPr>
                <w:sz w:val="26"/>
                <w:szCs w:val="26"/>
              </w:rPr>
            </w:pPr>
            <w:r>
              <w:rPr>
                <w:sz w:val="26"/>
                <w:szCs w:val="26"/>
              </w:rPr>
              <w:t>Robert F. Powelson, Chairman</w:t>
            </w:r>
          </w:p>
        </w:tc>
        <w:tc>
          <w:tcPr>
            <w:tcW w:w="918" w:type="dxa"/>
          </w:tcPr>
          <w:p w:rsidR="00F74B4F" w:rsidRPr="00C0451E" w:rsidRDefault="00F74B4F" w:rsidP="0031334E">
            <w:pPr>
              <w:rPr>
                <w:sz w:val="26"/>
                <w:szCs w:val="26"/>
              </w:rPr>
            </w:pPr>
          </w:p>
        </w:tc>
      </w:tr>
      <w:tr w:rsidR="00F74B4F" w:rsidRPr="00C0451E" w:rsidTr="0031334E">
        <w:tc>
          <w:tcPr>
            <w:tcW w:w="9378" w:type="dxa"/>
            <w:gridSpan w:val="3"/>
          </w:tcPr>
          <w:p w:rsidR="00F74B4F" w:rsidRPr="00C0451E" w:rsidRDefault="00F74B4F" w:rsidP="0031334E">
            <w:pPr>
              <w:overflowPunct/>
              <w:ind w:left="450"/>
              <w:textAlignment w:val="auto"/>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c>
          <w:tcPr>
            <w:tcW w:w="918" w:type="dxa"/>
          </w:tcPr>
          <w:p w:rsidR="00F74B4F" w:rsidRPr="00C0451E" w:rsidRDefault="00F74B4F" w:rsidP="0031334E">
            <w:pPr>
              <w:rPr>
                <w:sz w:val="26"/>
                <w:szCs w:val="26"/>
              </w:rPr>
            </w:pPr>
          </w:p>
        </w:tc>
      </w:tr>
      <w:tr w:rsidR="00F74B4F" w:rsidRPr="00C0451E" w:rsidTr="0031334E">
        <w:tc>
          <w:tcPr>
            <w:tcW w:w="9378" w:type="dxa"/>
            <w:gridSpan w:val="3"/>
          </w:tcPr>
          <w:p w:rsidR="00F74B4F" w:rsidRPr="00C0451E" w:rsidRDefault="00F74B4F" w:rsidP="0031334E">
            <w:pPr>
              <w:overflowPunct/>
              <w:ind w:left="450"/>
              <w:textAlignment w:val="auto"/>
              <w:rPr>
                <w:sz w:val="26"/>
                <w:szCs w:val="26"/>
              </w:rPr>
            </w:pPr>
            <w:r w:rsidRPr="00C0451E">
              <w:rPr>
                <w:sz w:val="26"/>
                <w:szCs w:val="26"/>
              </w:rPr>
              <w:t>Wayne E. Gardner</w:t>
            </w:r>
          </w:p>
        </w:tc>
        <w:tc>
          <w:tcPr>
            <w:tcW w:w="918" w:type="dxa"/>
          </w:tcPr>
          <w:p w:rsidR="00F74B4F" w:rsidRPr="00C0451E" w:rsidRDefault="00F74B4F" w:rsidP="0031334E">
            <w:pPr>
              <w:rPr>
                <w:sz w:val="26"/>
                <w:szCs w:val="26"/>
              </w:rPr>
            </w:pPr>
          </w:p>
        </w:tc>
      </w:tr>
      <w:tr w:rsidR="00F74B4F" w:rsidRPr="00C0451E" w:rsidTr="0031334E">
        <w:tc>
          <w:tcPr>
            <w:tcW w:w="9378" w:type="dxa"/>
            <w:gridSpan w:val="3"/>
          </w:tcPr>
          <w:p w:rsidR="00F74B4F" w:rsidRPr="00C0451E" w:rsidRDefault="00F74B4F" w:rsidP="0031334E">
            <w:pPr>
              <w:overflowPunct/>
              <w:ind w:left="450"/>
              <w:textAlignment w:val="auto"/>
              <w:rPr>
                <w:sz w:val="26"/>
                <w:szCs w:val="26"/>
              </w:rPr>
            </w:pPr>
            <w:r>
              <w:rPr>
                <w:sz w:val="26"/>
                <w:szCs w:val="26"/>
              </w:rPr>
              <w:t>James H. Cawley</w:t>
            </w:r>
          </w:p>
        </w:tc>
        <w:tc>
          <w:tcPr>
            <w:tcW w:w="918" w:type="dxa"/>
          </w:tcPr>
          <w:p w:rsidR="00F74B4F" w:rsidRPr="00C0451E" w:rsidRDefault="00F74B4F" w:rsidP="0031334E">
            <w:pPr>
              <w:rPr>
                <w:sz w:val="26"/>
                <w:szCs w:val="26"/>
              </w:rPr>
            </w:pPr>
          </w:p>
        </w:tc>
      </w:tr>
      <w:tr w:rsidR="00F74B4F" w:rsidRPr="00C0451E" w:rsidTr="0031334E">
        <w:trPr>
          <w:gridAfter w:val="2"/>
          <w:wAfter w:w="1440" w:type="dxa"/>
        </w:trPr>
        <w:tc>
          <w:tcPr>
            <w:tcW w:w="5958" w:type="dxa"/>
          </w:tcPr>
          <w:p w:rsidR="00F74B4F" w:rsidRDefault="00F74B4F" w:rsidP="0031334E">
            <w:pPr>
              <w:ind w:left="450"/>
              <w:rPr>
                <w:sz w:val="26"/>
                <w:szCs w:val="26"/>
              </w:rPr>
            </w:pPr>
            <w:r>
              <w:rPr>
                <w:sz w:val="26"/>
                <w:szCs w:val="26"/>
              </w:rPr>
              <w:t>Pamela A. Witmer</w:t>
            </w:r>
          </w:p>
          <w:p w:rsidR="00F74B4F" w:rsidRPr="00C0451E" w:rsidRDefault="00F74B4F" w:rsidP="0031334E">
            <w:pPr>
              <w:ind w:left="450"/>
              <w:rPr>
                <w:sz w:val="26"/>
                <w:szCs w:val="26"/>
              </w:rPr>
            </w:pPr>
          </w:p>
        </w:tc>
        <w:tc>
          <w:tcPr>
            <w:tcW w:w="2898" w:type="dxa"/>
          </w:tcPr>
          <w:p w:rsidR="00F74B4F" w:rsidRPr="00C0451E" w:rsidRDefault="00F74B4F" w:rsidP="0031334E">
            <w:pPr>
              <w:ind w:left="450"/>
              <w:rPr>
                <w:sz w:val="26"/>
                <w:szCs w:val="26"/>
              </w:rPr>
            </w:pPr>
          </w:p>
        </w:tc>
      </w:tr>
    </w:tbl>
    <w:p w:rsidR="00F74B4F" w:rsidRDefault="00F74B4F" w:rsidP="00F74B4F">
      <w:pPr>
        <w:spacing w:line="360" w:lineRule="auto"/>
        <w:rPr>
          <w:sz w:val="26"/>
          <w:szCs w:val="26"/>
        </w:rPr>
        <w:sectPr w:rsidR="00F74B4F" w:rsidSect="00F74B4F">
          <w:footerReference w:type="even" r:id="rId9"/>
          <w:footerReference w:type="default" r:id="rId10"/>
          <w:pgSz w:w="12240" w:h="15840"/>
          <w:pgMar w:top="1440" w:right="1440" w:bottom="1440" w:left="1440" w:header="720" w:footer="720" w:gutter="0"/>
          <w:cols w:space="720"/>
          <w:titlePg/>
        </w:sectPr>
      </w:pPr>
    </w:p>
    <w:tbl>
      <w:tblPr>
        <w:tblW w:w="10296" w:type="dxa"/>
        <w:tblLayout w:type="fixed"/>
        <w:tblLook w:val="0000" w:firstRow="0" w:lastRow="0" w:firstColumn="0" w:lastColumn="0" w:noHBand="0" w:noVBand="0"/>
      </w:tblPr>
      <w:tblGrid>
        <w:gridCol w:w="6442"/>
        <w:gridCol w:w="3854"/>
      </w:tblGrid>
      <w:tr w:rsidR="00F74B4F" w:rsidRPr="00394ADE" w:rsidTr="00524D72">
        <w:tc>
          <w:tcPr>
            <w:tcW w:w="6442" w:type="dxa"/>
          </w:tcPr>
          <w:p w:rsidR="00F74B4F" w:rsidRPr="00394ADE" w:rsidRDefault="00F74B4F" w:rsidP="0031334E">
            <w:pPr>
              <w:rPr>
                <w:sz w:val="26"/>
                <w:szCs w:val="26"/>
              </w:rPr>
            </w:pPr>
            <w:r w:rsidRPr="00394ADE">
              <w:rPr>
                <w:sz w:val="26"/>
                <w:szCs w:val="26"/>
              </w:rPr>
              <w:lastRenderedPageBreak/>
              <w:t xml:space="preserve">Petition of </w:t>
            </w:r>
            <w:r>
              <w:rPr>
                <w:sz w:val="26"/>
                <w:szCs w:val="26"/>
              </w:rPr>
              <w:t>Windstream Communications, Inc. for a Waiver of the Commissions Regulations at 52 Pa. Code §§ 53.58 and 53.59 To Permit Detariffing Services to Enterprise and Large Business Customers</w:t>
            </w:r>
            <w:r w:rsidR="0027331C">
              <w:rPr>
                <w:sz w:val="26"/>
                <w:szCs w:val="26"/>
              </w:rPr>
              <w:t xml:space="preserve"> </w:t>
            </w:r>
          </w:p>
          <w:p w:rsidR="00F74B4F" w:rsidRPr="00394ADE" w:rsidRDefault="00F74B4F" w:rsidP="0031334E">
            <w:pPr>
              <w:rPr>
                <w:sz w:val="26"/>
                <w:szCs w:val="26"/>
              </w:rPr>
            </w:pPr>
            <w:r w:rsidRPr="00394ADE">
              <w:rPr>
                <w:sz w:val="26"/>
                <w:szCs w:val="26"/>
              </w:rPr>
              <w:t xml:space="preserve"> </w:t>
            </w:r>
          </w:p>
        </w:tc>
        <w:tc>
          <w:tcPr>
            <w:tcW w:w="3854" w:type="dxa"/>
          </w:tcPr>
          <w:p w:rsidR="00F74B4F" w:rsidRPr="00394ADE" w:rsidRDefault="00F74B4F" w:rsidP="0031334E">
            <w:pPr>
              <w:jc w:val="center"/>
              <w:rPr>
                <w:sz w:val="26"/>
                <w:szCs w:val="26"/>
              </w:rPr>
            </w:pPr>
            <w:r w:rsidRPr="00394ADE">
              <w:rPr>
                <w:sz w:val="26"/>
                <w:szCs w:val="26"/>
              </w:rPr>
              <w:t>P-</w:t>
            </w:r>
            <w:r>
              <w:rPr>
                <w:sz w:val="26"/>
                <w:szCs w:val="26"/>
              </w:rPr>
              <w:t>2012-2327799</w:t>
            </w:r>
          </w:p>
          <w:p w:rsidR="00F74B4F" w:rsidRPr="00394ADE" w:rsidRDefault="00F74B4F" w:rsidP="0031334E">
            <w:pPr>
              <w:jc w:val="center"/>
              <w:rPr>
                <w:sz w:val="26"/>
                <w:szCs w:val="26"/>
              </w:rPr>
            </w:pPr>
          </w:p>
        </w:tc>
      </w:tr>
      <w:tr w:rsidR="00F74B4F" w:rsidRPr="00394ADE" w:rsidTr="00524D72">
        <w:tc>
          <w:tcPr>
            <w:tcW w:w="6442" w:type="dxa"/>
          </w:tcPr>
          <w:p w:rsidR="00F74B4F" w:rsidRPr="00394ADE" w:rsidRDefault="00F74B4F" w:rsidP="0031334E">
            <w:pPr>
              <w:rPr>
                <w:sz w:val="26"/>
                <w:szCs w:val="26"/>
              </w:rPr>
            </w:pPr>
            <w:r w:rsidRPr="00394ADE">
              <w:rPr>
                <w:sz w:val="26"/>
                <w:szCs w:val="26"/>
              </w:rPr>
              <w:t xml:space="preserve">Petition of </w:t>
            </w:r>
            <w:r>
              <w:rPr>
                <w:sz w:val="26"/>
                <w:szCs w:val="26"/>
              </w:rPr>
              <w:t>Windstream D&amp;E, Inc</w:t>
            </w:r>
            <w:r w:rsidRPr="00394ADE">
              <w:rPr>
                <w:sz w:val="26"/>
                <w:szCs w:val="26"/>
              </w:rPr>
              <w:t>. for a Waiver of the Commission’s Regulations at 52 Pa. Code §§ 53.58 and 53.59 to Permit Detariffing of Services to Enterprise and Large Business Customers</w:t>
            </w:r>
          </w:p>
          <w:p w:rsidR="00F74B4F" w:rsidRPr="00394ADE" w:rsidRDefault="00F74B4F" w:rsidP="0031334E">
            <w:pPr>
              <w:rPr>
                <w:sz w:val="26"/>
                <w:szCs w:val="26"/>
              </w:rPr>
            </w:pPr>
          </w:p>
        </w:tc>
        <w:tc>
          <w:tcPr>
            <w:tcW w:w="3854" w:type="dxa"/>
          </w:tcPr>
          <w:p w:rsidR="00F74B4F" w:rsidRPr="00394ADE" w:rsidRDefault="00F74B4F" w:rsidP="00F74B4F">
            <w:pPr>
              <w:jc w:val="center"/>
              <w:rPr>
                <w:sz w:val="26"/>
                <w:szCs w:val="26"/>
              </w:rPr>
            </w:pPr>
            <w:r w:rsidRPr="00394ADE">
              <w:rPr>
                <w:sz w:val="26"/>
                <w:szCs w:val="26"/>
              </w:rPr>
              <w:t>P-</w:t>
            </w:r>
            <w:r>
              <w:rPr>
                <w:sz w:val="26"/>
                <w:szCs w:val="26"/>
              </w:rPr>
              <w:t>2012-2327798</w:t>
            </w:r>
          </w:p>
        </w:tc>
      </w:tr>
      <w:tr w:rsidR="00F74B4F" w:rsidRPr="00394ADE" w:rsidTr="00524D72">
        <w:trPr>
          <w:trHeight w:val="1305"/>
        </w:trPr>
        <w:tc>
          <w:tcPr>
            <w:tcW w:w="6442" w:type="dxa"/>
          </w:tcPr>
          <w:p w:rsidR="00F74B4F" w:rsidRDefault="00F74B4F" w:rsidP="00F74B4F">
            <w:pPr>
              <w:rPr>
                <w:sz w:val="26"/>
                <w:szCs w:val="26"/>
              </w:rPr>
            </w:pPr>
            <w:r w:rsidRPr="00394ADE">
              <w:rPr>
                <w:sz w:val="26"/>
                <w:szCs w:val="26"/>
              </w:rPr>
              <w:t xml:space="preserve">Petition of </w:t>
            </w:r>
            <w:r>
              <w:rPr>
                <w:sz w:val="26"/>
                <w:szCs w:val="26"/>
              </w:rPr>
              <w:t>PAETEC Communications, Inc.</w:t>
            </w:r>
            <w:r w:rsidRPr="00394ADE">
              <w:rPr>
                <w:sz w:val="26"/>
                <w:szCs w:val="26"/>
              </w:rPr>
              <w:t xml:space="preserve"> for a Waiver of the Commission’s Regulations at 52 Pa. Code §§ 53.58 and 53.59 to Permit Detariffing of Services to Enterprise and Large Business Customers</w:t>
            </w:r>
          </w:p>
          <w:p w:rsidR="00F74B4F" w:rsidRDefault="00F74B4F" w:rsidP="00F74B4F">
            <w:pPr>
              <w:rPr>
                <w:sz w:val="26"/>
                <w:szCs w:val="26"/>
              </w:rPr>
            </w:pPr>
          </w:p>
          <w:p w:rsidR="00F74B4F" w:rsidRDefault="00F74B4F" w:rsidP="00F74B4F">
            <w:pPr>
              <w:rPr>
                <w:sz w:val="26"/>
                <w:szCs w:val="26"/>
              </w:rPr>
            </w:pPr>
            <w:r w:rsidRPr="00394ADE">
              <w:rPr>
                <w:sz w:val="26"/>
                <w:szCs w:val="26"/>
              </w:rPr>
              <w:t xml:space="preserve">Petition of </w:t>
            </w:r>
            <w:r>
              <w:rPr>
                <w:sz w:val="26"/>
                <w:szCs w:val="26"/>
              </w:rPr>
              <w:t>US LEC of Pennsylvania, Inc. d/b/a/ PAETEC Business Services</w:t>
            </w:r>
            <w:r w:rsidRPr="00394ADE">
              <w:rPr>
                <w:sz w:val="26"/>
                <w:szCs w:val="26"/>
              </w:rPr>
              <w:t xml:space="preserve"> for a Waiver of the Commission’s Regulations at 52 Pa. Code §§ 53.58 and 53.59 to Permit Detariffing of Services to Enterprise and Large Business Customers</w:t>
            </w:r>
          </w:p>
          <w:p w:rsidR="00F74B4F" w:rsidRDefault="00F74B4F" w:rsidP="00F74B4F">
            <w:pPr>
              <w:rPr>
                <w:sz w:val="26"/>
                <w:szCs w:val="26"/>
              </w:rPr>
            </w:pPr>
          </w:p>
          <w:p w:rsidR="00F74B4F" w:rsidRDefault="00F74B4F" w:rsidP="00F74B4F">
            <w:pPr>
              <w:rPr>
                <w:sz w:val="26"/>
                <w:szCs w:val="26"/>
              </w:rPr>
            </w:pPr>
            <w:r w:rsidRPr="00394ADE">
              <w:rPr>
                <w:sz w:val="26"/>
                <w:szCs w:val="26"/>
              </w:rPr>
              <w:t>Petition of</w:t>
            </w:r>
            <w:r>
              <w:rPr>
                <w:sz w:val="26"/>
                <w:szCs w:val="26"/>
              </w:rPr>
              <w:t xml:space="preserve"> Talk America, Inc. d/b/a Cavalier Telephone</w:t>
            </w:r>
            <w:r w:rsidRPr="00394ADE">
              <w:rPr>
                <w:sz w:val="26"/>
                <w:szCs w:val="26"/>
              </w:rPr>
              <w:t xml:space="preserve"> for a Waiver of the Commission’s Regulations at 52 Pa. Code §§ 53.58 and 53.59 to Permit Detariffing of Services to Enterprise and Large Business Customers</w:t>
            </w:r>
          </w:p>
          <w:p w:rsidR="00F74B4F" w:rsidRDefault="00F74B4F" w:rsidP="00F74B4F">
            <w:pPr>
              <w:rPr>
                <w:sz w:val="26"/>
                <w:szCs w:val="26"/>
              </w:rPr>
            </w:pPr>
          </w:p>
          <w:p w:rsidR="00524D72" w:rsidRDefault="00524D72" w:rsidP="00F74B4F">
            <w:pPr>
              <w:rPr>
                <w:sz w:val="26"/>
                <w:szCs w:val="26"/>
              </w:rPr>
            </w:pPr>
          </w:p>
          <w:p w:rsidR="00524D72" w:rsidRDefault="00524D72" w:rsidP="00F74B4F">
            <w:pPr>
              <w:rPr>
                <w:sz w:val="26"/>
                <w:szCs w:val="26"/>
              </w:rPr>
            </w:pPr>
          </w:p>
          <w:p w:rsidR="00524D72" w:rsidRDefault="00524D72" w:rsidP="00F74B4F">
            <w:pPr>
              <w:rPr>
                <w:sz w:val="26"/>
                <w:szCs w:val="26"/>
              </w:rPr>
            </w:pPr>
          </w:p>
          <w:p w:rsidR="00524D72" w:rsidRDefault="00524D72" w:rsidP="00F74B4F">
            <w:pPr>
              <w:rPr>
                <w:sz w:val="26"/>
                <w:szCs w:val="26"/>
              </w:rPr>
            </w:pPr>
          </w:p>
          <w:p w:rsidR="00F74B4F" w:rsidRPr="00394ADE" w:rsidRDefault="00F74B4F" w:rsidP="00F74B4F">
            <w:pPr>
              <w:rPr>
                <w:sz w:val="26"/>
                <w:szCs w:val="26"/>
              </w:rPr>
            </w:pPr>
            <w:r w:rsidRPr="00394ADE">
              <w:rPr>
                <w:sz w:val="26"/>
                <w:szCs w:val="26"/>
              </w:rPr>
              <w:lastRenderedPageBreak/>
              <w:t xml:space="preserve">Petition </w:t>
            </w:r>
            <w:r>
              <w:rPr>
                <w:sz w:val="26"/>
                <w:szCs w:val="26"/>
              </w:rPr>
              <w:t xml:space="preserve">of Cavalier Business Communications and Intellifiber Networks, Inc. </w:t>
            </w:r>
            <w:r w:rsidRPr="00394ADE">
              <w:rPr>
                <w:sz w:val="26"/>
                <w:szCs w:val="26"/>
              </w:rPr>
              <w:t>for a Waiver of the Commission’s Regulations at 52 Pa. Code §§ 53.58 and 53.59 to Permit Detariffing of Services to Enterprise and Large Business Customers</w:t>
            </w:r>
          </w:p>
        </w:tc>
        <w:tc>
          <w:tcPr>
            <w:tcW w:w="3854" w:type="dxa"/>
          </w:tcPr>
          <w:p w:rsidR="00F74B4F" w:rsidRDefault="00F74B4F" w:rsidP="00F74B4F">
            <w:pPr>
              <w:jc w:val="center"/>
              <w:rPr>
                <w:sz w:val="26"/>
                <w:szCs w:val="26"/>
              </w:rPr>
            </w:pPr>
            <w:r w:rsidRPr="00394ADE">
              <w:rPr>
                <w:sz w:val="26"/>
                <w:szCs w:val="26"/>
              </w:rPr>
              <w:lastRenderedPageBreak/>
              <w:t>P-</w:t>
            </w:r>
            <w:r>
              <w:rPr>
                <w:sz w:val="26"/>
                <w:szCs w:val="26"/>
              </w:rPr>
              <w:t>2012-2327787</w:t>
            </w: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r>
              <w:rPr>
                <w:sz w:val="26"/>
                <w:szCs w:val="26"/>
              </w:rPr>
              <w:t>P-2012-2327792</w:t>
            </w: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r>
              <w:rPr>
                <w:sz w:val="26"/>
                <w:szCs w:val="26"/>
              </w:rPr>
              <w:t>P-2012-2327797</w:t>
            </w: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F74B4F" w:rsidRDefault="00F74B4F" w:rsidP="00F74B4F">
            <w:pPr>
              <w:jc w:val="center"/>
              <w:rPr>
                <w:sz w:val="26"/>
                <w:szCs w:val="26"/>
              </w:rPr>
            </w:pPr>
          </w:p>
          <w:p w:rsidR="00524D72" w:rsidRDefault="00524D72" w:rsidP="00F74B4F">
            <w:pPr>
              <w:jc w:val="center"/>
              <w:rPr>
                <w:sz w:val="26"/>
                <w:szCs w:val="26"/>
              </w:rPr>
            </w:pPr>
          </w:p>
          <w:p w:rsidR="00524D72" w:rsidRDefault="00524D72" w:rsidP="00F74B4F">
            <w:pPr>
              <w:jc w:val="center"/>
              <w:rPr>
                <w:sz w:val="26"/>
                <w:szCs w:val="26"/>
              </w:rPr>
            </w:pPr>
          </w:p>
          <w:p w:rsidR="00524D72" w:rsidRDefault="00524D72" w:rsidP="00F74B4F">
            <w:pPr>
              <w:jc w:val="center"/>
              <w:rPr>
                <w:sz w:val="26"/>
                <w:szCs w:val="26"/>
              </w:rPr>
            </w:pPr>
          </w:p>
          <w:p w:rsidR="00524D72" w:rsidRDefault="00524D72" w:rsidP="00F74B4F">
            <w:pPr>
              <w:jc w:val="center"/>
              <w:rPr>
                <w:sz w:val="26"/>
                <w:szCs w:val="26"/>
              </w:rPr>
            </w:pPr>
          </w:p>
          <w:p w:rsidR="00F74B4F" w:rsidRDefault="00F74B4F" w:rsidP="00524D72">
            <w:pPr>
              <w:jc w:val="center"/>
              <w:rPr>
                <w:sz w:val="26"/>
                <w:szCs w:val="26"/>
              </w:rPr>
            </w:pPr>
            <w:r>
              <w:rPr>
                <w:sz w:val="26"/>
                <w:szCs w:val="26"/>
              </w:rPr>
              <w:lastRenderedPageBreak/>
              <w:t>P-2012-2327812</w:t>
            </w:r>
          </w:p>
          <w:p w:rsidR="00F74B4F" w:rsidRDefault="00F74B4F" w:rsidP="00F74B4F">
            <w:pPr>
              <w:jc w:val="center"/>
              <w:rPr>
                <w:sz w:val="26"/>
                <w:szCs w:val="26"/>
              </w:rPr>
            </w:pPr>
          </w:p>
          <w:p w:rsidR="00F74B4F" w:rsidRPr="00394ADE" w:rsidRDefault="00F74B4F" w:rsidP="00F74B4F">
            <w:pPr>
              <w:rPr>
                <w:sz w:val="26"/>
                <w:szCs w:val="26"/>
              </w:rPr>
            </w:pPr>
          </w:p>
        </w:tc>
      </w:tr>
    </w:tbl>
    <w:p w:rsidR="00F74B4F" w:rsidRDefault="00F74B4F" w:rsidP="00F74B4F">
      <w:pPr>
        <w:pStyle w:val="p3"/>
        <w:spacing w:line="360" w:lineRule="auto"/>
        <w:jc w:val="center"/>
        <w:rPr>
          <w:b/>
          <w:sz w:val="26"/>
          <w:szCs w:val="26"/>
        </w:rPr>
      </w:pPr>
    </w:p>
    <w:p w:rsidR="00524D72" w:rsidRDefault="00524D72" w:rsidP="00524D72">
      <w:pPr>
        <w:pStyle w:val="p3"/>
        <w:spacing w:line="360" w:lineRule="auto"/>
        <w:jc w:val="center"/>
        <w:rPr>
          <w:b/>
          <w:sz w:val="26"/>
          <w:szCs w:val="26"/>
        </w:rPr>
      </w:pPr>
      <w:r>
        <w:rPr>
          <w:b/>
          <w:sz w:val="26"/>
          <w:szCs w:val="26"/>
        </w:rPr>
        <w:t>ORDER</w:t>
      </w:r>
    </w:p>
    <w:p w:rsidR="00524D72" w:rsidRDefault="00524D72" w:rsidP="00F74B4F">
      <w:pPr>
        <w:pStyle w:val="p3"/>
        <w:spacing w:line="360" w:lineRule="auto"/>
        <w:rPr>
          <w:b/>
          <w:sz w:val="26"/>
          <w:szCs w:val="26"/>
        </w:rPr>
      </w:pPr>
    </w:p>
    <w:p w:rsidR="00F74B4F" w:rsidRPr="00C0451E" w:rsidRDefault="00F74B4F" w:rsidP="00F74B4F">
      <w:pPr>
        <w:pStyle w:val="p3"/>
        <w:spacing w:line="360" w:lineRule="auto"/>
        <w:rPr>
          <w:b/>
          <w:sz w:val="26"/>
          <w:szCs w:val="26"/>
        </w:rPr>
      </w:pPr>
      <w:r w:rsidRPr="00C0451E">
        <w:rPr>
          <w:b/>
          <w:sz w:val="26"/>
          <w:szCs w:val="26"/>
        </w:rPr>
        <w:t>BY THE COMMISSION:</w:t>
      </w:r>
    </w:p>
    <w:p w:rsidR="00F74B4F" w:rsidRDefault="00F74B4F" w:rsidP="00F74B4F">
      <w:pPr>
        <w:pStyle w:val="p3"/>
        <w:tabs>
          <w:tab w:val="clear" w:pos="204"/>
        </w:tabs>
        <w:spacing w:line="360" w:lineRule="auto"/>
        <w:rPr>
          <w:sz w:val="26"/>
          <w:szCs w:val="26"/>
        </w:rPr>
      </w:pPr>
      <w:r w:rsidRPr="00C0451E">
        <w:rPr>
          <w:b/>
          <w:sz w:val="26"/>
          <w:szCs w:val="26"/>
        </w:rPr>
        <w:tab/>
      </w:r>
      <w:r w:rsidRPr="00C0451E">
        <w:rPr>
          <w:sz w:val="26"/>
          <w:szCs w:val="26"/>
        </w:rPr>
        <w:tab/>
      </w:r>
    </w:p>
    <w:p w:rsidR="009C44C7" w:rsidRDefault="00F74B4F" w:rsidP="003B2D05">
      <w:pPr>
        <w:pStyle w:val="p3"/>
        <w:tabs>
          <w:tab w:val="clear" w:pos="204"/>
        </w:tabs>
        <w:spacing w:line="360" w:lineRule="auto"/>
        <w:rPr>
          <w:sz w:val="26"/>
          <w:szCs w:val="26"/>
        </w:rPr>
      </w:pPr>
      <w:r>
        <w:rPr>
          <w:sz w:val="26"/>
          <w:szCs w:val="26"/>
        </w:rPr>
        <w:tab/>
        <w:t xml:space="preserve">Before </w:t>
      </w:r>
      <w:r w:rsidR="0000776A">
        <w:rPr>
          <w:sz w:val="26"/>
          <w:szCs w:val="26"/>
        </w:rPr>
        <w:t>this Commission for consideration</w:t>
      </w:r>
      <w:r w:rsidR="003F296A">
        <w:rPr>
          <w:sz w:val="26"/>
          <w:szCs w:val="26"/>
        </w:rPr>
        <w:t xml:space="preserve"> </w:t>
      </w:r>
      <w:r>
        <w:rPr>
          <w:sz w:val="26"/>
          <w:szCs w:val="26"/>
        </w:rPr>
        <w:t>are the</w:t>
      </w:r>
      <w:r w:rsidR="003F296A">
        <w:rPr>
          <w:sz w:val="26"/>
          <w:szCs w:val="26"/>
        </w:rPr>
        <w:t xml:space="preserve"> October 2, 2012 </w:t>
      </w:r>
      <w:r w:rsidR="009314F7">
        <w:rPr>
          <w:sz w:val="26"/>
          <w:szCs w:val="26"/>
        </w:rPr>
        <w:t>petitions of Windstream Communications, Inc., Windstream D&amp;E Systems, Inc.,</w:t>
      </w:r>
      <w:r w:rsidR="007311D9">
        <w:rPr>
          <w:sz w:val="26"/>
          <w:szCs w:val="26"/>
        </w:rPr>
        <w:t xml:space="preserve"> </w:t>
      </w:r>
      <w:r w:rsidR="009314F7">
        <w:rPr>
          <w:sz w:val="26"/>
          <w:szCs w:val="26"/>
        </w:rPr>
        <w:t xml:space="preserve">PAETEC Communications, Inc., US LEC of Pennsylvania, Inc. d/b/a PAETEC Business Services, Talk of America, Inc. d/b/a/ Cavalier Telephone and Cavalier Business Communications and Intellifiber Networks, Inc. (hereinafter collectively referred to as </w:t>
      </w:r>
      <w:r w:rsidR="007311D9">
        <w:rPr>
          <w:sz w:val="26"/>
          <w:szCs w:val="26"/>
        </w:rPr>
        <w:t>“</w:t>
      </w:r>
      <w:r w:rsidR="009314F7">
        <w:rPr>
          <w:sz w:val="26"/>
          <w:szCs w:val="26"/>
        </w:rPr>
        <w:t>Windstream CLECs</w:t>
      </w:r>
      <w:r w:rsidR="007311D9">
        <w:rPr>
          <w:sz w:val="26"/>
          <w:szCs w:val="26"/>
        </w:rPr>
        <w:t>”</w:t>
      </w:r>
      <w:r w:rsidR="009314F7">
        <w:rPr>
          <w:sz w:val="26"/>
          <w:szCs w:val="26"/>
        </w:rPr>
        <w:t xml:space="preserve">), </w:t>
      </w:r>
      <w:r w:rsidR="003F296A">
        <w:rPr>
          <w:sz w:val="26"/>
          <w:szCs w:val="26"/>
        </w:rPr>
        <w:t>relative to the</w:t>
      </w:r>
      <w:r w:rsidR="009314F7">
        <w:rPr>
          <w:sz w:val="26"/>
          <w:szCs w:val="26"/>
        </w:rPr>
        <w:t>ir</w:t>
      </w:r>
      <w:r w:rsidR="003F296A">
        <w:rPr>
          <w:sz w:val="26"/>
          <w:szCs w:val="26"/>
        </w:rPr>
        <w:t xml:space="preserve"> operations as competitive local exchange carriers (CLECs) in the service areas of three incumbent local exchange carriers (ILECs).</w:t>
      </w:r>
      <w:r w:rsidR="009D09ED">
        <w:rPr>
          <w:rStyle w:val="FootnoteReference"/>
          <w:sz w:val="26"/>
          <w:szCs w:val="26"/>
        </w:rPr>
        <w:footnoteReference w:id="1"/>
      </w:r>
      <w:r w:rsidR="009D09ED">
        <w:rPr>
          <w:sz w:val="26"/>
          <w:szCs w:val="26"/>
        </w:rPr>
        <w:t xml:space="preserve">  </w:t>
      </w:r>
      <w:r w:rsidR="00B96025">
        <w:rPr>
          <w:sz w:val="26"/>
          <w:szCs w:val="26"/>
        </w:rPr>
        <w:t xml:space="preserve">The petitions were filed separately and are being consolidated because all the petitioners are </w:t>
      </w:r>
      <w:r w:rsidR="009C44C7">
        <w:rPr>
          <w:sz w:val="26"/>
          <w:szCs w:val="26"/>
        </w:rPr>
        <w:t xml:space="preserve">related companies and are </w:t>
      </w:r>
      <w:r w:rsidR="00B96025">
        <w:rPr>
          <w:sz w:val="26"/>
          <w:szCs w:val="26"/>
        </w:rPr>
        <w:t xml:space="preserve">requesting the same relief.  </w:t>
      </w:r>
      <w:r w:rsidR="006A6F6B">
        <w:rPr>
          <w:sz w:val="26"/>
          <w:szCs w:val="26"/>
        </w:rPr>
        <w:t xml:space="preserve">Relative to their service offerings to enterprise and large business customers, the Windstream CLECs seek:  </w:t>
      </w:r>
      <w:r w:rsidR="00B96025">
        <w:rPr>
          <w:sz w:val="26"/>
          <w:szCs w:val="26"/>
        </w:rPr>
        <w:t xml:space="preserve">(1) </w:t>
      </w:r>
      <w:r w:rsidR="006A6F6B">
        <w:rPr>
          <w:sz w:val="26"/>
          <w:szCs w:val="26"/>
        </w:rPr>
        <w:t xml:space="preserve">the same regulatory flexibility available to ILECs to detariff </w:t>
      </w:r>
      <w:r w:rsidR="00923DE8">
        <w:rPr>
          <w:sz w:val="26"/>
          <w:szCs w:val="26"/>
        </w:rPr>
        <w:t>and classify as competitive</w:t>
      </w:r>
      <w:r w:rsidR="009D09ED">
        <w:rPr>
          <w:rStyle w:val="FootnoteReference"/>
          <w:sz w:val="26"/>
          <w:szCs w:val="26"/>
        </w:rPr>
        <w:footnoteReference w:id="2"/>
      </w:r>
      <w:r w:rsidR="002E5351">
        <w:rPr>
          <w:sz w:val="26"/>
          <w:szCs w:val="26"/>
        </w:rPr>
        <w:t xml:space="preserve"> non</w:t>
      </w:r>
      <w:r w:rsidR="009D09ED">
        <w:rPr>
          <w:sz w:val="26"/>
          <w:szCs w:val="26"/>
        </w:rPr>
        <w:t>protected services</w:t>
      </w:r>
      <w:r w:rsidR="009314F7">
        <w:rPr>
          <w:sz w:val="26"/>
          <w:szCs w:val="26"/>
        </w:rPr>
        <w:t xml:space="preserve">; </w:t>
      </w:r>
      <w:r w:rsidR="00B96025">
        <w:rPr>
          <w:sz w:val="26"/>
          <w:szCs w:val="26"/>
        </w:rPr>
        <w:t xml:space="preserve">(2) </w:t>
      </w:r>
      <w:r w:rsidR="00923DE8">
        <w:rPr>
          <w:sz w:val="26"/>
          <w:szCs w:val="26"/>
        </w:rPr>
        <w:t xml:space="preserve">the same regulatory flexibility granted to Verizon Access </w:t>
      </w:r>
      <w:r w:rsidR="009314F7">
        <w:rPr>
          <w:sz w:val="26"/>
          <w:szCs w:val="26"/>
        </w:rPr>
        <w:t xml:space="preserve">and </w:t>
      </w:r>
    </w:p>
    <w:p w:rsidR="009C44C7" w:rsidRDefault="009C44C7" w:rsidP="009C44C7">
      <w:r>
        <w:br w:type="page"/>
      </w:r>
    </w:p>
    <w:p w:rsidR="003F296A" w:rsidRDefault="009314F7" w:rsidP="003B2D05">
      <w:pPr>
        <w:pStyle w:val="p3"/>
        <w:tabs>
          <w:tab w:val="clear" w:pos="204"/>
        </w:tabs>
        <w:spacing w:line="360" w:lineRule="auto"/>
        <w:rPr>
          <w:sz w:val="26"/>
          <w:szCs w:val="26"/>
        </w:rPr>
      </w:pPr>
      <w:r>
        <w:rPr>
          <w:sz w:val="26"/>
          <w:szCs w:val="26"/>
        </w:rPr>
        <w:lastRenderedPageBreak/>
        <w:t xml:space="preserve">AT&amp;T </w:t>
      </w:r>
      <w:r w:rsidR="00923DE8">
        <w:rPr>
          <w:sz w:val="26"/>
          <w:szCs w:val="26"/>
        </w:rPr>
        <w:t>as a CLEC</w:t>
      </w:r>
      <w:r w:rsidR="009D09ED">
        <w:rPr>
          <w:rStyle w:val="FootnoteReference"/>
          <w:sz w:val="26"/>
          <w:szCs w:val="26"/>
        </w:rPr>
        <w:footnoteReference w:id="3"/>
      </w:r>
      <w:r w:rsidR="00923DE8">
        <w:rPr>
          <w:sz w:val="26"/>
          <w:szCs w:val="26"/>
        </w:rPr>
        <w:t xml:space="preserve"> to detariff </w:t>
      </w:r>
      <w:r w:rsidR="00B149C0">
        <w:rPr>
          <w:sz w:val="26"/>
          <w:szCs w:val="26"/>
        </w:rPr>
        <w:t>and to classify as competitive non</w:t>
      </w:r>
      <w:r w:rsidR="00923DE8">
        <w:rPr>
          <w:sz w:val="26"/>
          <w:szCs w:val="26"/>
        </w:rPr>
        <w:t xml:space="preserve">protected </w:t>
      </w:r>
      <w:r w:rsidR="00B149C0">
        <w:rPr>
          <w:sz w:val="26"/>
          <w:szCs w:val="26"/>
        </w:rPr>
        <w:t xml:space="preserve">services; and </w:t>
      </w:r>
      <w:r w:rsidR="00B96025">
        <w:rPr>
          <w:sz w:val="26"/>
          <w:szCs w:val="26"/>
        </w:rPr>
        <w:t xml:space="preserve">(3) </w:t>
      </w:r>
      <w:r w:rsidR="00B149C0">
        <w:rPr>
          <w:sz w:val="26"/>
          <w:szCs w:val="26"/>
        </w:rPr>
        <w:t>the same regulatory flexibility granted to Verizon Access and AT&amp;T to detariff</w:t>
      </w:r>
      <w:r w:rsidR="00A20F1E">
        <w:rPr>
          <w:sz w:val="26"/>
          <w:szCs w:val="26"/>
        </w:rPr>
        <w:t xml:space="preserve"> certain</w:t>
      </w:r>
      <w:r w:rsidR="00B149C0">
        <w:rPr>
          <w:sz w:val="26"/>
          <w:szCs w:val="26"/>
        </w:rPr>
        <w:t xml:space="preserve"> protected basic dial tone service.  </w:t>
      </w:r>
      <w:r w:rsidR="00923DE8">
        <w:rPr>
          <w:sz w:val="26"/>
          <w:szCs w:val="26"/>
        </w:rPr>
        <w:t>The Windstream CLECs petitions are unopposed</w:t>
      </w:r>
      <w:r w:rsidR="00E74EEC">
        <w:rPr>
          <w:sz w:val="26"/>
          <w:szCs w:val="26"/>
        </w:rPr>
        <w:t>.  We shall grant the petitions consistent with our previous decisions in</w:t>
      </w:r>
      <w:r w:rsidR="00923DE8">
        <w:rPr>
          <w:sz w:val="26"/>
          <w:szCs w:val="26"/>
        </w:rPr>
        <w:t xml:space="preserve"> </w:t>
      </w:r>
      <w:r w:rsidR="00923DE8" w:rsidRPr="00923DE8">
        <w:rPr>
          <w:i/>
          <w:sz w:val="26"/>
          <w:szCs w:val="26"/>
        </w:rPr>
        <w:t>Verizon Access</w:t>
      </w:r>
      <w:r w:rsidR="00923DE8">
        <w:rPr>
          <w:sz w:val="26"/>
          <w:szCs w:val="26"/>
        </w:rPr>
        <w:t xml:space="preserve"> and </w:t>
      </w:r>
      <w:r w:rsidR="00923DE8" w:rsidRPr="00923DE8">
        <w:rPr>
          <w:i/>
          <w:sz w:val="26"/>
          <w:szCs w:val="26"/>
        </w:rPr>
        <w:t>A</w:t>
      </w:r>
      <w:r w:rsidR="002E5351">
        <w:rPr>
          <w:i/>
          <w:sz w:val="26"/>
          <w:szCs w:val="26"/>
        </w:rPr>
        <w:t>T</w:t>
      </w:r>
      <w:r w:rsidR="00923DE8" w:rsidRPr="00923DE8">
        <w:rPr>
          <w:i/>
          <w:sz w:val="26"/>
          <w:szCs w:val="26"/>
        </w:rPr>
        <w:t>&amp;T</w:t>
      </w:r>
      <w:r w:rsidR="00923DE8">
        <w:rPr>
          <w:sz w:val="26"/>
          <w:szCs w:val="26"/>
        </w:rPr>
        <w:t xml:space="preserve">. </w:t>
      </w:r>
    </w:p>
    <w:p w:rsidR="00F26F72" w:rsidRDefault="00F26F72" w:rsidP="003B2D05">
      <w:pPr>
        <w:pStyle w:val="p3"/>
        <w:tabs>
          <w:tab w:val="clear" w:pos="204"/>
        </w:tabs>
        <w:spacing w:line="360" w:lineRule="auto"/>
        <w:rPr>
          <w:sz w:val="26"/>
          <w:szCs w:val="26"/>
        </w:rPr>
      </w:pPr>
    </w:p>
    <w:p w:rsidR="00F26F72" w:rsidRPr="00524D72" w:rsidRDefault="00F26F72" w:rsidP="00524D72">
      <w:pPr>
        <w:pStyle w:val="p3"/>
        <w:tabs>
          <w:tab w:val="clear" w:pos="204"/>
        </w:tabs>
        <w:spacing w:line="360" w:lineRule="auto"/>
        <w:jc w:val="center"/>
        <w:rPr>
          <w:b/>
          <w:sz w:val="26"/>
          <w:szCs w:val="26"/>
          <w:u w:val="single"/>
        </w:rPr>
      </w:pPr>
      <w:r w:rsidRPr="00524D72">
        <w:rPr>
          <w:b/>
          <w:sz w:val="26"/>
          <w:szCs w:val="26"/>
          <w:u w:val="single"/>
        </w:rPr>
        <w:t>Background</w:t>
      </w:r>
    </w:p>
    <w:p w:rsidR="00F26F72" w:rsidRDefault="00F26F72" w:rsidP="003B2D05">
      <w:pPr>
        <w:pStyle w:val="p3"/>
        <w:tabs>
          <w:tab w:val="clear" w:pos="204"/>
        </w:tabs>
        <w:spacing w:line="360" w:lineRule="auto"/>
        <w:rPr>
          <w:sz w:val="26"/>
          <w:szCs w:val="26"/>
        </w:rPr>
      </w:pPr>
      <w:r>
        <w:rPr>
          <w:sz w:val="26"/>
          <w:szCs w:val="26"/>
        </w:rPr>
        <w:tab/>
        <w:t xml:space="preserve">The Windstream CLECs served petitions on the Office of </w:t>
      </w:r>
      <w:r w:rsidR="009314F7">
        <w:rPr>
          <w:sz w:val="26"/>
          <w:szCs w:val="26"/>
        </w:rPr>
        <w:t xml:space="preserve">Small Business </w:t>
      </w:r>
      <w:r>
        <w:rPr>
          <w:sz w:val="26"/>
          <w:szCs w:val="26"/>
        </w:rPr>
        <w:t>Advocate, the Office of Trial Staff, and the Office of Co</w:t>
      </w:r>
      <w:r w:rsidR="002E5351">
        <w:rPr>
          <w:sz w:val="26"/>
          <w:szCs w:val="26"/>
        </w:rPr>
        <w:t>nsumer Advocate</w:t>
      </w:r>
      <w:r>
        <w:rPr>
          <w:sz w:val="26"/>
          <w:szCs w:val="26"/>
        </w:rPr>
        <w:t>.  The Windstream CLECs also served counsel for Verizon and for CenturyLink.  No one filed an answer to the petition or any other form of opposition.  The Windstream CLECs assert that the waiver will permit them to declar</w:t>
      </w:r>
      <w:r w:rsidR="00FD6378">
        <w:rPr>
          <w:sz w:val="26"/>
          <w:szCs w:val="26"/>
        </w:rPr>
        <w:t>e</w:t>
      </w:r>
      <w:r>
        <w:rPr>
          <w:sz w:val="26"/>
          <w:szCs w:val="26"/>
        </w:rPr>
        <w:t xml:space="preserve"> their own services competitive without first having to make a demonstration of </w:t>
      </w:r>
      <w:r w:rsidR="001C10FD">
        <w:rPr>
          <w:sz w:val="26"/>
          <w:szCs w:val="26"/>
        </w:rPr>
        <w:t>competitiveness</w:t>
      </w:r>
      <w:r>
        <w:rPr>
          <w:sz w:val="26"/>
          <w:szCs w:val="26"/>
        </w:rPr>
        <w:t xml:space="preserve"> and obtaining </w:t>
      </w:r>
      <w:r w:rsidR="009C44C7">
        <w:rPr>
          <w:sz w:val="26"/>
          <w:szCs w:val="26"/>
        </w:rPr>
        <w:t>r</w:t>
      </w:r>
      <w:r>
        <w:rPr>
          <w:sz w:val="26"/>
          <w:szCs w:val="26"/>
        </w:rPr>
        <w:t xml:space="preserve">elief from the Commission.  They further assert that their enterprise and large business customers seek the flexibility and nationwide consistency that being able to obtain detariffed services </w:t>
      </w:r>
      <w:r w:rsidR="00FD6378">
        <w:rPr>
          <w:sz w:val="26"/>
          <w:szCs w:val="26"/>
        </w:rPr>
        <w:t xml:space="preserve">and services </w:t>
      </w:r>
      <w:r>
        <w:rPr>
          <w:sz w:val="26"/>
          <w:szCs w:val="26"/>
        </w:rPr>
        <w:t>declared competitive would afford them.  The Windstream CLECs assert that the reason</w:t>
      </w:r>
      <w:r w:rsidR="002E5351">
        <w:rPr>
          <w:sz w:val="26"/>
          <w:szCs w:val="26"/>
        </w:rPr>
        <w:t>s</w:t>
      </w:r>
      <w:r>
        <w:rPr>
          <w:sz w:val="26"/>
          <w:szCs w:val="26"/>
        </w:rPr>
        <w:t xml:space="preserve"> for this filing is to ensure that they may offer services to these customers o</w:t>
      </w:r>
      <w:r w:rsidR="00B149C0">
        <w:rPr>
          <w:sz w:val="26"/>
          <w:szCs w:val="26"/>
        </w:rPr>
        <w:t>n the same footing as</w:t>
      </w:r>
      <w:r w:rsidR="002E5351">
        <w:rPr>
          <w:sz w:val="26"/>
          <w:szCs w:val="26"/>
        </w:rPr>
        <w:t xml:space="preserve"> already been granted to</w:t>
      </w:r>
      <w:r w:rsidR="00B149C0">
        <w:rPr>
          <w:sz w:val="26"/>
          <w:szCs w:val="26"/>
        </w:rPr>
        <w:t xml:space="preserve"> ILECs, </w:t>
      </w:r>
      <w:r>
        <w:rPr>
          <w:sz w:val="26"/>
          <w:szCs w:val="26"/>
        </w:rPr>
        <w:t>Verizon Access</w:t>
      </w:r>
      <w:r w:rsidR="002E5351">
        <w:rPr>
          <w:sz w:val="26"/>
          <w:szCs w:val="26"/>
        </w:rPr>
        <w:t>,</w:t>
      </w:r>
      <w:r>
        <w:rPr>
          <w:sz w:val="26"/>
          <w:szCs w:val="26"/>
        </w:rPr>
        <w:t xml:space="preserve"> </w:t>
      </w:r>
      <w:r w:rsidR="00FD6378">
        <w:rPr>
          <w:sz w:val="26"/>
          <w:szCs w:val="26"/>
        </w:rPr>
        <w:t xml:space="preserve">and AT&amp;T </w:t>
      </w:r>
      <w:r>
        <w:rPr>
          <w:sz w:val="26"/>
          <w:szCs w:val="26"/>
        </w:rPr>
        <w:t xml:space="preserve">and </w:t>
      </w:r>
      <w:r w:rsidR="002E5351">
        <w:rPr>
          <w:sz w:val="26"/>
          <w:szCs w:val="26"/>
        </w:rPr>
        <w:t xml:space="preserve">that they </w:t>
      </w:r>
      <w:r w:rsidR="001C10FD">
        <w:rPr>
          <w:sz w:val="26"/>
          <w:szCs w:val="26"/>
        </w:rPr>
        <w:t xml:space="preserve">can offer similar services </w:t>
      </w:r>
      <w:r>
        <w:rPr>
          <w:sz w:val="26"/>
          <w:szCs w:val="26"/>
        </w:rPr>
        <w:t>in a similar manner that the Winds</w:t>
      </w:r>
      <w:r w:rsidR="001C10FD">
        <w:rPr>
          <w:sz w:val="26"/>
          <w:szCs w:val="26"/>
        </w:rPr>
        <w:t>t</w:t>
      </w:r>
      <w:r>
        <w:rPr>
          <w:sz w:val="26"/>
          <w:szCs w:val="26"/>
        </w:rPr>
        <w:t>ream CLECs have been able to offer in other states.</w:t>
      </w:r>
    </w:p>
    <w:p w:rsidR="00F26F72" w:rsidRDefault="00F26F72" w:rsidP="003B2D05">
      <w:pPr>
        <w:pStyle w:val="p3"/>
        <w:tabs>
          <w:tab w:val="clear" w:pos="204"/>
        </w:tabs>
        <w:spacing w:line="360" w:lineRule="auto"/>
        <w:rPr>
          <w:sz w:val="26"/>
          <w:szCs w:val="26"/>
        </w:rPr>
      </w:pPr>
    </w:p>
    <w:p w:rsidR="009C44C7" w:rsidRDefault="009C44C7">
      <w:pPr>
        <w:overflowPunct/>
        <w:autoSpaceDE/>
        <w:autoSpaceDN/>
        <w:adjustRightInd/>
        <w:spacing w:after="200" w:line="276" w:lineRule="auto"/>
        <w:textAlignment w:val="auto"/>
        <w:rPr>
          <w:b/>
          <w:sz w:val="26"/>
          <w:szCs w:val="26"/>
          <w:u w:val="single"/>
        </w:rPr>
      </w:pPr>
      <w:r>
        <w:rPr>
          <w:b/>
          <w:sz w:val="26"/>
          <w:szCs w:val="26"/>
          <w:u w:val="single"/>
        </w:rPr>
        <w:br w:type="page"/>
      </w:r>
    </w:p>
    <w:p w:rsidR="005A7210" w:rsidRDefault="002E5351" w:rsidP="007A3E7F">
      <w:pPr>
        <w:pStyle w:val="p3"/>
        <w:tabs>
          <w:tab w:val="clear" w:pos="204"/>
        </w:tabs>
        <w:spacing w:line="360" w:lineRule="auto"/>
        <w:jc w:val="center"/>
        <w:rPr>
          <w:b/>
          <w:sz w:val="26"/>
          <w:szCs w:val="26"/>
          <w:u w:val="single"/>
        </w:rPr>
      </w:pPr>
      <w:r>
        <w:rPr>
          <w:b/>
          <w:sz w:val="26"/>
          <w:szCs w:val="26"/>
          <w:u w:val="single"/>
        </w:rPr>
        <w:lastRenderedPageBreak/>
        <w:t>Discussion</w:t>
      </w:r>
    </w:p>
    <w:p w:rsidR="005A7210" w:rsidRDefault="005A7210" w:rsidP="005A7210">
      <w:pPr>
        <w:pStyle w:val="p3"/>
        <w:tabs>
          <w:tab w:val="clear" w:pos="204"/>
        </w:tabs>
        <w:spacing w:line="360" w:lineRule="auto"/>
        <w:ind w:firstLine="720"/>
        <w:rPr>
          <w:sz w:val="26"/>
          <w:szCs w:val="26"/>
        </w:rPr>
      </w:pPr>
      <w:r>
        <w:rPr>
          <w:sz w:val="26"/>
          <w:szCs w:val="26"/>
        </w:rPr>
        <w:t>The Windstream CLECs have petitioned</w:t>
      </w:r>
      <w:r w:rsidR="001C10FD">
        <w:rPr>
          <w:sz w:val="26"/>
          <w:szCs w:val="26"/>
        </w:rPr>
        <w:t xml:space="preserve"> for affirmative relief</w:t>
      </w:r>
      <w:r>
        <w:rPr>
          <w:sz w:val="26"/>
          <w:szCs w:val="26"/>
        </w:rPr>
        <w:t xml:space="preserve"> relative to three aspects of their operations.  Specifically, they request our approval to:</w:t>
      </w:r>
    </w:p>
    <w:p w:rsidR="005A7210" w:rsidRDefault="005A7210" w:rsidP="005A7210">
      <w:pPr>
        <w:pStyle w:val="p3"/>
        <w:numPr>
          <w:ilvl w:val="0"/>
          <w:numId w:val="1"/>
        </w:numPr>
        <w:tabs>
          <w:tab w:val="clear" w:pos="204"/>
        </w:tabs>
        <w:spacing w:line="360" w:lineRule="auto"/>
        <w:rPr>
          <w:sz w:val="26"/>
          <w:szCs w:val="26"/>
        </w:rPr>
      </w:pPr>
      <w:r>
        <w:rPr>
          <w:sz w:val="26"/>
          <w:szCs w:val="26"/>
        </w:rPr>
        <w:t>Classify as competitive nonprotected service offerings to enterprise and large business customers.  (Pet. ¶</w:t>
      </w:r>
      <w:r w:rsidR="00EE6295">
        <w:rPr>
          <w:sz w:val="26"/>
          <w:szCs w:val="26"/>
        </w:rPr>
        <w:t xml:space="preserve"> </w:t>
      </w:r>
      <w:r>
        <w:rPr>
          <w:sz w:val="26"/>
          <w:szCs w:val="26"/>
        </w:rPr>
        <w:t>6).</w:t>
      </w:r>
    </w:p>
    <w:p w:rsidR="005A7210" w:rsidRDefault="005A7210" w:rsidP="005A7210">
      <w:pPr>
        <w:pStyle w:val="p3"/>
        <w:numPr>
          <w:ilvl w:val="0"/>
          <w:numId w:val="1"/>
        </w:numPr>
        <w:tabs>
          <w:tab w:val="clear" w:pos="204"/>
        </w:tabs>
        <w:spacing w:line="360" w:lineRule="auto"/>
        <w:rPr>
          <w:sz w:val="26"/>
          <w:szCs w:val="26"/>
        </w:rPr>
      </w:pPr>
      <w:r>
        <w:rPr>
          <w:sz w:val="26"/>
          <w:szCs w:val="26"/>
        </w:rPr>
        <w:t>Detariff:</w:t>
      </w:r>
    </w:p>
    <w:p w:rsidR="005A7210" w:rsidRDefault="005A7210" w:rsidP="005A7210">
      <w:pPr>
        <w:pStyle w:val="p3"/>
        <w:numPr>
          <w:ilvl w:val="1"/>
          <w:numId w:val="1"/>
        </w:numPr>
        <w:tabs>
          <w:tab w:val="clear" w:pos="204"/>
        </w:tabs>
        <w:spacing w:line="360" w:lineRule="auto"/>
        <w:rPr>
          <w:sz w:val="26"/>
          <w:szCs w:val="26"/>
        </w:rPr>
      </w:pPr>
      <w:r>
        <w:rPr>
          <w:sz w:val="26"/>
          <w:szCs w:val="26"/>
        </w:rPr>
        <w:t>Nonprotected service offerings to enterprise and large business customers.  (Pet. ¶</w:t>
      </w:r>
      <w:r w:rsidR="00EE6295">
        <w:rPr>
          <w:sz w:val="26"/>
          <w:szCs w:val="26"/>
        </w:rPr>
        <w:t xml:space="preserve"> </w:t>
      </w:r>
      <w:r>
        <w:rPr>
          <w:sz w:val="26"/>
          <w:szCs w:val="26"/>
        </w:rPr>
        <w:t>6).</w:t>
      </w:r>
    </w:p>
    <w:p w:rsidR="005A7210" w:rsidRDefault="005A7210" w:rsidP="005A7210">
      <w:pPr>
        <w:pStyle w:val="p3"/>
        <w:numPr>
          <w:ilvl w:val="1"/>
          <w:numId w:val="1"/>
        </w:numPr>
        <w:tabs>
          <w:tab w:val="clear" w:pos="204"/>
        </w:tabs>
        <w:spacing w:line="360" w:lineRule="auto"/>
        <w:rPr>
          <w:sz w:val="26"/>
          <w:szCs w:val="26"/>
        </w:rPr>
      </w:pPr>
      <w:r>
        <w:rPr>
          <w:sz w:val="26"/>
          <w:szCs w:val="26"/>
        </w:rPr>
        <w:t>Protected basic dial tone service offerings to enterprise and large business customers.  (¶</w:t>
      </w:r>
      <w:r w:rsidR="00EE6295">
        <w:rPr>
          <w:sz w:val="26"/>
          <w:szCs w:val="26"/>
        </w:rPr>
        <w:t xml:space="preserve"> </w:t>
      </w:r>
      <w:r>
        <w:rPr>
          <w:sz w:val="26"/>
          <w:szCs w:val="26"/>
        </w:rPr>
        <w:t>7).</w:t>
      </w:r>
    </w:p>
    <w:p w:rsidR="005A7210" w:rsidRDefault="005A7210" w:rsidP="005A7210">
      <w:pPr>
        <w:pStyle w:val="p3"/>
        <w:numPr>
          <w:ilvl w:val="0"/>
          <w:numId w:val="1"/>
        </w:numPr>
        <w:tabs>
          <w:tab w:val="clear" w:pos="204"/>
        </w:tabs>
        <w:spacing w:line="360" w:lineRule="auto"/>
        <w:rPr>
          <w:sz w:val="26"/>
          <w:szCs w:val="26"/>
        </w:rPr>
      </w:pPr>
      <w:r>
        <w:rPr>
          <w:sz w:val="26"/>
          <w:szCs w:val="26"/>
        </w:rPr>
        <w:t>Use online postings in lieu of filed tariffs, informational tariffs, or price lists for:</w:t>
      </w:r>
    </w:p>
    <w:p w:rsidR="005A7210" w:rsidRDefault="005A7210" w:rsidP="005A7210">
      <w:pPr>
        <w:pStyle w:val="p3"/>
        <w:numPr>
          <w:ilvl w:val="1"/>
          <w:numId w:val="1"/>
        </w:numPr>
        <w:tabs>
          <w:tab w:val="clear" w:pos="204"/>
        </w:tabs>
        <w:spacing w:line="360" w:lineRule="auto"/>
        <w:rPr>
          <w:sz w:val="26"/>
          <w:szCs w:val="26"/>
        </w:rPr>
      </w:pPr>
      <w:r>
        <w:rPr>
          <w:sz w:val="26"/>
          <w:szCs w:val="26"/>
        </w:rPr>
        <w:t>Nonprotected service offerings to enterprise and large business customers.  (Pet. ¶</w:t>
      </w:r>
      <w:r w:rsidR="00EE6295">
        <w:rPr>
          <w:sz w:val="26"/>
          <w:szCs w:val="26"/>
        </w:rPr>
        <w:t xml:space="preserve"> </w:t>
      </w:r>
      <w:r>
        <w:rPr>
          <w:sz w:val="26"/>
          <w:szCs w:val="26"/>
        </w:rPr>
        <w:t>8).</w:t>
      </w:r>
    </w:p>
    <w:p w:rsidR="004E284C" w:rsidRDefault="005A7210" w:rsidP="004E284C">
      <w:pPr>
        <w:pStyle w:val="p3"/>
        <w:numPr>
          <w:ilvl w:val="1"/>
          <w:numId w:val="1"/>
        </w:numPr>
        <w:tabs>
          <w:tab w:val="clear" w:pos="204"/>
        </w:tabs>
        <w:spacing w:line="360" w:lineRule="auto"/>
        <w:rPr>
          <w:sz w:val="26"/>
          <w:szCs w:val="26"/>
        </w:rPr>
      </w:pPr>
      <w:r>
        <w:rPr>
          <w:sz w:val="26"/>
          <w:szCs w:val="26"/>
        </w:rPr>
        <w:t>Protected basic dial tone service offerings to enterprise and large business customers.  (Pet. ¶</w:t>
      </w:r>
      <w:r w:rsidR="00EE6295">
        <w:rPr>
          <w:sz w:val="26"/>
          <w:szCs w:val="26"/>
        </w:rPr>
        <w:t xml:space="preserve"> </w:t>
      </w:r>
      <w:r>
        <w:rPr>
          <w:sz w:val="26"/>
          <w:szCs w:val="26"/>
        </w:rPr>
        <w:t>8).</w:t>
      </w:r>
    </w:p>
    <w:p w:rsidR="004E284C" w:rsidRDefault="004E284C" w:rsidP="004E284C">
      <w:pPr>
        <w:pStyle w:val="p3"/>
        <w:tabs>
          <w:tab w:val="clear" w:pos="204"/>
        </w:tabs>
        <w:spacing w:line="360" w:lineRule="auto"/>
        <w:ind w:firstLine="720"/>
        <w:rPr>
          <w:sz w:val="26"/>
          <w:szCs w:val="26"/>
        </w:rPr>
      </w:pPr>
    </w:p>
    <w:p w:rsidR="005A7210" w:rsidRPr="004E284C" w:rsidRDefault="005A7210" w:rsidP="004E284C">
      <w:pPr>
        <w:pStyle w:val="p3"/>
        <w:tabs>
          <w:tab w:val="clear" w:pos="204"/>
        </w:tabs>
        <w:spacing w:line="360" w:lineRule="auto"/>
        <w:ind w:firstLine="720"/>
        <w:rPr>
          <w:sz w:val="26"/>
          <w:szCs w:val="26"/>
        </w:rPr>
      </w:pPr>
      <w:r w:rsidRPr="004E284C">
        <w:rPr>
          <w:sz w:val="26"/>
          <w:szCs w:val="26"/>
        </w:rPr>
        <w:t xml:space="preserve">As justification for these requests, the Windstream CLECs assert that they want the same degree of regulatory flexibility available to ILECs in whose territory the Windstream CLECs operate and the same degree of regulatory flexibility that </w:t>
      </w:r>
      <w:r w:rsidR="00FD6378" w:rsidRPr="004E284C">
        <w:rPr>
          <w:sz w:val="26"/>
          <w:szCs w:val="26"/>
        </w:rPr>
        <w:t xml:space="preserve">we recently granted to </w:t>
      </w:r>
      <w:r w:rsidRPr="004E284C">
        <w:rPr>
          <w:sz w:val="26"/>
          <w:szCs w:val="26"/>
        </w:rPr>
        <w:t>Verizon Access</w:t>
      </w:r>
      <w:r w:rsidR="00FD6378" w:rsidRPr="004E284C">
        <w:rPr>
          <w:sz w:val="26"/>
          <w:szCs w:val="26"/>
        </w:rPr>
        <w:t xml:space="preserve"> and AT&amp;T</w:t>
      </w:r>
      <w:r w:rsidRPr="004E284C">
        <w:rPr>
          <w:sz w:val="26"/>
          <w:szCs w:val="26"/>
        </w:rPr>
        <w:t xml:space="preserve">. </w:t>
      </w:r>
    </w:p>
    <w:p w:rsidR="00524D72" w:rsidRDefault="00524D72" w:rsidP="005A7210">
      <w:pPr>
        <w:pStyle w:val="p3"/>
        <w:tabs>
          <w:tab w:val="clear" w:pos="204"/>
        </w:tabs>
        <w:spacing w:line="360" w:lineRule="auto"/>
        <w:ind w:firstLine="720"/>
        <w:rPr>
          <w:sz w:val="26"/>
          <w:szCs w:val="26"/>
        </w:rPr>
      </w:pPr>
    </w:p>
    <w:p w:rsidR="00886823" w:rsidRDefault="005A7210" w:rsidP="00FD6378">
      <w:pPr>
        <w:pStyle w:val="p3"/>
        <w:tabs>
          <w:tab w:val="clear" w:pos="204"/>
        </w:tabs>
        <w:spacing w:line="360" w:lineRule="auto"/>
        <w:ind w:firstLine="720"/>
        <w:rPr>
          <w:sz w:val="26"/>
          <w:szCs w:val="26"/>
        </w:rPr>
      </w:pPr>
      <w:r>
        <w:rPr>
          <w:sz w:val="26"/>
          <w:szCs w:val="26"/>
        </w:rPr>
        <w:t xml:space="preserve">In support of these requests, the Windstream CLECs assert that their enterprise and large business customers are typically engaged in multistate operations and are sophisticated </w:t>
      </w:r>
      <w:r w:rsidR="00886823">
        <w:rPr>
          <w:sz w:val="26"/>
          <w:szCs w:val="26"/>
        </w:rPr>
        <w:t>consumers of telecommunications products and services.  Further, the Windstream CLECs assert that they will maintain appropriate online resources to detail the terms, conditions, and prices of the detariffed service offerings.  The Windstream CLECs do not seek to declare their protected basic dial tone service</w:t>
      </w:r>
      <w:r w:rsidR="00FD6378">
        <w:rPr>
          <w:sz w:val="26"/>
          <w:szCs w:val="26"/>
        </w:rPr>
        <w:t xml:space="preserve"> to be</w:t>
      </w:r>
      <w:r w:rsidR="002E5351">
        <w:rPr>
          <w:sz w:val="26"/>
          <w:szCs w:val="26"/>
        </w:rPr>
        <w:t xml:space="preserve"> a</w:t>
      </w:r>
      <w:r w:rsidR="00FD6378">
        <w:rPr>
          <w:sz w:val="26"/>
          <w:szCs w:val="26"/>
        </w:rPr>
        <w:t xml:space="preserve"> competitive service</w:t>
      </w:r>
      <w:r w:rsidR="00886823">
        <w:rPr>
          <w:sz w:val="26"/>
          <w:szCs w:val="26"/>
        </w:rPr>
        <w:t>.</w:t>
      </w:r>
    </w:p>
    <w:p w:rsidR="00FD6378" w:rsidRDefault="00886823" w:rsidP="005A7210">
      <w:pPr>
        <w:pStyle w:val="p3"/>
        <w:tabs>
          <w:tab w:val="clear" w:pos="204"/>
        </w:tabs>
        <w:spacing w:line="360" w:lineRule="auto"/>
        <w:ind w:firstLine="720"/>
        <w:rPr>
          <w:sz w:val="26"/>
          <w:szCs w:val="26"/>
        </w:rPr>
      </w:pPr>
      <w:r>
        <w:rPr>
          <w:sz w:val="26"/>
          <w:szCs w:val="26"/>
        </w:rPr>
        <w:lastRenderedPageBreak/>
        <w:t>In June 2009, Verizon Access, operating as a CLEC in Pennsylvania, proposed to detariff its CLEC services to large and ente</w:t>
      </w:r>
      <w:r w:rsidR="001F5DD0">
        <w:rPr>
          <w:sz w:val="26"/>
          <w:szCs w:val="26"/>
        </w:rPr>
        <w:t>rprise business customers.  The</w:t>
      </w:r>
      <w:r>
        <w:rPr>
          <w:sz w:val="26"/>
          <w:szCs w:val="26"/>
        </w:rPr>
        <w:t xml:space="preserve"> Commission granted Verizon Access’</w:t>
      </w:r>
      <w:r w:rsidR="002E5351">
        <w:rPr>
          <w:sz w:val="26"/>
          <w:szCs w:val="26"/>
        </w:rPr>
        <w:t>s</w:t>
      </w:r>
      <w:r>
        <w:rPr>
          <w:sz w:val="26"/>
          <w:szCs w:val="26"/>
        </w:rPr>
        <w:t xml:space="preserve"> request to declare services to enterprise and large business customers as competitive and to detariff those services without Verizon Access first having to file a petition to obtain a competitive designation in accordance with Chapter 30 and</w:t>
      </w:r>
      <w:r w:rsidR="005C5C69">
        <w:rPr>
          <w:sz w:val="26"/>
          <w:szCs w:val="26"/>
        </w:rPr>
        <w:t xml:space="preserve"> our regulations.</w:t>
      </w:r>
      <w:r w:rsidR="005C5C69">
        <w:rPr>
          <w:rStyle w:val="FootnoteReference"/>
          <w:sz w:val="26"/>
          <w:szCs w:val="26"/>
        </w:rPr>
        <w:footnoteReference w:id="4"/>
      </w:r>
      <w:r>
        <w:rPr>
          <w:sz w:val="26"/>
          <w:szCs w:val="26"/>
        </w:rPr>
        <w:t xml:space="preserve">  The Commission waived its regulations for Verizon Access for</w:t>
      </w:r>
      <w:r w:rsidR="002E5351">
        <w:rPr>
          <w:sz w:val="26"/>
          <w:szCs w:val="26"/>
        </w:rPr>
        <w:t xml:space="preserve"> two </w:t>
      </w:r>
      <w:r>
        <w:rPr>
          <w:sz w:val="26"/>
          <w:szCs w:val="26"/>
        </w:rPr>
        <w:t xml:space="preserve">years with an opportunity for extension as </w:t>
      </w:r>
      <w:r w:rsidR="007A3E7F">
        <w:rPr>
          <w:sz w:val="26"/>
          <w:szCs w:val="26"/>
        </w:rPr>
        <w:t>long as Verizon Access maintained</w:t>
      </w:r>
      <w:r>
        <w:rPr>
          <w:sz w:val="26"/>
          <w:szCs w:val="26"/>
        </w:rPr>
        <w:t xml:space="preserve"> terms, conditions, and rates for its nonprotected service offerings in an online guide.  In addition, the Commission granted Verizon Access’</w:t>
      </w:r>
      <w:r w:rsidR="002E5351">
        <w:rPr>
          <w:sz w:val="26"/>
          <w:szCs w:val="26"/>
        </w:rPr>
        <w:t>s request for waiver of s</w:t>
      </w:r>
      <w:r>
        <w:rPr>
          <w:sz w:val="26"/>
          <w:szCs w:val="26"/>
        </w:rPr>
        <w:t>ection 53.59 for basic dial tone service o</w:t>
      </w:r>
      <w:r w:rsidR="00FD6378">
        <w:rPr>
          <w:sz w:val="26"/>
          <w:szCs w:val="26"/>
        </w:rPr>
        <w:t>ffered to</w:t>
      </w:r>
      <w:r>
        <w:rPr>
          <w:sz w:val="26"/>
          <w:szCs w:val="26"/>
        </w:rPr>
        <w:t xml:space="preserve"> enterprise and large business customers on the condition that it maintain information regarding the rates, terms, and condition for these services in the online guide as would have been available i</w:t>
      </w:r>
      <w:r w:rsidR="004E284C">
        <w:rPr>
          <w:sz w:val="26"/>
          <w:szCs w:val="26"/>
        </w:rPr>
        <w:t>n a paper tariff.</w:t>
      </w:r>
      <w:r>
        <w:rPr>
          <w:sz w:val="26"/>
          <w:szCs w:val="26"/>
        </w:rPr>
        <w:t xml:space="preserve">  Finally, the Commission tasked the </w:t>
      </w:r>
      <w:r w:rsidR="009C44C7">
        <w:rPr>
          <w:sz w:val="26"/>
          <w:szCs w:val="26"/>
        </w:rPr>
        <w:t>Bureau of Technical Utility Services</w:t>
      </w:r>
      <w:r>
        <w:rPr>
          <w:sz w:val="26"/>
          <w:szCs w:val="26"/>
        </w:rPr>
        <w:t xml:space="preserve"> to monitor the effectiveness of the website online posting of basic dial tone service for enterprise and large business customers during the two-year </w:t>
      </w:r>
      <w:r w:rsidR="00D57604">
        <w:rPr>
          <w:sz w:val="26"/>
          <w:szCs w:val="26"/>
        </w:rPr>
        <w:t xml:space="preserve">trial </w:t>
      </w:r>
      <w:r>
        <w:rPr>
          <w:sz w:val="26"/>
          <w:szCs w:val="26"/>
        </w:rPr>
        <w:t>waiver period.</w:t>
      </w:r>
      <w:r w:rsidR="00EE6295">
        <w:rPr>
          <w:sz w:val="26"/>
          <w:szCs w:val="26"/>
        </w:rPr>
        <w:t xml:space="preserve">  On April 26, 2012</w:t>
      </w:r>
      <w:r w:rsidR="001F5DD0">
        <w:rPr>
          <w:sz w:val="26"/>
          <w:szCs w:val="26"/>
        </w:rPr>
        <w:t>, the</w:t>
      </w:r>
      <w:r w:rsidR="007A3E7F">
        <w:rPr>
          <w:sz w:val="26"/>
          <w:szCs w:val="26"/>
        </w:rPr>
        <w:t xml:space="preserve"> Commission extended that trial period for an additional four years. </w:t>
      </w:r>
    </w:p>
    <w:p w:rsidR="00524D72" w:rsidRDefault="00524D72" w:rsidP="005A7210">
      <w:pPr>
        <w:pStyle w:val="p3"/>
        <w:tabs>
          <w:tab w:val="clear" w:pos="204"/>
        </w:tabs>
        <w:spacing w:line="360" w:lineRule="auto"/>
        <w:ind w:firstLine="720"/>
        <w:rPr>
          <w:sz w:val="26"/>
          <w:szCs w:val="26"/>
        </w:rPr>
      </w:pPr>
    </w:p>
    <w:p w:rsidR="00614DC1" w:rsidRDefault="007A3E7F" w:rsidP="005A7210">
      <w:pPr>
        <w:pStyle w:val="p3"/>
        <w:tabs>
          <w:tab w:val="clear" w:pos="204"/>
        </w:tabs>
        <w:spacing w:line="360" w:lineRule="auto"/>
        <w:ind w:firstLine="720"/>
        <w:rPr>
          <w:sz w:val="26"/>
          <w:szCs w:val="26"/>
        </w:rPr>
      </w:pPr>
      <w:r>
        <w:rPr>
          <w:sz w:val="26"/>
          <w:szCs w:val="26"/>
        </w:rPr>
        <w:t>Subsequently, i</w:t>
      </w:r>
      <w:r w:rsidR="00FD6378">
        <w:rPr>
          <w:sz w:val="26"/>
          <w:szCs w:val="26"/>
        </w:rPr>
        <w:t>n</w:t>
      </w:r>
      <w:r w:rsidR="001F5DD0">
        <w:rPr>
          <w:sz w:val="26"/>
          <w:szCs w:val="26"/>
        </w:rPr>
        <w:t xml:space="preserve"> May 2010, the Commission </w:t>
      </w:r>
      <w:r w:rsidR="00FD6378">
        <w:rPr>
          <w:sz w:val="26"/>
          <w:szCs w:val="26"/>
        </w:rPr>
        <w:t xml:space="preserve">granted AT&amp;T’s request to </w:t>
      </w:r>
      <w:r w:rsidR="00B57E8C">
        <w:rPr>
          <w:sz w:val="26"/>
          <w:szCs w:val="26"/>
        </w:rPr>
        <w:t>detariff its CLEC services to large and enterprise business customers.  The Commission determined that AT&amp;T, a CLEC</w:t>
      </w:r>
      <w:r w:rsidR="004E284C">
        <w:rPr>
          <w:sz w:val="26"/>
          <w:szCs w:val="26"/>
        </w:rPr>
        <w:t>,</w:t>
      </w:r>
      <w:r w:rsidR="00B57E8C">
        <w:rPr>
          <w:sz w:val="26"/>
          <w:szCs w:val="26"/>
        </w:rPr>
        <w:t xml:space="preserve"> should have the same degree of regulatory flexibility that Chapter 30 guarantees ILECs and allowed AT&amp;T to declare competitive its retail nonprotected services offered to enterprise and large business customers throughout its service territory and also waived the requirement that AT&amp;T maintain a price list for those nonprotected services.  However, one portion of the relief requested was provided only on a two year basis.  The Commission granted a trial waiver of 52 Pa. Code § 53.59 so as to permit it to provide the rates and terms for basic dial tone service, which is a protected service under Chapter 30, 66 Pa. C.S. § 3012, on its internet website in lieu of </w:t>
      </w:r>
    </w:p>
    <w:p w:rsidR="00614DC1" w:rsidRDefault="00614DC1" w:rsidP="005A7210">
      <w:pPr>
        <w:pStyle w:val="p3"/>
        <w:tabs>
          <w:tab w:val="clear" w:pos="204"/>
        </w:tabs>
        <w:spacing w:line="360" w:lineRule="auto"/>
        <w:ind w:firstLine="720"/>
        <w:rPr>
          <w:sz w:val="26"/>
          <w:szCs w:val="26"/>
        </w:rPr>
      </w:pPr>
    </w:p>
    <w:p w:rsidR="00886823" w:rsidRDefault="00B57E8C" w:rsidP="00614DC1">
      <w:pPr>
        <w:pStyle w:val="p3"/>
        <w:tabs>
          <w:tab w:val="clear" w:pos="204"/>
        </w:tabs>
        <w:spacing w:line="360" w:lineRule="auto"/>
        <w:rPr>
          <w:sz w:val="26"/>
          <w:szCs w:val="26"/>
        </w:rPr>
      </w:pPr>
      <w:r>
        <w:rPr>
          <w:sz w:val="26"/>
          <w:szCs w:val="26"/>
        </w:rPr>
        <w:lastRenderedPageBreak/>
        <w:t xml:space="preserve">maintaining a formal tariff with the Commission.  On June 21, 2012, the Commission extended that trial period for an additional four years.  </w:t>
      </w:r>
      <w:r w:rsidR="00886823">
        <w:rPr>
          <w:sz w:val="26"/>
          <w:szCs w:val="26"/>
        </w:rPr>
        <w:t xml:space="preserve"> </w:t>
      </w:r>
    </w:p>
    <w:p w:rsidR="00524D72" w:rsidRDefault="00524D72" w:rsidP="005A7210">
      <w:pPr>
        <w:pStyle w:val="p3"/>
        <w:tabs>
          <w:tab w:val="clear" w:pos="204"/>
        </w:tabs>
        <w:spacing w:line="360" w:lineRule="auto"/>
        <w:ind w:firstLine="720"/>
        <w:rPr>
          <w:sz w:val="26"/>
          <w:szCs w:val="26"/>
        </w:rPr>
      </w:pPr>
    </w:p>
    <w:p w:rsidR="00886823" w:rsidRDefault="001F5DD0" w:rsidP="00886823">
      <w:pPr>
        <w:spacing w:line="360" w:lineRule="auto"/>
        <w:ind w:firstLine="720"/>
        <w:rPr>
          <w:sz w:val="26"/>
          <w:szCs w:val="26"/>
        </w:rPr>
      </w:pPr>
      <w:r>
        <w:rPr>
          <w:sz w:val="26"/>
          <w:szCs w:val="26"/>
        </w:rPr>
        <w:t>In accordance with the</w:t>
      </w:r>
      <w:r w:rsidR="00886823">
        <w:rPr>
          <w:sz w:val="26"/>
          <w:szCs w:val="26"/>
        </w:rPr>
        <w:t xml:space="preserve"> Commission’s authority under Chapter 30 and our current regulations, the reasonable conditions placed on Verizon Access</w:t>
      </w:r>
      <w:r w:rsidR="00B57E8C">
        <w:rPr>
          <w:sz w:val="26"/>
          <w:szCs w:val="26"/>
        </w:rPr>
        <w:t xml:space="preserve"> and AT&amp;T</w:t>
      </w:r>
      <w:r>
        <w:rPr>
          <w:sz w:val="26"/>
          <w:szCs w:val="26"/>
        </w:rPr>
        <w:t xml:space="preserve"> by the</w:t>
      </w:r>
      <w:r w:rsidR="00886823">
        <w:rPr>
          <w:sz w:val="26"/>
          <w:szCs w:val="26"/>
        </w:rPr>
        <w:t xml:space="preserve"> Commission in June 2009 </w:t>
      </w:r>
      <w:r w:rsidR="00B57E8C">
        <w:rPr>
          <w:sz w:val="26"/>
          <w:szCs w:val="26"/>
        </w:rPr>
        <w:t xml:space="preserve">and May 2010, respectively, </w:t>
      </w:r>
      <w:r w:rsidR="00886823">
        <w:rPr>
          <w:sz w:val="26"/>
          <w:szCs w:val="26"/>
        </w:rPr>
        <w:t xml:space="preserve">should be applied to the Windstream CLECs in this proceeding.  </w:t>
      </w:r>
      <w:r>
        <w:rPr>
          <w:sz w:val="26"/>
          <w:szCs w:val="26"/>
        </w:rPr>
        <w:t>The General Assembly tasked the</w:t>
      </w:r>
      <w:r w:rsidR="00886823">
        <w:rPr>
          <w:sz w:val="26"/>
          <w:szCs w:val="26"/>
        </w:rPr>
        <w:t xml:space="preserve"> Commission in 2004 with the passage of the current Chapter 30 to promote and encourage the provision of competitive services by a variety of service providers on equal terms throughout all geographic areas of t</w:t>
      </w:r>
      <w:r>
        <w:rPr>
          <w:sz w:val="26"/>
          <w:szCs w:val="26"/>
        </w:rPr>
        <w:t>his Commonwealth.  Clearly, the</w:t>
      </w:r>
      <w:r w:rsidR="00886823">
        <w:rPr>
          <w:sz w:val="26"/>
          <w:szCs w:val="26"/>
        </w:rPr>
        <w:t xml:space="preserve"> Commission as well as the telecommunicat</w:t>
      </w:r>
      <w:r w:rsidR="004F0EEE">
        <w:rPr>
          <w:sz w:val="26"/>
          <w:szCs w:val="26"/>
        </w:rPr>
        <w:t>ions market</w:t>
      </w:r>
      <w:r w:rsidR="00886823">
        <w:rPr>
          <w:sz w:val="26"/>
          <w:szCs w:val="26"/>
        </w:rPr>
        <w:t>place has made this declaration of policy a reality among the class of customers discussed herein.  Further, we believe that service provided to enterprise and large business customers warrants a lesser degree of regulatory oversight</w:t>
      </w:r>
      <w:r w:rsidR="007A3E7F">
        <w:rPr>
          <w:sz w:val="26"/>
          <w:szCs w:val="26"/>
        </w:rPr>
        <w:t>.</w:t>
      </w:r>
      <w:r w:rsidR="00886823">
        <w:rPr>
          <w:sz w:val="26"/>
          <w:szCs w:val="26"/>
        </w:rPr>
        <w:t xml:space="preserve"> </w:t>
      </w:r>
      <w:r w:rsidR="007A3E7F">
        <w:rPr>
          <w:sz w:val="26"/>
          <w:szCs w:val="26"/>
        </w:rPr>
        <w:t>T</w:t>
      </w:r>
      <w:r w:rsidR="00886823">
        <w:rPr>
          <w:sz w:val="26"/>
          <w:szCs w:val="26"/>
        </w:rPr>
        <w:t>his class has many choices for their telecommunications needs and possesses the sophistication to negotiate and contract for the services such customers need to advance their individual businesses.  However, i</w:t>
      </w:r>
      <w:r w:rsidR="00B33BCF">
        <w:rPr>
          <w:sz w:val="26"/>
          <w:szCs w:val="26"/>
        </w:rPr>
        <w:t>f problems arise during the four</w:t>
      </w:r>
      <w:r w:rsidR="00886823">
        <w:rPr>
          <w:sz w:val="26"/>
          <w:szCs w:val="26"/>
        </w:rPr>
        <w:t xml:space="preserve">-year waiver period, the Commission can revisit the waivers granted herein. </w:t>
      </w:r>
    </w:p>
    <w:p w:rsidR="00886823" w:rsidRDefault="00886823" w:rsidP="00886823">
      <w:pPr>
        <w:spacing w:line="360" w:lineRule="auto"/>
        <w:ind w:firstLine="720"/>
        <w:rPr>
          <w:sz w:val="26"/>
          <w:szCs w:val="26"/>
        </w:rPr>
      </w:pPr>
    </w:p>
    <w:p w:rsidR="00886823" w:rsidRDefault="00886823" w:rsidP="00524D72">
      <w:pPr>
        <w:spacing w:line="360" w:lineRule="auto"/>
        <w:jc w:val="center"/>
        <w:rPr>
          <w:b/>
          <w:sz w:val="26"/>
          <w:szCs w:val="26"/>
          <w:u w:val="single"/>
        </w:rPr>
      </w:pPr>
      <w:r w:rsidRPr="00524D72">
        <w:rPr>
          <w:b/>
          <w:sz w:val="26"/>
          <w:szCs w:val="26"/>
          <w:u w:val="single"/>
        </w:rPr>
        <w:t>Conclusion</w:t>
      </w:r>
    </w:p>
    <w:p w:rsidR="00886823" w:rsidRDefault="00886823" w:rsidP="00886823">
      <w:pPr>
        <w:spacing w:line="360" w:lineRule="auto"/>
        <w:ind w:firstLine="720"/>
        <w:rPr>
          <w:sz w:val="26"/>
          <w:szCs w:val="26"/>
        </w:rPr>
      </w:pPr>
      <w:r w:rsidRPr="00394ADE">
        <w:rPr>
          <w:sz w:val="26"/>
          <w:szCs w:val="26"/>
        </w:rPr>
        <w:t xml:space="preserve">We shall grant the petition of the </w:t>
      </w:r>
      <w:r>
        <w:rPr>
          <w:sz w:val="26"/>
          <w:szCs w:val="26"/>
        </w:rPr>
        <w:t>Windstream</w:t>
      </w:r>
      <w:r w:rsidRPr="00394ADE">
        <w:rPr>
          <w:sz w:val="26"/>
          <w:szCs w:val="26"/>
        </w:rPr>
        <w:t xml:space="preserve"> CLECs </w:t>
      </w:r>
      <w:r w:rsidR="00B33BCF">
        <w:rPr>
          <w:sz w:val="26"/>
          <w:szCs w:val="26"/>
        </w:rPr>
        <w:t>consistent with our analysis in our previous</w:t>
      </w:r>
      <w:r>
        <w:rPr>
          <w:sz w:val="26"/>
          <w:szCs w:val="26"/>
        </w:rPr>
        <w:t xml:space="preserve"> </w:t>
      </w:r>
      <w:r w:rsidRPr="00171C6C">
        <w:rPr>
          <w:i/>
          <w:sz w:val="26"/>
          <w:szCs w:val="26"/>
        </w:rPr>
        <w:t>Verizon Access</w:t>
      </w:r>
      <w:r>
        <w:rPr>
          <w:sz w:val="26"/>
          <w:szCs w:val="26"/>
        </w:rPr>
        <w:t xml:space="preserve"> </w:t>
      </w:r>
      <w:r w:rsidR="00B57E8C">
        <w:rPr>
          <w:sz w:val="26"/>
          <w:szCs w:val="26"/>
        </w:rPr>
        <w:t xml:space="preserve">and </w:t>
      </w:r>
      <w:r w:rsidR="00B57E8C" w:rsidRPr="001F0C8A">
        <w:rPr>
          <w:i/>
          <w:sz w:val="26"/>
          <w:szCs w:val="26"/>
        </w:rPr>
        <w:t>AT&amp;T</w:t>
      </w:r>
      <w:r w:rsidR="00B57E8C">
        <w:rPr>
          <w:sz w:val="26"/>
          <w:szCs w:val="26"/>
        </w:rPr>
        <w:t xml:space="preserve"> </w:t>
      </w:r>
      <w:r>
        <w:rPr>
          <w:sz w:val="26"/>
          <w:szCs w:val="26"/>
        </w:rPr>
        <w:t>decision</w:t>
      </w:r>
      <w:r w:rsidR="00B57E8C">
        <w:rPr>
          <w:sz w:val="26"/>
          <w:szCs w:val="26"/>
        </w:rPr>
        <w:t>s</w:t>
      </w:r>
      <w:r>
        <w:rPr>
          <w:sz w:val="26"/>
          <w:szCs w:val="26"/>
        </w:rPr>
        <w:t xml:space="preserve">.  </w:t>
      </w:r>
      <w:r w:rsidRPr="00394ADE">
        <w:rPr>
          <w:sz w:val="26"/>
          <w:szCs w:val="26"/>
        </w:rPr>
        <w:t>We recognize that, in a competitive environment, service provided to enterprise and large business customers may warrant a lesser degree of regulatory oversight</w:t>
      </w:r>
      <w:r>
        <w:rPr>
          <w:sz w:val="26"/>
          <w:szCs w:val="26"/>
        </w:rPr>
        <w:t>.</w:t>
      </w:r>
      <w:r w:rsidR="001F5DD0">
        <w:rPr>
          <w:sz w:val="26"/>
          <w:szCs w:val="26"/>
        </w:rPr>
        <w:t xml:space="preserve">  </w:t>
      </w:r>
      <w:r w:rsidRPr="00394ADE">
        <w:rPr>
          <w:sz w:val="26"/>
          <w:szCs w:val="26"/>
        </w:rPr>
        <w:t xml:space="preserve"> </w:t>
      </w:r>
      <w:r>
        <w:rPr>
          <w:sz w:val="26"/>
          <w:szCs w:val="26"/>
        </w:rPr>
        <w:t xml:space="preserve"> </w:t>
      </w:r>
    </w:p>
    <w:p w:rsidR="00886823" w:rsidRDefault="00886823" w:rsidP="00886823">
      <w:pPr>
        <w:spacing w:line="360" w:lineRule="auto"/>
        <w:ind w:firstLine="720"/>
        <w:rPr>
          <w:sz w:val="26"/>
          <w:szCs w:val="26"/>
        </w:rPr>
      </w:pPr>
    </w:p>
    <w:p w:rsidR="00886823" w:rsidRDefault="00886823" w:rsidP="00524D72">
      <w:pPr>
        <w:spacing w:line="360" w:lineRule="auto"/>
        <w:ind w:firstLine="720"/>
        <w:rPr>
          <w:b/>
          <w:sz w:val="26"/>
          <w:szCs w:val="26"/>
        </w:rPr>
      </w:pPr>
      <w:r>
        <w:rPr>
          <w:sz w:val="26"/>
          <w:szCs w:val="26"/>
        </w:rPr>
        <w:t xml:space="preserve">Accordingly, </w:t>
      </w:r>
      <w:r w:rsidRPr="00394ADE">
        <w:rPr>
          <w:sz w:val="26"/>
          <w:szCs w:val="26"/>
        </w:rPr>
        <w:t>hav</w:t>
      </w:r>
      <w:r>
        <w:rPr>
          <w:sz w:val="26"/>
          <w:szCs w:val="26"/>
        </w:rPr>
        <w:t>ing</w:t>
      </w:r>
      <w:r w:rsidRPr="00394ADE">
        <w:rPr>
          <w:sz w:val="26"/>
          <w:szCs w:val="26"/>
        </w:rPr>
        <w:t xml:space="preserve"> </w:t>
      </w:r>
      <w:r>
        <w:rPr>
          <w:sz w:val="26"/>
          <w:szCs w:val="26"/>
        </w:rPr>
        <w:t xml:space="preserve">previously </w:t>
      </w:r>
      <w:r w:rsidRPr="00394ADE">
        <w:rPr>
          <w:sz w:val="26"/>
          <w:szCs w:val="26"/>
        </w:rPr>
        <w:t>reduced regulatory burdens on Verizon Access</w:t>
      </w:r>
      <w:r w:rsidR="00B57E8C">
        <w:rPr>
          <w:sz w:val="26"/>
          <w:szCs w:val="26"/>
        </w:rPr>
        <w:t xml:space="preserve"> and AT&amp;T, </w:t>
      </w:r>
      <w:r>
        <w:rPr>
          <w:sz w:val="26"/>
          <w:szCs w:val="26"/>
        </w:rPr>
        <w:t xml:space="preserve">we shall now reduce herein the regulatory burdens on </w:t>
      </w:r>
      <w:r w:rsidRPr="00394ADE">
        <w:rPr>
          <w:sz w:val="26"/>
          <w:szCs w:val="26"/>
        </w:rPr>
        <w:t xml:space="preserve">the </w:t>
      </w:r>
      <w:r>
        <w:rPr>
          <w:sz w:val="26"/>
          <w:szCs w:val="26"/>
        </w:rPr>
        <w:t>Windstream</w:t>
      </w:r>
      <w:r w:rsidRPr="00394ADE">
        <w:rPr>
          <w:sz w:val="26"/>
          <w:szCs w:val="26"/>
        </w:rPr>
        <w:t xml:space="preserve"> CLECs </w:t>
      </w:r>
      <w:r>
        <w:rPr>
          <w:sz w:val="26"/>
          <w:szCs w:val="26"/>
        </w:rPr>
        <w:t xml:space="preserve">to the same extent </w:t>
      </w:r>
      <w:r w:rsidRPr="00394ADE">
        <w:rPr>
          <w:sz w:val="26"/>
          <w:szCs w:val="26"/>
        </w:rPr>
        <w:t xml:space="preserve">in regard to their </w:t>
      </w:r>
      <w:r>
        <w:rPr>
          <w:sz w:val="26"/>
          <w:szCs w:val="26"/>
        </w:rPr>
        <w:t xml:space="preserve">nonprotected </w:t>
      </w:r>
      <w:r w:rsidRPr="00394ADE">
        <w:rPr>
          <w:sz w:val="26"/>
          <w:szCs w:val="26"/>
        </w:rPr>
        <w:t>services</w:t>
      </w:r>
      <w:r w:rsidR="004F0EEE">
        <w:rPr>
          <w:sz w:val="26"/>
          <w:szCs w:val="26"/>
        </w:rPr>
        <w:t xml:space="preserve"> and protected basic dial tone service</w:t>
      </w:r>
      <w:r>
        <w:rPr>
          <w:sz w:val="26"/>
          <w:szCs w:val="26"/>
        </w:rPr>
        <w:t xml:space="preserve"> offered to </w:t>
      </w:r>
      <w:r w:rsidRPr="00394ADE">
        <w:rPr>
          <w:sz w:val="26"/>
          <w:szCs w:val="26"/>
        </w:rPr>
        <w:t xml:space="preserve">enterprise and large business customers.  If problems arise, </w:t>
      </w:r>
      <w:r w:rsidRPr="00394ADE">
        <w:rPr>
          <w:sz w:val="26"/>
          <w:szCs w:val="26"/>
        </w:rPr>
        <w:lastRenderedPageBreak/>
        <w:t xml:space="preserve">the Commission will re-visit the waivers and conditions and take appropriate action; </w:t>
      </w:r>
      <w:r w:rsidRPr="00394ADE">
        <w:rPr>
          <w:b/>
          <w:sz w:val="26"/>
          <w:szCs w:val="26"/>
        </w:rPr>
        <w:t>THEREFORE,</w:t>
      </w:r>
    </w:p>
    <w:p w:rsidR="001F5DD0" w:rsidRDefault="001F5DD0" w:rsidP="009C44C7">
      <w:pPr>
        <w:spacing w:line="360" w:lineRule="auto"/>
        <w:rPr>
          <w:b/>
          <w:sz w:val="26"/>
          <w:szCs w:val="26"/>
        </w:rPr>
      </w:pPr>
    </w:p>
    <w:p w:rsidR="008D2F08" w:rsidRPr="00524D72" w:rsidRDefault="008D2F08" w:rsidP="001B4A9A">
      <w:pPr>
        <w:spacing w:line="360" w:lineRule="auto"/>
        <w:ind w:firstLine="720"/>
        <w:rPr>
          <w:b/>
          <w:sz w:val="26"/>
          <w:szCs w:val="26"/>
        </w:rPr>
      </w:pPr>
      <w:r w:rsidRPr="00524D72">
        <w:rPr>
          <w:b/>
          <w:sz w:val="26"/>
          <w:szCs w:val="26"/>
        </w:rPr>
        <w:t>IT IS ORDERED:</w:t>
      </w:r>
    </w:p>
    <w:p w:rsidR="004F0EEE" w:rsidRDefault="004F0EEE" w:rsidP="004F0EEE">
      <w:pPr>
        <w:spacing w:line="360" w:lineRule="auto"/>
        <w:rPr>
          <w:sz w:val="26"/>
          <w:szCs w:val="26"/>
        </w:rPr>
      </w:pPr>
    </w:p>
    <w:p w:rsidR="008D2F08" w:rsidRPr="004F0EEE" w:rsidRDefault="004F0EEE" w:rsidP="004F0EEE">
      <w:pPr>
        <w:spacing w:line="360" w:lineRule="auto"/>
        <w:ind w:firstLine="720"/>
        <w:rPr>
          <w:sz w:val="26"/>
          <w:szCs w:val="26"/>
        </w:rPr>
      </w:pPr>
      <w:r w:rsidRPr="004F0EEE">
        <w:rPr>
          <w:sz w:val="26"/>
          <w:szCs w:val="26"/>
        </w:rPr>
        <w:t>1.</w:t>
      </w:r>
      <w:r>
        <w:rPr>
          <w:sz w:val="26"/>
          <w:szCs w:val="26"/>
        </w:rPr>
        <w:t xml:space="preserve"> </w:t>
      </w:r>
      <w:r w:rsidR="009C44C7">
        <w:rPr>
          <w:sz w:val="26"/>
          <w:szCs w:val="26"/>
        </w:rPr>
        <w:tab/>
      </w:r>
      <w:r w:rsidR="008D2F08" w:rsidRPr="004F0EEE">
        <w:rPr>
          <w:sz w:val="26"/>
          <w:szCs w:val="26"/>
        </w:rPr>
        <w:t xml:space="preserve">That the </w:t>
      </w:r>
      <w:r w:rsidR="007A3E7F">
        <w:rPr>
          <w:sz w:val="26"/>
          <w:szCs w:val="26"/>
        </w:rPr>
        <w:t>consolidated</w:t>
      </w:r>
      <w:r w:rsidR="008D2F08" w:rsidRPr="004F0EEE">
        <w:rPr>
          <w:sz w:val="26"/>
          <w:szCs w:val="26"/>
        </w:rPr>
        <w:t xml:space="preserve"> petitions of Windstream C</w:t>
      </w:r>
      <w:r w:rsidRPr="004F0EEE">
        <w:rPr>
          <w:sz w:val="26"/>
          <w:szCs w:val="26"/>
        </w:rPr>
        <w:t xml:space="preserve">ommunications, Inc., Windstream </w:t>
      </w:r>
      <w:r w:rsidR="008D2F08" w:rsidRPr="004F0EEE">
        <w:rPr>
          <w:sz w:val="26"/>
          <w:szCs w:val="26"/>
        </w:rPr>
        <w:t>D&amp;E Systems, Inc.,</w:t>
      </w:r>
      <w:r w:rsidR="004E284C" w:rsidRPr="004F0EEE">
        <w:rPr>
          <w:sz w:val="26"/>
          <w:szCs w:val="26"/>
        </w:rPr>
        <w:t xml:space="preserve"> </w:t>
      </w:r>
      <w:r w:rsidR="008D2F08" w:rsidRPr="004F0EEE">
        <w:rPr>
          <w:sz w:val="26"/>
          <w:szCs w:val="26"/>
        </w:rPr>
        <w:t>PAETEC Communications, Inc., US LEC of Pennsylvania, Inc. d/b/a PAETEC Business Services, Talk of America, Inc. d/b/a/ Cavalier Telephone and Cavalier Business Communications and Intellifiber Networks, Inc., to declare and detariff certain services to enterprise and large business customers are hereby granted relative to their competitive local exchange carrier operations in the incumbent local exchange carrier service territo</w:t>
      </w:r>
      <w:r>
        <w:rPr>
          <w:sz w:val="26"/>
          <w:szCs w:val="26"/>
        </w:rPr>
        <w:t>ries of Verizon Pennsylvania LLC, Verizon North LLC</w:t>
      </w:r>
      <w:r w:rsidR="009C44C7">
        <w:rPr>
          <w:sz w:val="26"/>
          <w:szCs w:val="26"/>
        </w:rPr>
        <w:t>,</w:t>
      </w:r>
      <w:r w:rsidR="008D2F08" w:rsidRPr="004F0EEE">
        <w:rPr>
          <w:sz w:val="26"/>
          <w:szCs w:val="26"/>
        </w:rPr>
        <w:t xml:space="preserve"> and The United Telephone of Penn</w:t>
      </w:r>
      <w:r>
        <w:rPr>
          <w:sz w:val="26"/>
          <w:szCs w:val="26"/>
        </w:rPr>
        <w:t>sylvania, LLC d/b/a CenturyLink.</w:t>
      </w:r>
    </w:p>
    <w:p w:rsidR="00BC2AB7" w:rsidRDefault="00BC2AB7" w:rsidP="008D2F08">
      <w:pPr>
        <w:spacing w:line="360" w:lineRule="auto"/>
        <w:rPr>
          <w:sz w:val="26"/>
          <w:szCs w:val="26"/>
        </w:rPr>
      </w:pPr>
    </w:p>
    <w:p w:rsidR="008D2F08" w:rsidRPr="004F0EEE" w:rsidRDefault="004F0EEE" w:rsidP="004F0EEE">
      <w:pPr>
        <w:spacing w:line="360" w:lineRule="auto"/>
        <w:ind w:firstLine="720"/>
        <w:rPr>
          <w:sz w:val="26"/>
          <w:szCs w:val="26"/>
        </w:rPr>
      </w:pPr>
      <w:r>
        <w:rPr>
          <w:sz w:val="26"/>
          <w:szCs w:val="26"/>
        </w:rPr>
        <w:t xml:space="preserve">2. </w:t>
      </w:r>
      <w:r w:rsidR="009C44C7">
        <w:rPr>
          <w:sz w:val="26"/>
          <w:szCs w:val="26"/>
        </w:rPr>
        <w:tab/>
      </w:r>
      <w:r w:rsidR="008D2F08" w:rsidRPr="004F0EEE">
        <w:rPr>
          <w:sz w:val="26"/>
          <w:szCs w:val="26"/>
        </w:rPr>
        <w:t>That the requests of Windstream Communications, Inc., Windstream D&amp;E Systems, Inc.,</w:t>
      </w:r>
      <w:r w:rsidR="00042FAC" w:rsidRPr="004F0EEE">
        <w:rPr>
          <w:sz w:val="26"/>
          <w:szCs w:val="26"/>
        </w:rPr>
        <w:t xml:space="preserve"> </w:t>
      </w:r>
      <w:r w:rsidR="008D2F08" w:rsidRPr="004F0EEE">
        <w:rPr>
          <w:sz w:val="26"/>
          <w:szCs w:val="26"/>
        </w:rPr>
        <w:t xml:space="preserve">PAETEC Communications, Inc., US LEC of Pennsylvania, Inc. d/b/a PAETEC Business Services, Talk of America, Inc. d/b/a/ Cavalier Telephone and Cavalier Business Communications and Intellifiber Networks, Inc. for </w:t>
      </w:r>
      <w:r w:rsidR="00B33BCF" w:rsidRPr="004F0EEE">
        <w:rPr>
          <w:sz w:val="26"/>
          <w:szCs w:val="26"/>
        </w:rPr>
        <w:t>waivers</w:t>
      </w:r>
      <w:r w:rsidR="008D2F08" w:rsidRPr="004F0EEE">
        <w:rPr>
          <w:sz w:val="26"/>
          <w:szCs w:val="26"/>
        </w:rPr>
        <w:t xml:space="preserve"> of </w:t>
      </w:r>
      <w:r>
        <w:rPr>
          <w:sz w:val="26"/>
          <w:szCs w:val="26"/>
        </w:rPr>
        <w:t xml:space="preserve">section </w:t>
      </w:r>
      <w:r w:rsidR="008D2F08" w:rsidRPr="004F0EEE">
        <w:rPr>
          <w:sz w:val="26"/>
          <w:szCs w:val="26"/>
        </w:rPr>
        <w:t xml:space="preserve">53.58(c) of </w:t>
      </w:r>
      <w:r>
        <w:rPr>
          <w:sz w:val="26"/>
          <w:szCs w:val="26"/>
        </w:rPr>
        <w:t xml:space="preserve">the </w:t>
      </w:r>
      <w:r w:rsidR="008D2F08" w:rsidRPr="004F0EEE">
        <w:rPr>
          <w:sz w:val="26"/>
          <w:szCs w:val="26"/>
        </w:rPr>
        <w:t>Commission</w:t>
      </w:r>
      <w:r>
        <w:rPr>
          <w:sz w:val="26"/>
          <w:szCs w:val="26"/>
        </w:rPr>
        <w:t>’s</w:t>
      </w:r>
      <w:r w:rsidR="008D2F08" w:rsidRPr="004F0EEE">
        <w:rPr>
          <w:sz w:val="26"/>
          <w:szCs w:val="26"/>
        </w:rPr>
        <w:t xml:space="preserve"> regulations, 52 Pa Code § 53.58(c), so as to permit the competitive local exchange carriers to declare their nonprotected services offered to enterprise and large business customers as competitive without first having to file a petition and obtain a competitive designation from the Commission are hereby granted. </w:t>
      </w:r>
    </w:p>
    <w:p w:rsidR="00BC2AB7" w:rsidRDefault="00BC2AB7" w:rsidP="008D2F08">
      <w:pPr>
        <w:spacing w:line="360" w:lineRule="auto"/>
        <w:rPr>
          <w:sz w:val="26"/>
          <w:szCs w:val="26"/>
        </w:rPr>
      </w:pPr>
    </w:p>
    <w:p w:rsidR="008D2F08" w:rsidRPr="004F0EEE" w:rsidRDefault="004F0EEE" w:rsidP="00614DC1">
      <w:pPr>
        <w:spacing w:line="360" w:lineRule="auto"/>
        <w:ind w:firstLine="720"/>
        <w:rPr>
          <w:sz w:val="26"/>
          <w:szCs w:val="26"/>
        </w:rPr>
      </w:pPr>
      <w:r w:rsidRPr="004F0EEE">
        <w:rPr>
          <w:sz w:val="26"/>
          <w:szCs w:val="26"/>
        </w:rPr>
        <w:t>3.</w:t>
      </w:r>
      <w:r>
        <w:rPr>
          <w:sz w:val="26"/>
          <w:szCs w:val="26"/>
        </w:rPr>
        <w:t xml:space="preserve"> </w:t>
      </w:r>
      <w:r w:rsidR="009C44C7">
        <w:rPr>
          <w:sz w:val="26"/>
          <w:szCs w:val="26"/>
        </w:rPr>
        <w:tab/>
      </w:r>
      <w:r w:rsidR="008D2F08" w:rsidRPr="004F0EEE">
        <w:rPr>
          <w:sz w:val="26"/>
          <w:szCs w:val="26"/>
        </w:rPr>
        <w:t>That the requests of Windstream Communications, Inc., Windstream D&amp;E Systems, Inc.,</w:t>
      </w:r>
      <w:r w:rsidR="00042FAC" w:rsidRPr="004F0EEE">
        <w:rPr>
          <w:sz w:val="26"/>
          <w:szCs w:val="26"/>
        </w:rPr>
        <w:t xml:space="preserve"> </w:t>
      </w:r>
      <w:r w:rsidR="008D2F08" w:rsidRPr="004F0EEE">
        <w:rPr>
          <w:sz w:val="26"/>
          <w:szCs w:val="26"/>
        </w:rPr>
        <w:t xml:space="preserve">PAETEC Communications, Inc., US LEC of Pennsylvania, Inc. d/b/a PAETEC Business Services, Talk of America, Inc. d/b/a/ Cavalier Telephone and Cavalier Business Communications and Intellifiber Networks, Inc., for </w:t>
      </w:r>
      <w:r w:rsidR="00B33BCF" w:rsidRPr="004F0EEE">
        <w:rPr>
          <w:sz w:val="26"/>
          <w:szCs w:val="26"/>
        </w:rPr>
        <w:t>waivers</w:t>
      </w:r>
      <w:r>
        <w:rPr>
          <w:sz w:val="26"/>
          <w:szCs w:val="26"/>
        </w:rPr>
        <w:t xml:space="preserve"> of s</w:t>
      </w:r>
      <w:r w:rsidR="008D2F08" w:rsidRPr="004F0EEE">
        <w:rPr>
          <w:sz w:val="26"/>
          <w:szCs w:val="26"/>
        </w:rPr>
        <w:t xml:space="preserve">ection 53.58(d) of Commission regulations, 52 Pa. Code § 53.58(d), that would require the </w:t>
      </w:r>
      <w:r w:rsidR="008D2F08" w:rsidRPr="004F0EEE">
        <w:rPr>
          <w:sz w:val="26"/>
          <w:szCs w:val="26"/>
        </w:rPr>
        <w:lastRenderedPageBreak/>
        <w:t>competitive local exchange carriers to maintain informational tariffs</w:t>
      </w:r>
      <w:r w:rsidR="009C44C7">
        <w:rPr>
          <w:sz w:val="26"/>
          <w:szCs w:val="26"/>
        </w:rPr>
        <w:t xml:space="preserve"> or price lists</w:t>
      </w:r>
      <w:r w:rsidR="008D2F08" w:rsidRPr="004F0EEE">
        <w:rPr>
          <w:sz w:val="26"/>
          <w:szCs w:val="26"/>
        </w:rPr>
        <w:t xml:space="preserve"> for nonprotected service offerings to enterprise and large business customers are hereby granted on the condition that the entities maintain informational tariffs for their terms, conditions, and rates for these services on their publicly available website(s).  </w:t>
      </w:r>
    </w:p>
    <w:p w:rsidR="008D2F08" w:rsidRDefault="008D2F08" w:rsidP="00614DC1">
      <w:pPr>
        <w:spacing w:line="360" w:lineRule="auto"/>
        <w:rPr>
          <w:szCs w:val="26"/>
        </w:rPr>
      </w:pPr>
    </w:p>
    <w:p w:rsidR="00BC2AB7" w:rsidRPr="004F0EEE" w:rsidRDefault="004F0EEE" w:rsidP="00614DC1">
      <w:pPr>
        <w:spacing w:line="360" w:lineRule="auto"/>
        <w:ind w:firstLine="720"/>
        <w:rPr>
          <w:sz w:val="26"/>
          <w:szCs w:val="26"/>
        </w:rPr>
      </w:pPr>
      <w:r w:rsidRPr="004F0EEE">
        <w:rPr>
          <w:sz w:val="26"/>
          <w:szCs w:val="26"/>
        </w:rPr>
        <w:t>4.</w:t>
      </w:r>
      <w:r>
        <w:rPr>
          <w:sz w:val="26"/>
          <w:szCs w:val="26"/>
        </w:rPr>
        <w:t xml:space="preserve"> </w:t>
      </w:r>
      <w:r w:rsidR="009C44C7">
        <w:rPr>
          <w:sz w:val="26"/>
          <w:szCs w:val="26"/>
        </w:rPr>
        <w:tab/>
      </w:r>
      <w:r w:rsidR="008D2F08" w:rsidRPr="004F0EEE">
        <w:rPr>
          <w:sz w:val="26"/>
          <w:szCs w:val="26"/>
        </w:rPr>
        <w:t>That the requests of Windstream Communications, Inc., Windstream D&amp;E Systems, Inc.,</w:t>
      </w:r>
      <w:r w:rsidR="00042FAC" w:rsidRPr="004F0EEE">
        <w:rPr>
          <w:sz w:val="26"/>
          <w:szCs w:val="26"/>
        </w:rPr>
        <w:t xml:space="preserve"> </w:t>
      </w:r>
      <w:r w:rsidR="008D2F08" w:rsidRPr="004F0EEE">
        <w:rPr>
          <w:sz w:val="26"/>
          <w:szCs w:val="26"/>
        </w:rPr>
        <w:t xml:space="preserve">PAETEC Communications, Inc., US LEC of Pennsylvania, Inc. d/b/a PAETEC Business Services, Talk of America, Inc. d/b/a/ Cavalier Telephone and Cavalier Business Communications and Intellifiber Networks, Inc., for </w:t>
      </w:r>
      <w:r w:rsidR="00B33BCF" w:rsidRPr="004F0EEE">
        <w:rPr>
          <w:sz w:val="26"/>
          <w:szCs w:val="26"/>
        </w:rPr>
        <w:t>waivers</w:t>
      </w:r>
      <w:r>
        <w:rPr>
          <w:sz w:val="26"/>
          <w:szCs w:val="26"/>
        </w:rPr>
        <w:t xml:space="preserve"> of s</w:t>
      </w:r>
      <w:r w:rsidR="008D2F08" w:rsidRPr="004F0EEE">
        <w:rPr>
          <w:sz w:val="26"/>
          <w:szCs w:val="26"/>
        </w:rPr>
        <w:t xml:space="preserve">ection 53.59 of </w:t>
      </w:r>
      <w:r>
        <w:rPr>
          <w:sz w:val="26"/>
          <w:szCs w:val="26"/>
        </w:rPr>
        <w:t xml:space="preserve">the </w:t>
      </w:r>
      <w:r w:rsidR="008D2F08" w:rsidRPr="004F0EEE">
        <w:rPr>
          <w:sz w:val="26"/>
          <w:szCs w:val="26"/>
        </w:rPr>
        <w:t>Commission</w:t>
      </w:r>
      <w:r>
        <w:rPr>
          <w:sz w:val="26"/>
          <w:szCs w:val="26"/>
        </w:rPr>
        <w:t>’s</w:t>
      </w:r>
      <w:r w:rsidR="008D2F08" w:rsidRPr="004F0EEE">
        <w:rPr>
          <w:sz w:val="26"/>
          <w:szCs w:val="26"/>
        </w:rPr>
        <w:t xml:space="preserve"> regulations, 52 Pa. Code § 53.59, so as to permit the competitive local exchange carriers to provide the rates and terms for basic dial tone service offered to enterprise and large business customers</w:t>
      </w:r>
      <w:r w:rsidR="009C44C7">
        <w:rPr>
          <w:sz w:val="26"/>
          <w:szCs w:val="26"/>
        </w:rPr>
        <w:t xml:space="preserve"> </w:t>
      </w:r>
      <w:r w:rsidR="008D2F08" w:rsidRPr="004F0EEE">
        <w:rPr>
          <w:sz w:val="26"/>
          <w:szCs w:val="26"/>
        </w:rPr>
        <w:t>on their publicly available website(</w:t>
      </w:r>
      <w:r w:rsidR="00B33BCF" w:rsidRPr="004F0EEE">
        <w:rPr>
          <w:sz w:val="26"/>
          <w:szCs w:val="26"/>
        </w:rPr>
        <w:t xml:space="preserve">s) </w:t>
      </w:r>
      <w:r w:rsidR="006E4265">
        <w:rPr>
          <w:sz w:val="26"/>
          <w:szCs w:val="26"/>
        </w:rPr>
        <w:t>are</w:t>
      </w:r>
      <w:r w:rsidR="00B33BCF" w:rsidRPr="004F0EEE">
        <w:rPr>
          <w:sz w:val="26"/>
          <w:szCs w:val="26"/>
        </w:rPr>
        <w:t xml:space="preserve"> hereby granted for a </w:t>
      </w:r>
      <w:r w:rsidR="001F5DD0">
        <w:rPr>
          <w:sz w:val="26"/>
          <w:szCs w:val="26"/>
        </w:rPr>
        <w:t>trial</w:t>
      </w:r>
      <w:r w:rsidR="00EE6295">
        <w:rPr>
          <w:sz w:val="26"/>
          <w:szCs w:val="26"/>
        </w:rPr>
        <w:t xml:space="preserve"> </w:t>
      </w:r>
      <w:r w:rsidR="00B33BCF" w:rsidRPr="004F0EEE">
        <w:rPr>
          <w:sz w:val="26"/>
          <w:szCs w:val="26"/>
        </w:rPr>
        <w:t>period</w:t>
      </w:r>
      <w:r w:rsidR="001F5DD0">
        <w:rPr>
          <w:sz w:val="26"/>
          <w:szCs w:val="26"/>
        </w:rPr>
        <w:t xml:space="preserve"> of four years</w:t>
      </w:r>
      <w:r w:rsidR="00B33BCF" w:rsidRPr="004F0EEE">
        <w:rPr>
          <w:sz w:val="26"/>
          <w:szCs w:val="26"/>
        </w:rPr>
        <w:t xml:space="preserve"> </w:t>
      </w:r>
      <w:r w:rsidR="008D2F08" w:rsidRPr="004F0EEE">
        <w:rPr>
          <w:sz w:val="26"/>
          <w:szCs w:val="26"/>
        </w:rPr>
        <w:t xml:space="preserve">from the entry date of this order and on the condition that the entities maintain information regarding the rates, terms, and conditions for these services on their publicly available website(s) as would have been available in a paper tariff.  </w:t>
      </w:r>
    </w:p>
    <w:p w:rsidR="00BC2AB7" w:rsidRPr="00BC2AB7" w:rsidRDefault="00BC2AB7" w:rsidP="00614DC1">
      <w:pPr>
        <w:pStyle w:val="ListParagraph"/>
        <w:spacing w:line="360" w:lineRule="auto"/>
        <w:rPr>
          <w:sz w:val="26"/>
          <w:szCs w:val="26"/>
        </w:rPr>
      </w:pPr>
    </w:p>
    <w:p w:rsidR="009C44C7" w:rsidRDefault="004F0EEE" w:rsidP="00614DC1">
      <w:pPr>
        <w:spacing w:line="360" w:lineRule="auto"/>
        <w:ind w:firstLine="720"/>
        <w:rPr>
          <w:sz w:val="26"/>
          <w:szCs w:val="26"/>
        </w:rPr>
      </w:pPr>
      <w:r w:rsidRPr="004F0EEE">
        <w:rPr>
          <w:sz w:val="26"/>
          <w:szCs w:val="26"/>
        </w:rPr>
        <w:t>5.</w:t>
      </w:r>
      <w:r>
        <w:rPr>
          <w:sz w:val="26"/>
          <w:szCs w:val="26"/>
        </w:rPr>
        <w:t xml:space="preserve"> </w:t>
      </w:r>
      <w:r w:rsidR="009C44C7">
        <w:rPr>
          <w:sz w:val="26"/>
          <w:szCs w:val="26"/>
        </w:rPr>
        <w:tab/>
      </w:r>
      <w:r>
        <w:rPr>
          <w:sz w:val="26"/>
          <w:szCs w:val="26"/>
        </w:rPr>
        <w:t>That the Bureau of Technical</w:t>
      </w:r>
      <w:r w:rsidR="008D2F08" w:rsidRPr="004F0EEE">
        <w:rPr>
          <w:sz w:val="26"/>
          <w:szCs w:val="26"/>
        </w:rPr>
        <w:t xml:space="preserve"> Utility Services shall monitor the effectiveness of the website posting of basic dial tone service for enterprise and large business customers during the </w:t>
      </w:r>
      <w:r w:rsidR="00EE6295">
        <w:rPr>
          <w:sz w:val="26"/>
          <w:szCs w:val="26"/>
        </w:rPr>
        <w:t>four-</w:t>
      </w:r>
      <w:r w:rsidR="00B33BCF" w:rsidRPr="004F0EEE">
        <w:rPr>
          <w:sz w:val="26"/>
          <w:szCs w:val="26"/>
        </w:rPr>
        <w:t>year</w:t>
      </w:r>
      <w:r w:rsidR="008D2F08" w:rsidRPr="004F0EEE">
        <w:rPr>
          <w:sz w:val="26"/>
          <w:szCs w:val="26"/>
        </w:rPr>
        <w:t xml:space="preserve"> </w:t>
      </w:r>
      <w:r w:rsidR="00EE6295">
        <w:rPr>
          <w:sz w:val="26"/>
          <w:szCs w:val="26"/>
        </w:rPr>
        <w:t xml:space="preserve">trial </w:t>
      </w:r>
      <w:r w:rsidR="008D2F08" w:rsidRPr="004F0EEE">
        <w:rPr>
          <w:sz w:val="26"/>
          <w:szCs w:val="26"/>
        </w:rPr>
        <w:t>period granted herein.</w:t>
      </w: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614DC1" w:rsidRDefault="00614DC1" w:rsidP="00614DC1">
      <w:pPr>
        <w:spacing w:line="360" w:lineRule="auto"/>
        <w:ind w:firstLine="720"/>
        <w:rPr>
          <w:sz w:val="26"/>
          <w:szCs w:val="26"/>
        </w:rPr>
      </w:pPr>
    </w:p>
    <w:p w:rsidR="004F0EEE" w:rsidRDefault="008D2F08" w:rsidP="009C44C7">
      <w:pPr>
        <w:pStyle w:val="ListParagraph"/>
        <w:numPr>
          <w:ilvl w:val="0"/>
          <w:numId w:val="13"/>
        </w:numPr>
        <w:ind w:left="0" w:firstLine="720"/>
      </w:pPr>
      <w:r w:rsidRPr="004F0EEE">
        <w:rPr>
          <w:sz w:val="26"/>
          <w:szCs w:val="26"/>
        </w:rPr>
        <w:lastRenderedPageBreak/>
        <w:t>That this docket be marked closed</w:t>
      </w:r>
      <w:r w:rsidR="004F0EEE">
        <w:t>.</w:t>
      </w:r>
    </w:p>
    <w:p w:rsidR="009C44C7" w:rsidRDefault="009C44C7" w:rsidP="009C44C7">
      <w:pPr>
        <w:pStyle w:val="ListParagraph"/>
      </w:pPr>
    </w:p>
    <w:p w:rsidR="004F0EEE" w:rsidRDefault="003B6818" w:rsidP="004F0EEE">
      <w:pPr>
        <w:pStyle w:val="ListParagraph"/>
        <w:ind w:left="1080"/>
        <w:rPr>
          <w:b/>
          <w:bCs/>
          <w:sz w:val="26"/>
          <w:szCs w:val="26"/>
        </w:rPr>
      </w:pPr>
      <w:bookmarkStart w:id="0" w:name="_GoBack"/>
      <w:r>
        <w:rPr>
          <w:noProof/>
        </w:rPr>
        <w:drawing>
          <wp:anchor distT="0" distB="0" distL="114300" distR="114300" simplePos="0" relativeHeight="251659264" behindDoc="1" locked="0" layoutInCell="1" allowOverlap="1" wp14:anchorId="56023594" wp14:editId="2DCE4E4D">
            <wp:simplePos x="0" y="0"/>
            <wp:positionH relativeFrom="column">
              <wp:posOffset>2838450</wp:posOffset>
            </wp:positionH>
            <wp:positionV relativeFrom="paragraph">
              <wp:posOffset>73025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D2F08" w:rsidRPr="004F0EEE" w:rsidRDefault="008D2F08" w:rsidP="004F0EEE">
      <w:pPr>
        <w:pStyle w:val="ListParagraph"/>
        <w:ind w:left="4680" w:firstLine="360"/>
      </w:pPr>
      <w:r w:rsidRPr="004F0EEE">
        <w:rPr>
          <w:b/>
          <w:bCs/>
          <w:sz w:val="26"/>
          <w:szCs w:val="26"/>
        </w:rPr>
        <w:t>BY THE COMMISSION</w:t>
      </w:r>
    </w:p>
    <w:p w:rsidR="008D2F08" w:rsidRPr="00394ADE" w:rsidRDefault="008D2F08" w:rsidP="008D2F08">
      <w:pPr>
        <w:pStyle w:val="p14"/>
        <w:keepNext/>
        <w:keepLines/>
        <w:widowControl/>
        <w:rPr>
          <w:sz w:val="26"/>
          <w:szCs w:val="26"/>
        </w:rPr>
      </w:pPr>
    </w:p>
    <w:p w:rsidR="008D2F08" w:rsidRDefault="008D2F08" w:rsidP="008D2F08">
      <w:pPr>
        <w:pStyle w:val="p14"/>
        <w:keepNext/>
        <w:keepLines/>
        <w:widowControl/>
        <w:rPr>
          <w:sz w:val="26"/>
          <w:szCs w:val="26"/>
        </w:rPr>
      </w:pPr>
    </w:p>
    <w:p w:rsidR="00614DC1" w:rsidRPr="00394ADE" w:rsidRDefault="00614DC1" w:rsidP="008D2F08">
      <w:pPr>
        <w:pStyle w:val="p14"/>
        <w:keepNext/>
        <w:keepLines/>
        <w:widowControl/>
        <w:rPr>
          <w:sz w:val="26"/>
          <w:szCs w:val="26"/>
        </w:rPr>
      </w:pPr>
    </w:p>
    <w:p w:rsidR="008D2F08" w:rsidRPr="00394ADE" w:rsidRDefault="008D2F08" w:rsidP="008D2F08">
      <w:pPr>
        <w:pStyle w:val="p14"/>
        <w:keepNext/>
        <w:keepLines/>
        <w:widowControl/>
        <w:rPr>
          <w:sz w:val="26"/>
          <w:szCs w:val="26"/>
        </w:rPr>
      </w:pP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Pr>
          <w:sz w:val="26"/>
          <w:szCs w:val="26"/>
        </w:rPr>
        <w:t>Rosemary Chiavetta</w:t>
      </w:r>
    </w:p>
    <w:p w:rsidR="008D2F08" w:rsidRPr="00394ADE" w:rsidRDefault="008D2F08" w:rsidP="008D2F08">
      <w:pPr>
        <w:pStyle w:val="p14"/>
        <w:keepNext/>
        <w:keepLines/>
        <w:widowControl/>
        <w:rPr>
          <w:sz w:val="26"/>
          <w:szCs w:val="26"/>
        </w:rPr>
      </w:pP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r>
      <w:r w:rsidRPr="00394ADE">
        <w:rPr>
          <w:sz w:val="26"/>
          <w:szCs w:val="26"/>
        </w:rPr>
        <w:tab/>
        <w:t>Secretary</w:t>
      </w:r>
    </w:p>
    <w:p w:rsidR="008D2F08" w:rsidRPr="00394ADE" w:rsidRDefault="008D2F08" w:rsidP="008D2F08">
      <w:pPr>
        <w:pStyle w:val="p14"/>
        <w:keepNext/>
        <w:keepLines/>
        <w:widowControl/>
        <w:rPr>
          <w:sz w:val="26"/>
          <w:szCs w:val="26"/>
        </w:rPr>
      </w:pPr>
    </w:p>
    <w:p w:rsidR="00614DC1" w:rsidRDefault="00614DC1" w:rsidP="008D2F08">
      <w:pPr>
        <w:pStyle w:val="p14"/>
        <w:keepNext/>
        <w:keepLines/>
        <w:widowControl/>
        <w:rPr>
          <w:sz w:val="26"/>
          <w:szCs w:val="26"/>
        </w:rPr>
      </w:pPr>
    </w:p>
    <w:p w:rsidR="008D2F08" w:rsidRPr="00394ADE" w:rsidRDefault="008D2F08" w:rsidP="008D2F08">
      <w:pPr>
        <w:pStyle w:val="p14"/>
        <w:keepNext/>
        <w:keepLines/>
        <w:widowControl/>
        <w:rPr>
          <w:sz w:val="26"/>
          <w:szCs w:val="26"/>
        </w:rPr>
      </w:pPr>
      <w:r w:rsidRPr="00394ADE">
        <w:rPr>
          <w:sz w:val="26"/>
          <w:szCs w:val="26"/>
        </w:rPr>
        <w:t>(SEAL)</w:t>
      </w:r>
    </w:p>
    <w:p w:rsidR="008D2F08" w:rsidRPr="00394ADE" w:rsidRDefault="008D2F08" w:rsidP="008D2F08">
      <w:pPr>
        <w:keepNext/>
        <w:keepLines/>
        <w:tabs>
          <w:tab w:val="left" w:pos="204"/>
        </w:tabs>
        <w:rPr>
          <w:sz w:val="26"/>
          <w:szCs w:val="26"/>
        </w:rPr>
      </w:pPr>
    </w:p>
    <w:p w:rsidR="008D2F08" w:rsidRPr="00394ADE" w:rsidRDefault="008D2F08" w:rsidP="008D2F08">
      <w:pPr>
        <w:pStyle w:val="p14"/>
        <w:keepNext/>
        <w:keepLines/>
        <w:widowControl/>
        <w:rPr>
          <w:sz w:val="26"/>
          <w:szCs w:val="26"/>
        </w:rPr>
      </w:pPr>
      <w:r w:rsidRPr="00394ADE">
        <w:rPr>
          <w:sz w:val="26"/>
          <w:szCs w:val="26"/>
        </w:rPr>
        <w:t xml:space="preserve">ORDER ADOPTED:  </w:t>
      </w:r>
      <w:r>
        <w:rPr>
          <w:sz w:val="26"/>
          <w:szCs w:val="26"/>
        </w:rPr>
        <w:t>December 5, 2012</w:t>
      </w:r>
    </w:p>
    <w:p w:rsidR="008D2F08" w:rsidRPr="00394ADE" w:rsidRDefault="008D2F08" w:rsidP="008D2F08">
      <w:pPr>
        <w:pStyle w:val="p14"/>
        <w:widowControl/>
        <w:rPr>
          <w:sz w:val="26"/>
          <w:szCs w:val="26"/>
        </w:rPr>
      </w:pPr>
    </w:p>
    <w:p w:rsidR="008D2F08" w:rsidRPr="00773F1E" w:rsidRDefault="008D2F08" w:rsidP="008D2F08">
      <w:pPr>
        <w:pStyle w:val="p14"/>
        <w:widowControl/>
        <w:rPr>
          <w:b/>
          <w:sz w:val="26"/>
          <w:szCs w:val="26"/>
        </w:rPr>
      </w:pPr>
      <w:r w:rsidRPr="00394ADE">
        <w:rPr>
          <w:sz w:val="26"/>
          <w:szCs w:val="26"/>
        </w:rPr>
        <w:t xml:space="preserve">ORDER ENTERED:  </w:t>
      </w:r>
      <w:r w:rsidR="003B6818">
        <w:rPr>
          <w:sz w:val="26"/>
          <w:szCs w:val="26"/>
        </w:rPr>
        <w:t xml:space="preserve"> December 5, 2012</w:t>
      </w:r>
    </w:p>
    <w:p w:rsidR="008D2F08" w:rsidRDefault="008D2F08"/>
    <w:p w:rsidR="00704318" w:rsidRDefault="00704318"/>
    <w:p w:rsidR="00704318" w:rsidRDefault="00704318">
      <w:r>
        <w:t xml:space="preserve"> </w:t>
      </w:r>
    </w:p>
    <w:sectPr w:rsidR="00704318" w:rsidSect="00524D72">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CC" w:rsidRDefault="00B10BCC" w:rsidP="00F74B4F">
      <w:r>
        <w:separator/>
      </w:r>
    </w:p>
  </w:endnote>
  <w:endnote w:type="continuationSeparator" w:id="0">
    <w:p w:rsidR="00B10BCC" w:rsidRDefault="00B10BCC" w:rsidP="00F7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4F" w:rsidRDefault="00F74B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4B4F" w:rsidRDefault="00F74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4F" w:rsidRDefault="00F74B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818">
      <w:rPr>
        <w:rStyle w:val="PageNumber"/>
        <w:noProof/>
      </w:rPr>
      <w:t>9</w:t>
    </w:r>
    <w:r>
      <w:rPr>
        <w:rStyle w:val="PageNumber"/>
      </w:rPr>
      <w:fldChar w:fldCharType="end"/>
    </w:r>
  </w:p>
  <w:p w:rsidR="00F74B4F" w:rsidRDefault="00F74B4F"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CC" w:rsidRDefault="00B10BCC" w:rsidP="00F74B4F">
      <w:r>
        <w:separator/>
      </w:r>
    </w:p>
  </w:footnote>
  <w:footnote w:type="continuationSeparator" w:id="0">
    <w:p w:rsidR="00B10BCC" w:rsidRDefault="00B10BCC" w:rsidP="00F74B4F">
      <w:r>
        <w:continuationSeparator/>
      </w:r>
    </w:p>
  </w:footnote>
  <w:footnote w:id="1">
    <w:p w:rsidR="009D09ED" w:rsidRPr="00614DC1" w:rsidRDefault="009D09ED">
      <w:pPr>
        <w:pStyle w:val="FootnoteText"/>
        <w:rPr>
          <w:sz w:val="22"/>
          <w:szCs w:val="22"/>
        </w:rPr>
      </w:pPr>
      <w:r w:rsidRPr="00614DC1">
        <w:rPr>
          <w:rStyle w:val="FootnoteReference"/>
          <w:sz w:val="22"/>
          <w:szCs w:val="22"/>
        </w:rPr>
        <w:footnoteRef/>
      </w:r>
      <w:r w:rsidRPr="00614DC1">
        <w:rPr>
          <w:sz w:val="22"/>
          <w:szCs w:val="22"/>
        </w:rPr>
        <w:t xml:space="preserve"> The Windstream CLECs each hold certificates of public convenience to provide CLEC services in the ILEC territories of Verizo</w:t>
      </w:r>
      <w:r w:rsidR="002E5351" w:rsidRPr="00614DC1">
        <w:rPr>
          <w:sz w:val="22"/>
          <w:szCs w:val="22"/>
        </w:rPr>
        <w:t>n Pennsylvania LLC, Verizon North LLC</w:t>
      </w:r>
      <w:r w:rsidRPr="00614DC1">
        <w:rPr>
          <w:sz w:val="22"/>
          <w:szCs w:val="22"/>
        </w:rPr>
        <w:t xml:space="preserve"> (collectively</w:t>
      </w:r>
      <w:r w:rsidR="007311D9" w:rsidRPr="00614DC1">
        <w:rPr>
          <w:sz w:val="22"/>
          <w:szCs w:val="22"/>
        </w:rPr>
        <w:t>,</w:t>
      </w:r>
      <w:r w:rsidRPr="00614DC1">
        <w:rPr>
          <w:sz w:val="22"/>
          <w:szCs w:val="22"/>
        </w:rPr>
        <w:t xml:space="preserve"> </w:t>
      </w:r>
      <w:r w:rsidR="002E5351" w:rsidRPr="00614DC1">
        <w:rPr>
          <w:sz w:val="22"/>
          <w:szCs w:val="22"/>
        </w:rPr>
        <w:t>“</w:t>
      </w:r>
      <w:r w:rsidRPr="00614DC1">
        <w:rPr>
          <w:sz w:val="22"/>
          <w:szCs w:val="22"/>
        </w:rPr>
        <w:t>Verizon</w:t>
      </w:r>
      <w:r w:rsidR="002E5351" w:rsidRPr="00614DC1">
        <w:rPr>
          <w:sz w:val="22"/>
          <w:szCs w:val="22"/>
        </w:rPr>
        <w:t>”</w:t>
      </w:r>
      <w:r w:rsidRPr="00614DC1">
        <w:rPr>
          <w:sz w:val="22"/>
          <w:szCs w:val="22"/>
        </w:rPr>
        <w:t>)</w:t>
      </w:r>
      <w:r w:rsidR="009C44C7" w:rsidRPr="00614DC1">
        <w:rPr>
          <w:sz w:val="22"/>
          <w:szCs w:val="22"/>
        </w:rPr>
        <w:t>,</w:t>
      </w:r>
      <w:r w:rsidRPr="00614DC1">
        <w:rPr>
          <w:sz w:val="22"/>
          <w:szCs w:val="22"/>
        </w:rPr>
        <w:t xml:space="preserve"> and The U</w:t>
      </w:r>
      <w:r w:rsidR="00063532" w:rsidRPr="00614DC1">
        <w:rPr>
          <w:sz w:val="22"/>
          <w:szCs w:val="22"/>
        </w:rPr>
        <w:t>nited Telephone of Pennsylvania</w:t>
      </w:r>
      <w:r w:rsidR="007A3E7F" w:rsidRPr="00614DC1">
        <w:rPr>
          <w:sz w:val="22"/>
          <w:szCs w:val="22"/>
        </w:rPr>
        <w:t>,</w:t>
      </w:r>
      <w:r w:rsidRPr="00614DC1">
        <w:rPr>
          <w:sz w:val="22"/>
          <w:szCs w:val="22"/>
        </w:rPr>
        <w:t xml:space="preserve"> LLC d/b/a CenturyLink (CenturyLink PA).</w:t>
      </w:r>
    </w:p>
  </w:footnote>
  <w:footnote w:id="2">
    <w:p w:rsidR="009D09ED" w:rsidRDefault="009D09ED">
      <w:pPr>
        <w:pStyle w:val="FootnoteText"/>
      </w:pPr>
      <w:r w:rsidRPr="00614DC1">
        <w:rPr>
          <w:rStyle w:val="FootnoteReference"/>
          <w:sz w:val="22"/>
          <w:szCs w:val="22"/>
        </w:rPr>
        <w:footnoteRef/>
      </w:r>
      <w:r w:rsidRPr="00614DC1">
        <w:rPr>
          <w:sz w:val="22"/>
          <w:szCs w:val="22"/>
        </w:rPr>
        <w:t xml:space="preserve"> Competitive service includes a service or business activity that the Commission has determined to be competitive prior to December 31, 2003, and a service or business activity determined or declared to be competitive pursuant to Section 3016.  66 Pa. C.S. §§ 3012 and 3016.</w:t>
      </w:r>
    </w:p>
  </w:footnote>
  <w:footnote w:id="3">
    <w:p w:rsidR="009D09ED" w:rsidRPr="00614DC1" w:rsidRDefault="009D09ED">
      <w:pPr>
        <w:pStyle w:val="FootnoteText"/>
        <w:rPr>
          <w:sz w:val="22"/>
          <w:szCs w:val="22"/>
        </w:rPr>
      </w:pPr>
      <w:r w:rsidRPr="00614DC1">
        <w:rPr>
          <w:rStyle w:val="FootnoteReference"/>
          <w:sz w:val="22"/>
          <w:szCs w:val="22"/>
        </w:rPr>
        <w:footnoteRef/>
      </w:r>
      <w:r w:rsidRPr="00614DC1">
        <w:rPr>
          <w:sz w:val="22"/>
          <w:szCs w:val="22"/>
        </w:rPr>
        <w:t xml:space="preserve"> Similar waivers were granted to MCImetro Access </w:t>
      </w:r>
      <w:r w:rsidR="00E74EEC" w:rsidRPr="00614DC1">
        <w:rPr>
          <w:sz w:val="22"/>
          <w:szCs w:val="22"/>
        </w:rPr>
        <w:t>Transmission Services LLC d/b/a</w:t>
      </w:r>
      <w:r w:rsidRPr="00614DC1">
        <w:rPr>
          <w:sz w:val="22"/>
          <w:szCs w:val="22"/>
        </w:rPr>
        <w:t xml:space="preserve"> Verizon Access Transmission Services (Verizon Acc</w:t>
      </w:r>
      <w:r w:rsidR="00E74EEC" w:rsidRPr="00614DC1">
        <w:rPr>
          <w:sz w:val="22"/>
          <w:szCs w:val="22"/>
        </w:rPr>
        <w:t xml:space="preserve">ess) in </w:t>
      </w:r>
      <w:r w:rsidR="00E74EEC" w:rsidRPr="00614DC1">
        <w:rPr>
          <w:i/>
          <w:sz w:val="22"/>
          <w:szCs w:val="22"/>
        </w:rPr>
        <w:t xml:space="preserve">Petition of </w:t>
      </w:r>
      <w:r w:rsidRPr="00614DC1">
        <w:rPr>
          <w:i/>
          <w:sz w:val="22"/>
          <w:szCs w:val="22"/>
        </w:rPr>
        <w:t>MCImetro Access Transmission Services LLC d/b/a Verizon Access Transmission Services for a Waiver of the Commission’s Regulations at 52 Pa. Code §§ 53.58 and 53.59 to Permit Detariffing</w:t>
      </w:r>
      <w:r w:rsidR="005C5C69" w:rsidRPr="00614DC1">
        <w:rPr>
          <w:i/>
          <w:sz w:val="22"/>
          <w:szCs w:val="22"/>
        </w:rPr>
        <w:t xml:space="preserve"> of Services to Enterprise and L</w:t>
      </w:r>
      <w:r w:rsidRPr="00614DC1">
        <w:rPr>
          <w:i/>
          <w:sz w:val="22"/>
          <w:szCs w:val="22"/>
        </w:rPr>
        <w:t>arge Business Customers</w:t>
      </w:r>
      <w:r w:rsidRPr="00614DC1">
        <w:rPr>
          <w:sz w:val="22"/>
          <w:szCs w:val="22"/>
        </w:rPr>
        <w:t>, Docket No. P-2009-2082991</w:t>
      </w:r>
      <w:r w:rsidR="005C5C69" w:rsidRPr="00614DC1">
        <w:rPr>
          <w:sz w:val="22"/>
          <w:szCs w:val="22"/>
        </w:rPr>
        <w:t xml:space="preserve"> </w:t>
      </w:r>
      <w:r w:rsidR="002E5351" w:rsidRPr="00614DC1">
        <w:rPr>
          <w:sz w:val="22"/>
          <w:szCs w:val="22"/>
        </w:rPr>
        <w:t>(Order entered</w:t>
      </w:r>
      <w:r w:rsidR="005C5C69" w:rsidRPr="00614DC1">
        <w:rPr>
          <w:sz w:val="22"/>
          <w:szCs w:val="22"/>
        </w:rPr>
        <w:t xml:space="preserve">  </w:t>
      </w:r>
      <w:r w:rsidRPr="00614DC1">
        <w:rPr>
          <w:sz w:val="22"/>
          <w:szCs w:val="22"/>
        </w:rPr>
        <w:t xml:space="preserve">June </w:t>
      </w:r>
      <w:r w:rsidR="005C5C69" w:rsidRPr="00614DC1">
        <w:rPr>
          <w:sz w:val="22"/>
          <w:szCs w:val="22"/>
        </w:rPr>
        <w:t>3, 2009</w:t>
      </w:r>
      <w:r w:rsidR="002E5351" w:rsidRPr="00614DC1">
        <w:rPr>
          <w:sz w:val="22"/>
          <w:szCs w:val="22"/>
        </w:rPr>
        <w:t>) (</w:t>
      </w:r>
      <w:r w:rsidR="002E5351" w:rsidRPr="00614DC1">
        <w:rPr>
          <w:i/>
          <w:sz w:val="22"/>
          <w:szCs w:val="22"/>
        </w:rPr>
        <w:t>Verizon Access</w:t>
      </w:r>
      <w:r w:rsidR="002E5351" w:rsidRPr="00614DC1">
        <w:rPr>
          <w:sz w:val="22"/>
          <w:szCs w:val="22"/>
        </w:rPr>
        <w:t>)</w:t>
      </w:r>
      <w:r w:rsidR="009C44C7" w:rsidRPr="00614DC1">
        <w:rPr>
          <w:sz w:val="22"/>
          <w:szCs w:val="22"/>
        </w:rPr>
        <w:t>,</w:t>
      </w:r>
      <w:r w:rsidR="005C5C69" w:rsidRPr="00614DC1">
        <w:rPr>
          <w:sz w:val="22"/>
          <w:szCs w:val="22"/>
        </w:rPr>
        <w:t xml:space="preserve"> </w:t>
      </w:r>
      <w:r w:rsidRPr="00614DC1">
        <w:rPr>
          <w:sz w:val="22"/>
          <w:szCs w:val="22"/>
        </w:rPr>
        <w:t>and AT&amp;T</w:t>
      </w:r>
      <w:r w:rsidR="00063532" w:rsidRPr="00614DC1">
        <w:rPr>
          <w:sz w:val="22"/>
          <w:szCs w:val="22"/>
        </w:rPr>
        <w:t xml:space="preserve"> Communications of Pennsylvania</w:t>
      </w:r>
      <w:r w:rsidR="007A3E7F" w:rsidRPr="00614DC1">
        <w:rPr>
          <w:sz w:val="22"/>
          <w:szCs w:val="22"/>
        </w:rPr>
        <w:t>,</w:t>
      </w:r>
      <w:r w:rsidRPr="00614DC1">
        <w:rPr>
          <w:sz w:val="22"/>
          <w:szCs w:val="22"/>
        </w:rPr>
        <w:t xml:space="preserve"> LLC in </w:t>
      </w:r>
      <w:r w:rsidR="005C5C69" w:rsidRPr="00614DC1">
        <w:rPr>
          <w:i/>
          <w:sz w:val="22"/>
          <w:szCs w:val="22"/>
        </w:rPr>
        <w:t xml:space="preserve">Petition of AT&amp;T Communications </w:t>
      </w:r>
      <w:r w:rsidRPr="00614DC1">
        <w:rPr>
          <w:i/>
          <w:sz w:val="22"/>
          <w:szCs w:val="22"/>
        </w:rPr>
        <w:t>of Pennsylvania, LLC for a Waiver of the Commission’s Regulations at 52 Pa. Code §§ 53.58 and 53.59 to Permit Detariffing of Services to Enterprise and Large Business Customers</w:t>
      </w:r>
      <w:r w:rsidRPr="00614DC1">
        <w:rPr>
          <w:sz w:val="22"/>
          <w:szCs w:val="22"/>
        </w:rPr>
        <w:t>, Docket</w:t>
      </w:r>
      <w:r w:rsidR="002E5351" w:rsidRPr="00614DC1">
        <w:rPr>
          <w:sz w:val="22"/>
          <w:szCs w:val="22"/>
        </w:rPr>
        <w:t xml:space="preserve"> No. P-2009-2137972, (Order entered</w:t>
      </w:r>
      <w:r w:rsidRPr="00614DC1">
        <w:rPr>
          <w:sz w:val="22"/>
          <w:szCs w:val="22"/>
        </w:rPr>
        <w:t xml:space="preserve"> May 20, 2010</w:t>
      </w:r>
      <w:r w:rsidR="002E5351" w:rsidRPr="00614DC1">
        <w:rPr>
          <w:sz w:val="22"/>
          <w:szCs w:val="22"/>
        </w:rPr>
        <w:t>) (</w:t>
      </w:r>
      <w:r w:rsidR="002E5351" w:rsidRPr="00614DC1">
        <w:rPr>
          <w:i/>
          <w:sz w:val="22"/>
          <w:szCs w:val="22"/>
        </w:rPr>
        <w:t>AT&amp;T</w:t>
      </w:r>
      <w:r w:rsidR="002E5351" w:rsidRPr="00614DC1">
        <w:rPr>
          <w:sz w:val="22"/>
          <w:szCs w:val="22"/>
        </w:rPr>
        <w:t>).</w:t>
      </w:r>
    </w:p>
  </w:footnote>
  <w:footnote w:id="4">
    <w:p w:rsidR="005C5C69" w:rsidRPr="00614DC1" w:rsidRDefault="005C5C69">
      <w:pPr>
        <w:pStyle w:val="FootnoteText"/>
        <w:rPr>
          <w:sz w:val="22"/>
          <w:szCs w:val="22"/>
        </w:rPr>
      </w:pPr>
      <w:r w:rsidRPr="00614DC1">
        <w:rPr>
          <w:rStyle w:val="FootnoteReference"/>
          <w:sz w:val="22"/>
          <w:szCs w:val="22"/>
        </w:rPr>
        <w:footnoteRef/>
      </w:r>
      <w:r w:rsidRPr="00614DC1">
        <w:rPr>
          <w:sz w:val="22"/>
          <w:szCs w:val="22"/>
        </w:rPr>
        <w:t xml:space="preserve"> See 66 Pa. C.S. §§ 3011(8) and 3016(a), 52 Pa. Code §§ 53.58 and 53.59, and </w:t>
      </w:r>
      <w:r w:rsidRPr="00614DC1">
        <w:rPr>
          <w:i/>
          <w:sz w:val="22"/>
          <w:szCs w:val="22"/>
        </w:rPr>
        <w:t>Verizon Access</w:t>
      </w:r>
      <w:r w:rsidRPr="00614DC1">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135F"/>
    <w:multiLevelType w:val="hybridMultilevel"/>
    <w:tmpl w:val="8222D9FA"/>
    <w:lvl w:ilvl="0" w:tplc="28209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A21BE6"/>
    <w:multiLevelType w:val="hybridMultilevel"/>
    <w:tmpl w:val="2DB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A4735"/>
    <w:multiLevelType w:val="hybridMultilevel"/>
    <w:tmpl w:val="9CFC1F9A"/>
    <w:lvl w:ilvl="0" w:tplc="59A6BF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7300610"/>
    <w:multiLevelType w:val="hybridMultilevel"/>
    <w:tmpl w:val="4748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55A7E"/>
    <w:multiLevelType w:val="hybridMultilevel"/>
    <w:tmpl w:val="640229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F5969"/>
    <w:multiLevelType w:val="hybridMultilevel"/>
    <w:tmpl w:val="46AC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708E8"/>
    <w:multiLevelType w:val="hybridMultilevel"/>
    <w:tmpl w:val="C806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C0E50"/>
    <w:multiLevelType w:val="hybridMultilevel"/>
    <w:tmpl w:val="31A02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0B6CEA"/>
    <w:multiLevelType w:val="hybridMultilevel"/>
    <w:tmpl w:val="9D40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F071D"/>
    <w:multiLevelType w:val="hybridMultilevel"/>
    <w:tmpl w:val="6B24B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7F32F8"/>
    <w:multiLevelType w:val="hybridMultilevel"/>
    <w:tmpl w:val="0A1AF7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8143B"/>
    <w:multiLevelType w:val="hybridMultilevel"/>
    <w:tmpl w:val="EDF095E2"/>
    <w:lvl w:ilvl="0" w:tplc="BA363E0E">
      <w:start w:val="6"/>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B62FEB"/>
    <w:multiLevelType w:val="hybridMultilevel"/>
    <w:tmpl w:val="2C52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3"/>
  </w:num>
  <w:num w:numId="6">
    <w:abstractNumId w:val="12"/>
  </w:num>
  <w:num w:numId="7">
    <w:abstractNumId w:val="9"/>
  </w:num>
  <w:num w:numId="8">
    <w:abstractNumId w:val="2"/>
  </w:num>
  <w:num w:numId="9">
    <w:abstractNumId w:val="8"/>
  </w:num>
  <w:num w:numId="10">
    <w:abstractNumId w:val="6"/>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4F"/>
    <w:rsid w:val="0000776A"/>
    <w:rsid w:val="00042FAC"/>
    <w:rsid w:val="00063532"/>
    <w:rsid w:val="00072EEE"/>
    <w:rsid w:val="001B4A9A"/>
    <w:rsid w:val="001C10FD"/>
    <w:rsid w:val="001F0C8A"/>
    <w:rsid w:val="001F5DD0"/>
    <w:rsid w:val="00237CD9"/>
    <w:rsid w:val="0027331C"/>
    <w:rsid w:val="002E5351"/>
    <w:rsid w:val="00397E96"/>
    <w:rsid w:val="003B2D05"/>
    <w:rsid w:val="003B6818"/>
    <w:rsid w:val="003F296A"/>
    <w:rsid w:val="00432FA2"/>
    <w:rsid w:val="0047501B"/>
    <w:rsid w:val="004E284C"/>
    <w:rsid w:val="004F0EEE"/>
    <w:rsid w:val="00524D72"/>
    <w:rsid w:val="00537575"/>
    <w:rsid w:val="005A7210"/>
    <w:rsid w:val="005B3CB7"/>
    <w:rsid w:val="005C5C69"/>
    <w:rsid w:val="00614DC1"/>
    <w:rsid w:val="006953E0"/>
    <w:rsid w:val="006A4A71"/>
    <w:rsid w:val="006A6F6B"/>
    <w:rsid w:val="006E4265"/>
    <w:rsid w:val="00704318"/>
    <w:rsid w:val="007311D9"/>
    <w:rsid w:val="007A3E7F"/>
    <w:rsid w:val="007F26BB"/>
    <w:rsid w:val="008124BA"/>
    <w:rsid w:val="00886823"/>
    <w:rsid w:val="008D0BED"/>
    <w:rsid w:val="008D2F08"/>
    <w:rsid w:val="00923DE8"/>
    <w:rsid w:val="009314F7"/>
    <w:rsid w:val="009C44C7"/>
    <w:rsid w:val="009D09ED"/>
    <w:rsid w:val="00A20F1E"/>
    <w:rsid w:val="00AF7BDE"/>
    <w:rsid w:val="00B10BCC"/>
    <w:rsid w:val="00B149C0"/>
    <w:rsid w:val="00B33BCF"/>
    <w:rsid w:val="00B34259"/>
    <w:rsid w:val="00B367B7"/>
    <w:rsid w:val="00B57E8C"/>
    <w:rsid w:val="00B83100"/>
    <w:rsid w:val="00B84BF6"/>
    <w:rsid w:val="00B96025"/>
    <w:rsid w:val="00BC2AB7"/>
    <w:rsid w:val="00D57604"/>
    <w:rsid w:val="00DC274E"/>
    <w:rsid w:val="00DC567B"/>
    <w:rsid w:val="00E74EEC"/>
    <w:rsid w:val="00EE6295"/>
    <w:rsid w:val="00F173CD"/>
    <w:rsid w:val="00F26F72"/>
    <w:rsid w:val="00F74B4F"/>
    <w:rsid w:val="00FD6378"/>
    <w:rsid w:val="00FF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74B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B4F"/>
    <w:rPr>
      <w:rFonts w:ascii="Arial" w:eastAsia="Times New Roman" w:hAnsi="Arial" w:cs="Arial"/>
      <w:b/>
      <w:bCs/>
      <w:sz w:val="26"/>
      <w:szCs w:val="26"/>
    </w:rPr>
  </w:style>
  <w:style w:type="paragraph" w:styleId="Footer">
    <w:name w:val="footer"/>
    <w:basedOn w:val="Normal"/>
    <w:link w:val="FooterChar"/>
    <w:rsid w:val="00F74B4F"/>
    <w:pPr>
      <w:tabs>
        <w:tab w:val="center" w:pos="4320"/>
        <w:tab w:val="right" w:pos="8640"/>
      </w:tabs>
    </w:pPr>
  </w:style>
  <w:style w:type="character" w:customStyle="1" w:styleId="FooterChar">
    <w:name w:val="Footer Char"/>
    <w:basedOn w:val="DefaultParagraphFont"/>
    <w:link w:val="Footer"/>
    <w:rsid w:val="00F74B4F"/>
    <w:rPr>
      <w:rFonts w:ascii="Times New Roman" w:eastAsia="Times New Roman" w:hAnsi="Times New Roman" w:cs="Times New Roman"/>
      <w:sz w:val="24"/>
      <w:szCs w:val="20"/>
    </w:rPr>
  </w:style>
  <w:style w:type="character" w:styleId="PageNumber">
    <w:name w:val="page number"/>
    <w:basedOn w:val="DefaultParagraphFont"/>
    <w:rsid w:val="00F74B4F"/>
  </w:style>
  <w:style w:type="paragraph" w:styleId="FootnoteText">
    <w:name w:val="footnote text"/>
    <w:basedOn w:val="Normal"/>
    <w:link w:val="FootnoteTextChar"/>
    <w:semiHidden/>
    <w:rsid w:val="00F74B4F"/>
    <w:rPr>
      <w:sz w:val="20"/>
    </w:rPr>
  </w:style>
  <w:style w:type="character" w:customStyle="1" w:styleId="FootnoteTextChar">
    <w:name w:val="Footnote Text Char"/>
    <w:basedOn w:val="DefaultParagraphFont"/>
    <w:link w:val="FootnoteText"/>
    <w:semiHidden/>
    <w:rsid w:val="00F74B4F"/>
    <w:rPr>
      <w:rFonts w:ascii="Times New Roman" w:eastAsia="Times New Roman" w:hAnsi="Times New Roman" w:cs="Times New Roman"/>
      <w:sz w:val="20"/>
      <w:szCs w:val="20"/>
    </w:rPr>
  </w:style>
  <w:style w:type="character" w:styleId="FootnoteReference">
    <w:name w:val="footnote reference"/>
    <w:semiHidden/>
    <w:rsid w:val="00F74B4F"/>
    <w:rPr>
      <w:vertAlign w:val="superscript"/>
    </w:rPr>
  </w:style>
  <w:style w:type="paragraph" w:customStyle="1" w:styleId="p3">
    <w:name w:val="p3"/>
    <w:basedOn w:val="Normal"/>
    <w:rsid w:val="00F74B4F"/>
    <w:pPr>
      <w:widowControl w:val="0"/>
      <w:tabs>
        <w:tab w:val="left" w:pos="204"/>
      </w:tabs>
      <w:overflowPunct/>
      <w:textAlignment w:val="auto"/>
    </w:pPr>
    <w:rPr>
      <w:szCs w:val="24"/>
    </w:rPr>
  </w:style>
  <w:style w:type="paragraph" w:customStyle="1" w:styleId="p14">
    <w:name w:val="p14"/>
    <w:basedOn w:val="Normal"/>
    <w:rsid w:val="00F74B4F"/>
    <w:pPr>
      <w:widowControl w:val="0"/>
      <w:tabs>
        <w:tab w:val="left" w:pos="204"/>
      </w:tabs>
      <w:overflowPunct/>
      <w:textAlignment w:val="auto"/>
    </w:pPr>
    <w:rPr>
      <w:szCs w:val="24"/>
    </w:rPr>
  </w:style>
  <w:style w:type="paragraph" w:customStyle="1" w:styleId="p17">
    <w:name w:val="p17"/>
    <w:basedOn w:val="Normal"/>
    <w:rsid w:val="00F74B4F"/>
    <w:pPr>
      <w:widowControl w:val="0"/>
      <w:tabs>
        <w:tab w:val="left" w:pos="5057"/>
      </w:tabs>
      <w:overflowPunct/>
      <w:ind w:left="3617"/>
      <w:textAlignment w:val="auto"/>
    </w:pPr>
    <w:rPr>
      <w:szCs w:val="24"/>
    </w:rPr>
  </w:style>
  <w:style w:type="paragraph" w:customStyle="1" w:styleId="p18">
    <w:name w:val="p18"/>
    <w:basedOn w:val="Normal"/>
    <w:rsid w:val="00F74B4F"/>
    <w:pPr>
      <w:widowControl w:val="0"/>
      <w:tabs>
        <w:tab w:val="left" w:pos="5062"/>
      </w:tabs>
      <w:overflowPunct/>
      <w:ind w:left="3622"/>
      <w:textAlignment w:val="auto"/>
    </w:pPr>
    <w:rPr>
      <w:szCs w:val="24"/>
    </w:rPr>
  </w:style>
  <w:style w:type="paragraph" w:customStyle="1" w:styleId="StyleCentered">
    <w:name w:val="Style Centered"/>
    <w:basedOn w:val="Normal"/>
    <w:rsid w:val="00F74B4F"/>
    <w:pPr>
      <w:jc w:val="center"/>
    </w:pPr>
  </w:style>
  <w:style w:type="paragraph" w:styleId="ListParagraph">
    <w:name w:val="List Paragraph"/>
    <w:basedOn w:val="Normal"/>
    <w:uiPriority w:val="34"/>
    <w:qFormat/>
    <w:rsid w:val="008D2F08"/>
    <w:pPr>
      <w:ind w:left="720"/>
      <w:contextualSpacing/>
    </w:pPr>
  </w:style>
  <w:style w:type="paragraph" w:styleId="BalloonText">
    <w:name w:val="Balloon Text"/>
    <w:basedOn w:val="Normal"/>
    <w:link w:val="BalloonTextChar"/>
    <w:uiPriority w:val="99"/>
    <w:semiHidden/>
    <w:unhideWhenUsed/>
    <w:rsid w:val="00B33BCF"/>
    <w:rPr>
      <w:rFonts w:ascii="Tahoma" w:hAnsi="Tahoma" w:cs="Tahoma"/>
      <w:sz w:val="16"/>
      <w:szCs w:val="16"/>
    </w:rPr>
  </w:style>
  <w:style w:type="character" w:customStyle="1" w:styleId="BalloonTextChar">
    <w:name w:val="Balloon Text Char"/>
    <w:basedOn w:val="DefaultParagraphFont"/>
    <w:link w:val="BalloonText"/>
    <w:uiPriority w:val="99"/>
    <w:semiHidden/>
    <w:rsid w:val="00B33B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74B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B4F"/>
    <w:rPr>
      <w:rFonts w:ascii="Arial" w:eastAsia="Times New Roman" w:hAnsi="Arial" w:cs="Arial"/>
      <w:b/>
      <w:bCs/>
      <w:sz w:val="26"/>
      <w:szCs w:val="26"/>
    </w:rPr>
  </w:style>
  <w:style w:type="paragraph" w:styleId="Footer">
    <w:name w:val="footer"/>
    <w:basedOn w:val="Normal"/>
    <w:link w:val="FooterChar"/>
    <w:rsid w:val="00F74B4F"/>
    <w:pPr>
      <w:tabs>
        <w:tab w:val="center" w:pos="4320"/>
        <w:tab w:val="right" w:pos="8640"/>
      </w:tabs>
    </w:pPr>
  </w:style>
  <w:style w:type="character" w:customStyle="1" w:styleId="FooterChar">
    <w:name w:val="Footer Char"/>
    <w:basedOn w:val="DefaultParagraphFont"/>
    <w:link w:val="Footer"/>
    <w:rsid w:val="00F74B4F"/>
    <w:rPr>
      <w:rFonts w:ascii="Times New Roman" w:eastAsia="Times New Roman" w:hAnsi="Times New Roman" w:cs="Times New Roman"/>
      <w:sz w:val="24"/>
      <w:szCs w:val="20"/>
    </w:rPr>
  </w:style>
  <w:style w:type="character" w:styleId="PageNumber">
    <w:name w:val="page number"/>
    <w:basedOn w:val="DefaultParagraphFont"/>
    <w:rsid w:val="00F74B4F"/>
  </w:style>
  <w:style w:type="paragraph" w:styleId="FootnoteText">
    <w:name w:val="footnote text"/>
    <w:basedOn w:val="Normal"/>
    <w:link w:val="FootnoteTextChar"/>
    <w:semiHidden/>
    <w:rsid w:val="00F74B4F"/>
    <w:rPr>
      <w:sz w:val="20"/>
    </w:rPr>
  </w:style>
  <w:style w:type="character" w:customStyle="1" w:styleId="FootnoteTextChar">
    <w:name w:val="Footnote Text Char"/>
    <w:basedOn w:val="DefaultParagraphFont"/>
    <w:link w:val="FootnoteText"/>
    <w:semiHidden/>
    <w:rsid w:val="00F74B4F"/>
    <w:rPr>
      <w:rFonts w:ascii="Times New Roman" w:eastAsia="Times New Roman" w:hAnsi="Times New Roman" w:cs="Times New Roman"/>
      <w:sz w:val="20"/>
      <w:szCs w:val="20"/>
    </w:rPr>
  </w:style>
  <w:style w:type="character" w:styleId="FootnoteReference">
    <w:name w:val="footnote reference"/>
    <w:semiHidden/>
    <w:rsid w:val="00F74B4F"/>
    <w:rPr>
      <w:vertAlign w:val="superscript"/>
    </w:rPr>
  </w:style>
  <w:style w:type="paragraph" w:customStyle="1" w:styleId="p3">
    <w:name w:val="p3"/>
    <w:basedOn w:val="Normal"/>
    <w:rsid w:val="00F74B4F"/>
    <w:pPr>
      <w:widowControl w:val="0"/>
      <w:tabs>
        <w:tab w:val="left" w:pos="204"/>
      </w:tabs>
      <w:overflowPunct/>
      <w:textAlignment w:val="auto"/>
    </w:pPr>
    <w:rPr>
      <w:szCs w:val="24"/>
    </w:rPr>
  </w:style>
  <w:style w:type="paragraph" w:customStyle="1" w:styleId="p14">
    <w:name w:val="p14"/>
    <w:basedOn w:val="Normal"/>
    <w:rsid w:val="00F74B4F"/>
    <w:pPr>
      <w:widowControl w:val="0"/>
      <w:tabs>
        <w:tab w:val="left" w:pos="204"/>
      </w:tabs>
      <w:overflowPunct/>
      <w:textAlignment w:val="auto"/>
    </w:pPr>
    <w:rPr>
      <w:szCs w:val="24"/>
    </w:rPr>
  </w:style>
  <w:style w:type="paragraph" w:customStyle="1" w:styleId="p17">
    <w:name w:val="p17"/>
    <w:basedOn w:val="Normal"/>
    <w:rsid w:val="00F74B4F"/>
    <w:pPr>
      <w:widowControl w:val="0"/>
      <w:tabs>
        <w:tab w:val="left" w:pos="5057"/>
      </w:tabs>
      <w:overflowPunct/>
      <w:ind w:left="3617"/>
      <w:textAlignment w:val="auto"/>
    </w:pPr>
    <w:rPr>
      <w:szCs w:val="24"/>
    </w:rPr>
  </w:style>
  <w:style w:type="paragraph" w:customStyle="1" w:styleId="p18">
    <w:name w:val="p18"/>
    <w:basedOn w:val="Normal"/>
    <w:rsid w:val="00F74B4F"/>
    <w:pPr>
      <w:widowControl w:val="0"/>
      <w:tabs>
        <w:tab w:val="left" w:pos="5062"/>
      </w:tabs>
      <w:overflowPunct/>
      <w:ind w:left="3622"/>
      <w:textAlignment w:val="auto"/>
    </w:pPr>
    <w:rPr>
      <w:szCs w:val="24"/>
    </w:rPr>
  </w:style>
  <w:style w:type="paragraph" w:customStyle="1" w:styleId="StyleCentered">
    <w:name w:val="Style Centered"/>
    <w:basedOn w:val="Normal"/>
    <w:rsid w:val="00F74B4F"/>
    <w:pPr>
      <w:jc w:val="center"/>
    </w:pPr>
  </w:style>
  <w:style w:type="paragraph" w:styleId="ListParagraph">
    <w:name w:val="List Paragraph"/>
    <w:basedOn w:val="Normal"/>
    <w:uiPriority w:val="34"/>
    <w:qFormat/>
    <w:rsid w:val="008D2F08"/>
    <w:pPr>
      <w:ind w:left="720"/>
      <w:contextualSpacing/>
    </w:pPr>
  </w:style>
  <w:style w:type="paragraph" w:styleId="BalloonText">
    <w:name w:val="Balloon Text"/>
    <w:basedOn w:val="Normal"/>
    <w:link w:val="BalloonTextChar"/>
    <w:uiPriority w:val="99"/>
    <w:semiHidden/>
    <w:unhideWhenUsed/>
    <w:rsid w:val="00B33BCF"/>
    <w:rPr>
      <w:rFonts w:ascii="Tahoma" w:hAnsi="Tahoma" w:cs="Tahoma"/>
      <w:sz w:val="16"/>
      <w:szCs w:val="16"/>
    </w:rPr>
  </w:style>
  <w:style w:type="character" w:customStyle="1" w:styleId="BalloonTextChar">
    <w:name w:val="Balloon Text Char"/>
    <w:basedOn w:val="DefaultParagraphFont"/>
    <w:link w:val="BalloonText"/>
    <w:uiPriority w:val="99"/>
    <w:semiHidden/>
    <w:rsid w:val="00B33B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F42C-6499-4D89-92F0-9706386C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Berenato, Brittany</dc:creator>
  <cp:lastModifiedBy>Miller, Sara</cp:lastModifiedBy>
  <cp:revision>7</cp:revision>
  <cp:lastPrinted>2012-12-05T12:54:00Z</cp:lastPrinted>
  <dcterms:created xsi:type="dcterms:W3CDTF">2012-11-21T13:53:00Z</dcterms:created>
  <dcterms:modified xsi:type="dcterms:W3CDTF">2012-12-05T12:54:00Z</dcterms:modified>
</cp:coreProperties>
</file>