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17" w:rsidRDefault="00013C17" w:rsidP="00AE33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17E36" w:rsidRDefault="00217E36" w:rsidP="00AE33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BEFORE THE</w:t>
      </w:r>
    </w:p>
    <w:p w:rsidR="00217E36" w:rsidRDefault="00217E36" w:rsidP="00AE339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PENNSYLVANIA PUBLIC UTILITY COMMISSION</w:t>
      </w:r>
    </w:p>
    <w:p w:rsidR="00217E36" w:rsidRDefault="00217E36" w:rsidP="00C47A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7E36" w:rsidRDefault="00217E36" w:rsidP="00C47A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17E36" w:rsidRDefault="00813FC0" w:rsidP="00C47A26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David H. Logan</w:t>
      </w:r>
      <w:r w:rsidR="001172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1172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11729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165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676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17E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:</w:t>
      </w:r>
    </w:p>
    <w:p w:rsidR="00217E36" w:rsidRDefault="004165E5" w:rsidP="0046766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217E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:</w:t>
      </w:r>
      <w:r w:rsidR="00217E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217E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813F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C-2011-2263697</w:t>
      </w:r>
    </w:p>
    <w:p w:rsidR="004165E5" w:rsidRDefault="004165E5" w:rsidP="004165E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v.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:</w:t>
      </w:r>
      <w:r w:rsidRPr="004165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17E36" w:rsidRDefault="004165E5" w:rsidP="004165E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:</w:t>
      </w:r>
    </w:p>
    <w:p w:rsidR="004165E5" w:rsidRDefault="00813FC0" w:rsidP="004165E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Pennsylvania Electric </w:t>
      </w:r>
      <w:r w:rsidR="00BE33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Company</w:t>
      </w:r>
      <w:r w:rsidR="00BE33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BE33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BE332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="004165E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217E36" w:rsidRDefault="00217E36" w:rsidP="00503F6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17E36" w:rsidRDefault="00217E36" w:rsidP="00503F6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17E36" w:rsidRDefault="00BF0F4F" w:rsidP="00747E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THIRD</w:t>
      </w:r>
      <w:r w:rsidR="00D4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E93F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ORDER</w:t>
      </w:r>
      <w:r w:rsidR="00747E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GRANTING</w:t>
      </w:r>
    </w:p>
    <w:p w:rsidR="00747EE0" w:rsidRDefault="00747EE0" w:rsidP="00747E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MOTION FOR CONTINUANCE</w:t>
      </w:r>
    </w:p>
    <w:p w:rsidR="00217E36" w:rsidRDefault="00217E36" w:rsidP="00D46F1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112AD" w:rsidRDefault="00F12A49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ab/>
        <w:t>On September 12, 2011, David H. Logan filed a formal Complaint with the Pennsylvania Public Utility Commission (Commission) against Pennsylvania Electric Company (</w:t>
      </w:r>
      <w:proofErr w:type="spellStart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 “the Company”), at Docket Number C-2011-2263697.  In his Complaint, Mr. Logan stated that </w:t>
      </w:r>
      <w:proofErr w:type="spellStart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crews entered his property to perform maintenance on electric transmission poles and caused extensive damage to natural streams on his property.  Mr. Logan request</w:t>
      </w:r>
      <w:r w:rsidR="0055277D">
        <w:rPr>
          <w:rFonts w:ascii="Times New Roman" w:hAnsi="Times New Roman" w:cs="Times New Roman"/>
          <w:bCs/>
          <w:color w:val="000000"/>
          <w:sz w:val="24"/>
          <w:szCs w:val="24"/>
        </w:rPr>
        <w:t>ed</w:t>
      </w:r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 order from the Commission directing </w:t>
      </w:r>
      <w:proofErr w:type="spellStart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 do what is necessary to rectify the situation.  On October 12, 2011, </w:t>
      </w:r>
      <w:proofErr w:type="spellStart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filed an Answer and New Matter in response to Mr. Logan’s Complaint.  In its Answer, </w:t>
      </w:r>
      <w:proofErr w:type="spellStart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 w:rsidR="00211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413A4">
        <w:rPr>
          <w:rFonts w:ascii="Times New Roman" w:hAnsi="Times New Roman" w:cs="Times New Roman"/>
          <w:bCs/>
          <w:color w:val="000000"/>
          <w:sz w:val="24"/>
          <w:szCs w:val="24"/>
        </w:rPr>
        <w:t>responded to each of the averments Mr. Logan made in his Complaint and requested that the Commission dismiss Mr. Logan’s Complaint with prejudice.</w:t>
      </w:r>
    </w:p>
    <w:p w:rsidR="002112AD" w:rsidRDefault="002112AD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21919" w:rsidRDefault="00DE2AEF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0219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By Hearing Notice dated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July 3</w:t>
      </w:r>
      <w:r w:rsidR="000219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2012, the Commission scheduled an Initial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Telephonic </w:t>
      </w:r>
      <w:r w:rsidR="000219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Hearing for this matter for </w:t>
      </w:r>
      <w:r w:rsidR="00F413A4">
        <w:rPr>
          <w:rFonts w:ascii="Times New Roman" w:hAnsi="Times New Roman" w:cs="Times New Roman"/>
          <w:bCs/>
          <w:color w:val="000000"/>
          <w:sz w:val="24"/>
          <w:szCs w:val="24"/>
        </w:rPr>
        <w:t>Tuesday</w:t>
      </w:r>
      <w:r w:rsidR="000219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August </w:t>
      </w:r>
      <w:r w:rsidR="00F413A4">
        <w:rPr>
          <w:rFonts w:ascii="Times New Roman" w:hAnsi="Times New Roman" w:cs="Times New Roman"/>
          <w:bCs/>
          <w:color w:val="000000"/>
          <w:sz w:val="24"/>
          <w:szCs w:val="24"/>
        </w:rPr>
        <w:t>14</w:t>
      </w:r>
      <w:r w:rsidR="000219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2012 at 10:00 a.m.  A Prehearing Order was issued on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July 9</w:t>
      </w:r>
      <w:r w:rsidR="00B741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2012 setting forth the procedural issues that would govern this matter.  </w:t>
      </w:r>
    </w:p>
    <w:p w:rsidR="00F12A49" w:rsidRDefault="00F12A49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413A4" w:rsidRDefault="00F413A4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On July 13, 2012, Edward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Lanza</w:t>
      </w:r>
      <w:proofErr w:type="spellEnd"/>
      <w:r w:rsidR="008C0FFA">
        <w:rPr>
          <w:rFonts w:ascii="Times New Roman" w:hAnsi="Times New Roman" w:cs="Times New Roman"/>
          <w:bCs/>
          <w:color w:val="000000"/>
          <w:sz w:val="24"/>
          <w:szCs w:val="24"/>
        </w:rPr>
        <w:t>, Esquire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counsel for Mr. Logan, request</w:t>
      </w:r>
      <w:r w:rsidR="0055277D">
        <w:rPr>
          <w:rFonts w:ascii="Times New Roman" w:hAnsi="Times New Roman" w:cs="Times New Roman"/>
          <w:bCs/>
          <w:color w:val="000000"/>
          <w:sz w:val="24"/>
          <w:szCs w:val="24"/>
        </w:rPr>
        <w:t>ed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continuance of the hearing scheduled for August 14, 2012.  Mr.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Lanza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indicated that the parties intend to discuss settlement of the case and to work toward an amicable resolution of the issues.  Mr.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Lanza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followed up his call with a confirming email that was copied to counsel for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included alternative dates for the hearing.</w:t>
      </w:r>
      <w:r w:rsidR="00967FF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As such, by Hearing Notice dated August 31, </w:t>
      </w:r>
      <w:r w:rsidR="00967FF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2012, the Commission rescheduled the Hearing for this matter for Wednesday, October 3, 2012 at 10:00 a.m.</w:t>
      </w:r>
    </w:p>
    <w:p w:rsidR="00967FFE" w:rsidRDefault="00967FFE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67FFE" w:rsidRDefault="00967FFE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On September 10, 2012, Mr. Brian Wauhop, Esquire, counsel for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Penelec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contacted me to request a continuance of the hearing scheduled for October 3, 2012.  </w:t>
      </w:r>
      <w:r w:rsidR="00C11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Mr. Wauhop indicated that the parties have had several discussions regarding settlement but that additional time was need to resolve the matter.  Mr. Wauhop indicated that Mr. </w:t>
      </w:r>
      <w:proofErr w:type="spellStart"/>
      <w:r w:rsidR="00C11E0F">
        <w:rPr>
          <w:rFonts w:ascii="Times New Roman" w:hAnsi="Times New Roman" w:cs="Times New Roman"/>
          <w:bCs/>
          <w:color w:val="000000"/>
          <w:sz w:val="24"/>
          <w:szCs w:val="24"/>
        </w:rPr>
        <w:t>Lanza</w:t>
      </w:r>
      <w:proofErr w:type="spellEnd"/>
      <w:r w:rsidR="00C11E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agreed to a sixty-day continuance of the hearing date.  Both parties provided their availability dates for the first week in December for the hearing to be rescheduled.</w:t>
      </w:r>
      <w:r w:rsidR="005527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As such, by Hearing Notice dated September 27, 2012, the Commission rescheduled the Hearing for this matter for Thursday, December 6, 2012 at 10:00 a.m.</w:t>
      </w:r>
    </w:p>
    <w:p w:rsidR="00F413A4" w:rsidRDefault="00F413A4" w:rsidP="00D46F1E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5277D" w:rsidRDefault="00216BE6" w:rsidP="009F2063">
      <w:pPr>
        <w:widowControl w:val="0"/>
        <w:autoSpaceDE w:val="0"/>
        <w:autoSpaceDN w:val="0"/>
        <w:adjustRightInd w:val="0"/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Monday, November 26, 2012, Mr. Wauhop contacted me </w:t>
      </w:r>
      <w:r w:rsidR="00D7599C">
        <w:rPr>
          <w:rFonts w:ascii="Times New Roman" w:hAnsi="Times New Roman"/>
          <w:sz w:val="24"/>
          <w:szCs w:val="24"/>
        </w:rPr>
        <w:t xml:space="preserve">again </w:t>
      </w:r>
      <w:r>
        <w:rPr>
          <w:rFonts w:ascii="Times New Roman" w:hAnsi="Times New Roman"/>
          <w:sz w:val="24"/>
          <w:szCs w:val="24"/>
        </w:rPr>
        <w:t>to request a third continuance of the hearing</w:t>
      </w:r>
      <w:r w:rsidR="009A1A7B">
        <w:rPr>
          <w:rFonts w:ascii="Times New Roman" w:hAnsi="Times New Roman"/>
          <w:sz w:val="24"/>
          <w:szCs w:val="24"/>
        </w:rPr>
        <w:t xml:space="preserve"> scheduled for December 6, 2012</w:t>
      </w:r>
      <w:r>
        <w:rPr>
          <w:rFonts w:ascii="Times New Roman" w:hAnsi="Times New Roman"/>
          <w:sz w:val="24"/>
          <w:szCs w:val="24"/>
        </w:rPr>
        <w:t xml:space="preserve">.  </w:t>
      </w:r>
      <w:r w:rsidR="00D7599C">
        <w:rPr>
          <w:rFonts w:ascii="Times New Roman" w:hAnsi="Times New Roman"/>
          <w:sz w:val="24"/>
          <w:szCs w:val="24"/>
        </w:rPr>
        <w:t xml:space="preserve">Mr. Wauhop indicated that the parties have made good faith efforts to discuss settlement options, including the exchange of offers, and that counsel for the complainant consents to a continuance of the hearing.  </w:t>
      </w:r>
    </w:p>
    <w:p w:rsidR="00D7599C" w:rsidRDefault="00D7599C" w:rsidP="009F2063">
      <w:pPr>
        <w:widowControl w:val="0"/>
        <w:autoSpaceDE w:val="0"/>
        <w:autoSpaceDN w:val="0"/>
        <w:adjustRightInd w:val="0"/>
        <w:spacing w:after="0"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9F2063" w:rsidRDefault="00ED004F" w:rsidP="009F2063">
      <w:pPr>
        <w:widowControl w:val="0"/>
        <w:autoSpaceDE w:val="0"/>
        <w:autoSpaceDN w:val="0"/>
        <w:adjustRightInd w:val="0"/>
        <w:spacing w:after="0" w:line="360" w:lineRule="auto"/>
        <w:ind w:firstLine="14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</w:t>
      </w:r>
      <w:r w:rsidR="00C11E0F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C11E0F">
        <w:rPr>
          <w:rFonts w:ascii="Times New Roman" w:hAnsi="Times New Roman"/>
          <w:sz w:val="24"/>
          <w:szCs w:val="24"/>
        </w:rPr>
        <w:t>Wauhop’s</w:t>
      </w:r>
      <w:proofErr w:type="spellEnd"/>
      <w:r w:rsidR="00F413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request is reasonable and unopposed, it is granted.  </w:t>
      </w:r>
      <w:r w:rsidR="00C73BFD">
        <w:rPr>
          <w:rFonts w:ascii="Times New Roman" w:hAnsi="Times New Roman"/>
          <w:sz w:val="24"/>
          <w:szCs w:val="24"/>
        </w:rPr>
        <w:t xml:space="preserve">The </w:t>
      </w:r>
      <w:r w:rsidR="00D7599C">
        <w:rPr>
          <w:rFonts w:ascii="Times New Roman" w:hAnsi="Times New Roman"/>
          <w:sz w:val="24"/>
          <w:szCs w:val="24"/>
        </w:rPr>
        <w:t>December 6</w:t>
      </w:r>
      <w:r w:rsidR="009F2063">
        <w:rPr>
          <w:rFonts w:ascii="Times New Roman" w:hAnsi="Times New Roman"/>
          <w:sz w:val="24"/>
          <w:szCs w:val="24"/>
        </w:rPr>
        <w:t xml:space="preserve">, 2012 hearing regarding </w:t>
      </w:r>
      <w:r w:rsidR="00F413A4">
        <w:rPr>
          <w:rFonts w:ascii="Times New Roman" w:hAnsi="Times New Roman"/>
          <w:sz w:val="24"/>
          <w:szCs w:val="24"/>
        </w:rPr>
        <w:t xml:space="preserve">Mr. Logan’s </w:t>
      </w:r>
      <w:r w:rsidR="0044753C">
        <w:rPr>
          <w:rFonts w:ascii="Times New Roman" w:hAnsi="Times New Roman"/>
          <w:sz w:val="24"/>
          <w:szCs w:val="24"/>
        </w:rPr>
        <w:t xml:space="preserve">Complaint will be </w:t>
      </w:r>
      <w:r w:rsidR="00FD2224">
        <w:rPr>
          <w:rFonts w:ascii="Times New Roman" w:hAnsi="Times New Roman"/>
          <w:sz w:val="24"/>
          <w:szCs w:val="24"/>
        </w:rPr>
        <w:t xml:space="preserve">cancelled and </w:t>
      </w:r>
      <w:r w:rsidR="00C11E0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will be </w:t>
      </w:r>
      <w:r w:rsidR="009A5278" w:rsidRPr="009A52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rescheduled for January 30, 2013</w:t>
      </w:r>
      <w:r w:rsidR="009F206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D75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The parties are advised, however, that while the Commission strongly encourages settlements, cases should be handled </w:t>
      </w:r>
      <w:r w:rsidR="009A52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without undue delay</w:t>
      </w:r>
      <w:r w:rsidR="00D75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A fourth continuance </w:t>
      </w:r>
      <w:r w:rsidR="009A52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 unlikely.</w:t>
      </w:r>
    </w:p>
    <w:p w:rsidR="00ED004F" w:rsidRDefault="00ED004F" w:rsidP="00C73BFD">
      <w:pPr>
        <w:pStyle w:val="BodyTextIndent"/>
        <w:rPr>
          <w:rFonts w:ascii="Times New Roman" w:hAnsi="Times New Roman"/>
          <w:sz w:val="24"/>
          <w:szCs w:val="24"/>
        </w:rPr>
      </w:pPr>
    </w:p>
    <w:p w:rsidR="00217E36" w:rsidRDefault="00217E36" w:rsidP="00C47A26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7E36" w:rsidRDefault="00AE3396" w:rsidP="00AC3AA0">
      <w:pPr>
        <w:spacing w:after="0" w:line="360" w:lineRule="auto"/>
        <w:ind w:left="72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THEREFORE,</w:t>
      </w:r>
    </w:p>
    <w:p w:rsidR="00AE3396" w:rsidRDefault="00AE3396" w:rsidP="00C47A26">
      <w:pPr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7E36" w:rsidRDefault="00AE3396" w:rsidP="009A5278">
      <w:pPr>
        <w:ind w:left="72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IT IS ORDERED:</w:t>
      </w:r>
    </w:p>
    <w:p w:rsidR="009A5278" w:rsidRDefault="009A5278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:rsidR="00011A5C" w:rsidRDefault="00011A5C" w:rsidP="00011A5C">
      <w:pPr>
        <w:spacing w:after="0" w:line="360" w:lineRule="auto"/>
        <w:ind w:left="720" w:firstLine="72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13B7A" w:rsidRDefault="009A5278" w:rsidP="009D6965">
      <w:pPr>
        <w:pStyle w:val="BodyTextIndent"/>
        <w:numPr>
          <w:ilvl w:val="0"/>
          <w:numId w:val="4"/>
        </w:numPr>
        <w:ind w:left="0" w:firstLine="144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That t</w:t>
      </w:r>
      <w:r w:rsidR="009F2063">
        <w:rPr>
          <w:rFonts w:ascii="Times New Roman" w:hAnsi="Times New Roman"/>
          <w:sz w:val="24"/>
          <w:szCs w:val="24"/>
        </w:rPr>
        <w:t xml:space="preserve">he </w:t>
      </w:r>
      <w:r w:rsidR="00D7599C">
        <w:rPr>
          <w:rFonts w:ascii="Times New Roman" w:hAnsi="Times New Roman"/>
          <w:sz w:val="24"/>
          <w:szCs w:val="24"/>
        </w:rPr>
        <w:t>December 6</w:t>
      </w:r>
      <w:r w:rsidR="009F2063">
        <w:rPr>
          <w:rFonts w:ascii="Times New Roman" w:hAnsi="Times New Roman"/>
          <w:sz w:val="24"/>
          <w:szCs w:val="24"/>
        </w:rPr>
        <w:t xml:space="preserve">, 2012 hearing regarding the </w:t>
      </w:r>
      <w:r w:rsidR="00F74465">
        <w:rPr>
          <w:rFonts w:ascii="Times New Roman" w:hAnsi="Times New Roman"/>
          <w:sz w:val="24"/>
          <w:szCs w:val="24"/>
        </w:rPr>
        <w:t xml:space="preserve">Complaint of </w:t>
      </w:r>
      <w:r w:rsidR="00F413A4">
        <w:rPr>
          <w:rFonts w:ascii="Times New Roman" w:hAnsi="Times New Roman"/>
          <w:sz w:val="24"/>
          <w:szCs w:val="24"/>
        </w:rPr>
        <w:t xml:space="preserve">David H. Logan </w:t>
      </w:r>
      <w:r w:rsidR="00F74465">
        <w:rPr>
          <w:rFonts w:ascii="Times New Roman" w:hAnsi="Times New Roman"/>
          <w:sz w:val="24"/>
          <w:szCs w:val="24"/>
        </w:rPr>
        <w:t xml:space="preserve">against </w:t>
      </w:r>
      <w:r w:rsidR="00F413A4">
        <w:rPr>
          <w:rFonts w:ascii="Times New Roman" w:hAnsi="Times New Roman"/>
          <w:sz w:val="24"/>
          <w:szCs w:val="24"/>
        </w:rPr>
        <w:t xml:space="preserve">Pennsylvania Electric </w:t>
      </w:r>
      <w:r w:rsidR="00F74465">
        <w:rPr>
          <w:rFonts w:ascii="Times New Roman" w:hAnsi="Times New Roman"/>
          <w:sz w:val="24"/>
          <w:szCs w:val="24"/>
        </w:rPr>
        <w:t xml:space="preserve">Company, </w:t>
      </w:r>
      <w:r w:rsidR="00FD2224">
        <w:rPr>
          <w:rFonts w:ascii="Times New Roman" w:hAnsi="Times New Roman"/>
          <w:sz w:val="24"/>
          <w:szCs w:val="24"/>
        </w:rPr>
        <w:t xml:space="preserve">at Docket Number </w:t>
      </w:r>
      <w:r w:rsidR="00F413A4">
        <w:rPr>
          <w:rFonts w:ascii="Times New Roman" w:hAnsi="Times New Roman" w:cs="Times New Roman"/>
          <w:bCs/>
          <w:color w:val="000000"/>
          <w:sz w:val="24"/>
          <w:szCs w:val="24"/>
        </w:rPr>
        <w:t>C-2011-2263697</w:t>
      </w:r>
      <w:r w:rsidR="00FD2224">
        <w:rPr>
          <w:rFonts w:ascii="Times New Roman" w:hAnsi="Times New Roman"/>
          <w:sz w:val="24"/>
          <w:szCs w:val="24"/>
        </w:rPr>
        <w:t xml:space="preserve">, </w:t>
      </w:r>
      <w:r w:rsidR="009F20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is </w:t>
      </w:r>
      <w:r w:rsidR="0044753C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="009F2063">
        <w:rPr>
          <w:rFonts w:ascii="Times New Roman" w:hAnsi="Times New Roman" w:cs="Times New Roman"/>
          <w:bCs/>
          <w:color w:val="000000"/>
          <w:sz w:val="24"/>
          <w:szCs w:val="24"/>
        </w:rPr>
        <w:t>ontinued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until January 30, 2013</w:t>
      </w:r>
      <w:r w:rsidR="009D69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F2063" w:rsidRPr="00CD7272" w:rsidRDefault="009F2063" w:rsidP="00AE3396">
      <w:pPr>
        <w:tabs>
          <w:tab w:val="left" w:pos="1440"/>
        </w:tabs>
        <w:ind w:firstLine="1440"/>
        <w:rPr>
          <w:rFonts w:ascii="Times New Roman" w:hAnsi="Times New Roman" w:cs="Times New Roman"/>
        </w:rPr>
      </w:pPr>
    </w:p>
    <w:p w:rsidR="00217E36" w:rsidRPr="00503F6E" w:rsidRDefault="00217E36" w:rsidP="00AE3396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03F6E">
        <w:rPr>
          <w:rFonts w:ascii="Times New Roman" w:hAnsi="Times New Roman" w:cs="Times New Roman"/>
          <w:sz w:val="24"/>
          <w:szCs w:val="24"/>
        </w:rPr>
        <w:t xml:space="preserve">Date: </w:t>
      </w:r>
      <w:r w:rsidR="009A5278">
        <w:rPr>
          <w:rFonts w:ascii="Times New Roman" w:hAnsi="Times New Roman" w:cs="Times New Roman"/>
          <w:sz w:val="24"/>
          <w:szCs w:val="24"/>
          <w:u w:val="single"/>
        </w:rPr>
        <w:t>December 5</w:t>
      </w:r>
      <w:r w:rsidR="00972E96">
        <w:rPr>
          <w:rFonts w:ascii="Times New Roman" w:hAnsi="Times New Roman" w:cs="Times New Roman"/>
          <w:sz w:val="24"/>
          <w:szCs w:val="24"/>
          <w:u w:val="single"/>
        </w:rPr>
        <w:t>, 2012</w:t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="00CB2071" w:rsidRPr="00503F6E">
        <w:rPr>
          <w:rFonts w:ascii="Times New Roman" w:hAnsi="Times New Roman" w:cs="Times New Roman"/>
          <w:sz w:val="24"/>
          <w:szCs w:val="24"/>
        </w:rPr>
        <w:tab/>
      </w:r>
      <w:r w:rsidR="00802363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3F6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17E36" w:rsidRPr="00503F6E" w:rsidRDefault="00217E36" w:rsidP="00AE33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  <w:t>Joel H. Cheskis</w:t>
      </w:r>
    </w:p>
    <w:p w:rsidR="00151AF4" w:rsidRDefault="00217E36" w:rsidP="00CB2071">
      <w:pPr>
        <w:spacing w:after="0"/>
        <w:rPr>
          <w:rFonts w:ascii="Times New Roman" w:hAnsi="Times New Roman" w:cs="Times New Roman"/>
          <w:sz w:val="24"/>
          <w:szCs w:val="24"/>
        </w:rPr>
        <w:sectPr w:rsidR="00151AF4" w:rsidSect="00503F6E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</w:r>
      <w:r w:rsidRPr="00503F6E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b/>
          <w:caps/>
          <w:sz w:val="24"/>
          <w:szCs w:val="24"/>
          <w:u w:val="single"/>
        </w:rPr>
      </w:pPr>
      <w:r w:rsidRPr="00151AF4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  <w:u w:val="single"/>
        </w:rPr>
        <w:lastRenderedPageBreak/>
        <w:t>C-2011-</w:t>
      </w:r>
      <w:proofErr w:type="gramStart"/>
      <w:r w:rsidRPr="00151AF4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  <w:u w:val="single"/>
        </w:rPr>
        <w:t>2263697</w:t>
      </w:r>
      <w:r w:rsidRPr="00151AF4">
        <w:rPr>
          <w:rFonts w:ascii="Microsoft Sans Serif" w:eastAsia="Times New Roman" w:hAnsi="Microsoft Sans Serif" w:cs="Microsoft Sans Serif"/>
          <w:b/>
          <w:caps/>
          <w:sz w:val="24"/>
          <w:szCs w:val="24"/>
          <w:u w:val="single"/>
        </w:rPr>
        <w:t xml:space="preserve">  </w:t>
      </w:r>
      <w:r w:rsidRPr="00151AF4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  <w:u w:val="single"/>
        </w:rPr>
        <w:t>David</w:t>
      </w:r>
      <w:proofErr w:type="gramEnd"/>
      <w:r w:rsidRPr="00151AF4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  <w:u w:val="single"/>
        </w:rPr>
        <w:t xml:space="preserve"> H. Logan</w:t>
      </w:r>
      <w:r w:rsidRPr="00151AF4">
        <w:rPr>
          <w:rFonts w:ascii="Microsoft Sans Serif" w:eastAsia="Times New Roman" w:hAnsi="Microsoft Sans Serif" w:cs="Microsoft Sans Serif"/>
          <w:b/>
          <w:caps/>
          <w:sz w:val="24"/>
          <w:szCs w:val="24"/>
          <w:u w:val="single"/>
        </w:rPr>
        <w:t xml:space="preserve"> </w:t>
      </w:r>
      <w:r w:rsidRPr="00151AF4">
        <w:rPr>
          <w:rFonts w:ascii="Microsoft Sans Serif" w:eastAsia="Times New Roman" w:hAnsi="Microsoft Sans Serif" w:cs="Microsoft Sans Serif"/>
          <w:b/>
          <w:smallCaps/>
          <w:sz w:val="24"/>
          <w:szCs w:val="24"/>
          <w:u w:val="single"/>
        </w:rPr>
        <w:t>v</w:t>
      </w:r>
      <w:r w:rsidRPr="00151AF4">
        <w:rPr>
          <w:rFonts w:ascii="Microsoft Sans Serif" w:eastAsia="Times New Roman" w:hAnsi="Microsoft Sans Serif" w:cs="Microsoft Sans Serif"/>
          <w:b/>
          <w:caps/>
          <w:sz w:val="24"/>
          <w:szCs w:val="24"/>
          <w:u w:val="single"/>
        </w:rPr>
        <w:t xml:space="preserve">. </w:t>
      </w:r>
      <w:r w:rsidRPr="00151AF4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  <w:u w:val="single"/>
        </w:rPr>
        <w:t>Pennsylvania Electric Company</w:t>
      </w: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b/>
          <w:i/>
          <w:caps/>
          <w:sz w:val="24"/>
          <w:szCs w:val="24"/>
        </w:rPr>
      </w:pPr>
      <w:r w:rsidRPr="00151AF4">
        <w:rPr>
          <w:rFonts w:ascii="Microsoft Sans Serif" w:eastAsia="Times New Roman" w:hAnsi="Microsoft Sans Serif" w:cs="Microsoft Sans Serif"/>
          <w:b/>
          <w:i/>
          <w:sz w:val="24"/>
          <w:szCs w:val="24"/>
        </w:rPr>
        <w:t>(</w:t>
      </w:r>
      <w:proofErr w:type="gramStart"/>
      <w:r w:rsidRPr="00151AF4">
        <w:rPr>
          <w:rFonts w:ascii="Microsoft Sans Serif" w:eastAsia="Times New Roman" w:hAnsi="Microsoft Sans Serif" w:cs="Microsoft Sans Serif"/>
          <w:b/>
          <w:i/>
          <w:sz w:val="24"/>
          <w:szCs w:val="24"/>
        </w:rPr>
        <w:t>revised</w:t>
      </w:r>
      <w:proofErr w:type="gramEnd"/>
      <w:r w:rsidRPr="00151AF4">
        <w:rPr>
          <w:rFonts w:ascii="Microsoft Sans Serif" w:eastAsia="Times New Roman" w:hAnsi="Microsoft Sans Serif" w:cs="Microsoft Sans Serif"/>
          <w:b/>
          <w:i/>
          <w:sz w:val="24"/>
          <w:szCs w:val="24"/>
        </w:rPr>
        <w:t xml:space="preserve"> 9/27/2012)</w:t>
      </w: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edward g lanza esquire</w:t>
      </w: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</w:pP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eckert seamans cherin &amp; mellott llc</w:t>
      </w: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213 market street  8</w:t>
      </w: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  <w:vertAlign w:val="superscript"/>
        </w:rPr>
        <w:t>th</w:t>
      </w: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 xml:space="preserve"> floor</w:t>
      </w: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harrisburg</w:t>
      </w:r>
      <w:r w:rsidRPr="00151AF4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</w:t>
      </w: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PA</w:t>
      </w:r>
      <w:r w:rsidRPr="00151AF4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 </w:t>
      </w: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17101</w:t>
      </w: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b/>
          <w:caps/>
          <w:sz w:val="24"/>
          <w:szCs w:val="24"/>
          <w:u w:val="single"/>
        </w:rPr>
      </w:pPr>
      <w:r w:rsidRPr="00151AF4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</w:rPr>
        <w:t>(717) 237-7162</w:t>
      </w: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brian c wauhop</w:t>
      </w:r>
      <w:r w:rsidRPr="00151AF4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</w:t>
      </w: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Esquire</w:t>
      </w: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Buchanan Ingersoll &amp; Rooney PC</w:t>
      </w: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17 North Second Street</w:t>
      </w: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15th Floor</w:t>
      </w:r>
    </w:p>
    <w:p w:rsidR="00151AF4" w:rsidRPr="00151AF4" w:rsidRDefault="00151AF4" w:rsidP="00151AF4">
      <w:pPr>
        <w:spacing w:after="0"/>
        <w:rPr>
          <w:rFonts w:ascii="Microsoft Sans Serif" w:eastAsia="Times New Roman" w:hAnsi="Microsoft Sans Serif" w:cs="Microsoft Sans Serif"/>
          <w:caps/>
          <w:sz w:val="24"/>
          <w:szCs w:val="24"/>
        </w:rPr>
      </w:pP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Harrisburg</w:t>
      </w:r>
      <w:r w:rsidRPr="00151AF4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</w:t>
      </w: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PA</w:t>
      </w:r>
      <w:r w:rsidRPr="00151AF4">
        <w:rPr>
          <w:rFonts w:ascii="Microsoft Sans Serif" w:eastAsia="Times New Roman" w:hAnsi="Microsoft Sans Serif" w:cs="Microsoft Sans Serif"/>
          <w:caps/>
          <w:sz w:val="24"/>
          <w:szCs w:val="24"/>
        </w:rPr>
        <w:t xml:space="preserve">  </w:t>
      </w:r>
      <w:r w:rsidRPr="00151AF4">
        <w:rPr>
          <w:rFonts w:ascii="Microsoft Sans Serif" w:eastAsia="Times New Roman" w:hAnsi="Microsoft Sans Serif" w:cs="Microsoft Sans Serif"/>
          <w:caps/>
          <w:noProof/>
          <w:sz w:val="24"/>
          <w:szCs w:val="24"/>
        </w:rPr>
        <w:t>17101-1503</w:t>
      </w:r>
    </w:p>
    <w:p w:rsidR="00151AF4" w:rsidRPr="00151AF4" w:rsidRDefault="00151AF4" w:rsidP="00151AF4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  <w:r w:rsidRPr="00151AF4">
        <w:rPr>
          <w:rFonts w:ascii="Microsoft Sans Serif" w:eastAsia="Times New Roman" w:hAnsi="Microsoft Sans Serif" w:cs="Microsoft Sans Serif"/>
          <w:b/>
          <w:caps/>
          <w:noProof/>
          <w:sz w:val="24"/>
          <w:szCs w:val="24"/>
        </w:rPr>
        <w:t>(717) 237-4375</w:t>
      </w:r>
    </w:p>
    <w:p w:rsidR="00151AF4" w:rsidRPr="00151AF4" w:rsidRDefault="00151AF4" w:rsidP="00151AF4">
      <w:pPr>
        <w:spacing w:after="0"/>
        <w:rPr>
          <w:rFonts w:ascii="Times New Roman" w:eastAsia="Times New Roman" w:hAnsi="Times New Roman" w:cs="Times New Roman"/>
          <w:sz w:val="24"/>
          <w:szCs w:val="20"/>
        </w:rPr>
      </w:pPr>
    </w:p>
    <w:p w:rsidR="00EA6874" w:rsidRPr="00503F6E" w:rsidRDefault="00EA6874" w:rsidP="00CB207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A6874" w:rsidRPr="00503F6E" w:rsidSect="00647D39">
      <w:pgSz w:w="12240" w:h="15840" w:code="1"/>
      <w:pgMar w:top="1440" w:right="1440" w:bottom="144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32D" w:rsidRDefault="0022632D" w:rsidP="00217E36">
      <w:pPr>
        <w:spacing w:after="0"/>
      </w:pPr>
      <w:r>
        <w:separator/>
      </w:r>
    </w:p>
  </w:endnote>
  <w:endnote w:type="continuationSeparator" w:id="0">
    <w:p w:rsidR="0022632D" w:rsidRDefault="0022632D" w:rsidP="00217E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18316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3F6E" w:rsidRDefault="00503F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A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03F6E" w:rsidRDefault="00503F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32D" w:rsidRDefault="0022632D" w:rsidP="00217E36">
      <w:pPr>
        <w:spacing w:after="0"/>
      </w:pPr>
      <w:r>
        <w:separator/>
      </w:r>
    </w:p>
  </w:footnote>
  <w:footnote w:type="continuationSeparator" w:id="0">
    <w:p w:rsidR="0022632D" w:rsidRDefault="0022632D" w:rsidP="00217E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6B1C"/>
    <w:multiLevelType w:val="hybridMultilevel"/>
    <w:tmpl w:val="DACA0C7C"/>
    <w:lvl w:ilvl="0" w:tplc="D9147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A64F67"/>
    <w:multiLevelType w:val="hybridMultilevel"/>
    <w:tmpl w:val="2C54FC3E"/>
    <w:lvl w:ilvl="0" w:tplc="D1A2F1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C447029"/>
    <w:multiLevelType w:val="hybridMultilevel"/>
    <w:tmpl w:val="6DE2D6D0"/>
    <w:lvl w:ilvl="0" w:tplc="2396872E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A1911C2"/>
    <w:multiLevelType w:val="hybridMultilevel"/>
    <w:tmpl w:val="D818CFCC"/>
    <w:lvl w:ilvl="0" w:tplc="B0240472">
      <w:start w:val="1"/>
      <w:numFmt w:val="decimal"/>
      <w:lvlText w:val="%1."/>
      <w:lvlJc w:val="left"/>
      <w:pPr>
        <w:ind w:left="3600" w:hanging="2160"/>
      </w:pPr>
      <w:rPr>
        <w:rFonts w:cs="CG Time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36"/>
    <w:rsid w:val="000109D8"/>
    <w:rsid w:val="000119FF"/>
    <w:rsid w:val="00011A5C"/>
    <w:rsid w:val="00013C17"/>
    <w:rsid w:val="00021919"/>
    <w:rsid w:val="000523E3"/>
    <w:rsid w:val="000D4AF5"/>
    <w:rsid w:val="000E5C23"/>
    <w:rsid w:val="00117298"/>
    <w:rsid w:val="00151AF4"/>
    <w:rsid w:val="001A7BA3"/>
    <w:rsid w:val="002112AD"/>
    <w:rsid w:val="00216BE6"/>
    <w:rsid w:val="00217E36"/>
    <w:rsid w:val="0022632D"/>
    <w:rsid w:val="002C6A64"/>
    <w:rsid w:val="002E46B5"/>
    <w:rsid w:val="0030516F"/>
    <w:rsid w:val="0030784E"/>
    <w:rsid w:val="003E034D"/>
    <w:rsid w:val="00415B7E"/>
    <w:rsid w:val="004165E5"/>
    <w:rsid w:val="0044753C"/>
    <w:rsid w:val="004566CD"/>
    <w:rsid w:val="00467664"/>
    <w:rsid w:val="0048515D"/>
    <w:rsid w:val="004A1766"/>
    <w:rsid w:val="00503F6E"/>
    <w:rsid w:val="005071F8"/>
    <w:rsid w:val="005202D5"/>
    <w:rsid w:val="0055277D"/>
    <w:rsid w:val="005A2D91"/>
    <w:rsid w:val="00620AB1"/>
    <w:rsid w:val="00680575"/>
    <w:rsid w:val="006B6E00"/>
    <w:rsid w:val="007437AE"/>
    <w:rsid w:val="00747EE0"/>
    <w:rsid w:val="007B1D82"/>
    <w:rsid w:val="007F59AB"/>
    <w:rsid w:val="00802363"/>
    <w:rsid w:val="00813FC0"/>
    <w:rsid w:val="00895338"/>
    <w:rsid w:val="008C0FFA"/>
    <w:rsid w:val="0092688C"/>
    <w:rsid w:val="009575F1"/>
    <w:rsid w:val="00964053"/>
    <w:rsid w:val="00967FFE"/>
    <w:rsid w:val="00972E96"/>
    <w:rsid w:val="009A1A7B"/>
    <w:rsid w:val="009A5278"/>
    <w:rsid w:val="009C0B76"/>
    <w:rsid w:val="009D6965"/>
    <w:rsid w:val="009F2063"/>
    <w:rsid w:val="00A3234A"/>
    <w:rsid w:val="00AC3AA0"/>
    <w:rsid w:val="00AE2F79"/>
    <w:rsid w:val="00AE3396"/>
    <w:rsid w:val="00AF78C3"/>
    <w:rsid w:val="00B741D0"/>
    <w:rsid w:val="00B77A09"/>
    <w:rsid w:val="00BE3322"/>
    <w:rsid w:val="00BF0F4F"/>
    <w:rsid w:val="00C11E0F"/>
    <w:rsid w:val="00C202C9"/>
    <w:rsid w:val="00C47A26"/>
    <w:rsid w:val="00C7247D"/>
    <w:rsid w:val="00C73BFD"/>
    <w:rsid w:val="00CB2071"/>
    <w:rsid w:val="00CD0FCA"/>
    <w:rsid w:val="00D40819"/>
    <w:rsid w:val="00D46F1E"/>
    <w:rsid w:val="00D7599C"/>
    <w:rsid w:val="00DA226C"/>
    <w:rsid w:val="00DE2AEF"/>
    <w:rsid w:val="00DE2F0C"/>
    <w:rsid w:val="00E13866"/>
    <w:rsid w:val="00E62C48"/>
    <w:rsid w:val="00E761AC"/>
    <w:rsid w:val="00E93F04"/>
    <w:rsid w:val="00E941B0"/>
    <w:rsid w:val="00EA6874"/>
    <w:rsid w:val="00ED004F"/>
    <w:rsid w:val="00EE6DD9"/>
    <w:rsid w:val="00F12A49"/>
    <w:rsid w:val="00F13B7A"/>
    <w:rsid w:val="00F413A4"/>
    <w:rsid w:val="00F51DCE"/>
    <w:rsid w:val="00F74465"/>
    <w:rsid w:val="00F800B2"/>
    <w:rsid w:val="00F85AA5"/>
    <w:rsid w:val="00F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E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E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E36"/>
    <w:rPr>
      <w:vertAlign w:val="superscript"/>
    </w:rPr>
  </w:style>
  <w:style w:type="paragraph" w:customStyle="1" w:styleId="ParaTab1">
    <w:name w:val="ParaTab 1"/>
    <w:rsid w:val="00217E3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39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B6E00"/>
    <w:pPr>
      <w:widowControl w:val="0"/>
      <w:autoSpaceDE w:val="0"/>
      <w:autoSpaceDN w:val="0"/>
      <w:spacing w:after="0" w:line="360" w:lineRule="auto"/>
      <w:ind w:firstLine="1440"/>
    </w:pPr>
    <w:rPr>
      <w:rFonts w:ascii="CG Times" w:eastAsia="Times New Roman" w:hAnsi="CG Times" w:cs="CG Time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6B6E00"/>
    <w:rPr>
      <w:rFonts w:ascii="CG Times" w:eastAsia="Times New Roman" w:hAnsi="CG Times" w:cs="CG Times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3F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3F6E"/>
  </w:style>
  <w:style w:type="paragraph" w:styleId="Footer">
    <w:name w:val="footer"/>
    <w:basedOn w:val="Normal"/>
    <w:link w:val="FooterChar"/>
    <w:uiPriority w:val="99"/>
    <w:unhideWhenUsed/>
    <w:rsid w:val="00503F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3F6E"/>
  </w:style>
  <w:style w:type="character" w:styleId="Hyperlink">
    <w:name w:val="Hyperlink"/>
    <w:rsid w:val="00F13B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7E3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E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E36"/>
    <w:rPr>
      <w:vertAlign w:val="superscript"/>
    </w:rPr>
  </w:style>
  <w:style w:type="paragraph" w:customStyle="1" w:styleId="ParaTab1">
    <w:name w:val="ParaTab 1"/>
    <w:rsid w:val="00217E36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E339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6B6E00"/>
    <w:pPr>
      <w:widowControl w:val="0"/>
      <w:autoSpaceDE w:val="0"/>
      <w:autoSpaceDN w:val="0"/>
      <w:spacing w:after="0" w:line="360" w:lineRule="auto"/>
      <w:ind w:firstLine="1440"/>
    </w:pPr>
    <w:rPr>
      <w:rFonts w:ascii="CG Times" w:eastAsia="Times New Roman" w:hAnsi="CG Times" w:cs="CG Times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6B6E00"/>
    <w:rPr>
      <w:rFonts w:ascii="CG Times" w:eastAsia="Times New Roman" w:hAnsi="CG Times" w:cs="CG Times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03F6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3F6E"/>
  </w:style>
  <w:style w:type="paragraph" w:styleId="Footer">
    <w:name w:val="footer"/>
    <w:basedOn w:val="Normal"/>
    <w:link w:val="FooterChar"/>
    <w:uiPriority w:val="99"/>
    <w:unhideWhenUsed/>
    <w:rsid w:val="00503F6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3F6E"/>
  </w:style>
  <w:style w:type="character" w:styleId="Hyperlink">
    <w:name w:val="Hyperlink"/>
    <w:rsid w:val="00F13B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5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6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AF8F0-1503-4483-8B77-A7A4E157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Leonard, Allyson</cp:lastModifiedBy>
  <cp:revision>3</cp:revision>
  <cp:lastPrinted>2012-12-05T18:42:00Z</cp:lastPrinted>
  <dcterms:created xsi:type="dcterms:W3CDTF">2012-12-05T18:40:00Z</dcterms:created>
  <dcterms:modified xsi:type="dcterms:W3CDTF">2012-12-05T18:45:00Z</dcterms:modified>
</cp:coreProperties>
</file>