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8F68F8">
            <w:pPr>
              <w:rPr>
                <w:sz w:val="26"/>
                <w:szCs w:val="26"/>
              </w:rPr>
            </w:pPr>
          </w:p>
        </w:tc>
        <w:tc>
          <w:tcPr>
            <w:tcW w:w="4428" w:type="dxa"/>
          </w:tcPr>
          <w:p w:rsidR="00F514FB" w:rsidRPr="00F514FB" w:rsidRDefault="00F514FB" w:rsidP="008F68F8">
            <w:pPr>
              <w:jc w:val="right"/>
              <w:rPr>
                <w:sz w:val="26"/>
                <w:szCs w:val="26"/>
              </w:rPr>
            </w:pPr>
            <w:r w:rsidRPr="00F514FB">
              <w:rPr>
                <w:sz w:val="26"/>
                <w:szCs w:val="26"/>
              </w:rPr>
              <w:t xml:space="preserve">Public Meeting held </w:t>
            </w:r>
            <w:r w:rsidR="008F68F8">
              <w:rPr>
                <w:sz w:val="26"/>
                <w:szCs w:val="26"/>
              </w:rPr>
              <w:t>December 5, 2012</w:t>
            </w:r>
          </w:p>
          <w:p w:rsidR="00F514FB" w:rsidRPr="00F514FB" w:rsidRDefault="00F514FB" w:rsidP="008F68F8">
            <w:pPr>
              <w:jc w:val="right"/>
              <w:rPr>
                <w:sz w:val="26"/>
                <w:szCs w:val="26"/>
              </w:rPr>
            </w:pPr>
          </w:p>
          <w:p w:rsidR="00F514FB" w:rsidRPr="00F514FB" w:rsidRDefault="00F514FB" w:rsidP="008F68F8">
            <w:pPr>
              <w:jc w:val="right"/>
              <w:rPr>
                <w:sz w:val="26"/>
                <w:szCs w:val="26"/>
              </w:rPr>
            </w:pPr>
          </w:p>
        </w:tc>
      </w:tr>
      <w:tr w:rsidR="00F514FB" w:rsidRPr="00F514FB" w:rsidTr="008F68F8">
        <w:tc>
          <w:tcPr>
            <w:tcW w:w="5058" w:type="dxa"/>
          </w:tcPr>
          <w:p w:rsidR="00F514FB" w:rsidRPr="00F514FB" w:rsidRDefault="00F514FB" w:rsidP="008F68F8">
            <w:pPr>
              <w:rPr>
                <w:sz w:val="26"/>
                <w:szCs w:val="26"/>
              </w:rPr>
            </w:pPr>
            <w:r w:rsidRPr="00F514FB">
              <w:rPr>
                <w:sz w:val="26"/>
                <w:szCs w:val="26"/>
              </w:rPr>
              <w:t>Commissioners Present:</w:t>
            </w:r>
          </w:p>
          <w:p w:rsidR="00F514FB" w:rsidRPr="00F514FB" w:rsidRDefault="00F514FB" w:rsidP="008F68F8">
            <w:pPr>
              <w:rPr>
                <w:sz w:val="26"/>
                <w:szCs w:val="26"/>
              </w:rPr>
            </w:pPr>
          </w:p>
          <w:p w:rsidR="00F514FB" w:rsidRPr="00F514FB" w:rsidRDefault="00F514FB" w:rsidP="008F68F8">
            <w:pPr>
              <w:tabs>
                <w:tab w:val="left" w:pos="705"/>
              </w:tabs>
              <w:ind w:firstLine="720"/>
              <w:rPr>
                <w:sz w:val="26"/>
                <w:szCs w:val="26"/>
              </w:rPr>
            </w:pPr>
            <w:r w:rsidRPr="00F514FB">
              <w:rPr>
                <w:sz w:val="26"/>
                <w:szCs w:val="26"/>
              </w:rPr>
              <w:t>Robert F. Powelson, Chairman</w:t>
            </w:r>
          </w:p>
          <w:p w:rsidR="00F514FB" w:rsidRPr="00F514FB" w:rsidRDefault="00F514FB" w:rsidP="008F68F8">
            <w:pPr>
              <w:tabs>
                <w:tab w:val="left" w:pos="705"/>
              </w:tabs>
              <w:ind w:firstLine="720"/>
              <w:rPr>
                <w:sz w:val="26"/>
                <w:szCs w:val="26"/>
              </w:rPr>
            </w:pPr>
            <w:r w:rsidRPr="00F514FB">
              <w:rPr>
                <w:sz w:val="26"/>
                <w:szCs w:val="26"/>
              </w:rPr>
              <w:t>John F. Coleman, Jr., Vice Chairman</w:t>
            </w:r>
          </w:p>
          <w:p w:rsidR="00F514FB" w:rsidRPr="00F514FB" w:rsidRDefault="00F514FB" w:rsidP="008F68F8">
            <w:pPr>
              <w:tabs>
                <w:tab w:val="left" w:pos="705"/>
              </w:tabs>
              <w:ind w:firstLine="720"/>
              <w:rPr>
                <w:sz w:val="26"/>
                <w:szCs w:val="26"/>
              </w:rPr>
            </w:pPr>
            <w:r w:rsidRPr="00F514FB">
              <w:rPr>
                <w:sz w:val="26"/>
                <w:szCs w:val="26"/>
              </w:rPr>
              <w:t>Wayne E. Gardner</w:t>
            </w:r>
          </w:p>
          <w:p w:rsidR="00F514FB" w:rsidRPr="00F514FB" w:rsidRDefault="00F514FB" w:rsidP="008F68F8">
            <w:pPr>
              <w:tabs>
                <w:tab w:val="left" w:pos="705"/>
              </w:tabs>
              <w:ind w:firstLine="720"/>
              <w:rPr>
                <w:sz w:val="26"/>
                <w:szCs w:val="26"/>
              </w:rPr>
            </w:pPr>
            <w:r w:rsidRPr="00F514FB">
              <w:rPr>
                <w:sz w:val="26"/>
                <w:szCs w:val="26"/>
              </w:rPr>
              <w:t>James H. Cawley</w:t>
            </w:r>
          </w:p>
          <w:p w:rsidR="00F514FB" w:rsidRPr="00F514FB" w:rsidRDefault="00F514FB" w:rsidP="008F68F8">
            <w:pPr>
              <w:tabs>
                <w:tab w:val="left" w:pos="705"/>
              </w:tabs>
              <w:ind w:firstLine="720"/>
              <w:rPr>
                <w:sz w:val="26"/>
                <w:szCs w:val="26"/>
              </w:rPr>
            </w:pPr>
            <w:r w:rsidRPr="00F514FB">
              <w:rPr>
                <w:sz w:val="26"/>
                <w:szCs w:val="26"/>
              </w:rPr>
              <w:t>Pamela A. Witmer</w:t>
            </w:r>
          </w:p>
          <w:p w:rsidR="00F514FB" w:rsidRPr="00F514FB" w:rsidRDefault="00F514FB" w:rsidP="008F68F8">
            <w:pPr>
              <w:rPr>
                <w:sz w:val="26"/>
                <w:szCs w:val="26"/>
              </w:rPr>
            </w:pPr>
          </w:p>
          <w:p w:rsidR="00F514FB" w:rsidRPr="00F514FB" w:rsidRDefault="00F514FB" w:rsidP="008F68F8">
            <w:pPr>
              <w:rPr>
                <w:sz w:val="26"/>
                <w:szCs w:val="26"/>
              </w:rPr>
            </w:pPr>
          </w:p>
        </w:tc>
        <w:tc>
          <w:tcPr>
            <w:tcW w:w="4428" w:type="dxa"/>
          </w:tcPr>
          <w:p w:rsidR="00F514FB" w:rsidRPr="00F514FB" w:rsidRDefault="00F514FB" w:rsidP="008F68F8">
            <w:pPr>
              <w:jc w:val="right"/>
              <w:rPr>
                <w:sz w:val="26"/>
                <w:szCs w:val="26"/>
              </w:rPr>
            </w:pPr>
          </w:p>
          <w:p w:rsidR="00F514FB" w:rsidRPr="00F514FB" w:rsidRDefault="00F514FB" w:rsidP="008F68F8">
            <w:pPr>
              <w:jc w:val="right"/>
              <w:rPr>
                <w:sz w:val="26"/>
                <w:szCs w:val="26"/>
              </w:rPr>
            </w:pPr>
          </w:p>
        </w:tc>
      </w:tr>
      <w:tr w:rsidR="00F514FB" w:rsidRPr="00F514FB" w:rsidTr="00DE25AC">
        <w:tc>
          <w:tcPr>
            <w:tcW w:w="5058" w:type="dxa"/>
          </w:tcPr>
          <w:p w:rsidR="00F514FB" w:rsidRPr="00F514FB" w:rsidRDefault="008F68F8" w:rsidP="008F68F8">
            <w:pPr>
              <w:rPr>
                <w:sz w:val="26"/>
                <w:szCs w:val="26"/>
              </w:rPr>
            </w:pPr>
            <w:r>
              <w:rPr>
                <w:sz w:val="26"/>
                <w:szCs w:val="26"/>
              </w:rPr>
              <w:t>Nehemiah Thomas</w:t>
            </w:r>
          </w:p>
          <w:p w:rsidR="00F514FB" w:rsidRPr="00F514FB" w:rsidRDefault="00F514FB" w:rsidP="008F68F8">
            <w:pPr>
              <w:rPr>
                <w:sz w:val="26"/>
                <w:szCs w:val="26"/>
              </w:rPr>
            </w:pPr>
          </w:p>
        </w:tc>
        <w:tc>
          <w:tcPr>
            <w:tcW w:w="4428" w:type="dxa"/>
          </w:tcPr>
          <w:p w:rsidR="00F514FB" w:rsidRPr="00F514FB" w:rsidRDefault="008F68F8" w:rsidP="008F68F8">
            <w:pPr>
              <w:jc w:val="right"/>
              <w:rPr>
                <w:sz w:val="26"/>
                <w:szCs w:val="26"/>
              </w:rPr>
            </w:pPr>
            <w:r>
              <w:rPr>
                <w:sz w:val="26"/>
                <w:szCs w:val="26"/>
              </w:rPr>
              <w:t>F-2012-2294555</w:t>
            </w:r>
          </w:p>
        </w:tc>
      </w:tr>
      <w:tr w:rsidR="00F514FB" w:rsidRPr="00F514FB" w:rsidTr="00DE25AC">
        <w:tc>
          <w:tcPr>
            <w:tcW w:w="5058" w:type="dxa"/>
          </w:tcPr>
          <w:p w:rsidR="00F514FB" w:rsidRPr="00F514FB" w:rsidRDefault="00F514FB" w:rsidP="008F68F8">
            <w:pPr>
              <w:ind w:firstLine="1440"/>
              <w:rPr>
                <w:sz w:val="26"/>
                <w:szCs w:val="26"/>
              </w:rPr>
            </w:pPr>
            <w:r w:rsidRPr="00F514FB">
              <w:rPr>
                <w:sz w:val="26"/>
                <w:szCs w:val="26"/>
              </w:rPr>
              <w:t>v.</w:t>
            </w:r>
          </w:p>
          <w:p w:rsidR="00F514FB" w:rsidRPr="00F514FB" w:rsidRDefault="00F514FB" w:rsidP="008F68F8">
            <w:pPr>
              <w:ind w:firstLine="1440"/>
              <w:rPr>
                <w:sz w:val="26"/>
                <w:szCs w:val="26"/>
              </w:rPr>
            </w:pPr>
          </w:p>
        </w:tc>
        <w:tc>
          <w:tcPr>
            <w:tcW w:w="4428" w:type="dxa"/>
          </w:tcPr>
          <w:p w:rsidR="00F514FB" w:rsidRPr="00F514FB" w:rsidRDefault="00F514FB" w:rsidP="008F68F8">
            <w:pPr>
              <w:rPr>
                <w:sz w:val="26"/>
                <w:szCs w:val="26"/>
              </w:rPr>
            </w:pPr>
          </w:p>
        </w:tc>
      </w:tr>
      <w:tr w:rsidR="00F514FB" w:rsidRPr="00F514FB" w:rsidTr="008F68F8">
        <w:tc>
          <w:tcPr>
            <w:tcW w:w="5058" w:type="dxa"/>
          </w:tcPr>
          <w:p w:rsidR="00F514FB" w:rsidRPr="00F514FB" w:rsidRDefault="008F68F8" w:rsidP="008F68F8">
            <w:pPr>
              <w:rPr>
                <w:sz w:val="26"/>
                <w:szCs w:val="26"/>
              </w:rPr>
            </w:pPr>
            <w:r>
              <w:rPr>
                <w:sz w:val="26"/>
                <w:szCs w:val="26"/>
              </w:rPr>
              <w:t>PECO Energy Company</w:t>
            </w:r>
          </w:p>
        </w:tc>
        <w:tc>
          <w:tcPr>
            <w:tcW w:w="4428" w:type="dxa"/>
          </w:tcPr>
          <w:p w:rsidR="00F514FB" w:rsidRPr="00F514FB" w:rsidRDefault="00F514FB" w:rsidP="008F68F8">
            <w:pPr>
              <w:rPr>
                <w:sz w:val="26"/>
                <w:szCs w:val="26"/>
              </w:rPr>
            </w:pPr>
          </w:p>
        </w:tc>
      </w:tr>
    </w:tbl>
    <w:p w:rsidR="00F514FB" w:rsidRPr="00F514FB" w:rsidRDefault="00F514FB" w:rsidP="00F514FB">
      <w:pPr>
        <w:rPr>
          <w:sz w:val="26"/>
          <w:szCs w:val="26"/>
        </w:rPr>
      </w:pPr>
    </w:p>
    <w:p w:rsidR="00F514FB" w:rsidRPr="00F514FB" w:rsidRDefault="00F514FB" w:rsidP="00F514FB">
      <w:pPr>
        <w:rPr>
          <w:sz w:val="26"/>
          <w:szCs w:val="26"/>
        </w:rPr>
      </w:pPr>
    </w:p>
    <w:p w:rsidR="00F514FB" w:rsidRPr="00F514FB" w:rsidRDefault="00F514FB" w:rsidP="00F514FB">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F514FB" w:rsidRPr="00F514FB" w:rsidRDefault="00F514FB" w:rsidP="00F514FB">
      <w:pPr>
        <w:jc w:val="center"/>
        <w:rPr>
          <w:b/>
          <w:sz w:val="26"/>
          <w:szCs w:val="26"/>
        </w:rPr>
      </w:pPr>
    </w:p>
    <w:p w:rsidR="00F514FB" w:rsidRPr="00F514FB" w:rsidRDefault="00F514FB" w:rsidP="00F514FB">
      <w:pPr>
        <w:jc w:val="center"/>
        <w:rPr>
          <w:b/>
          <w:sz w:val="26"/>
          <w:szCs w:val="26"/>
        </w:rPr>
      </w:pPr>
    </w:p>
    <w:p w:rsidR="00F514FB" w:rsidRPr="00F514FB" w:rsidRDefault="00F514FB" w:rsidP="00F514FB">
      <w:pPr>
        <w:rPr>
          <w:b/>
          <w:sz w:val="26"/>
          <w:szCs w:val="26"/>
        </w:rPr>
      </w:pPr>
      <w:r w:rsidRPr="00F514FB">
        <w:rPr>
          <w:b/>
          <w:sz w:val="26"/>
          <w:szCs w:val="26"/>
        </w:rPr>
        <w:t>BY THE COMMISSION:</w:t>
      </w:r>
    </w:p>
    <w:p w:rsidR="00F514FB" w:rsidRPr="00F514FB" w:rsidRDefault="00F514FB" w:rsidP="00F514FB">
      <w:pPr>
        <w:rPr>
          <w:sz w:val="26"/>
          <w:szCs w:val="26"/>
        </w:rPr>
      </w:pPr>
    </w:p>
    <w:p w:rsidR="00F514FB" w:rsidRPr="00F514FB" w:rsidRDefault="00F514FB" w:rsidP="00F514FB">
      <w:pPr>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 xml:space="preserve">are the Exceptions (Exceptions) of </w:t>
      </w:r>
      <w:r w:rsidR="008F68F8">
        <w:rPr>
          <w:color w:val="000000"/>
          <w:sz w:val="26"/>
        </w:rPr>
        <w:t>Nehemiah Thomas</w:t>
      </w:r>
      <w:r w:rsidR="00671E4C">
        <w:rPr>
          <w:color w:val="000000"/>
          <w:sz w:val="26"/>
        </w:rPr>
        <w:t xml:space="preserve"> (</w:t>
      </w:r>
      <w:r w:rsidR="008F68F8">
        <w:rPr>
          <w:color w:val="000000"/>
          <w:sz w:val="26"/>
        </w:rPr>
        <w:t>Complainant</w:t>
      </w:r>
      <w:r w:rsidR="00671E4C">
        <w:rPr>
          <w:color w:val="000000"/>
          <w:sz w:val="26"/>
        </w:rPr>
        <w:t xml:space="preserve">) filed on </w:t>
      </w:r>
      <w:r w:rsidR="008F68F8">
        <w:rPr>
          <w:color w:val="000000"/>
          <w:sz w:val="26"/>
        </w:rPr>
        <w:t>May 29, 2012</w:t>
      </w:r>
      <w:r w:rsidR="00671E4C">
        <w:rPr>
          <w:color w:val="000000"/>
          <w:sz w:val="26"/>
        </w:rPr>
        <w:t xml:space="preserve">, to the Initial Decision (I.D.) of Administrative Law Judge (ALJ) </w:t>
      </w:r>
      <w:r w:rsidR="008F68F8">
        <w:rPr>
          <w:color w:val="000000"/>
          <w:sz w:val="26"/>
        </w:rPr>
        <w:t>Katrina L. Dunderdale</w:t>
      </w:r>
      <w:r w:rsidR="00671E4C">
        <w:rPr>
          <w:color w:val="000000"/>
          <w:sz w:val="26"/>
        </w:rPr>
        <w:t>, which was issued on</w:t>
      </w:r>
      <w:r w:rsidR="008F68F8">
        <w:rPr>
          <w:color w:val="000000"/>
          <w:sz w:val="26"/>
        </w:rPr>
        <w:t xml:space="preserve"> May 17, 2012,</w:t>
      </w:r>
      <w:r w:rsidR="00671E4C">
        <w:rPr>
          <w:color w:val="000000"/>
          <w:sz w:val="26"/>
        </w:rPr>
        <w:t xml:space="preserve"> in the above-captioned proceedings.  </w:t>
      </w:r>
      <w:r w:rsidR="008F68F8">
        <w:rPr>
          <w:color w:val="000000"/>
          <w:sz w:val="26"/>
        </w:rPr>
        <w:t xml:space="preserve">No </w:t>
      </w:r>
      <w:r w:rsidR="00671E4C">
        <w:rPr>
          <w:color w:val="000000"/>
          <w:sz w:val="26"/>
        </w:rPr>
        <w:t xml:space="preserve">Replies to Exceptions were filed.  </w:t>
      </w:r>
      <w:r w:rsidRPr="00CA43A5">
        <w:rPr>
          <w:sz w:val="26"/>
          <w:szCs w:val="26"/>
        </w:rPr>
        <w:t xml:space="preserve">For the reasons stated below, we </w:t>
      </w:r>
      <w:r w:rsidR="00446B4B">
        <w:rPr>
          <w:sz w:val="26"/>
          <w:szCs w:val="26"/>
        </w:rPr>
        <w:t>will deny the Exceptions</w:t>
      </w:r>
      <w:r w:rsidR="00230A53">
        <w:rPr>
          <w:sz w:val="26"/>
          <w:szCs w:val="26"/>
        </w:rPr>
        <w:t>, adopt the Initial Decision and dismiss the complaint</w:t>
      </w:r>
      <w:r w:rsidRPr="00CA43A5">
        <w:rPr>
          <w:sz w:val="26"/>
          <w:szCs w:val="26"/>
        </w:rPr>
        <w:t>.</w:t>
      </w:r>
    </w:p>
    <w:p w:rsidR="00CA43A5" w:rsidRPr="00CA43A5" w:rsidRDefault="00CA43A5" w:rsidP="00CA43A5">
      <w:pPr>
        <w:spacing w:line="360" w:lineRule="auto"/>
        <w:rPr>
          <w:sz w:val="26"/>
          <w:szCs w:val="26"/>
        </w:rPr>
      </w:pPr>
    </w:p>
    <w:p w:rsidR="00CA43A5" w:rsidRDefault="00CA43A5" w:rsidP="00A0742E">
      <w:pPr>
        <w:keepNext/>
        <w:keepLines/>
        <w:widowControl/>
        <w:spacing w:line="360" w:lineRule="auto"/>
        <w:jc w:val="center"/>
        <w:rPr>
          <w:b/>
          <w:sz w:val="26"/>
          <w:szCs w:val="26"/>
        </w:rPr>
      </w:pPr>
      <w:bookmarkStart w:id="0" w:name="OLE_LINK1"/>
      <w:bookmarkStart w:id="1" w:name="OLE_LINK2"/>
      <w:r w:rsidRPr="00CA43A5">
        <w:rPr>
          <w:b/>
          <w:sz w:val="26"/>
          <w:szCs w:val="26"/>
        </w:rPr>
        <w:lastRenderedPageBreak/>
        <w:t>History of the Proceeding</w:t>
      </w:r>
    </w:p>
    <w:p w:rsidR="00446B4B" w:rsidRDefault="00446B4B" w:rsidP="00A0742E">
      <w:pPr>
        <w:keepNext/>
        <w:keepLines/>
        <w:widowControl/>
        <w:spacing w:line="360" w:lineRule="auto"/>
        <w:jc w:val="center"/>
        <w:rPr>
          <w:b/>
          <w:sz w:val="26"/>
          <w:szCs w:val="26"/>
        </w:rPr>
      </w:pPr>
    </w:p>
    <w:p w:rsidR="00446B4B" w:rsidRDefault="00446B4B" w:rsidP="00A0742E">
      <w:pPr>
        <w:keepNext/>
        <w:keepLines/>
        <w:widowControl/>
        <w:spacing w:line="360" w:lineRule="auto"/>
        <w:rPr>
          <w:sz w:val="26"/>
          <w:szCs w:val="26"/>
        </w:rPr>
      </w:pPr>
      <w:r>
        <w:rPr>
          <w:sz w:val="26"/>
          <w:szCs w:val="26"/>
        </w:rPr>
        <w:tab/>
      </w:r>
      <w:r>
        <w:rPr>
          <w:sz w:val="26"/>
          <w:szCs w:val="26"/>
        </w:rPr>
        <w:tab/>
        <w:t xml:space="preserve">On March 19, 2012, the Complainant filed a </w:t>
      </w:r>
      <w:r w:rsidR="003E28A0">
        <w:rPr>
          <w:sz w:val="26"/>
          <w:szCs w:val="26"/>
        </w:rPr>
        <w:t>F</w:t>
      </w:r>
      <w:r>
        <w:rPr>
          <w:sz w:val="26"/>
          <w:szCs w:val="26"/>
        </w:rPr>
        <w:t xml:space="preserve">ormal </w:t>
      </w:r>
      <w:r w:rsidR="003E28A0">
        <w:rPr>
          <w:sz w:val="26"/>
          <w:szCs w:val="26"/>
        </w:rPr>
        <w:t>C</w:t>
      </w:r>
      <w:r>
        <w:rPr>
          <w:sz w:val="26"/>
          <w:szCs w:val="26"/>
        </w:rPr>
        <w:t>omplaint against PECO Energy Company (Respondent).  The Complainant alleged that there were incorrect charges on his billing statement.  The Complainant also alleged that a PECO employee was trying to kill him, unnamed PECO employees were terrorists, PECO employees were following him around, PECO stole his bicycles in November 2011 and February 2012, and PECO improperly terminated his electric service by illegally cutting his wires.  The Complainant referenced a prior Commission proceeding at Docket N</w:t>
      </w:r>
      <w:r w:rsidR="00D25E59">
        <w:rPr>
          <w:sz w:val="26"/>
          <w:szCs w:val="26"/>
        </w:rPr>
        <w:t>o.</w:t>
      </w:r>
      <w:r>
        <w:rPr>
          <w:sz w:val="26"/>
          <w:szCs w:val="26"/>
        </w:rPr>
        <w:t xml:space="preserve"> C</w:t>
      </w:r>
      <w:r w:rsidR="0019743C">
        <w:rPr>
          <w:sz w:val="26"/>
          <w:szCs w:val="26"/>
        </w:rPr>
        <w:noBreakHyphen/>
      </w:r>
      <w:r>
        <w:rPr>
          <w:sz w:val="26"/>
          <w:szCs w:val="26"/>
        </w:rPr>
        <w:t>2010-2187197</w:t>
      </w:r>
      <w:r w:rsidR="003E28A0">
        <w:rPr>
          <w:sz w:val="26"/>
          <w:szCs w:val="26"/>
        </w:rPr>
        <w:t>,</w:t>
      </w:r>
      <w:r>
        <w:rPr>
          <w:sz w:val="26"/>
          <w:szCs w:val="26"/>
        </w:rPr>
        <w:t xml:space="preserve"> which Complainant alleges contains evidence in support of his allegations in this Complaint.  I.D. at 1.</w:t>
      </w:r>
    </w:p>
    <w:p w:rsidR="00446B4B" w:rsidRDefault="00446B4B" w:rsidP="00446B4B">
      <w:pPr>
        <w:spacing w:line="360" w:lineRule="auto"/>
        <w:rPr>
          <w:sz w:val="26"/>
          <w:szCs w:val="26"/>
        </w:rPr>
      </w:pPr>
    </w:p>
    <w:p w:rsidR="00446B4B" w:rsidRDefault="00446B4B" w:rsidP="00446B4B">
      <w:pPr>
        <w:spacing w:line="360" w:lineRule="auto"/>
        <w:rPr>
          <w:sz w:val="26"/>
          <w:szCs w:val="26"/>
        </w:rPr>
      </w:pPr>
      <w:r>
        <w:rPr>
          <w:sz w:val="26"/>
          <w:szCs w:val="26"/>
        </w:rPr>
        <w:tab/>
      </w:r>
      <w:r>
        <w:rPr>
          <w:sz w:val="26"/>
          <w:szCs w:val="26"/>
        </w:rPr>
        <w:tab/>
        <w:t>PECO filed an Answer and Preliminary Objection</w:t>
      </w:r>
      <w:r w:rsidR="00E07EDA">
        <w:rPr>
          <w:sz w:val="26"/>
          <w:szCs w:val="26"/>
        </w:rPr>
        <w:t>s</w:t>
      </w:r>
      <w:r>
        <w:rPr>
          <w:sz w:val="26"/>
          <w:szCs w:val="26"/>
        </w:rPr>
        <w:t xml:space="preserve"> on April 11, 2012.  The Answer denied the material allegations of fact in the Complaint.  PECO’s Preliminary Objection</w:t>
      </w:r>
      <w:r w:rsidR="00E07EDA">
        <w:rPr>
          <w:sz w:val="26"/>
          <w:szCs w:val="26"/>
        </w:rPr>
        <w:t>s</w:t>
      </w:r>
      <w:r>
        <w:rPr>
          <w:sz w:val="26"/>
          <w:szCs w:val="26"/>
        </w:rPr>
        <w:t xml:space="preserve"> asserted that the Commission lacks subject matter jurisdiction over any criminal matters.  PECO Preliminary Objections at 2.  The Preliminary Objection</w:t>
      </w:r>
      <w:r w:rsidR="00E07EDA">
        <w:rPr>
          <w:sz w:val="26"/>
          <w:szCs w:val="26"/>
        </w:rPr>
        <w:t>s</w:t>
      </w:r>
      <w:r>
        <w:rPr>
          <w:sz w:val="26"/>
          <w:szCs w:val="26"/>
        </w:rPr>
        <w:t xml:space="preserve"> also argued that Complainant was precluded from raising the same issues that had been litigated in the proceeding docketed at </w:t>
      </w:r>
      <w:r w:rsidR="00D25E59">
        <w:rPr>
          <w:sz w:val="26"/>
          <w:szCs w:val="26"/>
        </w:rPr>
        <w:t xml:space="preserve">Docket No. </w:t>
      </w:r>
      <w:r>
        <w:rPr>
          <w:sz w:val="26"/>
          <w:szCs w:val="26"/>
        </w:rPr>
        <w:t xml:space="preserve">C-2010-2187197 under the doctrine of </w:t>
      </w:r>
      <w:r w:rsidRPr="00446B4B">
        <w:rPr>
          <w:i/>
          <w:sz w:val="26"/>
          <w:szCs w:val="26"/>
        </w:rPr>
        <w:t>res judicata</w:t>
      </w:r>
      <w:r>
        <w:rPr>
          <w:sz w:val="26"/>
          <w:szCs w:val="26"/>
        </w:rPr>
        <w:t xml:space="preserve">.  </w:t>
      </w:r>
      <w:r w:rsidRPr="00446B4B">
        <w:rPr>
          <w:i/>
          <w:sz w:val="26"/>
          <w:szCs w:val="26"/>
        </w:rPr>
        <w:t>Id</w:t>
      </w:r>
      <w:r>
        <w:rPr>
          <w:sz w:val="26"/>
          <w:szCs w:val="26"/>
        </w:rPr>
        <w:t>. at 4-5.</w:t>
      </w:r>
    </w:p>
    <w:p w:rsidR="00446B4B" w:rsidRDefault="00446B4B" w:rsidP="00446B4B">
      <w:pPr>
        <w:spacing w:line="360" w:lineRule="auto"/>
        <w:rPr>
          <w:sz w:val="26"/>
          <w:szCs w:val="26"/>
        </w:rPr>
      </w:pPr>
    </w:p>
    <w:p w:rsidR="00446B4B" w:rsidRDefault="00446B4B" w:rsidP="00446B4B">
      <w:pPr>
        <w:spacing w:line="360" w:lineRule="auto"/>
        <w:rPr>
          <w:sz w:val="26"/>
          <w:szCs w:val="26"/>
        </w:rPr>
      </w:pPr>
      <w:r>
        <w:rPr>
          <w:sz w:val="26"/>
          <w:szCs w:val="26"/>
        </w:rPr>
        <w:tab/>
      </w:r>
      <w:r>
        <w:rPr>
          <w:sz w:val="26"/>
          <w:szCs w:val="26"/>
        </w:rPr>
        <w:tab/>
      </w:r>
      <w:r w:rsidR="00B14143">
        <w:rPr>
          <w:sz w:val="26"/>
          <w:szCs w:val="26"/>
        </w:rPr>
        <w:t>The Complainant filed an Answer to PECO’s Preliminary Objection</w:t>
      </w:r>
      <w:r w:rsidR="00E07EDA">
        <w:rPr>
          <w:sz w:val="26"/>
          <w:szCs w:val="26"/>
        </w:rPr>
        <w:t>s</w:t>
      </w:r>
      <w:r w:rsidR="00B14143">
        <w:rPr>
          <w:sz w:val="26"/>
          <w:szCs w:val="26"/>
        </w:rPr>
        <w:t xml:space="preserve"> on April 20, 2012.  The Complainant stated that he disagreed with PECO’s arguments and asserted that, if given the opportunity, he could clarify the evidence he submitted in the prior proceeding.</w:t>
      </w:r>
    </w:p>
    <w:p w:rsidR="00A30C69" w:rsidRDefault="00A30C69" w:rsidP="00446B4B">
      <w:pPr>
        <w:spacing w:line="360" w:lineRule="auto"/>
        <w:rPr>
          <w:sz w:val="26"/>
          <w:szCs w:val="26"/>
        </w:rPr>
      </w:pPr>
    </w:p>
    <w:p w:rsidR="00A30C69" w:rsidRDefault="00A30C69" w:rsidP="00446B4B">
      <w:pPr>
        <w:spacing w:line="360" w:lineRule="auto"/>
        <w:rPr>
          <w:sz w:val="26"/>
          <w:szCs w:val="26"/>
        </w:rPr>
      </w:pPr>
      <w:r>
        <w:rPr>
          <w:sz w:val="26"/>
          <w:szCs w:val="26"/>
        </w:rPr>
        <w:tab/>
      </w:r>
      <w:r>
        <w:rPr>
          <w:sz w:val="26"/>
          <w:szCs w:val="26"/>
        </w:rPr>
        <w:tab/>
        <w:t>The ALJ’s Initial Decision was issued on May 17, 2012</w:t>
      </w:r>
      <w:r w:rsidR="003E28A0">
        <w:rPr>
          <w:sz w:val="26"/>
          <w:szCs w:val="26"/>
        </w:rPr>
        <w:t>, in which ALJ Dunderdale</w:t>
      </w:r>
      <w:r>
        <w:rPr>
          <w:sz w:val="26"/>
          <w:szCs w:val="26"/>
        </w:rPr>
        <w:t xml:space="preserve"> granted PECO’s Preliminary Objection</w:t>
      </w:r>
      <w:r w:rsidR="00E07EDA">
        <w:rPr>
          <w:sz w:val="26"/>
          <w:szCs w:val="26"/>
        </w:rPr>
        <w:t>s</w:t>
      </w:r>
      <w:r>
        <w:rPr>
          <w:sz w:val="26"/>
          <w:szCs w:val="26"/>
        </w:rPr>
        <w:t>.  The ALJ discussed the Commission’s standards relating to Preliminary Objections in general, reviewed the prior proceeding at Docket N</w:t>
      </w:r>
      <w:r w:rsidR="00954E1F">
        <w:rPr>
          <w:sz w:val="26"/>
          <w:szCs w:val="26"/>
        </w:rPr>
        <w:t>o.</w:t>
      </w:r>
      <w:r>
        <w:rPr>
          <w:sz w:val="26"/>
          <w:szCs w:val="26"/>
        </w:rPr>
        <w:t xml:space="preserve"> C</w:t>
      </w:r>
      <w:r>
        <w:rPr>
          <w:sz w:val="26"/>
          <w:szCs w:val="26"/>
        </w:rPr>
        <w:noBreakHyphen/>
        <w:t xml:space="preserve">2010-2187197 and determined that </w:t>
      </w:r>
      <w:r w:rsidR="00CC48BD">
        <w:rPr>
          <w:sz w:val="26"/>
          <w:szCs w:val="26"/>
        </w:rPr>
        <w:t xml:space="preserve">a portion of </w:t>
      </w:r>
      <w:r>
        <w:rPr>
          <w:sz w:val="26"/>
          <w:szCs w:val="26"/>
        </w:rPr>
        <w:t xml:space="preserve">the </w:t>
      </w:r>
      <w:r>
        <w:rPr>
          <w:sz w:val="26"/>
          <w:szCs w:val="26"/>
        </w:rPr>
        <w:lastRenderedPageBreak/>
        <w:t xml:space="preserve">Complaint before her was an attempt to relitigate the same issues that were brought in that prior proceeding.  The ALJ found that </w:t>
      </w:r>
      <w:r w:rsidR="00CC48BD">
        <w:rPr>
          <w:sz w:val="26"/>
          <w:szCs w:val="26"/>
        </w:rPr>
        <w:t>portion of the Complaint</w:t>
      </w:r>
      <w:r>
        <w:rPr>
          <w:sz w:val="26"/>
          <w:szCs w:val="26"/>
        </w:rPr>
        <w:t xml:space="preserve"> was barred by the doctrine of </w:t>
      </w:r>
      <w:r w:rsidRPr="00E07EDA">
        <w:rPr>
          <w:i/>
          <w:sz w:val="26"/>
          <w:szCs w:val="26"/>
        </w:rPr>
        <w:t>res judicata</w:t>
      </w:r>
      <w:r>
        <w:rPr>
          <w:sz w:val="26"/>
          <w:szCs w:val="26"/>
        </w:rPr>
        <w:t xml:space="preserve"> as well as Section 316 of the Public Utility Code (Code), 66 Pa. C.S. § 316 (relating to the effect of Commission actions).  I.D. at 4-5.</w:t>
      </w:r>
    </w:p>
    <w:p w:rsidR="00A30C69" w:rsidRDefault="00A30C69" w:rsidP="00446B4B">
      <w:pPr>
        <w:spacing w:line="360" w:lineRule="auto"/>
        <w:rPr>
          <w:sz w:val="26"/>
          <w:szCs w:val="26"/>
        </w:rPr>
      </w:pPr>
    </w:p>
    <w:p w:rsidR="00A30C69" w:rsidRDefault="00A30C69" w:rsidP="00446B4B">
      <w:pPr>
        <w:spacing w:line="360" w:lineRule="auto"/>
        <w:rPr>
          <w:sz w:val="26"/>
          <w:szCs w:val="26"/>
        </w:rPr>
      </w:pPr>
      <w:r>
        <w:rPr>
          <w:sz w:val="26"/>
          <w:szCs w:val="26"/>
        </w:rPr>
        <w:tab/>
      </w:r>
      <w:r>
        <w:rPr>
          <w:sz w:val="26"/>
          <w:szCs w:val="26"/>
        </w:rPr>
        <w:tab/>
        <w:t>The ALJ also found that the Complainant had raised two new issues in this proceeding:</w:t>
      </w:r>
      <w:r w:rsidR="0019743C">
        <w:rPr>
          <w:sz w:val="26"/>
          <w:szCs w:val="26"/>
        </w:rPr>
        <w:t xml:space="preserve"> </w:t>
      </w:r>
      <w:r>
        <w:rPr>
          <w:sz w:val="26"/>
          <w:szCs w:val="26"/>
        </w:rPr>
        <w:t xml:space="preserve"> (1) that a PECO employee or employees had stolen </w:t>
      </w:r>
      <w:r w:rsidR="00CC48BD">
        <w:rPr>
          <w:sz w:val="26"/>
          <w:szCs w:val="26"/>
        </w:rPr>
        <w:t xml:space="preserve">the </w:t>
      </w:r>
      <w:r>
        <w:rPr>
          <w:sz w:val="26"/>
          <w:szCs w:val="26"/>
        </w:rPr>
        <w:t xml:space="preserve">Complainant’s bicycles in November 2011 and February 2012; and (2) </w:t>
      </w:r>
      <w:r w:rsidR="00CC48BD">
        <w:rPr>
          <w:sz w:val="26"/>
          <w:szCs w:val="26"/>
        </w:rPr>
        <w:t xml:space="preserve">that </w:t>
      </w:r>
      <w:r>
        <w:rPr>
          <w:sz w:val="26"/>
          <w:szCs w:val="26"/>
        </w:rPr>
        <w:t xml:space="preserve">PECO employees were following him around and attempting to threaten him.  As to these claims, the ALJ determined that </w:t>
      </w:r>
      <w:r w:rsidR="002E3EF6">
        <w:rPr>
          <w:sz w:val="26"/>
          <w:szCs w:val="26"/>
        </w:rPr>
        <w:t>they alleged criminal activity by PECO employees and were clearly outside the Commission’s subject matter jurisdiction.  I.D. at 5-6.</w:t>
      </w:r>
    </w:p>
    <w:p w:rsidR="002E3EF6" w:rsidRDefault="002E3EF6" w:rsidP="00446B4B">
      <w:pPr>
        <w:spacing w:line="360" w:lineRule="auto"/>
        <w:rPr>
          <w:sz w:val="26"/>
          <w:szCs w:val="26"/>
        </w:rPr>
      </w:pPr>
    </w:p>
    <w:p w:rsidR="002E3EF6" w:rsidRDefault="002E3EF6" w:rsidP="00446B4B">
      <w:pPr>
        <w:spacing w:line="360" w:lineRule="auto"/>
        <w:rPr>
          <w:sz w:val="26"/>
          <w:szCs w:val="26"/>
        </w:rPr>
      </w:pPr>
      <w:r>
        <w:rPr>
          <w:sz w:val="26"/>
          <w:szCs w:val="26"/>
        </w:rPr>
        <w:tab/>
      </w:r>
      <w:r>
        <w:rPr>
          <w:sz w:val="26"/>
          <w:szCs w:val="26"/>
        </w:rPr>
        <w:tab/>
        <w:t>On May 29, 2012, the Complainant filed Exceptions to the Initial Decision.</w:t>
      </w:r>
      <w:r w:rsidR="00A9635D">
        <w:rPr>
          <w:rStyle w:val="FootnoteReference"/>
          <w:sz w:val="26"/>
          <w:szCs w:val="26"/>
        </w:rPr>
        <w:footnoteReference w:id="1"/>
      </w:r>
      <w:r>
        <w:rPr>
          <w:sz w:val="26"/>
          <w:szCs w:val="26"/>
        </w:rPr>
        <w:t xml:space="preserve">  No Reply Exceptions have been filed.</w:t>
      </w:r>
    </w:p>
    <w:bookmarkEnd w:id="0"/>
    <w:bookmarkEnd w:id="1"/>
    <w:p w:rsidR="00CA43A5" w:rsidRPr="00A0742E" w:rsidRDefault="00CA43A5" w:rsidP="00A0742E">
      <w:pPr>
        <w:spacing w:line="360" w:lineRule="auto"/>
        <w:rPr>
          <w:sz w:val="26"/>
          <w:szCs w:val="26"/>
        </w:rPr>
      </w:pPr>
    </w:p>
    <w:p w:rsidR="00CA43A5" w:rsidRPr="00CA43A5" w:rsidRDefault="00CA43A5" w:rsidP="00CA43A5">
      <w:pPr>
        <w:spacing w:line="360" w:lineRule="auto"/>
        <w:jc w:val="center"/>
        <w:rPr>
          <w:sz w:val="26"/>
          <w:szCs w:val="26"/>
        </w:rPr>
      </w:pPr>
      <w:r w:rsidRPr="00CA43A5">
        <w:rPr>
          <w:b/>
          <w:sz w:val="26"/>
          <w:szCs w:val="26"/>
        </w:rPr>
        <w:t>Discussion</w:t>
      </w:r>
    </w:p>
    <w:p w:rsidR="0043592C" w:rsidRDefault="0043592C" w:rsidP="0043592C">
      <w:pPr>
        <w:spacing w:line="360" w:lineRule="auto"/>
        <w:ind w:firstLine="1440"/>
        <w:rPr>
          <w:sz w:val="26"/>
          <w:szCs w:val="26"/>
        </w:rPr>
      </w:pPr>
    </w:p>
    <w:p w:rsidR="00CA43A5" w:rsidRPr="00CA43A5" w:rsidRDefault="00CA43A5" w:rsidP="00F34B2F">
      <w:pPr>
        <w:spacing w:line="360" w:lineRule="auto"/>
        <w:ind w:firstLine="1440"/>
        <w:rPr>
          <w:sz w:val="26"/>
          <w:szCs w:val="26"/>
        </w:rPr>
      </w:pPr>
      <w:r w:rsidRPr="00CA43A5">
        <w:rPr>
          <w:sz w:val="26"/>
          <w:szCs w:val="26"/>
        </w:rPr>
        <w:t xml:space="preserve">ALJ </w:t>
      </w:r>
      <w:r w:rsidR="00A0742E">
        <w:rPr>
          <w:sz w:val="26"/>
          <w:szCs w:val="26"/>
        </w:rPr>
        <w:t xml:space="preserve">Dunderdale </w:t>
      </w:r>
      <w:r w:rsidRPr="00CA43A5">
        <w:rPr>
          <w:sz w:val="26"/>
          <w:szCs w:val="26"/>
        </w:rPr>
        <w:t>reached</w:t>
      </w:r>
      <w:r w:rsidR="00A0742E">
        <w:rPr>
          <w:sz w:val="26"/>
          <w:szCs w:val="26"/>
        </w:rPr>
        <w:t xml:space="preserve"> five</w:t>
      </w:r>
      <w:r w:rsidRPr="00CA43A5">
        <w:rPr>
          <w:sz w:val="26"/>
          <w:szCs w:val="26"/>
        </w:rPr>
        <w:t xml:space="preserve"> Conclusions of Law.  The Conclusions of Law are incorporated herein by reference and are adopted without comment unless they are either expressly or by necessary implication rejected or modified by this Opinion and Order.</w:t>
      </w:r>
    </w:p>
    <w:p w:rsidR="00CA43A5" w:rsidRPr="00CA43A5" w:rsidRDefault="00CA43A5" w:rsidP="00CA43A5">
      <w:pPr>
        <w:spacing w:line="360" w:lineRule="auto"/>
        <w:rPr>
          <w:sz w:val="26"/>
          <w:szCs w:val="26"/>
        </w:rPr>
      </w:pPr>
    </w:p>
    <w:p w:rsidR="00214B3E" w:rsidRDefault="00006F35" w:rsidP="00214B3E">
      <w:pPr>
        <w:widowControl/>
        <w:spacing w:line="360" w:lineRule="auto"/>
        <w:ind w:firstLine="1440"/>
        <w:rPr>
          <w:sz w:val="26"/>
          <w:szCs w:val="26"/>
        </w:rPr>
      </w:pPr>
      <w:r w:rsidRPr="002A6750">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2A6750">
        <w:rPr>
          <w:sz w:val="26"/>
          <w:szCs w:val="26"/>
        </w:rPr>
        <w:t xml:space="preserve">.  </w:t>
      </w:r>
      <w:hyperlink r:id="rId9" w:history="1">
        <w:r w:rsidR="002A6750" w:rsidRPr="002A6750">
          <w:rPr>
            <w:rStyle w:val="Emphasis"/>
            <w:color w:val="000000"/>
            <w:sz w:val="26"/>
            <w:szCs w:val="26"/>
          </w:rPr>
          <w:t xml:space="preserve">Consolidated Rail Corp. v. Pa. </w:t>
        </w:r>
        <w:r w:rsidR="002A6750" w:rsidRPr="002A6750">
          <w:rPr>
            <w:rStyle w:val="Emphasis"/>
            <w:color w:val="000000"/>
            <w:sz w:val="26"/>
            <w:szCs w:val="26"/>
          </w:rPr>
          <w:lastRenderedPageBreak/>
          <w:t xml:space="preserve">PUC, </w:t>
        </w:r>
        <w:r w:rsidR="002A6750" w:rsidRPr="002A6750">
          <w:rPr>
            <w:rStyle w:val="Hyperlink"/>
            <w:color w:val="000000"/>
            <w:sz w:val="26"/>
            <w:szCs w:val="26"/>
            <w:u w:val="none"/>
          </w:rPr>
          <w:t>625 A.2d 741 (Pa. Cmwlth. 1993);</w:t>
        </w:r>
      </w:hyperlink>
      <w:r w:rsidR="002A6750" w:rsidRPr="002A6750">
        <w:rPr>
          <w:color w:val="000000"/>
          <w:sz w:val="26"/>
          <w:szCs w:val="26"/>
        </w:rPr>
        <w:t xml:space="preserve"> </w:t>
      </w:r>
      <w:r w:rsidR="002A6750" w:rsidRPr="002A6750">
        <w:rPr>
          <w:i/>
          <w:color w:val="000000"/>
          <w:sz w:val="26"/>
          <w:szCs w:val="26"/>
        </w:rPr>
        <w:t xml:space="preserve">also </w:t>
      </w:r>
      <w:r w:rsidR="002A6750" w:rsidRPr="002A6750">
        <w:rPr>
          <w:rStyle w:val="Emphasis"/>
          <w:color w:val="000000"/>
          <w:sz w:val="26"/>
          <w:szCs w:val="26"/>
        </w:rPr>
        <w:t xml:space="preserve">see, generally, </w:t>
      </w:r>
      <w:hyperlink r:id="rId10" w:history="1">
        <w:r w:rsidR="002A6750" w:rsidRPr="002A6750">
          <w:rPr>
            <w:rStyle w:val="Emphasis"/>
            <w:color w:val="000000"/>
            <w:sz w:val="26"/>
            <w:szCs w:val="26"/>
          </w:rPr>
          <w:t>University of Pennsylvania v. Pa. PUC</w:t>
        </w:r>
        <w:r w:rsidR="002A6750" w:rsidRPr="002A6750">
          <w:rPr>
            <w:rStyle w:val="Hyperlink"/>
            <w:color w:val="000000"/>
            <w:sz w:val="26"/>
            <w:szCs w:val="26"/>
            <w:u w:val="none"/>
          </w:rPr>
          <w:t>, 485 A.2d 1217 (Pa. Cmwlth. 1984).</w:t>
        </w:r>
      </w:hyperlink>
      <w:r w:rsidR="00214B3E" w:rsidRPr="002A6750">
        <w:rPr>
          <w:sz w:val="26"/>
          <w:szCs w:val="26"/>
        </w:rPr>
        <w:t xml:space="preserve"> </w:t>
      </w:r>
    </w:p>
    <w:p w:rsidR="00AA03C7" w:rsidRDefault="00AA03C7" w:rsidP="00214B3E">
      <w:pPr>
        <w:widowControl/>
        <w:spacing w:line="360" w:lineRule="auto"/>
        <w:ind w:firstLine="1440"/>
        <w:rPr>
          <w:sz w:val="26"/>
          <w:szCs w:val="26"/>
        </w:rPr>
      </w:pPr>
    </w:p>
    <w:p w:rsidR="00AA03C7" w:rsidRPr="00AA03C7" w:rsidRDefault="00AA03C7" w:rsidP="00AA03C7">
      <w:pPr>
        <w:tabs>
          <w:tab w:val="left" w:pos="0"/>
        </w:tabs>
        <w:spacing w:line="360" w:lineRule="auto"/>
        <w:ind w:firstLine="1440"/>
        <w:rPr>
          <w:sz w:val="26"/>
          <w:szCs w:val="24"/>
        </w:rPr>
      </w:pPr>
      <w:r w:rsidRPr="00AA03C7">
        <w:rPr>
          <w:sz w:val="26"/>
          <w:szCs w:val="24"/>
        </w:rPr>
        <w:t xml:space="preserve">Section 5.101 of the Commission’s Regulations, 52 Pa. Code § 5.101, sets forth the grounds for granting preliminary objections.  </w:t>
      </w:r>
      <w:r w:rsidR="00DB4536">
        <w:rPr>
          <w:sz w:val="26"/>
          <w:szCs w:val="24"/>
        </w:rPr>
        <w:t>In pertinent part, t</w:t>
      </w:r>
      <w:r w:rsidRPr="00AA03C7">
        <w:rPr>
          <w:sz w:val="26"/>
          <w:szCs w:val="24"/>
        </w:rPr>
        <w:t xml:space="preserve">hat section provides as follows: </w:t>
      </w:r>
    </w:p>
    <w:p w:rsidR="00AA03C7" w:rsidRPr="00AA03C7" w:rsidRDefault="00AA03C7" w:rsidP="00AA03C7">
      <w:pPr>
        <w:widowControl/>
        <w:ind w:left="1440" w:right="1440"/>
        <w:rPr>
          <w:b/>
          <w:sz w:val="26"/>
          <w:szCs w:val="24"/>
        </w:rPr>
      </w:pPr>
    </w:p>
    <w:p w:rsidR="00AA03C7" w:rsidRPr="00AA03C7" w:rsidRDefault="00AA03C7" w:rsidP="00AA03C7">
      <w:pPr>
        <w:widowControl/>
        <w:ind w:left="1440" w:right="1440"/>
        <w:rPr>
          <w:b/>
          <w:sz w:val="26"/>
          <w:szCs w:val="24"/>
        </w:rPr>
      </w:pPr>
      <w:r w:rsidRPr="00AA03C7">
        <w:rPr>
          <w:b/>
          <w:sz w:val="26"/>
          <w:szCs w:val="24"/>
        </w:rPr>
        <w:t>§ 5.101.  Preliminary objections.</w:t>
      </w:r>
    </w:p>
    <w:p w:rsidR="00AA03C7" w:rsidRPr="00AA03C7" w:rsidRDefault="00AA03C7" w:rsidP="00AA03C7">
      <w:pPr>
        <w:widowControl/>
        <w:ind w:left="1440" w:right="1440"/>
        <w:rPr>
          <w:b/>
          <w:sz w:val="26"/>
          <w:szCs w:val="24"/>
        </w:rPr>
      </w:pPr>
    </w:p>
    <w:p w:rsidR="00AA03C7" w:rsidRPr="00AA03C7" w:rsidRDefault="00AA03C7" w:rsidP="00AA03C7">
      <w:pPr>
        <w:widowControl/>
        <w:ind w:left="1440" w:right="1440"/>
        <w:contextualSpacing/>
        <w:rPr>
          <w:sz w:val="26"/>
          <w:szCs w:val="24"/>
        </w:rPr>
      </w:pPr>
      <w:r w:rsidRPr="00AA03C7">
        <w:rPr>
          <w:sz w:val="26"/>
          <w:szCs w:val="24"/>
        </w:rPr>
        <w:t>(a)</w:t>
      </w:r>
      <w:r w:rsidRPr="00AA03C7">
        <w:rPr>
          <w:sz w:val="26"/>
          <w:szCs w:val="24"/>
        </w:rPr>
        <w:tab/>
      </w:r>
      <w:r w:rsidRPr="00AA03C7">
        <w:rPr>
          <w:i/>
          <w:sz w:val="26"/>
          <w:szCs w:val="24"/>
        </w:rPr>
        <w:t>Grounds.</w:t>
      </w:r>
      <w:r w:rsidRPr="00AA03C7">
        <w:rPr>
          <w:sz w:val="26"/>
          <w:szCs w:val="24"/>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AA03C7" w:rsidRPr="00AA03C7" w:rsidRDefault="00AA03C7" w:rsidP="00AA03C7">
      <w:pPr>
        <w:widowControl/>
        <w:spacing w:before="100" w:beforeAutospacing="1" w:after="100" w:afterAutospacing="1"/>
        <w:ind w:left="1440" w:right="1440"/>
        <w:rPr>
          <w:sz w:val="26"/>
          <w:szCs w:val="24"/>
        </w:rPr>
      </w:pPr>
      <w:bookmarkStart w:id="2" w:name="5.101."/>
      <w:r w:rsidRPr="00AA03C7">
        <w:rPr>
          <w:sz w:val="26"/>
          <w:szCs w:val="24"/>
        </w:rPr>
        <w:t> </w:t>
      </w:r>
      <w:r w:rsidRPr="00AA03C7">
        <w:rPr>
          <w:sz w:val="26"/>
          <w:szCs w:val="24"/>
        </w:rPr>
        <w:tab/>
        <w:t>(1)</w:t>
      </w:r>
      <w:r w:rsidRPr="00AA03C7">
        <w:rPr>
          <w:sz w:val="26"/>
          <w:szCs w:val="24"/>
        </w:rPr>
        <w:tab/>
        <w:t xml:space="preserve">Lack of Commission jurisdiction or improper service of the pleading initiating the proceeding. </w:t>
      </w:r>
    </w:p>
    <w:p w:rsidR="00AA03C7" w:rsidRPr="00AA03C7" w:rsidRDefault="00AA03C7" w:rsidP="00AA03C7">
      <w:pPr>
        <w:widowControl/>
        <w:spacing w:before="100" w:beforeAutospacing="1" w:after="100" w:afterAutospacing="1"/>
        <w:ind w:left="1440" w:right="1440"/>
        <w:rPr>
          <w:sz w:val="26"/>
          <w:szCs w:val="24"/>
        </w:rPr>
      </w:pPr>
      <w:r w:rsidRPr="00AA03C7">
        <w:rPr>
          <w:sz w:val="26"/>
          <w:szCs w:val="24"/>
        </w:rPr>
        <w:t>   </w:t>
      </w:r>
      <w:r w:rsidRPr="00AA03C7">
        <w:rPr>
          <w:sz w:val="26"/>
          <w:szCs w:val="24"/>
        </w:rPr>
        <w:tab/>
        <w:t>(2)</w:t>
      </w:r>
      <w:r w:rsidRPr="00AA03C7">
        <w:rPr>
          <w:sz w:val="26"/>
          <w:szCs w:val="24"/>
        </w:rPr>
        <w:tab/>
        <w:t xml:space="preserve">Failure of a pleading to conform to this chapter or the inclusion of scandalous or impertinent matter. </w:t>
      </w:r>
    </w:p>
    <w:p w:rsidR="00AA03C7" w:rsidRPr="00AA03C7" w:rsidRDefault="00AA03C7" w:rsidP="00AA03C7">
      <w:pPr>
        <w:widowControl/>
        <w:spacing w:before="100" w:beforeAutospacing="1" w:after="100" w:afterAutospacing="1"/>
        <w:ind w:left="1440" w:right="1440"/>
        <w:rPr>
          <w:sz w:val="26"/>
          <w:szCs w:val="24"/>
        </w:rPr>
      </w:pPr>
      <w:r w:rsidRPr="00AA03C7">
        <w:rPr>
          <w:sz w:val="26"/>
          <w:szCs w:val="24"/>
        </w:rPr>
        <w:t>   </w:t>
      </w:r>
      <w:r w:rsidRPr="00AA03C7">
        <w:rPr>
          <w:sz w:val="26"/>
          <w:szCs w:val="24"/>
        </w:rPr>
        <w:tab/>
        <w:t>(3)</w:t>
      </w:r>
      <w:r w:rsidRPr="00AA03C7">
        <w:rPr>
          <w:sz w:val="26"/>
          <w:szCs w:val="24"/>
        </w:rPr>
        <w:tab/>
        <w:t xml:space="preserve">Insufficient specificity of a pleading. </w:t>
      </w:r>
    </w:p>
    <w:p w:rsidR="00AA03C7" w:rsidRPr="00AA03C7" w:rsidRDefault="00AA03C7" w:rsidP="00AA03C7">
      <w:pPr>
        <w:widowControl/>
        <w:spacing w:before="100" w:beforeAutospacing="1" w:after="100" w:afterAutospacing="1"/>
        <w:ind w:left="1440" w:right="1440"/>
        <w:rPr>
          <w:sz w:val="26"/>
          <w:szCs w:val="24"/>
        </w:rPr>
      </w:pPr>
      <w:r w:rsidRPr="00AA03C7">
        <w:rPr>
          <w:sz w:val="26"/>
          <w:szCs w:val="24"/>
        </w:rPr>
        <w:t>   </w:t>
      </w:r>
      <w:r w:rsidRPr="00AA03C7">
        <w:rPr>
          <w:sz w:val="26"/>
          <w:szCs w:val="24"/>
        </w:rPr>
        <w:tab/>
        <w:t>(4)</w:t>
      </w:r>
      <w:r w:rsidRPr="00AA03C7">
        <w:rPr>
          <w:sz w:val="26"/>
          <w:szCs w:val="24"/>
        </w:rPr>
        <w:tab/>
        <w:t xml:space="preserve">Legal insufficiency of a pleading. </w:t>
      </w:r>
    </w:p>
    <w:p w:rsidR="00AA03C7" w:rsidRPr="00AA03C7" w:rsidRDefault="00AA03C7" w:rsidP="00AA03C7">
      <w:pPr>
        <w:widowControl/>
        <w:spacing w:before="100" w:beforeAutospacing="1" w:after="100" w:afterAutospacing="1"/>
        <w:ind w:left="1440" w:right="1440"/>
        <w:rPr>
          <w:sz w:val="26"/>
          <w:szCs w:val="24"/>
        </w:rPr>
      </w:pPr>
      <w:r w:rsidRPr="00AA03C7">
        <w:rPr>
          <w:sz w:val="26"/>
          <w:szCs w:val="24"/>
        </w:rPr>
        <w:t>   </w:t>
      </w:r>
      <w:r w:rsidRPr="00AA03C7">
        <w:rPr>
          <w:sz w:val="26"/>
          <w:szCs w:val="24"/>
        </w:rPr>
        <w:tab/>
        <w:t>(5)</w:t>
      </w:r>
      <w:r w:rsidRPr="00AA03C7">
        <w:rPr>
          <w:sz w:val="26"/>
          <w:szCs w:val="24"/>
        </w:rPr>
        <w:tab/>
        <w:t xml:space="preserve">Lack of capacity to sue, nonjoinder of a necessary party or misjoinder of a cause of action. </w:t>
      </w:r>
    </w:p>
    <w:bookmarkEnd w:id="2"/>
    <w:p w:rsidR="00AA03C7" w:rsidRPr="00AA03C7" w:rsidRDefault="00AA03C7" w:rsidP="00AA03C7">
      <w:pPr>
        <w:widowControl/>
        <w:ind w:left="1440" w:right="1440"/>
        <w:contextualSpacing/>
        <w:rPr>
          <w:sz w:val="26"/>
          <w:szCs w:val="24"/>
        </w:rPr>
      </w:pPr>
      <w:r w:rsidRPr="00AA03C7">
        <w:rPr>
          <w:sz w:val="26"/>
          <w:szCs w:val="24"/>
        </w:rPr>
        <w:tab/>
        <w:t>(6)</w:t>
      </w:r>
      <w:r w:rsidRPr="00AA03C7">
        <w:rPr>
          <w:sz w:val="26"/>
          <w:szCs w:val="24"/>
        </w:rPr>
        <w:tab/>
        <w:t>Pendency of a prior proceeding or agreement for alternative dispute resolution.</w:t>
      </w:r>
    </w:p>
    <w:p w:rsidR="00AA03C7" w:rsidRPr="00AA03C7" w:rsidRDefault="00AA03C7" w:rsidP="00AA03C7">
      <w:pPr>
        <w:widowControl/>
        <w:spacing w:line="360" w:lineRule="auto"/>
        <w:ind w:left="1440" w:right="1440" w:hanging="1440"/>
        <w:contextualSpacing/>
        <w:rPr>
          <w:sz w:val="26"/>
          <w:szCs w:val="24"/>
        </w:rPr>
      </w:pPr>
    </w:p>
    <w:p w:rsidR="00AA03C7" w:rsidRPr="00AA03C7" w:rsidRDefault="00AA03C7" w:rsidP="00AA03C7">
      <w:pPr>
        <w:widowControl/>
        <w:spacing w:line="360" w:lineRule="auto"/>
        <w:ind w:left="1440" w:right="1440" w:hanging="1440"/>
        <w:contextualSpacing/>
        <w:rPr>
          <w:sz w:val="26"/>
          <w:szCs w:val="24"/>
        </w:rPr>
      </w:pPr>
      <w:r w:rsidRPr="00AA03C7">
        <w:rPr>
          <w:sz w:val="26"/>
          <w:szCs w:val="24"/>
        </w:rPr>
        <w:t>52 Pa. Code § 5.101(a).</w:t>
      </w:r>
    </w:p>
    <w:p w:rsidR="00AA03C7" w:rsidRPr="00AA03C7" w:rsidRDefault="00AA03C7" w:rsidP="00AA03C7">
      <w:pPr>
        <w:widowControl/>
        <w:spacing w:line="360" w:lineRule="auto"/>
        <w:ind w:left="1440" w:right="1440" w:hanging="1440"/>
        <w:contextualSpacing/>
        <w:rPr>
          <w:sz w:val="26"/>
          <w:szCs w:val="24"/>
        </w:rPr>
      </w:pPr>
    </w:p>
    <w:p w:rsidR="00AA03C7" w:rsidRDefault="00AA03C7" w:rsidP="00AA03C7">
      <w:pPr>
        <w:widowControl/>
        <w:spacing w:line="360" w:lineRule="auto"/>
        <w:ind w:firstLine="1440"/>
        <w:rPr>
          <w:sz w:val="26"/>
          <w:szCs w:val="26"/>
        </w:rPr>
      </w:pPr>
      <w:r w:rsidRPr="00AA03C7">
        <w:rPr>
          <w:color w:val="000000"/>
          <w:sz w:val="26"/>
          <w:szCs w:val="26"/>
        </w:rPr>
        <w:t xml:space="preserve">Commission procedure </w:t>
      </w:r>
      <w:r w:rsidRPr="00AA03C7">
        <w:rPr>
          <w:sz w:val="26"/>
          <w:szCs w:val="26"/>
        </w:rPr>
        <w:t xml:space="preserve">regarding the disposition of preliminary objections is similar to the procedure utilized in Pennsylvania civil practice.  A preliminary objection in civil practice seeking dismissal of a pleading will be granted only where </w:t>
      </w:r>
      <w:r w:rsidRPr="00AA03C7">
        <w:rPr>
          <w:sz w:val="26"/>
          <w:szCs w:val="26"/>
        </w:rPr>
        <w:lastRenderedPageBreak/>
        <w:t xml:space="preserve">relief is clearly warranted and free from doubt.  </w:t>
      </w:r>
      <w:r w:rsidRPr="00AA03C7">
        <w:rPr>
          <w:i/>
          <w:sz w:val="26"/>
          <w:szCs w:val="26"/>
        </w:rPr>
        <w:t>Interstate Traveller Services, Inc. v. Pa. Dep’t of Environmental Resources</w:t>
      </w:r>
      <w:r w:rsidRPr="00AA03C7">
        <w:rPr>
          <w:sz w:val="26"/>
          <w:szCs w:val="26"/>
        </w:rPr>
        <w:t xml:space="preserve">, 486 Pa. 536, 406 A.2d 1020 (1979).  The moving party may not rely on its own factual assertions, but must accept for the purposes of disposition of the preliminary objection all well-pleaded, material facts of the other party, as well as every inference fairly deducible from those facts.  </w:t>
      </w:r>
      <w:r w:rsidRPr="00AA03C7">
        <w:rPr>
          <w:i/>
          <w:sz w:val="26"/>
          <w:szCs w:val="26"/>
        </w:rPr>
        <w:t>County of Allegheny v. Commonwealth</w:t>
      </w:r>
      <w:r w:rsidRPr="00AA03C7">
        <w:rPr>
          <w:sz w:val="26"/>
          <w:szCs w:val="26"/>
        </w:rPr>
        <w:t xml:space="preserve"> </w:t>
      </w:r>
      <w:r w:rsidRPr="00AA03C7">
        <w:rPr>
          <w:i/>
          <w:sz w:val="26"/>
          <w:szCs w:val="26"/>
        </w:rPr>
        <w:t>of Pa.</w:t>
      </w:r>
      <w:r w:rsidRPr="00AA03C7">
        <w:rPr>
          <w:sz w:val="26"/>
          <w:szCs w:val="26"/>
        </w:rPr>
        <w:t xml:space="preserve">, 507 Pa. 360, 490 A.2d 402 (1985).  The preliminary objection may be granted only if the moving party prevails as a matter of law.  </w:t>
      </w:r>
      <w:r w:rsidRPr="00AA03C7">
        <w:rPr>
          <w:i/>
          <w:sz w:val="26"/>
          <w:szCs w:val="26"/>
        </w:rPr>
        <w:t>Rok v. Flaherty</w:t>
      </w:r>
      <w:r w:rsidRPr="00AA03C7">
        <w:rPr>
          <w:sz w:val="26"/>
          <w:szCs w:val="26"/>
        </w:rPr>
        <w:t xml:space="preserve">, 527 A.2d 211 (Pa. Cmwlth. 1987).  Any doubt must be resolved in favor of the non-moving party by refusing to sustain the preliminary objections.  </w:t>
      </w:r>
      <w:r w:rsidRPr="00AA03C7">
        <w:rPr>
          <w:i/>
          <w:sz w:val="26"/>
          <w:szCs w:val="26"/>
        </w:rPr>
        <w:t>Dep’t of Auditor General, et al. v. State Employees’ Retirement System, et al.</w:t>
      </w:r>
      <w:r w:rsidRPr="00AA03C7">
        <w:rPr>
          <w:sz w:val="26"/>
          <w:szCs w:val="26"/>
        </w:rPr>
        <w:t>, 836 A.2d 1053, 1064 (Pa. Cmwlth. 2003) (citing</w:t>
      </w:r>
      <w:r w:rsidRPr="00AA03C7">
        <w:rPr>
          <w:i/>
          <w:sz w:val="26"/>
          <w:szCs w:val="26"/>
        </w:rPr>
        <w:t xml:space="preserve"> Boyd v. Ward</w:t>
      </w:r>
      <w:r w:rsidRPr="00AA03C7">
        <w:rPr>
          <w:sz w:val="26"/>
          <w:szCs w:val="26"/>
        </w:rPr>
        <w:t xml:space="preserve">, 802 A.2d 705 (Pa. Cmwlth. 2002)). </w:t>
      </w:r>
    </w:p>
    <w:p w:rsidR="00AA03C7" w:rsidRDefault="00AA03C7" w:rsidP="00AA03C7">
      <w:pPr>
        <w:widowControl/>
        <w:spacing w:line="360" w:lineRule="auto"/>
        <w:ind w:firstLine="1440"/>
        <w:rPr>
          <w:sz w:val="26"/>
          <w:szCs w:val="26"/>
        </w:rPr>
      </w:pPr>
    </w:p>
    <w:p w:rsidR="00CC0DFA" w:rsidRDefault="00AA03C7" w:rsidP="00AA03C7">
      <w:pPr>
        <w:widowControl/>
        <w:spacing w:line="360" w:lineRule="auto"/>
        <w:ind w:firstLine="1440"/>
        <w:rPr>
          <w:sz w:val="26"/>
          <w:szCs w:val="26"/>
        </w:rPr>
      </w:pPr>
      <w:r>
        <w:rPr>
          <w:sz w:val="26"/>
          <w:szCs w:val="26"/>
        </w:rPr>
        <w:t>The ALJ set forth the appropriate standards for addressing preliminary objections as described herein.  I.D. at 2.  After reviewing the Complaint, the Respondent’s Preliminary Objection</w:t>
      </w:r>
      <w:r w:rsidR="00E07EDA">
        <w:rPr>
          <w:sz w:val="26"/>
          <w:szCs w:val="26"/>
        </w:rPr>
        <w:t>s</w:t>
      </w:r>
      <w:r>
        <w:rPr>
          <w:sz w:val="26"/>
          <w:szCs w:val="26"/>
        </w:rPr>
        <w:t xml:space="preserve"> and the Complainant’s response, the ALJ determined that Complainant’s claims relating to improper charges had been fully litigated in the prior case at Docket N</w:t>
      </w:r>
      <w:r w:rsidR="00DB4536">
        <w:rPr>
          <w:sz w:val="26"/>
          <w:szCs w:val="26"/>
        </w:rPr>
        <w:t>o.</w:t>
      </w:r>
      <w:r>
        <w:rPr>
          <w:sz w:val="26"/>
          <w:szCs w:val="26"/>
        </w:rPr>
        <w:t xml:space="preserve"> C-2010-2187197.  The ALJ found this proceeding and the prior proceeding involve the same issue, the same cause of action and the same parties</w:t>
      </w:r>
      <w:r w:rsidR="00D46D81">
        <w:rPr>
          <w:sz w:val="26"/>
          <w:szCs w:val="26"/>
        </w:rPr>
        <w:t>,</w:t>
      </w:r>
      <w:r>
        <w:rPr>
          <w:sz w:val="26"/>
          <w:szCs w:val="26"/>
        </w:rPr>
        <w:t xml:space="preserve"> acting in identical capacities.  On that basis, the claims were barred by the doctrine of </w:t>
      </w:r>
      <w:r w:rsidRPr="00AA03C7">
        <w:rPr>
          <w:i/>
          <w:sz w:val="26"/>
          <w:szCs w:val="26"/>
        </w:rPr>
        <w:t>res judicata</w:t>
      </w:r>
      <w:r>
        <w:rPr>
          <w:sz w:val="26"/>
          <w:szCs w:val="26"/>
        </w:rPr>
        <w:t xml:space="preserve">.  </w:t>
      </w:r>
      <w:r w:rsidRPr="00AA03C7">
        <w:rPr>
          <w:i/>
          <w:sz w:val="26"/>
          <w:szCs w:val="26"/>
        </w:rPr>
        <w:t>Day v. Volkswagenwerk Aktiengesellschaft</w:t>
      </w:r>
      <w:r>
        <w:rPr>
          <w:sz w:val="26"/>
          <w:szCs w:val="26"/>
        </w:rPr>
        <w:t xml:space="preserve">, 464 A.2d 1313 (Pa. Super. 1983); </w:t>
      </w:r>
      <w:r w:rsidRPr="00411E0A">
        <w:rPr>
          <w:i/>
          <w:sz w:val="26"/>
          <w:szCs w:val="26"/>
        </w:rPr>
        <w:t>O’Toole v. Bell Telephone Co. of Pa</w:t>
      </w:r>
      <w:r>
        <w:rPr>
          <w:sz w:val="26"/>
          <w:szCs w:val="26"/>
        </w:rPr>
        <w:t xml:space="preserve">., 77 Pa. </w:t>
      </w:r>
      <w:r w:rsidR="0019743C">
        <w:rPr>
          <w:sz w:val="26"/>
          <w:szCs w:val="26"/>
        </w:rPr>
        <w:t>P.U.C. 98 (1992).  I.D. at </w:t>
      </w:r>
      <w:r>
        <w:rPr>
          <w:sz w:val="26"/>
          <w:szCs w:val="26"/>
        </w:rPr>
        <w:t xml:space="preserve">4.  </w:t>
      </w:r>
    </w:p>
    <w:p w:rsidR="00E07EDA" w:rsidRDefault="00E07EDA" w:rsidP="00AA03C7">
      <w:pPr>
        <w:widowControl/>
        <w:spacing w:line="360" w:lineRule="auto"/>
        <w:ind w:firstLine="1440"/>
        <w:rPr>
          <w:sz w:val="26"/>
          <w:szCs w:val="26"/>
        </w:rPr>
      </w:pPr>
    </w:p>
    <w:p w:rsidR="00AA03C7" w:rsidRDefault="00CC0DFA" w:rsidP="00AA03C7">
      <w:pPr>
        <w:widowControl/>
        <w:spacing w:line="360" w:lineRule="auto"/>
        <w:ind w:firstLine="1440"/>
        <w:rPr>
          <w:sz w:val="26"/>
          <w:szCs w:val="24"/>
        </w:rPr>
      </w:pPr>
      <w:r>
        <w:rPr>
          <w:sz w:val="26"/>
          <w:szCs w:val="26"/>
        </w:rPr>
        <w:t>The ALJ also found that</w:t>
      </w:r>
      <w:r w:rsidR="00241643">
        <w:rPr>
          <w:sz w:val="26"/>
          <w:szCs w:val="26"/>
        </w:rPr>
        <w:t>,</w:t>
      </w:r>
      <w:r>
        <w:rPr>
          <w:sz w:val="26"/>
          <w:szCs w:val="26"/>
        </w:rPr>
        <w:t xml:space="preserve"> to the extent any new claims were advanced by Complainant, those claims involved alleged criminal activities.  As such, the Commission has no subject matter </w:t>
      </w:r>
      <w:r w:rsidR="00241643">
        <w:rPr>
          <w:sz w:val="26"/>
          <w:szCs w:val="26"/>
        </w:rPr>
        <w:t xml:space="preserve">jurisdiction </w:t>
      </w:r>
      <w:r>
        <w:rPr>
          <w:sz w:val="26"/>
          <w:szCs w:val="26"/>
        </w:rPr>
        <w:t>to hear them.  Accordingly, the ALJ dismissed those claims for lack of jurisdiction.  Since no other claims remained to be heard, the ALJ dismissed the Complaint without hearing.</w:t>
      </w:r>
      <w:r>
        <w:rPr>
          <w:sz w:val="26"/>
          <w:szCs w:val="24"/>
        </w:rPr>
        <w:t xml:space="preserve">  I.D. at 6.</w:t>
      </w:r>
    </w:p>
    <w:p w:rsidR="00CC0DFA" w:rsidRDefault="00CC0DFA" w:rsidP="00AA03C7">
      <w:pPr>
        <w:widowControl/>
        <w:spacing w:line="360" w:lineRule="auto"/>
        <w:ind w:firstLine="1440"/>
        <w:rPr>
          <w:sz w:val="26"/>
          <w:szCs w:val="24"/>
        </w:rPr>
      </w:pPr>
    </w:p>
    <w:p w:rsidR="00CC0DFA" w:rsidRDefault="00CC0DFA" w:rsidP="00AA03C7">
      <w:pPr>
        <w:widowControl/>
        <w:spacing w:line="360" w:lineRule="auto"/>
        <w:ind w:firstLine="1440"/>
        <w:rPr>
          <w:sz w:val="26"/>
          <w:szCs w:val="24"/>
        </w:rPr>
      </w:pPr>
      <w:r>
        <w:rPr>
          <w:sz w:val="26"/>
          <w:szCs w:val="24"/>
        </w:rPr>
        <w:lastRenderedPageBreak/>
        <w:t>In his Exceptions, the Complainant states that he disagrees with the ALJ’s decision.  The Complainant aver</w:t>
      </w:r>
      <w:r w:rsidR="00090D21">
        <w:rPr>
          <w:sz w:val="26"/>
          <w:szCs w:val="24"/>
        </w:rPr>
        <w:t>s</w:t>
      </w:r>
      <w:r>
        <w:rPr>
          <w:sz w:val="26"/>
          <w:szCs w:val="24"/>
        </w:rPr>
        <w:t xml:space="preserve"> that there were safety issues and over-charge concerns in his first action.  However, </w:t>
      </w:r>
      <w:r w:rsidR="00090D21">
        <w:rPr>
          <w:sz w:val="26"/>
          <w:szCs w:val="24"/>
        </w:rPr>
        <w:t xml:space="preserve">the </w:t>
      </w:r>
      <w:r>
        <w:rPr>
          <w:sz w:val="26"/>
          <w:szCs w:val="24"/>
        </w:rPr>
        <w:t xml:space="preserve">Complainant claims that there was a dispute over who was responsible for maintenance of the “Service Entrance Wire,” a new issue </w:t>
      </w:r>
      <w:r w:rsidR="00E07EDA">
        <w:rPr>
          <w:sz w:val="26"/>
          <w:szCs w:val="24"/>
        </w:rPr>
        <w:t xml:space="preserve">he avers was </w:t>
      </w:r>
      <w:r>
        <w:rPr>
          <w:sz w:val="26"/>
          <w:szCs w:val="24"/>
        </w:rPr>
        <w:t>brought in the current proceeding.  Exceptions at 2.  The Complainant also states that</w:t>
      </w:r>
      <w:r w:rsidR="00090D21">
        <w:rPr>
          <w:sz w:val="26"/>
          <w:szCs w:val="24"/>
        </w:rPr>
        <w:t>,</w:t>
      </w:r>
      <w:r>
        <w:rPr>
          <w:sz w:val="26"/>
          <w:szCs w:val="24"/>
        </w:rPr>
        <w:t xml:space="preserve"> if his Complaint in this proceeding had gone to hearing, he would have disputed the usage billed.  </w:t>
      </w:r>
      <w:r w:rsidRPr="00CC0DFA">
        <w:rPr>
          <w:i/>
          <w:sz w:val="26"/>
          <w:szCs w:val="24"/>
        </w:rPr>
        <w:t>Id</w:t>
      </w:r>
      <w:r>
        <w:rPr>
          <w:sz w:val="26"/>
          <w:szCs w:val="24"/>
        </w:rPr>
        <w:t xml:space="preserve">. at 3-4.  The Complainant concludes his Exceptions by asserting that his life is in danger and requesting that consideration be given to all the evidence he has </w:t>
      </w:r>
      <w:r w:rsidR="00090D21">
        <w:rPr>
          <w:sz w:val="26"/>
          <w:szCs w:val="24"/>
        </w:rPr>
        <w:t>submitted</w:t>
      </w:r>
      <w:r>
        <w:rPr>
          <w:sz w:val="26"/>
          <w:szCs w:val="24"/>
        </w:rPr>
        <w:t xml:space="preserve">.  </w:t>
      </w:r>
      <w:r w:rsidRPr="00CC0DFA">
        <w:rPr>
          <w:i/>
          <w:sz w:val="26"/>
          <w:szCs w:val="24"/>
        </w:rPr>
        <w:t>Id</w:t>
      </w:r>
      <w:r>
        <w:rPr>
          <w:sz w:val="26"/>
          <w:szCs w:val="24"/>
        </w:rPr>
        <w:t>. at 5.</w:t>
      </w:r>
    </w:p>
    <w:p w:rsidR="00CC0DFA" w:rsidRDefault="00CC0DFA" w:rsidP="00AA03C7">
      <w:pPr>
        <w:widowControl/>
        <w:spacing w:line="360" w:lineRule="auto"/>
        <w:ind w:firstLine="1440"/>
        <w:rPr>
          <w:sz w:val="26"/>
          <w:szCs w:val="24"/>
        </w:rPr>
      </w:pPr>
    </w:p>
    <w:p w:rsidR="00A3759C" w:rsidRPr="00086888" w:rsidRDefault="00CC0DFA" w:rsidP="00A3759C">
      <w:pPr>
        <w:tabs>
          <w:tab w:val="left" w:pos="-720"/>
        </w:tabs>
        <w:suppressAutoHyphens/>
        <w:spacing w:line="360" w:lineRule="auto"/>
        <w:ind w:firstLine="1440"/>
        <w:rPr>
          <w:sz w:val="26"/>
          <w:szCs w:val="26"/>
        </w:rPr>
      </w:pPr>
      <w:r>
        <w:rPr>
          <w:sz w:val="26"/>
          <w:szCs w:val="24"/>
        </w:rPr>
        <w:t xml:space="preserve">We have reviewed the Complainant’s Exceptions and we fail to find </w:t>
      </w:r>
      <w:r w:rsidR="00FB1727">
        <w:rPr>
          <w:sz w:val="26"/>
          <w:szCs w:val="24"/>
        </w:rPr>
        <w:t xml:space="preserve">that they describe any instance in which ALJ Dunderdale erred.  </w:t>
      </w:r>
      <w:r w:rsidR="00A3759C">
        <w:rPr>
          <w:sz w:val="26"/>
          <w:szCs w:val="26"/>
        </w:rPr>
        <w:t>In so concluding, w</w:t>
      </w:r>
      <w:r w:rsidR="00A3759C" w:rsidRPr="00086888">
        <w:rPr>
          <w:sz w:val="26"/>
          <w:szCs w:val="26"/>
        </w:rPr>
        <w:t xml:space="preserve">e </w:t>
      </w:r>
      <w:r w:rsidR="00A3759C">
        <w:rPr>
          <w:sz w:val="26"/>
          <w:szCs w:val="26"/>
        </w:rPr>
        <w:t xml:space="preserve">find that the ALJ’s granting </w:t>
      </w:r>
      <w:r w:rsidR="003E28A0">
        <w:rPr>
          <w:sz w:val="26"/>
          <w:szCs w:val="26"/>
        </w:rPr>
        <w:t xml:space="preserve">of </w:t>
      </w:r>
      <w:r w:rsidR="00A3759C">
        <w:rPr>
          <w:sz w:val="26"/>
          <w:szCs w:val="26"/>
        </w:rPr>
        <w:t>PECO’s Preliminary Objecti</w:t>
      </w:r>
      <w:r w:rsidR="0019743C">
        <w:rPr>
          <w:sz w:val="26"/>
          <w:szCs w:val="26"/>
        </w:rPr>
        <w:t>ons was correct even though Mr. </w:t>
      </w:r>
      <w:r w:rsidR="00A3759C">
        <w:rPr>
          <w:sz w:val="26"/>
          <w:szCs w:val="26"/>
        </w:rPr>
        <w:t>Thomas</w:t>
      </w:r>
      <w:r w:rsidR="00A3759C" w:rsidRPr="00086888">
        <w:rPr>
          <w:sz w:val="26"/>
          <w:szCs w:val="26"/>
        </w:rPr>
        <w:t xml:space="preserve"> is a </w:t>
      </w:r>
      <w:r w:rsidR="00A3759C" w:rsidRPr="00086888">
        <w:rPr>
          <w:i/>
          <w:sz w:val="26"/>
          <w:szCs w:val="26"/>
        </w:rPr>
        <w:t>pro se</w:t>
      </w:r>
      <w:r w:rsidR="00A3759C">
        <w:rPr>
          <w:sz w:val="26"/>
          <w:szCs w:val="26"/>
        </w:rPr>
        <w:t xml:space="preserve"> c</w:t>
      </w:r>
      <w:r w:rsidR="00A3759C" w:rsidRPr="00086888">
        <w:rPr>
          <w:sz w:val="26"/>
          <w:szCs w:val="26"/>
        </w:rPr>
        <w:t xml:space="preserve">omplainant.  In </w:t>
      </w:r>
      <w:r w:rsidR="00A3759C" w:rsidRPr="00086888">
        <w:rPr>
          <w:i/>
          <w:sz w:val="26"/>
          <w:szCs w:val="26"/>
        </w:rPr>
        <w:t>Carlock v. The United Telephone Company of Pennsylvania</w:t>
      </w:r>
      <w:r w:rsidR="00A3759C" w:rsidRPr="00086888">
        <w:rPr>
          <w:sz w:val="26"/>
          <w:szCs w:val="26"/>
        </w:rPr>
        <w:t>, Docket No. F-00163617 (Order entered July 14, 1993), we held that, in the normal course, we would not dismiss a complaint without first providing a hearing during which</w:t>
      </w:r>
      <w:r w:rsidR="00A3759C">
        <w:rPr>
          <w:sz w:val="26"/>
          <w:szCs w:val="26"/>
        </w:rPr>
        <w:t xml:space="preserve"> a </w:t>
      </w:r>
      <w:r w:rsidR="00A3759C" w:rsidRPr="00ED32F7">
        <w:rPr>
          <w:i/>
          <w:sz w:val="26"/>
          <w:szCs w:val="26"/>
        </w:rPr>
        <w:t>pro se</w:t>
      </w:r>
      <w:r w:rsidR="00A3759C" w:rsidRPr="00086888">
        <w:rPr>
          <w:sz w:val="26"/>
          <w:szCs w:val="26"/>
        </w:rPr>
        <w:t xml:space="preserve"> complainant could further explain his or her position and the factual basis for the complaint.  The concern was expressed that, in general, </w:t>
      </w:r>
      <w:r w:rsidR="00A3759C" w:rsidRPr="00086888">
        <w:rPr>
          <w:i/>
          <w:sz w:val="26"/>
          <w:szCs w:val="26"/>
        </w:rPr>
        <w:t>pro se</w:t>
      </w:r>
      <w:r w:rsidR="00A3759C" w:rsidRPr="00086888">
        <w:rPr>
          <w:sz w:val="26"/>
          <w:szCs w:val="26"/>
        </w:rPr>
        <w:t xml:space="preserve"> complainants may find it difficult to navigate through pre-hearing motions and should be given the chance to orally describe their basi</w:t>
      </w:r>
      <w:r w:rsidR="00A3759C">
        <w:rPr>
          <w:sz w:val="26"/>
          <w:szCs w:val="26"/>
        </w:rPr>
        <w:t>c issue and supporting facts.  However, t</w:t>
      </w:r>
      <w:r w:rsidR="00A3759C" w:rsidRPr="00086888">
        <w:rPr>
          <w:sz w:val="26"/>
          <w:szCs w:val="26"/>
        </w:rPr>
        <w:t>here are some cases, suc</w:t>
      </w:r>
      <w:r w:rsidR="00A3759C">
        <w:rPr>
          <w:sz w:val="26"/>
          <w:szCs w:val="26"/>
        </w:rPr>
        <w:t>h as this one, where a hearing would not alter the inevitable result that the complaint must be dismissed</w:t>
      </w:r>
      <w:r w:rsidR="00A3759C" w:rsidRPr="00086888">
        <w:rPr>
          <w:sz w:val="26"/>
          <w:szCs w:val="26"/>
        </w:rPr>
        <w:t xml:space="preserve">.  </w:t>
      </w:r>
      <w:r w:rsidR="00A3759C" w:rsidRPr="00086888">
        <w:rPr>
          <w:i/>
          <w:sz w:val="26"/>
          <w:szCs w:val="26"/>
        </w:rPr>
        <w:t>See, Vata v. Philadelphia Gas Works</w:t>
      </w:r>
      <w:r w:rsidR="00A3759C" w:rsidRPr="00086888">
        <w:rPr>
          <w:sz w:val="26"/>
          <w:szCs w:val="26"/>
        </w:rPr>
        <w:t xml:space="preserve">, Docket No. C-2009-2149960 (Order entered August 24, 2010).  On this basis, we distinguish </w:t>
      </w:r>
      <w:r w:rsidR="00A3759C" w:rsidRPr="00086888">
        <w:rPr>
          <w:i/>
          <w:sz w:val="26"/>
          <w:szCs w:val="26"/>
        </w:rPr>
        <w:t>Carlock</w:t>
      </w:r>
      <w:r w:rsidR="00A3759C" w:rsidRPr="00086888">
        <w:rPr>
          <w:sz w:val="26"/>
          <w:szCs w:val="26"/>
        </w:rPr>
        <w:t xml:space="preserve"> from the case now before us.</w:t>
      </w:r>
    </w:p>
    <w:p w:rsidR="00A3759C" w:rsidRDefault="00A3759C" w:rsidP="00AA03C7">
      <w:pPr>
        <w:widowControl/>
        <w:spacing w:line="360" w:lineRule="auto"/>
        <w:ind w:firstLine="1440"/>
        <w:rPr>
          <w:sz w:val="26"/>
          <w:szCs w:val="24"/>
        </w:rPr>
      </w:pPr>
    </w:p>
    <w:p w:rsidR="00CC0DFA" w:rsidRDefault="00952BB0" w:rsidP="00AA03C7">
      <w:pPr>
        <w:widowControl/>
        <w:spacing w:line="360" w:lineRule="auto"/>
        <w:ind w:firstLine="1440"/>
        <w:rPr>
          <w:sz w:val="26"/>
          <w:szCs w:val="24"/>
        </w:rPr>
      </w:pPr>
      <w:r>
        <w:rPr>
          <w:sz w:val="26"/>
          <w:szCs w:val="24"/>
        </w:rPr>
        <w:t>W</w:t>
      </w:r>
      <w:r w:rsidR="00FB1727">
        <w:rPr>
          <w:sz w:val="26"/>
          <w:szCs w:val="24"/>
        </w:rPr>
        <w:t xml:space="preserve">e agree with the ALJ that, to the extent the Complainant has made allegations of actions which are criminal in nature, this Commission clearly lacks subject matter jurisdiction to hear them.  Our principal concern revolves around the ALJ’s application of the doctrine of </w:t>
      </w:r>
      <w:r w:rsidR="00FB1727" w:rsidRPr="00FB1727">
        <w:rPr>
          <w:i/>
          <w:sz w:val="26"/>
          <w:szCs w:val="24"/>
        </w:rPr>
        <w:t>res judicata</w:t>
      </w:r>
      <w:r w:rsidR="00FB1727">
        <w:rPr>
          <w:sz w:val="26"/>
          <w:szCs w:val="24"/>
        </w:rPr>
        <w:t xml:space="preserve"> and the Complainant’s Exceptions wherein he </w:t>
      </w:r>
      <w:r w:rsidR="00FB1727">
        <w:rPr>
          <w:sz w:val="26"/>
          <w:szCs w:val="24"/>
        </w:rPr>
        <w:lastRenderedPageBreak/>
        <w:t>asserts there are different claims in the proceeding before us when compared to the prior action at Docket N</w:t>
      </w:r>
      <w:r w:rsidR="00C05CFC">
        <w:rPr>
          <w:sz w:val="26"/>
          <w:szCs w:val="24"/>
        </w:rPr>
        <w:t>o.</w:t>
      </w:r>
      <w:r w:rsidR="00FB1727">
        <w:rPr>
          <w:sz w:val="26"/>
          <w:szCs w:val="24"/>
        </w:rPr>
        <w:t xml:space="preserve"> C</w:t>
      </w:r>
      <w:r w:rsidR="00FB1727">
        <w:rPr>
          <w:sz w:val="26"/>
          <w:szCs w:val="24"/>
        </w:rPr>
        <w:noBreakHyphen/>
        <w:t>2010-2187197.  A careful review indicates that the Complainant is simply incorrect.</w:t>
      </w:r>
    </w:p>
    <w:p w:rsidR="00FB1727" w:rsidRDefault="00FB1727" w:rsidP="00AA03C7">
      <w:pPr>
        <w:widowControl/>
        <w:spacing w:line="360" w:lineRule="auto"/>
        <w:ind w:firstLine="1440"/>
        <w:rPr>
          <w:sz w:val="26"/>
          <w:szCs w:val="24"/>
        </w:rPr>
      </w:pPr>
    </w:p>
    <w:p w:rsidR="00E07EDA" w:rsidRDefault="003E28A0" w:rsidP="00AA03C7">
      <w:pPr>
        <w:widowControl/>
        <w:spacing w:line="360" w:lineRule="auto"/>
        <w:ind w:firstLine="1440"/>
        <w:rPr>
          <w:sz w:val="26"/>
          <w:szCs w:val="24"/>
        </w:rPr>
      </w:pPr>
      <w:r>
        <w:rPr>
          <w:sz w:val="26"/>
          <w:szCs w:val="24"/>
        </w:rPr>
        <w:t>As noted by the ALJ, the F</w:t>
      </w:r>
      <w:r w:rsidR="00FB1727">
        <w:rPr>
          <w:sz w:val="26"/>
          <w:szCs w:val="24"/>
        </w:rPr>
        <w:t xml:space="preserve">ormal Complaint in the prior proceeding alleged billing overcharges done with the intention of killing him and a request that the Respondent install a new service entrance wire.  At the hearing on that Complaint, </w:t>
      </w:r>
      <w:r w:rsidR="002B1707">
        <w:rPr>
          <w:sz w:val="26"/>
          <w:szCs w:val="24"/>
        </w:rPr>
        <w:t xml:space="preserve">the Complainant testified regarding the potential for usage at the service property as well as the charges on his bill.  The Respondent rebutted that evidence and the prior Complaint was dismissed for failure of the Complainant to carry his burden of proof.  </w:t>
      </w:r>
      <w:r w:rsidR="002B1707" w:rsidRPr="002B1707">
        <w:rPr>
          <w:i/>
          <w:sz w:val="26"/>
          <w:szCs w:val="24"/>
        </w:rPr>
        <w:t>Thomas v. PECO Energy Company</w:t>
      </w:r>
      <w:r w:rsidR="002B1707">
        <w:rPr>
          <w:sz w:val="26"/>
          <w:szCs w:val="24"/>
        </w:rPr>
        <w:t xml:space="preserve">, </w:t>
      </w:r>
      <w:r w:rsidR="00C05CFC">
        <w:rPr>
          <w:sz w:val="26"/>
          <w:szCs w:val="24"/>
        </w:rPr>
        <w:t xml:space="preserve">Docket No. </w:t>
      </w:r>
      <w:r w:rsidR="002B1707">
        <w:rPr>
          <w:sz w:val="26"/>
          <w:szCs w:val="24"/>
        </w:rPr>
        <w:t xml:space="preserve">C-2010-2187197 (Order entered November 15, 2011).  </w:t>
      </w:r>
    </w:p>
    <w:p w:rsidR="00E07EDA" w:rsidRDefault="00E07EDA" w:rsidP="00AA03C7">
      <w:pPr>
        <w:widowControl/>
        <w:spacing w:line="360" w:lineRule="auto"/>
        <w:ind w:firstLine="1440"/>
        <w:rPr>
          <w:sz w:val="26"/>
          <w:szCs w:val="24"/>
        </w:rPr>
      </w:pPr>
    </w:p>
    <w:p w:rsidR="00006F35" w:rsidRDefault="002B1707" w:rsidP="00E07EDA">
      <w:pPr>
        <w:widowControl/>
        <w:spacing w:line="360" w:lineRule="auto"/>
        <w:ind w:firstLine="1440"/>
        <w:rPr>
          <w:sz w:val="26"/>
          <w:szCs w:val="26"/>
        </w:rPr>
      </w:pPr>
      <w:r>
        <w:rPr>
          <w:sz w:val="26"/>
          <w:szCs w:val="24"/>
        </w:rPr>
        <w:t xml:space="preserve">Both the Complaint in this proceeding as well as the Exceptions reveal that </w:t>
      </w:r>
      <w:r w:rsidR="00C05CFC">
        <w:rPr>
          <w:sz w:val="26"/>
          <w:szCs w:val="24"/>
        </w:rPr>
        <w:t xml:space="preserve">the </w:t>
      </w:r>
      <w:r>
        <w:rPr>
          <w:sz w:val="26"/>
          <w:szCs w:val="24"/>
        </w:rPr>
        <w:t xml:space="preserve">Complainant is attempting </w:t>
      </w:r>
      <w:r w:rsidR="00C05CFC">
        <w:rPr>
          <w:sz w:val="26"/>
          <w:szCs w:val="24"/>
        </w:rPr>
        <w:t xml:space="preserve">to </w:t>
      </w:r>
      <w:r>
        <w:rPr>
          <w:sz w:val="26"/>
          <w:szCs w:val="24"/>
        </w:rPr>
        <w:t xml:space="preserve">relitigate the same issues (including allegations of criminal activity) as he litigated in the prior proceeding.  </w:t>
      </w:r>
      <w:r w:rsidR="00E07EDA">
        <w:rPr>
          <w:sz w:val="26"/>
          <w:szCs w:val="24"/>
        </w:rPr>
        <w:t>The Complainant alleges incorrect bills.  Exc</w:t>
      </w:r>
      <w:r w:rsidR="00C05CFC">
        <w:rPr>
          <w:sz w:val="26"/>
          <w:szCs w:val="24"/>
        </w:rPr>
        <w:t>.</w:t>
      </w:r>
      <w:r w:rsidR="00E07EDA">
        <w:rPr>
          <w:sz w:val="26"/>
          <w:szCs w:val="24"/>
        </w:rPr>
        <w:t xml:space="preserve"> at 3.  He asserts that his usage does not support the charges applied by the Respondent.  </w:t>
      </w:r>
      <w:r w:rsidR="00C05CFC" w:rsidRPr="00411E0A">
        <w:rPr>
          <w:i/>
          <w:sz w:val="26"/>
          <w:szCs w:val="24"/>
        </w:rPr>
        <w:t>Id</w:t>
      </w:r>
      <w:r w:rsidR="00C05CFC">
        <w:rPr>
          <w:sz w:val="26"/>
          <w:szCs w:val="24"/>
        </w:rPr>
        <w:t>.</w:t>
      </w:r>
      <w:r w:rsidR="00E07EDA">
        <w:rPr>
          <w:sz w:val="26"/>
          <w:szCs w:val="24"/>
        </w:rPr>
        <w:t xml:space="preserve"> at 4.  He asserts that the service entrance wire must be replaced or repaired.  </w:t>
      </w:r>
      <w:r w:rsidR="00C05CFC" w:rsidRPr="00411E0A">
        <w:rPr>
          <w:i/>
          <w:sz w:val="26"/>
          <w:szCs w:val="24"/>
        </w:rPr>
        <w:t>Id</w:t>
      </w:r>
      <w:r w:rsidR="00C05CFC">
        <w:rPr>
          <w:sz w:val="26"/>
          <w:szCs w:val="24"/>
        </w:rPr>
        <w:t>.</w:t>
      </w:r>
      <w:r w:rsidR="00E07EDA">
        <w:rPr>
          <w:sz w:val="26"/>
          <w:szCs w:val="24"/>
        </w:rPr>
        <w:t xml:space="preserve"> at 2.  Each of these claims was raised and fully litigated in the prior proceeding at Docket N</w:t>
      </w:r>
      <w:r w:rsidR="00C05CFC">
        <w:rPr>
          <w:sz w:val="26"/>
          <w:szCs w:val="24"/>
        </w:rPr>
        <w:t>o.</w:t>
      </w:r>
      <w:r w:rsidR="0019743C">
        <w:rPr>
          <w:sz w:val="26"/>
          <w:szCs w:val="24"/>
        </w:rPr>
        <w:t xml:space="preserve"> C-2010-2187197.  </w:t>
      </w:r>
      <w:r>
        <w:rPr>
          <w:sz w:val="26"/>
          <w:szCs w:val="24"/>
        </w:rPr>
        <w:t xml:space="preserve">The ALJ correctly applied the doctrine of </w:t>
      </w:r>
      <w:r w:rsidRPr="002B1707">
        <w:rPr>
          <w:i/>
          <w:sz w:val="26"/>
          <w:szCs w:val="24"/>
        </w:rPr>
        <w:t>res judicata</w:t>
      </w:r>
      <w:r>
        <w:rPr>
          <w:sz w:val="26"/>
          <w:szCs w:val="24"/>
        </w:rPr>
        <w:t xml:space="preserve"> and dismissed this Complaint.  We find no error here. </w:t>
      </w:r>
    </w:p>
    <w:p w:rsidR="00006F35" w:rsidRDefault="00006F35" w:rsidP="00CA43A5">
      <w:pPr>
        <w:spacing w:line="360" w:lineRule="auto"/>
        <w:jc w:val="center"/>
        <w:rPr>
          <w:b/>
          <w:sz w:val="26"/>
          <w:szCs w:val="26"/>
        </w:rPr>
      </w:pPr>
    </w:p>
    <w:p w:rsidR="00CA43A5" w:rsidRPr="00CA43A5" w:rsidRDefault="00CA43A5" w:rsidP="00CA43A5">
      <w:pPr>
        <w:spacing w:line="360" w:lineRule="auto"/>
        <w:jc w:val="center"/>
        <w:rPr>
          <w:b/>
          <w:sz w:val="26"/>
          <w:szCs w:val="26"/>
        </w:rPr>
      </w:pPr>
      <w:r w:rsidRPr="00CA43A5">
        <w:rPr>
          <w:b/>
          <w:sz w:val="26"/>
          <w:szCs w:val="26"/>
        </w:rPr>
        <w:t>Conclusion</w:t>
      </w:r>
    </w:p>
    <w:p w:rsidR="00CA43A5" w:rsidRPr="00CA43A5" w:rsidRDefault="00CA43A5" w:rsidP="00CA43A5">
      <w:pPr>
        <w:spacing w:line="360" w:lineRule="auto"/>
        <w:ind w:firstLine="1440"/>
        <w:rPr>
          <w:sz w:val="26"/>
          <w:szCs w:val="26"/>
        </w:rPr>
      </w:pPr>
    </w:p>
    <w:p w:rsidR="00CA43A5" w:rsidRPr="00CA43A5" w:rsidRDefault="00CA43A5" w:rsidP="00CA43A5">
      <w:pPr>
        <w:spacing w:line="360" w:lineRule="auto"/>
        <w:ind w:firstLine="1440"/>
        <w:rPr>
          <w:sz w:val="26"/>
          <w:szCs w:val="26"/>
        </w:rPr>
      </w:pPr>
      <w:r w:rsidRPr="00CA43A5">
        <w:rPr>
          <w:sz w:val="26"/>
          <w:szCs w:val="26"/>
        </w:rPr>
        <w:t>Based upon the foregoing discussion, we shall</w:t>
      </w:r>
      <w:r w:rsidR="002B1707">
        <w:rPr>
          <w:sz w:val="26"/>
          <w:szCs w:val="26"/>
        </w:rPr>
        <w:t xml:space="preserve"> deny the Complainant’s Exceptions, adopt the ALJ’s Initial Decision and dismiss the Complaint</w:t>
      </w:r>
      <w:r w:rsidRPr="00CA43A5">
        <w:rPr>
          <w:sz w:val="26"/>
          <w:szCs w:val="26"/>
        </w:rPr>
        <w:t>, consistent with</w:t>
      </w:r>
      <w:r w:rsidR="0019743C">
        <w:rPr>
          <w:sz w:val="26"/>
          <w:szCs w:val="26"/>
        </w:rPr>
        <w:t xml:space="preserve"> </w:t>
      </w:r>
      <w:r w:rsidR="00D23E01">
        <w:rPr>
          <w:sz w:val="26"/>
          <w:szCs w:val="26"/>
        </w:rPr>
        <w:t>this Opinion and Order</w:t>
      </w:r>
      <w:r w:rsidRPr="00CA43A5">
        <w:rPr>
          <w:sz w:val="26"/>
          <w:szCs w:val="26"/>
        </w:rPr>
        <w:t xml:space="preserve">; </w:t>
      </w:r>
      <w:r w:rsidRPr="00CA43A5">
        <w:rPr>
          <w:b/>
          <w:sz w:val="26"/>
          <w:szCs w:val="26"/>
        </w:rPr>
        <w:t>THEREFORE,</w:t>
      </w:r>
      <w:r w:rsidRPr="00CA43A5">
        <w:rPr>
          <w:sz w:val="26"/>
          <w:szCs w:val="26"/>
        </w:rPr>
        <w:t xml:space="preserve"> </w:t>
      </w:r>
    </w:p>
    <w:p w:rsidR="00CA43A5" w:rsidRPr="00CA43A5" w:rsidRDefault="00CA43A5" w:rsidP="00CA43A5">
      <w:pPr>
        <w:rPr>
          <w:sz w:val="26"/>
          <w:szCs w:val="26"/>
        </w:rPr>
      </w:pPr>
    </w:p>
    <w:p w:rsidR="00CA43A5" w:rsidRPr="00CA43A5" w:rsidRDefault="00CA43A5" w:rsidP="0019743C">
      <w:pPr>
        <w:keepNext/>
        <w:ind w:firstLine="1440"/>
        <w:rPr>
          <w:b/>
          <w:sz w:val="26"/>
          <w:szCs w:val="26"/>
        </w:rPr>
      </w:pPr>
      <w:r w:rsidRPr="00CA43A5">
        <w:rPr>
          <w:b/>
          <w:sz w:val="26"/>
          <w:szCs w:val="26"/>
        </w:rPr>
        <w:lastRenderedPageBreak/>
        <w:t>IT IS ORDERED:</w:t>
      </w:r>
    </w:p>
    <w:p w:rsidR="00CA43A5" w:rsidRPr="00CA43A5" w:rsidRDefault="00CA43A5" w:rsidP="00CA43A5">
      <w:pPr>
        <w:rPr>
          <w:sz w:val="26"/>
          <w:szCs w:val="26"/>
        </w:rPr>
      </w:pPr>
    </w:p>
    <w:p w:rsidR="009155F7" w:rsidRDefault="009155F7" w:rsidP="00B80C43">
      <w:pPr>
        <w:numPr>
          <w:ilvl w:val="0"/>
          <w:numId w:val="1"/>
        </w:numPr>
        <w:tabs>
          <w:tab w:val="clear" w:pos="2160"/>
          <w:tab w:val="num" w:pos="0"/>
        </w:tabs>
        <w:spacing w:line="360" w:lineRule="auto"/>
        <w:ind w:left="0" w:firstLine="1440"/>
        <w:rPr>
          <w:sz w:val="26"/>
          <w:szCs w:val="26"/>
        </w:rPr>
      </w:pPr>
      <w:r>
        <w:rPr>
          <w:sz w:val="26"/>
          <w:szCs w:val="26"/>
        </w:rPr>
        <w:t>That the Exceptions of</w:t>
      </w:r>
      <w:r w:rsidR="002B1707">
        <w:rPr>
          <w:sz w:val="26"/>
          <w:szCs w:val="26"/>
        </w:rPr>
        <w:t xml:space="preserve"> Nehemia</w:t>
      </w:r>
      <w:r w:rsidR="00D23E01">
        <w:rPr>
          <w:sz w:val="26"/>
          <w:szCs w:val="26"/>
        </w:rPr>
        <w:t>h</w:t>
      </w:r>
      <w:r w:rsidR="002B1707">
        <w:rPr>
          <w:sz w:val="26"/>
          <w:szCs w:val="26"/>
        </w:rPr>
        <w:t xml:space="preserve"> Thomas</w:t>
      </w:r>
      <w:r>
        <w:rPr>
          <w:sz w:val="26"/>
          <w:szCs w:val="26"/>
        </w:rPr>
        <w:t xml:space="preserve"> are </w:t>
      </w:r>
      <w:r w:rsidR="002B1707">
        <w:rPr>
          <w:sz w:val="26"/>
          <w:szCs w:val="26"/>
        </w:rPr>
        <w:t>denied</w:t>
      </w:r>
      <w:r w:rsidR="003F51F4">
        <w:rPr>
          <w:sz w:val="26"/>
          <w:szCs w:val="26"/>
        </w:rPr>
        <w:t xml:space="preserve">, consistent with this Opinion </w:t>
      </w:r>
      <w:r w:rsidR="00B80C43">
        <w:rPr>
          <w:sz w:val="26"/>
          <w:szCs w:val="26"/>
        </w:rPr>
        <w:t>and Order</w:t>
      </w:r>
      <w:r>
        <w:rPr>
          <w:sz w:val="26"/>
          <w:szCs w:val="26"/>
        </w:rPr>
        <w:t>.</w:t>
      </w:r>
    </w:p>
    <w:p w:rsidR="003F51F4" w:rsidRPr="00B80C43" w:rsidRDefault="003F51F4" w:rsidP="003F51F4">
      <w:pPr>
        <w:spacing w:line="360" w:lineRule="auto"/>
        <w:ind w:left="1440"/>
        <w:rPr>
          <w:sz w:val="26"/>
          <w:szCs w:val="26"/>
        </w:rPr>
      </w:pPr>
    </w:p>
    <w:p w:rsidR="00CA43A5" w:rsidRDefault="00CA43A5" w:rsidP="00CA43A5">
      <w:pPr>
        <w:numPr>
          <w:ilvl w:val="0"/>
          <w:numId w:val="1"/>
        </w:numPr>
        <w:tabs>
          <w:tab w:val="clear" w:pos="2160"/>
          <w:tab w:val="num" w:pos="0"/>
        </w:tabs>
        <w:spacing w:line="360" w:lineRule="auto"/>
        <w:ind w:left="0" w:firstLine="1440"/>
        <w:rPr>
          <w:sz w:val="26"/>
          <w:szCs w:val="26"/>
        </w:rPr>
      </w:pPr>
      <w:r w:rsidRPr="00CA43A5">
        <w:rPr>
          <w:sz w:val="26"/>
          <w:szCs w:val="26"/>
        </w:rPr>
        <w:t>That the Initial Decision of Administrative Law Judge</w:t>
      </w:r>
      <w:r w:rsidR="002B1707">
        <w:rPr>
          <w:sz w:val="26"/>
          <w:szCs w:val="26"/>
        </w:rPr>
        <w:t xml:space="preserve"> Katrina L. Dunderdale</w:t>
      </w:r>
      <w:r w:rsidRPr="00CA43A5">
        <w:rPr>
          <w:sz w:val="26"/>
          <w:szCs w:val="26"/>
        </w:rPr>
        <w:t xml:space="preserve"> is </w:t>
      </w:r>
      <w:r w:rsidR="002B1707">
        <w:rPr>
          <w:sz w:val="26"/>
          <w:szCs w:val="26"/>
        </w:rPr>
        <w:t>adopted</w:t>
      </w:r>
      <w:r w:rsidRPr="00CA43A5">
        <w:rPr>
          <w:sz w:val="26"/>
          <w:szCs w:val="26"/>
        </w:rPr>
        <w:t>, consistent with this Opinion and Order.</w:t>
      </w:r>
    </w:p>
    <w:p w:rsidR="003F51F4" w:rsidRDefault="003F51F4" w:rsidP="003F51F4">
      <w:pPr>
        <w:spacing w:line="360" w:lineRule="auto"/>
        <w:ind w:left="1440"/>
        <w:rPr>
          <w:sz w:val="26"/>
          <w:szCs w:val="26"/>
        </w:rPr>
      </w:pPr>
    </w:p>
    <w:p w:rsidR="002B1707" w:rsidRDefault="002B1707" w:rsidP="00411E0A">
      <w:pPr>
        <w:spacing w:line="360" w:lineRule="auto"/>
        <w:ind w:firstLine="1440"/>
        <w:rPr>
          <w:sz w:val="26"/>
          <w:szCs w:val="26"/>
        </w:rPr>
      </w:pPr>
      <w:r>
        <w:rPr>
          <w:sz w:val="26"/>
          <w:szCs w:val="26"/>
        </w:rPr>
        <w:t>3.</w:t>
      </w:r>
      <w:r>
        <w:rPr>
          <w:sz w:val="26"/>
          <w:szCs w:val="26"/>
        </w:rPr>
        <w:tab/>
        <w:t>That the Complaint filed by Nehemia</w:t>
      </w:r>
      <w:r w:rsidR="00D23E01">
        <w:rPr>
          <w:sz w:val="26"/>
          <w:szCs w:val="26"/>
        </w:rPr>
        <w:t>h</w:t>
      </w:r>
      <w:r>
        <w:rPr>
          <w:sz w:val="26"/>
          <w:szCs w:val="26"/>
        </w:rPr>
        <w:t xml:space="preserve"> Thomas on March 19, 2012, at this Docket is dismissed.</w:t>
      </w:r>
    </w:p>
    <w:p w:rsidR="00D23E01" w:rsidRDefault="00D23E01" w:rsidP="00411E0A">
      <w:pPr>
        <w:spacing w:line="360" w:lineRule="auto"/>
        <w:ind w:firstLine="1440"/>
        <w:rPr>
          <w:sz w:val="26"/>
          <w:szCs w:val="26"/>
        </w:rPr>
      </w:pPr>
    </w:p>
    <w:p w:rsidR="00D23E01" w:rsidRDefault="00D23E01" w:rsidP="00411E0A">
      <w:pPr>
        <w:spacing w:line="360" w:lineRule="auto"/>
        <w:ind w:firstLine="1440"/>
        <w:rPr>
          <w:sz w:val="26"/>
          <w:szCs w:val="26"/>
        </w:rPr>
      </w:pPr>
      <w:r>
        <w:rPr>
          <w:sz w:val="26"/>
          <w:szCs w:val="26"/>
        </w:rPr>
        <w:t>4.</w:t>
      </w:r>
      <w:r>
        <w:rPr>
          <w:sz w:val="26"/>
          <w:szCs w:val="26"/>
        </w:rPr>
        <w:tab/>
        <w:t>That the Secretary’s Bureau shall mark this proceeding closed.</w:t>
      </w:r>
    </w:p>
    <w:p w:rsidR="002B1707" w:rsidRPr="00CA43A5" w:rsidRDefault="002B1707" w:rsidP="002B1707">
      <w:pPr>
        <w:ind w:firstLine="1440"/>
        <w:rPr>
          <w:sz w:val="26"/>
          <w:szCs w:val="26"/>
        </w:rPr>
      </w:pPr>
    </w:p>
    <w:p w:rsidR="00CA43A5" w:rsidRPr="00CA43A5" w:rsidRDefault="00063CE8" w:rsidP="00857172">
      <w:pPr>
        <w:tabs>
          <w:tab w:val="left" w:pos="-720"/>
        </w:tabs>
        <w:ind w:firstLine="5040"/>
        <w:rPr>
          <w:sz w:val="26"/>
          <w:szCs w:val="26"/>
        </w:rPr>
      </w:pPr>
      <w:r>
        <w:rPr>
          <w:noProof/>
        </w:rPr>
        <w:drawing>
          <wp:anchor distT="0" distB="0" distL="114300" distR="114300" simplePos="0" relativeHeight="251658240" behindDoc="1" locked="0" layoutInCell="1" allowOverlap="1" wp14:anchorId="4D0C9C25" wp14:editId="77CF1878">
            <wp:simplePos x="0" y="0"/>
            <wp:positionH relativeFrom="column">
              <wp:posOffset>2603500</wp:posOffset>
            </wp:positionH>
            <wp:positionV relativeFrom="paragraph">
              <wp:posOffset>24130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CA43A5">
        <w:rPr>
          <w:b/>
          <w:sz w:val="26"/>
          <w:szCs w:val="26"/>
        </w:rPr>
        <w:t>BY THE COMMISSION,</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p>
    <w:p w:rsidR="00CA43A5" w:rsidRPr="00CA43A5" w:rsidRDefault="00564565" w:rsidP="00857172">
      <w:pPr>
        <w:tabs>
          <w:tab w:val="left" w:pos="-720"/>
        </w:tabs>
        <w:ind w:firstLine="5040"/>
        <w:rPr>
          <w:b/>
          <w:sz w:val="26"/>
          <w:szCs w:val="26"/>
        </w:rPr>
      </w:pPr>
      <w:r>
        <w:rPr>
          <w:sz w:val="26"/>
          <w:szCs w:val="26"/>
        </w:rPr>
        <w:t>Rosemary Chiavetta</w:t>
      </w:r>
    </w:p>
    <w:p w:rsidR="00CA43A5" w:rsidRPr="00CA43A5" w:rsidRDefault="00CA43A5" w:rsidP="00857172">
      <w:pPr>
        <w:tabs>
          <w:tab w:val="left" w:pos="-720"/>
        </w:tabs>
        <w:ind w:firstLine="5040"/>
        <w:rPr>
          <w:sz w:val="26"/>
          <w:szCs w:val="26"/>
        </w:rPr>
      </w:pPr>
      <w:r w:rsidRPr="00CA43A5">
        <w:rPr>
          <w:sz w:val="26"/>
          <w:szCs w:val="26"/>
        </w:rPr>
        <w:t>Secretary</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(SEAL)</w:t>
      </w:r>
    </w:p>
    <w:p w:rsidR="00CA43A5" w:rsidRPr="00CA43A5" w:rsidRDefault="00CA43A5"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ADOPTED: </w:t>
      </w:r>
      <w:r w:rsidR="00D56F77">
        <w:rPr>
          <w:sz w:val="26"/>
          <w:szCs w:val="26"/>
        </w:rPr>
        <w:t>December 5, 2012</w:t>
      </w:r>
    </w:p>
    <w:p w:rsidR="00857172" w:rsidRDefault="00857172" w:rsidP="00CA43A5">
      <w:pPr>
        <w:tabs>
          <w:tab w:val="left" w:pos="-720"/>
        </w:tabs>
        <w:rPr>
          <w:sz w:val="26"/>
          <w:szCs w:val="26"/>
        </w:rPr>
      </w:pPr>
    </w:p>
    <w:p w:rsidR="00CA43A5" w:rsidRPr="00CA43A5" w:rsidRDefault="00CA43A5" w:rsidP="00CA43A5">
      <w:pPr>
        <w:tabs>
          <w:tab w:val="left" w:pos="-720"/>
        </w:tabs>
        <w:rPr>
          <w:sz w:val="26"/>
          <w:szCs w:val="26"/>
        </w:rPr>
      </w:pPr>
      <w:r w:rsidRPr="00CA43A5">
        <w:rPr>
          <w:sz w:val="26"/>
          <w:szCs w:val="26"/>
        </w:rPr>
        <w:t xml:space="preserve">ORDER ENTERED:  </w:t>
      </w:r>
      <w:r w:rsidR="00063CE8">
        <w:rPr>
          <w:sz w:val="26"/>
          <w:szCs w:val="26"/>
        </w:rPr>
        <w:t>December 5, 2012</w:t>
      </w:r>
      <w:bookmarkStart w:id="3" w:name="_GoBack"/>
      <w:bookmarkEnd w:id="3"/>
    </w:p>
    <w:p w:rsidR="00344804" w:rsidRPr="00CA43A5" w:rsidRDefault="00344804" w:rsidP="00344804">
      <w:pPr>
        <w:ind w:right="360"/>
        <w:rPr>
          <w:sz w:val="26"/>
          <w:szCs w:val="26"/>
        </w:rPr>
      </w:pPr>
    </w:p>
    <w:sectPr w:rsidR="00344804" w:rsidRPr="00CA43A5" w:rsidSect="0042190E">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0DF" w:rsidRDefault="00DF10DF" w:rsidP="00A9635D">
      <w:r>
        <w:separator/>
      </w:r>
    </w:p>
  </w:endnote>
  <w:endnote w:type="continuationSeparator" w:id="0">
    <w:p w:rsidR="00DF10DF" w:rsidRDefault="00DF10DF" w:rsidP="00A9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984730"/>
      <w:docPartObj>
        <w:docPartGallery w:val="Page Numbers (Bottom of Page)"/>
        <w:docPartUnique/>
      </w:docPartObj>
    </w:sdtPr>
    <w:sdtEndPr>
      <w:rPr>
        <w:noProof/>
        <w:sz w:val="26"/>
        <w:szCs w:val="26"/>
      </w:rPr>
    </w:sdtEndPr>
    <w:sdtContent>
      <w:p w:rsidR="0042190E" w:rsidRPr="0042190E" w:rsidRDefault="0042190E">
        <w:pPr>
          <w:pStyle w:val="Footer"/>
          <w:jc w:val="center"/>
          <w:rPr>
            <w:sz w:val="26"/>
            <w:szCs w:val="26"/>
          </w:rPr>
        </w:pPr>
        <w:r w:rsidRPr="0042190E">
          <w:rPr>
            <w:sz w:val="26"/>
            <w:szCs w:val="26"/>
          </w:rPr>
          <w:fldChar w:fldCharType="begin"/>
        </w:r>
        <w:r w:rsidRPr="0042190E">
          <w:rPr>
            <w:sz w:val="26"/>
            <w:szCs w:val="26"/>
          </w:rPr>
          <w:instrText xml:space="preserve"> PAGE   \* MERGEFORMAT </w:instrText>
        </w:r>
        <w:r w:rsidRPr="0042190E">
          <w:rPr>
            <w:sz w:val="26"/>
            <w:szCs w:val="26"/>
          </w:rPr>
          <w:fldChar w:fldCharType="separate"/>
        </w:r>
        <w:r w:rsidR="00063CE8">
          <w:rPr>
            <w:noProof/>
            <w:sz w:val="26"/>
            <w:szCs w:val="26"/>
          </w:rPr>
          <w:t>8</w:t>
        </w:r>
        <w:r w:rsidRPr="0042190E">
          <w:rPr>
            <w:noProof/>
            <w:sz w:val="26"/>
            <w:szCs w:val="26"/>
          </w:rPr>
          <w:fldChar w:fldCharType="end"/>
        </w:r>
      </w:p>
    </w:sdtContent>
  </w:sdt>
  <w:p w:rsidR="0042190E" w:rsidRDefault="00421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0DF" w:rsidRDefault="00DF10DF" w:rsidP="00A9635D">
      <w:r>
        <w:separator/>
      </w:r>
    </w:p>
  </w:footnote>
  <w:footnote w:type="continuationSeparator" w:id="0">
    <w:p w:rsidR="00DF10DF" w:rsidRDefault="00DF10DF" w:rsidP="00A9635D">
      <w:r>
        <w:continuationSeparator/>
      </w:r>
    </w:p>
  </w:footnote>
  <w:footnote w:id="1">
    <w:p w:rsidR="00A9635D" w:rsidRPr="00411E0A" w:rsidRDefault="00A9635D">
      <w:pPr>
        <w:pStyle w:val="FootnoteText"/>
        <w:rPr>
          <w:sz w:val="26"/>
          <w:szCs w:val="26"/>
        </w:rPr>
      </w:pPr>
      <w:r w:rsidRPr="00411E0A">
        <w:rPr>
          <w:sz w:val="26"/>
          <w:szCs w:val="26"/>
        </w:rPr>
        <w:tab/>
      </w:r>
      <w:r w:rsidRPr="00411E0A">
        <w:rPr>
          <w:rStyle w:val="FootnoteReference"/>
          <w:sz w:val="26"/>
          <w:szCs w:val="26"/>
        </w:rPr>
        <w:footnoteRef/>
      </w:r>
      <w:r w:rsidRPr="00411E0A">
        <w:rPr>
          <w:sz w:val="26"/>
          <w:szCs w:val="26"/>
        </w:rPr>
        <w:t xml:space="preserve"> </w:t>
      </w:r>
      <w:r w:rsidRPr="00411E0A">
        <w:rPr>
          <w:sz w:val="26"/>
          <w:szCs w:val="26"/>
        </w:rPr>
        <w:tab/>
        <w:t xml:space="preserve">On June 8, 2012, the Complainant filed additional </w:t>
      </w:r>
      <w:r>
        <w:rPr>
          <w:sz w:val="26"/>
          <w:szCs w:val="26"/>
        </w:rPr>
        <w:t>information</w:t>
      </w:r>
      <w:r w:rsidRPr="00411E0A">
        <w:rPr>
          <w:sz w:val="26"/>
          <w:szCs w:val="26"/>
        </w:rPr>
        <w:t>.  Our Regulations do not provide for such a filing.  Consequently, we will not consid</w:t>
      </w:r>
      <w:r w:rsidRPr="00A9635D">
        <w:rPr>
          <w:sz w:val="26"/>
          <w:szCs w:val="26"/>
        </w:rPr>
        <w:t>er this filing in rendering th</w:t>
      </w:r>
      <w:r>
        <w:rPr>
          <w:sz w:val="26"/>
          <w:szCs w:val="26"/>
        </w:rPr>
        <w:t>e instant</w:t>
      </w:r>
      <w:r w:rsidRPr="00411E0A">
        <w:rPr>
          <w:sz w:val="26"/>
          <w:szCs w:val="26"/>
        </w:rPr>
        <w:t xml:space="preserve"> decision.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6685"/>
    <w:rsid w:val="00006F35"/>
    <w:rsid w:val="00016D57"/>
    <w:rsid w:val="00017852"/>
    <w:rsid w:val="00021E46"/>
    <w:rsid w:val="00022B74"/>
    <w:rsid w:val="0002524C"/>
    <w:rsid w:val="00025F3F"/>
    <w:rsid w:val="00026CD2"/>
    <w:rsid w:val="00040A8E"/>
    <w:rsid w:val="00040AEA"/>
    <w:rsid w:val="00047874"/>
    <w:rsid w:val="00047F4A"/>
    <w:rsid w:val="000523D1"/>
    <w:rsid w:val="00052B8F"/>
    <w:rsid w:val="00054612"/>
    <w:rsid w:val="0005572E"/>
    <w:rsid w:val="00056286"/>
    <w:rsid w:val="000612FD"/>
    <w:rsid w:val="00063CE8"/>
    <w:rsid w:val="000642AA"/>
    <w:rsid w:val="000649EC"/>
    <w:rsid w:val="00066EE5"/>
    <w:rsid w:val="00067260"/>
    <w:rsid w:val="00072808"/>
    <w:rsid w:val="00076F35"/>
    <w:rsid w:val="00084573"/>
    <w:rsid w:val="00084AF9"/>
    <w:rsid w:val="00090D21"/>
    <w:rsid w:val="000918D4"/>
    <w:rsid w:val="00093164"/>
    <w:rsid w:val="0009612D"/>
    <w:rsid w:val="00097504"/>
    <w:rsid w:val="000A365D"/>
    <w:rsid w:val="000B216D"/>
    <w:rsid w:val="000B2755"/>
    <w:rsid w:val="000B4EAE"/>
    <w:rsid w:val="000B5238"/>
    <w:rsid w:val="000B607A"/>
    <w:rsid w:val="000B6B15"/>
    <w:rsid w:val="000C2AE3"/>
    <w:rsid w:val="000C709A"/>
    <w:rsid w:val="000F179E"/>
    <w:rsid w:val="000F3B56"/>
    <w:rsid w:val="000F4307"/>
    <w:rsid w:val="0010158F"/>
    <w:rsid w:val="00101F51"/>
    <w:rsid w:val="001026CA"/>
    <w:rsid w:val="00103573"/>
    <w:rsid w:val="00104D9B"/>
    <w:rsid w:val="00117CB2"/>
    <w:rsid w:val="00120B39"/>
    <w:rsid w:val="001238E5"/>
    <w:rsid w:val="00123A2E"/>
    <w:rsid w:val="00124071"/>
    <w:rsid w:val="001267D4"/>
    <w:rsid w:val="00135972"/>
    <w:rsid w:val="001360FC"/>
    <w:rsid w:val="001447A0"/>
    <w:rsid w:val="0014497F"/>
    <w:rsid w:val="00146DDD"/>
    <w:rsid w:val="00146E58"/>
    <w:rsid w:val="00147145"/>
    <w:rsid w:val="00150096"/>
    <w:rsid w:val="001508E4"/>
    <w:rsid w:val="0015380A"/>
    <w:rsid w:val="00154CB6"/>
    <w:rsid w:val="00164DA4"/>
    <w:rsid w:val="00166298"/>
    <w:rsid w:val="001663C8"/>
    <w:rsid w:val="00174D3D"/>
    <w:rsid w:val="00182478"/>
    <w:rsid w:val="00186A97"/>
    <w:rsid w:val="0019530E"/>
    <w:rsid w:val="00195F2E"/>
    <w:rsid w:val="0019743C"/>
    <w:rsid w:val="001B1DB4"/>
    <w:rsid w:val="001C4978"/>
    <w:rsid w:val="001D0ED2"/>
    <w:rsid w:val="001E0B61"/>
    <w:rsid w:val="001E1276"/>
    <w:rsid w:val="001F285E"/>
    <w:rsid w:val="00202524"/>
    <w:rsid w:val="00210736"/>
    <w:rsid w:val="00210F81"/>
    <w:rsid w:val="00211622"/>
    <w:rsid w:val="00214B3E"/>
    <w:rsid w:val="002264F2"/>
    <w:rsid w:val="0022698E"/>
    <w:rsid w:val="00227912"/>
    <w:rsid w:val="00230A53"/>
    <w:rsid w:val="002311EE"/>
    <w:rsid w:val="002370F5"/>
    <w:rsid w:val="00240ACA"/>
    <w:rsid w:val="00240D7B"/>
    <w:rsid w:val="00241299"/>
    <w:rsid w:val="00241643"/>
    <w:rsid w:val="00255462"/>
    <w:rsid w:val="00260957"/>
    <w:rsid w:val="00264646"/>
    <w:rsid w:val="0027232D"/>
    <w:rsid w:val="00274D0F"/>
    <w:rsid w:val="00277500"/>
    <w:rsid w:val="00281A5F"/>
    <w:rsid w:val="00291F68"/>
    <w:rsid w:val="002A060A"/>
    <w:rsid w:val="002A4450"/>
    <w:rsid w:val="002A6750"/>
    <w:rsid w:val="002B1707"/>
    <w:rsid w:val="002B2296"/>
    <w:rsid w:val="002B4407"/>
    <w:rsid w:val="002B67B7"/>
    <w:rsid w:val="002C0429"/>
    <w:rsid w:val="002C19E4"/>
    <w:rsid w:val="002C6CC4"/>
    <w:rsid w:val="002D13C4"/>
    <w:rsid w:val="002D275E"/>
    <w:rsid w:val="002D6357"/>
    <w:rsid w:val="002D7584"/>
    <w:rsid w:val="002E3026"/>
    <w:rsid w:val="002E3EF6"/>
    <w:rsid w:val="002E3F06"/>
    <w:rsid w:val="002E6FFA"/>
    <w:rsid w:val="002E7F8F"/>
    <w:rsid w:val="002F3F04"/>
    <w:rsid w:val="002F41BA"/>
    <w:rsid w:val="003018AA"/>
    <w:rsid w:val="00303B99"/>
    <w:rsid w:val="0030486E"/>
    <w:rsid w:val="0030714F"/>
    <w:rsid w:val="003073E2"/>
    <w:rsid w:val="00307DDF"/>
    <w:rsid w:val="00314A43"/>
    <w:rsid w:val="00322040"/>
    <w:rsid w:val="003240B8"/>
    <w:rsid w:val="00325422"/>
    <w:rsid w:val="00333FDA"/>
    <w:rsid w:val="003340DE"/>
    <w:rsid w:val="00340D19"/>
    <w:rsid w:val="00344804"/>
    <w:rsid w:val="003518C8"/>
    <w:rsid w:val="003533B5"/>
    <w:rsid w:val="003622CA"/>
    <w:rsid w:val="00363030"/>
    <w:rsid w:val="0036462C"/>
    <w:rsid w:val="00364A42"/>
    <w:rsid w:val="003755FB"/>
    <w:rsid w:val="0037577C"/>
    <w:rsid w:val="00385502"/>
    <w:rsid w:val="00391A43"/>
    <w:rsid w:val="003B0611"/>
    <w:rsid w:val="003B0B21"/>
    <w:rsid w:val="003B42D9"/>
    <w:rsid w:val="003C3140"/>
    <w:rsid w:val="003C3E02"/>
    <w:rsid w:val="003C3FE8"/>
    <w:rsid w:val="003C73F9"/>
    <w:rsid w:val="003D5F07"/>
    <w:rsid w:val="003D6AB5"/>
    <w:rsid w:val="003E28A0"/>
    <w:rsid w:val="003E3FF5"/>
    <w:rsid w:val="003E5354"/>
    <w:rsid w:val="003F51F4"/>
    <w:rsid w:val="003F52C6"/>
    <w:rsid w:val="003F558E"/>
    <w:rsid w:val="00403D6E"/>
    <w:rsid w:val="00407AC0"/>
    <w:rsid w:val="00411E0A"/>
    <w:rsid w:val="00412E30"/>
    <w:rsid w:val="004170AF"/>
    <w:rsid w:val="0042190E"/>
    <w:rsid w:val="00432BB7"/>
    <w:rsid w:val="004331E9"/>
    <w:rsid w:val="00433E8D"/>
    <w:rsid w:val="0043592C"/>
    <w:rsid w:val="004411B9"/>
    <w:rsid w:val="00441207"/>
    <w:rsid w:val="004422CA"/>
    <w:rsid w:val="00443807"/>
    <w:rsid w:val="004462F7"/>
    <w:rsid w:val="00446B4B"/>
    <w:rsid w:val="0046019D"/>
    <w:rsid w:val="00464536"/>
    <w:rsid w:val="0046514E"/>
    <w:rsid w:val="0046623C"/>
    <w:rsid w:val="00467739"/>
    <w:rsid w:val="00470D0C"/>
    <w:rsid w:val="00474E22"/>
    <w:rsid w:val="0047608F"/>
    <w:rsid w:val="00476554"/>
    <w:rsid w:val="004813D4"/>
    <w:rsid w:val="00486143"/>
    <w:rsid w:val="00491D91"/>
    <w:rsid w:val="0049580C"/>
    <w:rsid w:val="0049768F"/>
    <w:rsid w:val="004A04E5"/>
    <w:rsid w:val="004A1495"/>
    <w:rsid w:val="004A2165"/>
    <w:rsid w:val="004A5F74"/>
    <w:rsid w:val="004B1052"/>
    <w:rsid w:val="004B6B14"/>
    <w:rsid w:val="004E47EC"/>
    <w:rsid w:val="004E514F"/>
    <w:rsid w:val="004E737F"/>
    <w:rsid w:val="004F03DE"/>
    <w:rsid w:val="004F22DA"/>
    <w:rsid w:val="00502165"/>
    <w:rsid w:val="00504834"/>
    <w:rsid w:val="00504C7A"/>
    <w:rsid w:val="00505AEE"/>
    <w:rsid w:val="0050632E"/>
    <w:rsid w:val="0050752D"/>
    <w:rsid w:val="00511EF3"/>
    <w:rsid w:val="00514507"/>
    <w:rsid w:val="00521350"/>
    <w:rsid w:val="005351B9"/>
    <w:rsid w:val="00536011"/>
    <w:rsid w:val="00550B79"/>
    <w:rsid w:val="0055150B"/>
    <w:rsid w:val="005532F9"/>
    <w:rsid w:val="0055440B"/>
    <w:rsid w:val="0055708D"/>
    <w:rsid w:val="00561CA6"/>
    <w:rsid w:val="00564565"/>
    <w:rsid w:val="005647BE"/>
    <w:rsid w:val="00566299"/>
    <w:rsid w:val="005725F6"/>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C2FD5"/>
    <w:rsid w:val="005C5378"/>
    <w:rsid w:val="005D2AB9"/>
    <w:rsid w:val="005D34E2"/>
    <w:rsid w:val="005D496E"/>
    <w:rsid w:val="005D7C20"/>
    <w:rsid w:val="005E6960"/>
    <w:rsid w:val="005E7EB8"/>
    <w:rsid w:val="005F18D6"/>
    <w:rsid w:val="00603024"/>
    <w:rsid w:val="006116E3"/>
    <w:rsid w:val="00624400"/>
    <w:rsid w:val="00624E51"/>
    <w:rsid w:val="00626162"/>
    <w:rsid w:val="00634719"/>
    <w:rsid w:val="006503E8"/>
    <w:rsid w:val="00654A4A"/>
    <w:rsid w:val="0065545A"/>
    <w:rsid w:val="006661CF"/>
    <w:rsid w:val="00670BFD"/>
    <w:rsid w:val="00671E4C"/>
    <w:rsid w:val="00674295"/>
    <w:rsid w:val="006818A8"/>
    <w:rsid w:val="00681A51"/>
    <w:rsid w:val="00682469"/>
    <w:rsid w:val="00683D97"/>
    <w:rsid w:val="00684FCA"/>
    <w:rsid w:val="0068549E"/>
    <w:rsid w:val="00686B5C"/>
    <w:rsid w:val="00696997"/>
    <w:rsid w:val="006A65BD"/>
    <w:rsid w:val="006A758C"/>
    <w:rsid w:val="006C1EEC"/>
    <w:rsid w:val="006C3FEA"/>
    <w:rsid w:val="006C69E7"/>
    <w:rsid w:val="006D10AE"/>
    <w:rsid w:val="006D29F2"/>
    <w:rsid w:val="006D7CA2"/>
    <w:rsid w:val="006E065B"/>
    <w:rsid w:val="006E09D3"/>
    <w:rsid w:val="006E1E6C"/>
    <w:rsid w:val="006E5505"/>
    <w:rsid w:val="006F240A"/>
    <w:rsid w:val="006F2FB3"/>
    <w:rsid w:val="006F531B"/>
    <w:rsid w:val="006F62BC"/>
    <w:rsid w:val="00702493"/>
    <w:rsid w:val="00714F3B"/>
    <w:rsid w:val="007166F7"/>
    <w:rsid w:val="00716AEF"/>
    <w:rsid w:val="00717076"/>
    <w:rsid w:val="00717296"/>
    <w:rsid w:val="00727370"/>
    <w:rsid w:val="00735D9E"/>
    <w:rsid w:val="0074109C"/>
    <w:rsid w:val="00742335"/>
    <w:rsid w:val="00742842"/>
    <w:rsid w:val="00753376"/>
    <w:rsid w:val="007543B0"/>
    <w:rsid w:val="007568A9"/>
    <w:rsid w:val="00761514"/>
    <w:rsid w:val="00763CE7"/>
    <w:rsid w:val="00772177"/>
    <w:rsid w:val="00775C65"/>
    <w:rsid w:val="0077639A"/>
    <w:rsid w:val="0078100C"/>
    <w:rsid w:val="0078157F"/>
    <w:rsid w:val="00786F48"/>
    <w:rsid w:val="0078772C"/>
    <w:rsid w:val="007878E4"/>
    <w:rsid w:val="007963BD"/>
    <w:rsid w:val="007A4783"/>
    <w:rsid w:val="007A5191"/>
    <w:rsid w:val="007B0500"/>
    <w:rsid w:val="007B111B"/>
    <w:rsid w:val="007B3AE8"/>
    <w:rsid w:val="007B4418"/>
    <w:rsid w:val="007B5F62"/>
    <w:rsid w:val="007B66B3"/>
    <w:rsid w:val="007B7077"/>
    <w:rsid w:val="007C3003"/>
    <w:rsid w:val="007C6B60"/>
    <w:rsid w:val="007C6F85"/>
    <w:rsid w:val="007D3AA0"/>
    <w:rsid w:val="007D3FE2"/>
    <w:rsid w:val="007D5690"/>
    <w:rsid w:val="007D69FA"/>
    <w:rsid w:val="007E1600"/>
    <w:rsid w:val="00810603"/>
    <w:rsid w:val="00814283"/>
    <w:rsid w:val="00820209"/>
    <w:rsid w:val="00820F35"/>
    <w:rsid w:val="00820FEC"/>
    <w:rsid w:val="0082393D"/>
    <w:rsid w:val="0083324D"/>
    <w:rsid w:val="00841733"/>
    <w:rsid w:val="00844D38"/>
    <w:rsid w:val="00844D85"/>
    <w:rsid w:val="00851546"/>
    <w:rsid w:val="008524BE"/>
    <w:rsid w:val="00853BC2"/>
    <w:rsid w:val="00854278"/>
    <w:rsid w:val="00856063"/>
    <w:rsid w:val="00857172"/>
    <w:rsid w:val="0086236A"/>
    <w:rsid w:val="0087035A"/>
    <w:rsid w:val="0087347D"/>
    <w:rsid w:val="00882DAD"/>
    <w:rsid w:val="00885263"/>
    <w:rsid w:val="00892DA5"/>
    <w:rsid w:val="008949B1"/>
    <w:rsid w:val="0089713E"/>
    <w:rsid w:val="008A10F3"/>
    <w:rsid w:val="008A5C0F"/>
    <w:rsid w:val="008B1596"/>
    <w:rsid w:val="008C09C4"/>
    <w:rsid w:val="008C1F44"/>
    <w:rsid w:val="008C646F"/>
    <w:rsid w:val="008E3E4B"/>
    <w:rsid w:val="008E4EF9"/>
    <w:rsid w:val="008E6DFC"/>
    <w:rsid w:val="008E7710"/>
    <w:rsid w:val="008F68F8"/>
    <w:rsid w:val="00900D4D"/>
    <w:rsid w:val="00903F34"/>
    <w:rsid w:val="00905C0A"/>
    <w:rsid w:val="009122F8"/>
    <w:rsid w:val="00915520"/>
    <w:rsid w:val="009155F7"/>
    <w:rsid w:val="00921131"/>
    <w:rsid w:val="009247F5"/>
    <w:rsid w:val="00926AB2"/>
    <w:rsid w:val="009407FE"/>
    <w:rsid w:val="00942436"/>
    <w:rsid w:val="00952BB0"/>
    <w:rsid w:val="00954E1F"/>
    <w:rsid w:val="00957603"/>
    <w:rsid w:val="00957A1D"/>
    <w:rsid w:val="00957BC0"/>
    <w:rsid w:val="0096487B"/>
    <w:rsid w:val="009757D1"/>
    <w:rsid w:val="00980754"/>
    <w:rsid w:val="00981535"/>
    <w:rsid w:val="009825C8"/>
    <w:rsid w:val="0098409F"/>
    <w:rsid w:val="00985537"/>
    <w:rsid w:val="00991698"/>
    <w:rsid w:val="00991C17"/>
    <w:rsid w:val="00992D1E"/>
    <w:rsid w:val="00997EB2"/>
    <w:rsid w:val="009A06F5"/>
    <w:rsid w:val="009A0788"/>
    <w:rsid w:val="009A0E92"/>
    <w:rsid w:val="009A17EC"/>
    <w:rsid w:val="009B03DF"/>
    <w:rsid w:val="009B6AF0"/>
    <w:rsid w:val="009C292D"/>
    <w:rsid w:val="009C5F0C"/>
    <w:rsid w:val="009C67C0"/>
    <w:rsid w:val="009D1035"/>
    <w:rsid w:val="009D13D0"/>
    <w:rsid w:val="009D162E"/>
    <w:rsid w:val="009D2068"/>
    <w:rsid w:val="009D7D33"/>
    <w:rsid w:val="009E4DD4"/>
    <w:rsid w:val="009E4E3F"/>
    <w:rsid w:val="009E698B"/>
    <w:rsid w:val="009F1547"/>
    <w:rsid w:val="009F4ABA"/>
    <w:rsid w:val="00A066AE"/>
    <w:rsid w:val="00A0742E"/>
    <w:rsid w:val="00A10DD9"/>
    <w:rsid w:val="00A12C6B"/>
    <w:rsid w:val="00A14117"/>
    <w:rsid w:val="00A149FA"/>
    <w:rsid w:val="00A17DF0"/>
    <w:rsid w:val="00A20F78"/>
    <w:rsid w:val="00A218F1"/>
    <w:rsid w:val="00A27DEE"/>
    <w:rsid w:val="00A30C69"/>
    <w:rsid w:val="00A31B93"/>
    <w:rsid w:val="00A3759C"/>
    <w:rsid w:val="00A375EF"/>
    <w:rsid w:val="00A528C2"/>
    <w:rsid w:val="00A54AFD"/>
    <w:rsid w:val="00A54E69"/>
    <w:rsid w:val="00A61B06"/>
    <w:rsid w:val="00A62113"/>
    <w:rsid w:val="00A6759C"/>
    <w:rsid w:val="00A67923"/>
    <w:rsid w:val="00A713ED"/>
    <w:rsid w:val="00A714B8"/>
    <w:rsid w:val="00A74901"/>
    <w:rsid w:val="00A75733"/>
    <w:rsid w:val="00A76308"/>
    <w:rsid w:val="00A77C08"/>
    <w:rsid w:val="00A81527"/>
    <w:rsid w:val="00A82058"/>
    <w:rsid w:val="00A84AE7"/>
    <w:rsid w:val="00A869B0"/>
    <w:rsid w:val="00A9289F"/>
    <w:rsid w:val="00A92C1D"/>
    <w:rsid w:val="00A9635D"/>
    <w:rsid w:val="00AA03C7"/>
    <w:rsid w:val="00AA0C77"/>
    <w:rsid w:val="00AA1D27"/>
    <w:rsid w:val="00AA204C"/>
    <w:rsid w:val="00AA2D57"/>
    <w:rsid w:val="00AA3941"/>
    <w:rsid w:val="00AA56D0"/>
    <w:rsid w:val="00AB0C9F"/>
    <w:rsid w:val="00AB143A"/>
    <w:rsid w:val="00AC003C"/>
    <w:rsid w:val="00AC0103"/>
    <w:rsid w:val="00AC1404"/>
    <w:rsid w:val="00AD039F"/>
    <w:rsid w:val="00AD3902"/>
    <w:rsid w:val="00AD6010"/>
    <w:rsid w:val="00AE33FF"/>
    <w:rsid w:val="00AF06D5"/>
    <w:rsid w:val="00AF09DD"/>
    <w:rsid w:val="00B02655"/>
    <w:rsid w:val="00B05102"/>
    <w:rsid w:val="00B14143"/>
    <w:rsid w:val="00B16A34"/>
    <w:rsid w:val="00B25453"/>
    <w:rsid w:val="00B31B9C"/>
    <w:rsid w:val="00B34D6C"/>
    <w:rsid w:val="00B5544F"/>
    <w:rsid w:val="00B55E5D"/>
    <w:rsid w:val="00B60A36"/>
    <w:rsid w:val="00B66867"/>
    <w:rsid w:val="00B66994"/>
    <w:rsid w:val="00B71AFB"/>
    <w:rsid w:val="00B71F3A"/>
    <w:rsid w:val="00B73C97"/>
    <w:rsid w:val="00B76340"/>
    <w:rsid w:val="00B80C43"/>
    <w:rsid w:val="00B94786"/>
    <w:rsid w:val="00BA78B6"/>
    <w:rsid w:val="00BB26AD"/>
    <w:rsid w:val="00BB79BD"/>
    <w:rsid w:val="00BC7208"/>
    <w:rsid w:val="00BD0B48"/>
    <w:rsid w:val="00BD2A0A"/>
    <w:rsid w:val="00BD5D0F"/>
    <w:rsid w:val="00BD7C68"/>
    <w:rsid w:val="00BE1CBC"/>
    <w:rsid w:val="00BE29DC"/>
    <w:rsid w:val="00BF697A"/>
    <w:rsid w:val="00BF6ADB"/>
    <w:rsid w:val="00C03776"/>
    <w:rsid w:val="00C04F14"/>
    <w:rsid w:val="00C05CFC"/>
    <w:rsid w:val="00C13821"/>
    <w:rsid w:val="00C14051"/>
    <w:rsid w:val="00C15F73"/>
    <w:rsid w:val="00C2037B"/>
    <w:rsid w:val="00C22FF7"/>
    <w:rsid w:val="00C27F76"/>
    <w:rsid w:val="00C30DA4"/>
    <w:rsid w:val="00C44719"/>
    <w:rsid w:val="00C50108"/>
    <w:rsid w:val="00C6572C"/>
    <w:rsid w:val="00C70CFF"/>
    <w:rsid w:val="00C75655"/>
    <w:rsid w:val="00C837C3"/>
    <w:rsid w:val="00C84497"/>
    <w:rsid w:val="00C868F6"/>
    <w:rsid w:val="00C9137C"/>
    <w:rsid w:val="00C91644"/>
    <w:rsid w:val="00C9663B"/>
    <w:rsid w:val="00CA43A5"/>
    <w:rsid w:val="00CA7C0B"/>
    <w:rsid w:val="00CB6E2B"/>
    <w:rsid w:val="00CB6FF7"/>
    <w:rsid w:val="00CB7302"/>
    <w:rsid w:val="00CC0DFA"/>
    <w:rsid w:val="00CC1E9F"/>
    <w:rsid w:val="00CC48BD"/>
    <w:rsid w:val="00CC5896"/>
    <w:rsid w:val="00CE0C35"/>
    <w:rsid w:val="00CE3810"/>
    <w:rsid w:val="00CE52B4"/>
    <w:rsid w:val="00CE5DCD"/>
    <w:rsid w:val="00CE701C"/>
    <w:rsid w:val="00CE7599"/>
    <w:rsid w:val="00CF414A"/>
    <w:rsid w:val="00CF4FF0"/>
    <w:rsid w:val="00CF5B47"/>
    <w:rsid w:val="00D104F9"/>
    <w:rsid w:val="00D14323"/>
    <w:rsid w:val="00D16008"/>
    <w:rsid w:val="00D166D4"/>
    <w:rsid w:val="00D23E01"/>
    <w:rsid w:val="00D25E59"/>
    <w:rsid w:val="00D30254"/>
    <w:rsid w:val="00D33768"/>
    <w:rsid w:val="00D33D87"/>
    <w:rsid w:val="00D35077"/>
    <w:rsid w:val="00D35A6E"/>
    <w:rsid w:val="00D408A8"/>
    <w:rsid w:val="00D46D81"/>
    <w:rsid w:val="00D46DAE"/>
    <w:rsid w:val="00D51C8F"/>
    <w:rsid w:val="00D5204B"/>
    <w:rsid w:val="00D54C10"/>
    <w:rsid w:val="00D55191"/>
    <w:rsid w:val="00D55CD0"/>
    <w:rsid w:val="00D56F77"/>
    <w:rsid w:val="00D57544"/>
    <w:rsid w:val="00D57973"/>
    <w:rsid w:val="00D60CE2"/>
    <w:rsid w:val="00D612EC"/>
    <w:rsid w:val="00D6153E"/>
    <w:rsid w:val="00D623C4"/>
    <w:rsid w:val="00D722DF"/>
    <w:rsid w:val="00D84675"/>
    <w:rsid w:val="00D8526A"/>
    <w:rsid w:val="00D86252"/>
    <w:rsid w:val="00D917F3"/>
    <w:rsid w:val="00D97BAA"/>
    <w:rsid w:val="00DA3AF3"/>
    <w:rsid w:val="00DA5455"/>
    <w:rsid w:val="00DA5C2B"/>
    <w:rsid w:val="00DB4536"/>
    <w:rsid w:val="00DB5EFB"/>
    <w:rsid w:val="00DB6EF1"/>
    <w:rsid w:val="00DC19BB"/>
    <w:rsid w:val="00DC6404"/>
    <w:rsid w:val="00DD7FDF"/>
    <w:rsid w:val="00DE1703"/>
    <w:rsid w:val="00DE25AC"/>
    <w:rsid w:val="00DF10DF"/>
    <w:rsid w:val="00DF568D"/>
    <w:rsid w:val="00E00CCB"/>
    <w:rsid w:val="00E042C7"/>
    <w:rsid w:val="00E0781A"/>
    <w:rsid w:val="00E07EDA"/>
    <w:rsid w:val="00E11475"/>
    <w:rsid w:val="00E175A7"/>
    <w:rsid w:val="00E20168"/>
    <w:rsid w:val="00E20740"/>
    <w:rsid w:val="00E20E92"/>
    <w:rsid w:val="00E245DA"/>
    <w:rsid w:val="00E24645"/>
    <w:rsid w:val="00E31BCB"/>
    <w:rsid w:val="00E32963"/>
    <w:rsid w:val="00E337BC"/>
    <w:rsid w:val="00E350CD"/>
    <w:rsid w:val="00E372A9"/>
    <w:rsid w:val="00E4001B"/>
    <w:rsid w:val="00E51FDE"/>
    <w:rsid w:val="00E534B2"/>
    <w:rsid w:val="00E56B66"/>
    <w:rsid w:val="00E579A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C1212"/>
    <w:rsid w:val="00EC1D3D"/>
    <w:rsid w:val="00EC3331"/>
    <w:rsid w:val="00EC677E"/>
    <w:rsid w:val="00EC7E67"/>
    <w:rsid w:val="00ED5B5C"/>
    <w:rsid w:val="00ED70BD"/>
    <w:rsid w:val="00EE0B3E"/>
    <w:rsid w:val="00EE37BB"/>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6CE9"/>
    <w:rsid w:val="00F61151"/>
    <w:rsid w:val="00F64ECE"/>
    <w:rsid w:val="00F67B6E"/>
    <w:rsid w:val="00F77765"/>
    <w:rsid w:val="00F77EC3"/>
    <w:rsid w:val="00F85E98"/>
    <w:rsid w:val="00FA7C8B"/>
    <w:rsid w:val="00FB0249"/>
    <w:rsid w:val="00FB1727"/>
    <w:rsid w:val="00FB793A"/>
    <w:rsid w:val="00FC5915"/>
    <w:rsid w:val="00FC5D6D"/>
    <w:rsid w:val="00FD6657"/>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9635D"/>
  </w:style>
  <w:style w:type="character" w:customStyle="1" w:styleId="FootnoteTextChar">
    <w:name w:val="Footnote Text Char"/>
    <w:basedOn w:val="DefaultParagraphFont"/>
    <w:link w:val="FootnoteText"/>
    <w:uiPriority w:val="99"/>
    <w:semiHidden/>
    <w:rsid w:val="00A9635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2190E"/>
    <w:pPr>
      <w:tabs>
        <w:tab w:val="center" w:pos="4680"/>
        <w:tab w:val="right" w:pos="9360"/>
      </w:tabs>
    </w:pPr>
  </w:style>
  <w:style w:type="character" w:customStyle="1" w:styleId="HeaderChar">
    <w:name w:val="Header Char"/>
    <w:basedOn w:val="DefaultParagraphFont"/>
    <w:link w:val="Header"/>
    <w:uiPriority w:val="99"/>
    <w:rsid w:val="004219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190E"/>
    <w:pPr>
      <w:tabs>
        <w:tab w:val="center" w:pos="4680"/>
        <w:tab w:val="right" w:pos="9360"/>
      </w:tabs>
    </w:pPr>
  </w:style>
  <w:style w:type="character" w:customStyle="1" w:styleId="FooterChar">
    <w:name w:val="Footer Char"/>
    <w:basedOn w:val="DefaultParagraphFont"/>
    <w:link w:val="Footer"/>
    <w:uiPriority w:val="99"/>
    <w:rsid w:val="0042190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9635D"/>
  </w:style>
  <w:style w:type="character" w:customStyle="1" w:styleId="FootnoteTextChar">
    <w:name w:val="Footnote Text Char"/>
    <w:basedOn w:val="DefaultParagraphFont"/>
    <w:link w:val="FootnoteText"/>
    <w:uiPriority w:val="99"/>
    <w:semiHidden/>
    <w:rsid w:val="00A9635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2190E"/>
    <w:pPr>
      <w:tabs>
        <w:tab w:val="center" w:pos="4680"/>
        <w:tab w:val="right" w:pos="9360"/>
      </w:tabs>
    </w:pPr>
  </w:style>
  <w:style w:type="character" w:customStyle="1" w:styleId="HeaderChar">
    <w:name w:val="Header Char"/>
    <w:basedOn w:val="DefaultParagraphFont"/>
    <w:link w:val="Header"/>
    <w:uiPriority w:val="99"/>
    <w:rsid w:val="004219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2190E"/>
    <w:pPr>
      <w:tabs>
        <w:tab w:val="center" w:pos="4680"/>
        <w:tab w:val="right" w:pos="9360"/>
      </w:tabs>
    </w:pPr>
  </w:style>
  <w:style w:type="character" w:customStyle="1" w:styleId="FooterChar">
    <w:name w:val="Footer Char"/>
    <w:basedOn w:val="DefaultParagraphFont"/>
    <w:link w:val="Footer"/>
    <w:uiPriority w:val="99"/>
    <w:rsid w:val="0042190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99253-9380-445D-B44C-C1076E93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34</cp:revision>
  <cp:lastPrinted>2012-12-05T18:30:00Z</cp:lastPrinted>
  <dcterms:created xsi:type="dcterms:W3CDTF">2012-11-16T14:03:00Z</dcterms:created>
  <dcterms:modified xsi:type="dcterms:W3CDTF">2012-12-05T18:30:00Z</dcterms:modified>
</cp:coreProperties>
</file>