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850E69" w:rsidRDefault="0066241C" w:rsidP="00ED2E14">
      <w:pPr>
        <w:jc w:val="center"/>
        <w:rPr>
          <w:rFonts w:ascii="Times New Roman" w:hAnsi="Times New Roman" w:cs="Times New Roman"/>
          <w:b/>
        </w:rPr>
      </w:pPr>
      <w:r w:rsidRPr="00850E69">
        <w:rPr>
          <w:rFonts w:ascii="Times New Roman" w:hAnsi="Times New Roman" w:cs="Times New Roman"/>
          <w:b/>
        </w:rPr>
        <w:t>BEFORE THE</w:t>
      </w:r>
    </w:p>
    <w:p w:rsidR="0066241C" w:rsidRPr="00850E69" w:rsidRDefault="0066241C" w:rsidP="00ED2E14">
      <w:pPr>
        <w:tabs>
          <w:tab w:val="center" w:pos="4680"/>
        </w:tabs>
        <w:suppressAutoHyphens/>
        <w:jc w:val="center"/>
        <w:rPr>
          <w:rFonts w:ascii="Times New Roman" w:hAnsi="Times New Roman" w:cs="Times New Roman"/>
          <w:b/>
          <w:bCs/>
          <w:spacing w:val="-3"/>
        </w:rPr>
      </w:pPr>
      <w:r w:rsidRPr="00850E69">
        <w:rPr>
          <w:rFonts w:ascii="Times New Roman" w:hAnsi="Times New Roman" w:cs="Times New Roman"/>
          <w:b/>
          <w:bCs/>
          <w:spacing w:val="-3"/>
        </w:rPr>
        <w:t>PENNSYLVANIA PUBLIC UTILITY COMMISSION</w:t>
      </w:r>
    </w:p>
    <w:p w:rsidR="00ED2E14" w:rsidRPr="00850E69" w:rsidRDefault="00ED2E14" w:rsidP="00ED2E14">
      <w:pPr>
        <w:tabs>
          <w:tab w:val="center" w:pos="4680"/>
        </w:tabs>
        <w:suppressAutoHyphens/>
        <w:jc w:val="center"/>
        <w:rPr>
          <w:rFonts w:ascii="Times New Roman" w:hAnsi="Times New Roman" w:cs="Times New Roman"/>
          <w:b/>
          <w:bCs/>
          <w:spacing w:val="-3"/>
        </w:rPr>
      </w:pPr>
    </w:p>
    <w:p w:rsidR="00C710A5" w:rsidRPr="00850E69" w:rsidRDefault="00C710A5" w:rsidP="00ED2E14">
      <w:pPr>
        <w:tabs>
          <w:tab w:val="left" w:pos="-720"/>
        </w:tabs>
        <w:suppressAutoHyphens/>
        <w:ind w:firstLine="1440"/>
        <w:rPr>
          <w:rFonts w:ascii="Times New Roman" w:hAnsi="Times New Roman" w:cs="Times New Roman"/>
          <w:spacing w:val="-3"/>
        </w:rPr>
      </w:pPr>
    </w:p>
    <w:p w:rsidR="00ED2E14" w:rsidRPr="00850E69" w:rsidRDefault="00ED2E14" w:rsidP="00ED2E14">
      <w:pPr>
        <w:tabs>
          <w:tab w:val="left" w:pos="-720"/>
        </w:tabs>
        <w:suppressAutoHyphens/>
        <w:ind w:firstLine="1440"/>
        <w:rPr>
          <w:rFonts w:ascii="Times New Roman" w:hAnsi="Times New Roman" w:cs="Times New Roman"/>
          <w:spacing w:val="-3"/>
        </w:rPr>
      </w:pPr>
    </w:p>
    <w:p w:rsidR="00A85DA8" w:rsidRPr="00850E69" w:rsidRDefault="00581D4E" w:rsidP="00ED2E14">
      <w:pPr>
        <w:tabs>
          <w:tab w:val="left" w:pos="-720"/>
        </w:tabs>
        <w:suppressAutoHyphens/>
        <w:jc w:val="both"/>
        <w:rPr>
          <w:rFonts w:ascii="Times New Roman" w:hAnsi="Times New Roman" w:cs="Times New Roman"/>
          <w:spacing w:val="-3"/>
        </w:rPr>
      </w:pPr>
      <w:r w:rsidRPr="00850E69">
        <w:rPr>
          <w:rFonts w:ascii="Times New Roman" w:hAnsi="Times New Roman" w:cs="Times New Roman"/>
          <w:spacing w:val="-3"/>
        </w:rPr>
        <w:t>George W. Kopf, Jr.</w:t>
      </w:r>
      <w:r w:rsidR="00D3344B" w:rsidRPr="00850E69">
        <w:rPr>
          <w:rFonts w:ascii="Times New Roman" w:hAnsi="Times New Roman" w:cs="Times New Roman"/>
          <w:spacing w:val="-3"/>
        </w:rPr>
        <w:tab/>
      </w:r>
      <w:r w:rsidR="00A85DA8" w:rsidRPr="00850E69">
        <w:rPr>
          <w:rFonts w:ascii="Times New Roman" w:hAnsi="Times New Roman" w:cs="Times New Roman"/>
          <w:spacing w:val="-3"/>
        </w:rPr>
        <w:tab/>
      </w:r>
      <w:r w:rsidR="00A85DA8" w:rsidRPr="00850E69">
        <w:rPr>
          <w:rFonts w:ascii="Times New Roman" w:hAnsi="Times New Roman" w:cs="Times New Roman"/>
          <w:spacing w:val="-3"/>
        </w:rPr>
        <w:tab/>
      </w:r>
      <w:r w:rsidR="00ED2E14" w:rsidRPr="00850E69">
        <w:rPr>
          <w:rFonts w:ascii="Times New Roman" w:hAnsi="Times New Roman" w:cs="Times New Roman"/>
          <w:spacing w:val="-3"/>
        </w:rPr>
        <w:tab/>
      </w:r>
      <w:r w:rsidR="009F5C5D">
        <w:rPr>
          <w:rFonts w:ascii="Times New Roman" w:hAnsi="Times New Roman" w:cs="Times New Roman"/>
          <w:spacing w:val="-3"/>
        </w:rPr>
        <w:tab/>
      </w:r>
      <w:r w:rsidR="00A85DA8" w:rsidRPr="00850E69">
        <w:rPr>
          <w:rFonts w:ascii="Times New Roman" w:hAnsi="Times New Roman" w:cs="Times New Roman"/>
          <w:spacing w:val="-3"/>
        </w:rPr>
        <w:fldChar w:fldCharType="begin"/>
      </w:r>
      <w:r w:rsidR="00A85DA8" w:rsidRPr="00850E69">
        <w:rPr>
          <w:rFonts w:ascii="Times New Roman" w:hAnsi="Times New Roman" w:cs="Times New Roman"/>
          <w:spacing w:val="-3"/>
        </w:rPr>
        <w:instrText>fillin "Complainant's name" \d ""</w:instrText>
      </w:r>
      <w:r w:rsidR="00A85DA8" w:rsidRPr="00850E69">
        <w:rPr>
          <w:rFonts w:ascii="Times New Roman" w:hAnsi="Times New Roman" w:cs="Times New Roman"/>
          <w:spacing w:val="-3"/>
        </w:rPr>
        <w:fldChar w:fldCharType="end"/>
      </w:r>
      <w:r w:rsidR="00A85DA8" w:rsidRPr="00850E69">
        <w:rPr>
          <w:rFonts w:ascii="Times New Roman" w:hAnsi="Times New Roman" w:cs="Times New Roman"/>
          <w:spacing w:val="-3"/>
        </w:rPr>
        <w:t>:</w:t>
      </w:r>
    </w:p>
    <w:p w:rsidR="00A85DA8" w:rsidRPr="00850E69" w:rsidRDefault="00A85DA8" w:rsidP="00ED2E14">
      <w:pPr>
        <w:tabs>
          <w:tab w:val="left" w:pos="-720"/>
        </w:tabs>
        <w:suppressAutoHyphens/>
        <w:jc w:val="both"/>
        <w:rPr>
          <w:rFonts w:ascii="Times New Roman" w:hAnsi="Times New Roman" w:cs="Times New Roman"/>
          <w:spacing w:val="-3"/>
        </w:rPr>
      </w:pPr>
      <w:r w:rsidRPr="00850E69">
        <w:rPr>
          <w:rFonts w:ascii="Times New Roman" w:hAnsi="Times New Roman" w:cs="Times New Roman"/>
          <w:spacing w:val="-3"/>
        </w:rPr>
        <w:tab/>
      </w:r>
      <w:r w:rsidRPr="00850E69">
        <w:rPr>
          <w:rFonts w:ascii="Times New Roman" w:hAnsi="Times New Roman" w:cs="Times New Roman"/>
          <w:spacing w:val="-3"/>
        </w:rPr>
        <w:tab/>
      </w:r>
      <w:r w:rsidRPr="00850E69">
        <w:rPr>
          <w:rFonts w:ascii="Times New Roman" w:hAnsi="Times New Roman" w:cs="Times New Roman"/>
          <w:spacing w:val="-3"/>
        </w:rPr>
        <w:tab/>
      </w:r>
      <w:r w:rsidRPr="00850E69">
        <w:rPr>
          <w:rFonts w:ascii="Times New Roman" w:hAnsi="Times New Roman" w:cs="Times New Roman"/>
          <w:spacing w:val="-3"/>
        </w:rPr>
        <w:tab/>
      </w:r>
      <w:r w:rsidRPr="00850E69">
        <w:rPr>
          <w:rFonts w:ascii="Times New Roman" w:hAnsi="Times New Roman" w:cs="Times New Roman"/>
          <w:spacing w:val="-3"/>
        </w:rPr>
        <w:tab/>
      </w:r>
      <w:r w:rsidR="00ED2E14" w:rsidRPr="00850E69">
        <w:rPr>
          <w:rFonts w:ascii="Times New Roman" w:hAnsi="Times New Roman" w:cs="Times New Roman"/>
          <w:spacing w:val="-3"/>
        </w:rPr>
        <w:tab/>
      </w:r>
      <w:r w:rsidR="009F5C5D">
        <w:rPr>
          <w:rFonts w:ascii="Times New Roman" w:hAnsi="Times New Roman" w:cs="Times New Roman"/>
          <w:spacing w:val="-3"/>
        </w:rPr>
        <w:tab/>
      </w:r>
      <w:r w:rsidRPr="00850E69">
        <w:rPr>
          <w:rFonts w:ascii="Times New Roman" w:hAnsi="Times New Roman" w:cs="Times New Roman"/>
          <w:spacing w:val="-3"/>
        </w:rPr>
        <w:t>:</w:t>
      </w:r>
      <w:r w:rsidRPr="00850E69">
        <w:rPr>
          <w:rFonts w:ascii="Times New Roman" w:hAnsi="Times New Roman" w:cs="Times New Roman"/>
          <w:spacing w:val="-3"/>
        </w:rPr>
        <w:tab/>
      </w:r>
      <w:r w:rsidRPr="00850E69">
        <w:rPr>
          <w:rFonts w:ascii="Times New Roman" w:hAnsi="Times New Roman" w:cs="Times New Roman"/>
          <w:spacing w:val="-3"/>
        </w:rPr>
        <w:tab/>
      </w:r>
    </w:p>
    <w:p w:rsidR="00A85DA8" w:rsidRPr="00850E69" w:rsidRDefault="00A85DA8" w:rsidP="00ED2E14">
      <w:pPr>
        <w:tabs>
          <w:tab w:val="left" w:pos="-720"/>
        </w:tabs>
        <w:suppressAutoHyphens/>
        <w:jc w:val="both"/>
        <w:rPr>
          <w:rFonts w:ascii="Times New Roman" w:hAnsi="Times New Roman" w:cs="Times New Roman"/>
          <w:spacing w:val="-3"/>
        </w:rPr>
      </w:pPr>
      <w:r w:rsidRPr="00850E69">
        <w:rPr>
          <w:rFonts w:ascii="Times New Roman" w:hAnsi="Times New Roman" w:cs="Times New Roman"/>
          <w:spacing w:val="-3"/>
        </w:rPr>
        <w:tab/>
        <w:t>v.</w:t>
      </w:r>
      <w:r w:rsidRPr="00850E69">
        <w:rPr>
          <w:rFonts w:ascii="Times New Roman" w:hAnsi="Times New Roman" w:cs="Times New Roman"/>
          <w:spacing w:val="-3"/>
        </w:rPr>
        <w:tab/>
      </w:r>
      <w:r w:rsidRPr="00850E69">
        <w:rPr>
          <w:rFonts w:ascii="Times New Roman" w:hAnsi="Times New Roman" w:cs="Times New Roman"/>
          <w:spacing w:val="-3"/>
        </w:rPr>
        <w:tab/>
      </w:r>
      <w:r w:rsidRPr="00850E69">
        <w:rPr>
          <w:rFonts w:ascii="Times New Roman" w:hAnsi="Times New Roman" w:cs="Times New Roman"/>
          <w:spacing w:val="-3"/>
        </w:rPr>
        <w:tab/>
      </w:r>
      <w:r w:rsidRPr="00850E69">
        <w:rPr>
          <w:rFonts w:ascii="Times New Roman" w:hAnsi="Times New Roman" w:cs="Times New Roman"/>
          <w:spacing w:val="-3"/>
        </w:rPr>
        <w:tab/>
      </w:r>
      <w:r w:rsidR="00ED2E14" w:rsidRPr="00850E69">
        <w:rPr>
          <w:rFonts w:ascii="Times New Roman" w:hAnsi="Times New Roman" w:cs="Times New Roman"/>
          <w:spacing w:val="-3"/>
        </w:rPr>
        <w:tab/>
      </w:r>
      <w:r w:rsidR="009F5C5D">
        <w:rPr>
          <w:rFonts w:ascii="Times New Roman" w:hAnsi="Times New Roman" w:cs="Times New Roman"/>
          <w:spacing w:val="-3"/>
        </w:rPr>
        <w:tab/>
      </w:r>
      <w:r w:rsidRPr="00850E69">
        <w:rPr>
          <w:rFonts w:ascii="Times New Roman" w:hAnsi="Times New Roman" w:cs="Times New Roman"/>
          <w:spacing w:val="-3"/>
        </w:rPr>
        <w:t>:</w:t>
      </w:r>
      <w:r w:rsidRPr="00850E69">
        <w:rPr>
          <w:rFonts w:ascii="Times New Roman" w:hAnsi="Times New Roman" w:cs="Times New Roman"/>
          <w:spacing w:val="-3"/>
        </w:rPr>
        <w:tab/>
      </w:r>
      <w:r w:rsidRPr="00850E69">
        <w:rPr>
          <w:rFonts w:ascii="Times New Roman" w:hAnsi="Times New Roman" w:cs="Times New Roman"/>
          <w:spacing w:val="-3"/>
        </w:rPr>
        <w:tab/>
        <w:t>C-201</w:t>
      </w:r>
      <w:r w:rsidR="00581D4E" w:rsidRPr="00850E69">
        <w:rPr>
          <w:rFonts w:ascii="Times New Roman" w:hAnsi="Times New Roman" w:cs="Times New Roman"/>
          <w:spacing w:val="-3"/>
        </w:rPr>
        <w:t>2-2332993</w:t>
      </w:r>
    </w:p>
    <w:p w:rsidR="00A85DA8" w:rsidRPr="00850E69" w:rsidRDefault="00A85DA8" w:rsidP="00ED2E14">
      <w:pPr>
        <w:tabs>
          <w:tab w:val="left" w:pos="-720"/>
        </w:tabs>
        <w:suppressAutoHyphens/>
        <w:jc w:val="both"/>
        <w:rPr>
          <w:rFonts w:ascii="Times New Roman" w:hAnsi="Times New Roman" w:cs="Times New Roman"/>
          <w:spacing w:val="-3"/>
        </w:rPr>
      </w:pPr>
      <w:r w:rsidRPr="00850E69">
        <w:rPr>
          <w:rFonts w:ascii="Times New Roman" w:hAnsi="Times New Roman" w:cs="Times New Roman"/>
          <w:spacing w:val="-3"/>
        </w:rPr>
        <w:tab/>
      </w:r>
      <w:r w:rsidRPr="00850E69">
        <w:rPr>
          <w:rFonts w:ascii="Times New Roman" w:hAnsi="Times New Roman" w:cs="Times New Roman"/>
          <w:spacing w:val="-3"/>
        </w:rPr>
        <w:tab/>
      </w:r>
      <w:r w:rsidRPr="00850E69">
        <w:rPr>
          <w:rFonts w:ascii="Times New Roman" w:hAnsi="Times New Roman" w:cs="Times New Roman"/>
          <w:spacing w:val="-3"/>
        </w:rPr>
        <w:tab/>
      </w:r>
      <w:r w:rsidRPr="00850E69">
        <w:rPr>
          <w:rFonts w:ascii="Times New Roman" w:hAnsi="Times New Roman" w:cs="Times New Roman"/>
          <w:spacing w:val="-3"/>
        </w:rPr>
        <w:tab/>
      </w:r>
      <w:r w:rsidRPr="00850E69">
        <w:rPr>
          <w:rFonts w:ascii="Times New Roman" w:hAnsi="Times New Roman" w:cs="Times New Roman"/>
          <w:spacing w:val="-3"/>
        </w:rPr>
        <w:tab/>
      </w:r>
      <w:r w:rsidR="00ED2E14" w:rsidRPr="00850E69">
        <w:rPr>
          <w:rFonts w:ascii="Times New Roman" w:hAnsi="Times New Roman" w:cs="Times New Roman"/>
          <w:spacing w:val="-3"/>
        </w:rPr>
        <w:tab/>
      </w:r>
      <w:r w:rsidR="009F5C5D">
        <w:rPr>
          <w:rFonts w:ascii="Times New Roman" w:hAnsi="Times New Roman" w:cs="Times New Roman"/>
          <w:spacing w:val="-3"/>
        </w:rPr>
        <w:tab/>
      </w:r>
      <w:r w:rsidRPr="00850E69">
        <w:rPr>
          <w:rFonts w:ascii="Times New Roman" w:hAnsi="Times New Roman" w:cs="Times New Roman"/>
          <w:spacing w:val="-3"/>
        </w:rPr>
        <w:t>:</w:t>
      </w:r>
    </w:p>
    <w:p w:rsidR="00A85DA8" w:rsidRPr="00850E69" w:rsidRDefault="00D3344B" w:rsidP="00ED2E14">
      <w:pPr>
        <w:tabs>
          <w:tab w:val="left" w:pos="-720"/>
          <w:tab w:val="left" w:pos="-90"/>
        </w:tabs>
        <w:suppressAutoHyphens/>
        <w:jc w:val="both"/>
        <w:rPr>
          <w:rFonts w:ascii="Times New Roman" w:hAnsi="Times New Roman" w:cs="Times New Roman"/>
          <w:spacing w:val="-3"/>
        </w:rPr>
      </w:pPr>
      <w:r w:rsidRPr="00850E69">
        <w:rPr>
          <w:rFonts w:ascii="Times New Roman" w:hAnsi="Times New Roman" w:cs="Times New Roman"/>
          <w:spacing w:val="-3"/>
        </w:rPr>
        <w:t>PECO Energy Company</w:t>
      </w:r>
      <w:r w:rsidRPr="00850E69">
        <w:rPr>
          <w:rFonts w:ascii="Times New Roman" w:hAnsi="Times New Roman" w:cs="Times New Roman"/>
          <w:spacing w:val="-3"/>
        </w:rPr>
        <w:tab/>
      </w:r>
      <w:r w:rsidR="00A85DA8" w:rsidRPr="00850E69">
        <w:rPr>
          <w:rFonts w:ascii="Times New Roman" w:hAnsi="Times New Roman" w:cs="Times New Roman"/>
          <w:spacing w:val="-3"/>
        </w:rPr>
        <w:tab/>
      </w:r>
      <w:r w:rsidR="00ED2E14" w:rsidRPr="00850E69">
        <w:rPr>
          <w:rFonts w:ascii="Times New Roman" w:hAnsi="Times New Roman" w:cs="Times New Roman"/>
          <w:spacing w:val="-3"/>
        </w:rPr>
        <w:tab/>
      </w:r>
      <w:r w:rsidR="009F5C5D">
        <w:rPr>
          <w:rFonts w:ascii="Times New Roman" w:hAnsi="Times New Roman" w:cs="Times New Roman"/>
          <w:spacing w:val="-3"/>
        </w:rPr>
        <w:tab/>
      </w:r>
      <w:r w:rsidR="00A85DA8" w:rsidRPr="00850E69">
        <w:rPr>
          <w:rFonts w:ascii="Times New Roman" w:hAnsi="Times New Roman" w:cs="Times New Roman"/>
          <w:spacing w:val="-3"/>
        </w:rPr>
        <w:t>:</w:t>
      </w:r>
    </w:p>
    <w:p w:rsidR="00A85DA8" w:rsidRPr="00850E69" w:rsidRDefault="00A85DA8" w:rsidP="00ED2E14">
      <w:pPr>
        <w:tabs>
          <w:tab w:val="left" w:pos="-720"/>
          <w:tab w:val="left" w:pos="5040"/>
        </w:tabs>
        <w:suppressAutoHyphens/>
        <w:jc w:val="both"/>
        <w:rPr>
          <w:rFonts w:ascii="Times New Roman" w:hAnsi="Times New Roman" w:cs="Times New Roman"/>
          <w:spacing w:val="-3"/>
        </w:rPr>
      </w:pPr>
    </w:p>
    <w:p w:rsidR="00C710A5" w:rsidRPr="00850E69" w:rsidRDefault="00C710A5" w:rsidP="00ED2E14">
      <w:pPr>
        <w:tabs>
          <w:tab w:val="left" w:pos="-720"/>
          <w:tab w:val="left" w:pos="5040"/>
        </w:tabs>
        <w:suppressAutoHyphens/>
        <w:jc w:val="both"/>
        <w:rPr>
          <w:rFonts w:ascii="Times New Roman" w:hAnsi="Times New Roman" w:cs="Times New Roman"/>
          <w:spacing w:val="-3"/>
        </w:rPr>
      </w:pPr>
    </w:p>
    <w:p w:rsidR="00ED2E14" w:rsidRPr="00850E69" w:rsidRDefault="00ED2E14" w:rsidP="00ED2E14">
      <w:pPr>
        <w:tabs>
          <w:tab w:val="left" w:pos="-720"/>
          <w:tab w:val="left" w:pos="5040"/>
        </w:tabs>
        <w:suppressAutoHyphens/>
        <w:jc w:val="both"/>
        <w:rPr>
          <w:rFonts w:ascii="Times New Roman" w:hAnsi="Times New Roman" w:cs="Times New Roman"/>
          <w:spacing w:val="-3"/>
        </w:rPr>
      </w:pPr>
    </w:p>
    <w:p w:rsidR="00057568" w:rsidRDefault="00E43B9C" w:rsidP="00ED2E14">
      <w:pPr>
        <w:tabs>
          <w:tab w:val="center" w:pos="4680"/>
        </w:tabs>
        <w:suppressAutoHyphens/>
        <w:jc w:val="center"/>
        <w:rPr>
          <w:rFonts w:ascii="Times New Roman" w:hAnsi="Times New Roman" w:cs="Times New Roman"/>
          <w:b/>
          <w:bCs/>
          <w:spacing w:val="-3"/>
          <w:u w:val="single"/>
        </w:rPr>
      </w:pPr>
      <w:r w:rsidRPr="00850E69">
        <w:rPr>
          <w:rFonts w:ascii="Times New Roman" w:hAnsi="Times New Roman" w:cs="Times New Roman"/>
          <w:b/>
          <w:bCs/>
          <w:spacing w:val="-3"/>
          <w:u w:val="single"/>
        </w:rPr>
        <w:t>INITIAL DECISION</w:t>
      </w:r>
      <w:r w:rsidR="00057568">
        <w:rPr>
          <w:rFonts w:ascii="Times New Roman" w:hAnsi="Times New Roman" w:cs="Times New Roman"/>
          <w:b/>
          <w:bCs/>
          <w:spacing w:val="-3"/>
          <w:u w:val="single"/>
        </w:rPr>
        <w:t xml:space="preserve"> SUSTAIN</w:t>
      </w:r>
      <w:r w:rsidR="001E03F1">
        <w:rPr>
          <w:rFonts w:ascii="Times New Roman" w:hAnsi="Times New Roman" w:cs="Times New Roman"/>
          <w:b/>
          <w:bCs/>
          <w:spacing w:val="-3"/>
          <w:u w:val="single"/>
        </w:rPr>
        <w:t>IN</w:t>
      </w:r>
      <w:r w:rsidR="00057568">
        <w:rPr>
          <w:rFonts w:ascii="Times New Roman" w:hAnsi="Times New Roman" w:cs="Times New Roman"/>
          <w:b/>
          <w:bCs/>
          <w:spacing w:val="-3"/>
          <w:u w:val="single"/>
        </w:rPr>
        <w:t xml:space="preserve">G PRELIMINARY OBJECTIONS </w:t>
      </w:r>
    </w:p>
    <w:p w:rsidR="00E43B9C" w:rsidRPr="00850E69" w:rsidRDefault="00057568" w:rsidP="00ED2E1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AND DISMISSING COMPLAINT</w:t>
      </w:r>
      <w:r w:rsidR="00E43B9C" w:rsidRPr="00850E69">
        <w:rPr>
          <w:rFonts w:ascii="Times New Roman" w:hAnsi="Times New Roman" w:cs="Times New Roman"/>
          <w:b/>
          <w:bCs/>
          <w:spacing w:val="-3"/>
          <w:u w:val="single"/>
        </w:rPr>
        <w:t xml:space="preserve"> </w:t>
      </w:r>
    </w:p>
    <w:p w:rsidR="00E43B9C" w:rsidRPr="00850E69" w:rsidRDefault="00E43B9C" w:rsidP="00ED2E14">
      <w:pPr>
        <w:tabs>
          <w:tab w:val="center" w:pos="4680"/>
        </w:tabs>
        <w:suppressAutoHyphens/>
        <w:jc w:val="center"/>
        <w:rPr>
          <w:rFonts w:ascii="Times New Roman" w:hAnsi="Times New Roman" w:cs="Times New Roman"/>
          <w:b/>
          <w:bCs/>
          <w:spacing w:val="-3"/>
          <w:u w:val="single"/>
        </w:rPr>
      </w:pPr>
    </w:p>
    <w:p w:rsidR="00E43B9C" w:rsidRPr="00850E69" w:rsidRDefault="00E43B9C" w:rsidP="00ED2E14">
      <w:pPr>
        <w:tabs>
          <w:tab w:val="center" w:pos="4680"/>
        </w:tabs>
        <w:suppressAutoHyphens/>
        <w:jc w:val="center"/>
        <w:rPr>
          <w:rFonts w:ascii="Times New Roman" w:hAnsi="Times New Roman" w:cs="Times New Roman"/>
          <w:b/>
          <w:bCs/>
          <w:spacing w:val="-3"/>
          <w:u w:val="single"/>
        </w:rPr>
      </w:pPr>
    </w:p>
    <w:p w:rsidR="00E43B9C" w:rsidRPr="00850E69" w:rsidRDefault="00E43B9C" w:rsidP="00ED2E14">
      <w:pPr>
        <w:tabs>
          <w:tab w:val="center" w:pos="4680"/>
        </w:tabs>
        <w:suppressAutoHyphens/>
        <w:jc w:val="center"/>
        <w:rPr>
          <w:rFonts w:ascii="Times New Roman" w:hAnsi="Times New Roman" w:cs="Times New Roman"/>
          <w:bCs/>
          <w:spacing w:val="-3"/>
        </w:rPr>
      </w:pPr>
      <w:r w:rsidRPr="00850E69">
        <w:rPr>
          <w:rFonts w:ascii="Times New Roman" w:hAnsi="Times New Roman" w:cs="Times New Roman"/>
          <w:bCs/>
          <w:spacing w:val="-3"/>
        </w:rPr>
        <w:t xml:space="preserve">Before </w:t>
      </w:r>
    </w:p>
    <w:p w:rsidR="00E43B9C" w:rsidRPr="00850E69" w:rsidRDefault="00E43B9C" w:rsidP="00ED2E14">
      <w:pPr>
        <w:tabs>
          <w:tab w:val="center" w:pos="4680"/>
        </w:tabs>
        <w:suppressAutoHyphens/>
        <w:jc w:val="center"/>
        <w:rPr>
          <w:rFonts w:ascii="Times New Roman" w:hAnsi="Times New Roman" w:cs="Times New Roman"/>
          <w:bCs/>
          <w:spacing w:val="-3"/>
        </w:rPr>
      </w:pPr>
      <w:r w:rsidRPr="00850E69">
        <w:rPr>
          <w:rFonts w:ascii="Times New Roman" w:hAnsi="Times New Roman" w:cs="Times New Roman"/>
          <w:bCs/>
          <w:spacing w:val="-3"/>
        </w:rPr>
        <w:t>David A. Salapa</w:t>
      </w:r>
    </w:p>
    <w:p w:rsidR="00E43B9C" w:rsidRDefault="00E43B9C" w:rsidP="00ED2E14">
      <w:pPr>
        <w:tabs>
          <w:tab w:val="center" w:pos="4680"/>
        </w:tabs>
        <w:suppressAutoHyphens/>
        <w:jc w:val="center"/>
        <w:rPr>
          <w:rFonts w:ascii="Times New Roman" w:hAnsi="Times New Roman" w:cs="Times New Roman"/>
          <w:bCs/>
          <w:spacing w:val="-3"/>
        </w:rPr>
      </w:pPr>
      <w:r w:rsidRPr="00850E69">
        <w:rPr>
          <w:rFonts w:ascii="Times New Roman" w:hAnsi="Times New Roman" w:cs="Times New Roman"/>
          <w:bCs/>
          <w:spacing w:val="-3"/>
        </w:rPr>
        <w:t>Administrative Law Judge</w:t>
      </w:r>
    </w:p>
    <w:p w:rsidR="00D10D65" w:rsidRPr="00850E69" w:rsidRDefault="00D10D65" w:rsidP="00ED2E14">
      <w:pPr>
        <w:tabs>
          <w:tab w:val="center" w:pos="4680"/>
        </w:tabs>
        <w:suppressAutoHyphens/>
        <w:jc w:val="center"/>
        <w:rPr>
          <w:rFonts w:ascii="Times New Roman" w:hAnsi="Times New Roman" w:cs="Times New Roman"/>
          <w:bCs/>
          <w:spacing w:val="-3"/>
        </w:rPr>
      </w:pPr>
    </w:p>
    <w:p w:rsidR="00E43B9C" w:rsidRPr="00850E69" w:rsidRDefault="00E43B9C" w:rsidP="00ED2E14">
      <w:pPr>
        <w:tabs>
          <w:tab w:val="center" w:pos="4680"/>
        </w:tabs>
        <w:suppressAutoHyphens/>
        <w:jc w:val="center"/>
        <w:rPr>
          <w:rFonts w:ascii="Times New Roman" w:hAnsi="Times New Roman" w:cs="Times New Roman"/>
          <w:bCs/>
          <w:spacing w:val="-3"/>
        </w:rPr>
      </w:pPr>
      <w:bookmarkStart w:id="0" w:name="_GoBack"/>
      <w:bookmarkEnd w:id="0"/>
    </w:p>
    <w:p w:rsidR="00CA408F" w:rsidRPr="00850E69" w:rsidRDefault="00CA408F" w:rsidP="00CA408F">
      <w:pPr>
        <w:tabs>
          <w:tab w:val="center" w:pos="4680"/>
        </w:tabs>
        <w:suppressAutoHyphens/>
        <w:jc w:val="center"/>
        <w:rPr>
          <w:rFonts w:ascii="Times New Roman" w:hAnsi="Times New Roman" w:cs="Times New Roman"/>
          <w:bCs/>
          <w:spacing w:val="-3"/>
          <w:u w:val="single"/>
        </w:rPr>
      </w:pPr>
      <w:r w:rsidRPr="00850E69">
        <w:rPr>
          <w:rFonts w:ascii="Times New Roman" w:hAnsi="Times New Roman" w:cs="Times New Roman"/>
          <w:bCs/>
          <w:spacing w:val="-3"/>
          <w:u w:val="single"/>
        </w:rPr>
        <w:t>INTRODUCTION</w:t>
      </w:r>
    </w:p>
    <w:p w:rsidR="00CA408F" w:rsidRPr="00850E69" w:rsidRDefault="00CA408F" w:rsidP="00CA408F">
      <w:pPr>
        <w:tabs>
          <w:tab w:val="center" w:pos="4680"/>
        </w:tabs>
        <w:suppressAutoHyphens/>
        <w:jc w:val="center"/>
        <w:rPr>
          <w:rFonts w:ascii="Times New Roman" w:hAnsi="Times New Roman" w:cs="Times New Roman"/>
          <w:bCs/>
          <w:spacing w:val="-3"/>
        </w:rPr>
      </w:pPr>
    </w:p>
    <w:p w:rsidR="00CA408F" w:rsidRPr="00850E69" w:rsidRDefault="00CA408F" w:rsidP="00CA408F">
      <w:pPr>
        <w:pStyle w:val="ParaTab1"/>
        <w:spacing w:line="360" w:lineRule="auto"/>
        <w:ind w:firstLine="1354"/>
        <w:rPr>
          <w:rFonts w:ascii="Times New Roman" w:hAnsi="Times New Roman" w:cs="Times New Roman"/>
        </w:rPr>
      </w:pPr>
      <w:r w:rsidRPr="00850E69">
        <w:rPr>
          <w:rFonts w:ascii="Times New Roman" w:hAnsi="Times New Roman" w:cs="Times New Roman"/>
          <w:bCs/>
          <w:spacing w:val="-3"/>
        </w:rPr>
        <w:t xml:space="preserve">A </w:t>
      </w:r>
      <w:r w:rsidR="00E4450B" w:rsidRPr="00850E69">
        <w:rPr>
          <w:rFonts w:ascii="Times New Roman" w:hAnsi="Times New Roman" w:cs="Times New Roman"/>
          <w:bCs/>
          <w:spacing w:val="-3"/>
        </w:rPr>
        <w:t>property owner</w:t>
      </w:r>
      <w:r w:rsidRPr="00850E69">
        <w:rPr>
          <w:rFonts w:ascii="Times New Roman" w:hAnsi="Times New Roman" w:cs="Times New Roman"/>
          <w:bCs/>
          <w:spacing w:val="-3"/>
        </w:rPr>
        <w:t xml:space="preserve"> filed a complaint against the electric utility alleging the utility </w:t>
      </w:r>
      <w:r w:rsidR="00E4450B" w:rsidRPr="00850E69">
        <w:rPr>
          <w:rFonts w:ascii="Times New Roman" w:hAnsi="Times New Roman" w:cs="Times New Roman"/>
          <w:bCs/>
          <w:spacing w:val="-3"/>
        </w:rPr>
        <w:t xml:space="preserve">informed him that a rental </w:t>
      </w:r>
      <w:r w:rsidR="00DC0112">
        <w:rPr>
          <w:rFonts w:ascii="Times New Roman" w:hAnsi="Times New Roman" w:cs="Times New Roman"/>
          <w:bCs/>
          <w:spacing w:val="-3"/>
        </w:rPr>
        <w:t xml:space="preserve">property </w:t>
      </w:r>
      <w:r w:rsidR="00E4450B" w:rsidRPr="00850E69">
        <w:rPr>
          <w:rFonts w:ascii="Times New Roman" w:hAnsi="Times New Roman" w:cs="Times New Roman"/>
          <w:bCs/>
          <w:spacing w:val="-3"/>
        </w:rPr>
        <w:t xml:space="preserve">he owns has foreign wiring.  The utility transferred the account from the tenant to the property owner.  The property owner asserts that the tenant agreed in the lease for the rental </w:t>
      </w:r>
      <w:r w:rsidR="00DC0112">
        <w:rPr>
          <w:rFonts w:ascii="Times New Roman" w:hAnsi="Times New Roman" w:cs="Times New Roman"/>
          <w:bCs/>
          <w:spacing w:val="-3"/>
        </w:rPr>
        <w:t xml:space="preserve">property </w:t>
      </w:r>
      <w:r w:rsidR="00E4450B" w:rsidRPr="00850E69">
        <w:rPr>
          <w:rFonts w:ascii="Times New Roman" w:hAnsi="Times New Roman" w:cs="Times New Roman"/>
          <w:bCs/>
          <w:spacing w:val="-3"/>
        </w:rPr>
        <w:t xml:space="preserve">to pay for </w:t>
      </w:r>
      <w:r w:rsidR="00DC0112">
        <w:rPr>
          <w:rFonts w:ascii="Times New Roman" w:hAnsi="Times New Roman" w:cs="Times New Roman"/>
          <w:bCs/>
          <w:spacing w:val="-3"/>
        </w:rPr>
        <w:t xml:space="preserve">electric usage </w:t>
      </w:r>
      <w:r w:rsidR="00E4450B" w:rsidRPr="00850E69">
        <w:rPr>
          <w:rFonts w:ascii="Times New Roman" w:hAnsi="Times New Roman" w:cs="Times New Roman"/>
          <w:bCs/>
          <w:spacing w:val="-3"/>
        </w:rPr>
        <w:t>in the common area</w:t>
      </w:r>
      <w:r w:rsidR="00DC0112">
        <w:rPr>
          <w:rFonts w:ascii="Times New Roman" w:hAnsi="Times New Roman" w:cs="Times New Roman"/>
          <w:bCs/>
          <w:spacing w:val="-3"/>
        </w:rPr>
        <w:t xml:space="preserve">s.  The property owner requests that </w:t>
      </w:r>
      <w:r w:rsidR="00E4450B" w:rsidRPr="00850E69">
        <w:rPr>
          <w:rFonts w:ascii="Times New Roman" w:hAnsi="Times New Roman" w:cs="Times New Roman"/>
          <w:bCs/>
          <w:spacing w:val="-3"/>
        </w:rPr>
        <w:t xml:space="preserve">the utility transfer the account for the rental </w:t>
      </w:r>
      <w:r w:rsidR="00DC0112">
        <w:rPr>
          <w:rFonts w:ascii="Times New Roman" w:hAnsi="Times New Roman" w:cs="Times New Roman"/>
          <w:bCs/>
          <w:spacing w:val="-3"/>
        </w:rPr>
        <w:t xml:space="preserve">property </w:t>
      </w:r>
      <w:r w:rsidR="00E4450B" w:rsidRPr="00850E69">
        <w:rPr>
          <w:rFonts w:ascii="Times New Roman" w:hAnsi="Times New Roman" w:cs="Times New Roman"/>
          <w:bCs/>
          <w:spacing w:val="-3"/>
        </w:rPr>
        <w:t xml:space="preserve">back to the tenant.  </w:t>
      </w:r>
      <w:r w:rsidRPr="00850E69">
        <w:rPr>
          <w:rFonts w:ascii="Times New Roman" w:hAnsi="Times New Roman" w:cs="Times New Roman"/>
          <w:bCs/>
          <w:spacing w:val="-3"/>
        </w:rPr>
        <w:t xml:space="preserve">This decision dismisses the complaint because the utility is </w:t>
      </w:r>
      <w:r w:rsidRPr="00850E69">
        <w:rPr>
          <w:rFonts w:ascii="Times New Roman" w:hAnsi="Times New Roman" w:cs="Times New Roman"/>
        </w:rPr>
        <w:t xml:space="preserve">complying with relevant Commission statutes, regulations and orders by </w:t>
      </w:r>
      <w:r w:rsidR="00872F76" w:rsidRPr="00850E69">
        <w:rPr>
          <w:rFonts w:ascii="Times New Roman" w:hAnsi="Times New Roman" w:cs="Times New Roman"/>
        </w:rPr>
        <w:t>transferring the account for the rental property to the property owner.</w:t>
      </w:r>
    </w:p>
    <w:p w:rsidR="00E43B9C" w:rsidRDefault="00E43B9C" w:rsidP="00ED2E14">
      <w:pPr>
        <w:tabs>
          <w:tab w:val="center" w:pos="4680"/>
        </w:tabs>
        <w:suppressAutoHyphens/>
        <w:jc w:val="center"/>
        <w:rPr>
          <w:rFonts w:ascii="Times New Roman" w:hAnsi="Times New Roman" w:cs="Times New Roman"/>
          <w:bCs/>
          <w:spacing w:val="-3"/>
        </w:rPr>
      </w:pPr>
    </w:p>
    <w:p w:rsidR="00D10D65" w:rsidRPr="00850E69" w:rsidRDefault="00D10D65" w:rsidP="00ED2E14">
      <w:pPr>
        <w:tabs>
          <w:tab w:val="center" w:pos="4680"/>
        </w:tabs>
        <w:suppressAutoHyphens/>
        <w:jc w:val="center"/>
        <w:rPr>
          <w:rFonts w:ascii="Times New Roman" w:hAnsi="Times New Roman" w:cs="Times New Roman"/>
          <w:bCs/>
          <w:spacing w:val="-3"/>
        </w:rPr>
      </w:pPr>
    </w:p>
    <w:p w:rsidR="00E43B9C" w:rsidRPr="00850E69" w:rsidRDefault="00E43B9C" w:rsidP="00ED2E14">
      <w:pPr>
        <w:tabs>
          <w:tab w:val="center" w:pos="4680"/>
        </w:tabs>
        <w:suppressAutoHyphens/>
        <w:jc w:val="center"/>
        <w:rPr>
          <w:rFonts w:ascii="Times New Roman" w:hAnsi="Times New Roman" w:cs="Times New Roman"/>
          <w:bCs/>
          <w:spacing w:val="-3"/>
          <w:u w:val="single"/>
        </w:rPr>
      </w:pPr>
      <w:r w:rsidRPr="00850E69">
        <w:rPr>
          <w:rFonts w:ascii="Times New Roman" w:hAnsi="Times New Roman" w:cs="Times New Roman"/>
          <w:bCs/>
          <w:spacing w:val="-3"/>
          <w:u w:val="single"/>
        </w:rPr>
        <w:t>HISTORY OF THE PROCEEDING</w:t>
      </w:r>
    </w:p>
    <w:p w:rsidR="00E43B9C" w:rsidRPr="00850E69" w:rsidRDefault="00E43B9C" w:rsidP="00ED2E14">
      <w:pPr>
        <w:pStyle w:val="ParaTab1"/>
        <w:tabs>
          <w:tab w:val="left" w:pos="2070"/>
        </w:tabs>
        <w:ind w:firstLine="0"/>
        <w:rPr>
          <w:rFonts w:ascii="Times New Roman" w:hAnsi="Times New Roman" w:cs="Times New Roman"/>
        </w:rPr>
      </w:pPr>
    </w:p>
    <w:p w:rsidR="00E43B9C" w:rsidRPr="00850E69" w:rsidRDefault="00E43B9C" w:rsidP="00ED2E14">
      <w:pPr>
        <w:pStyle w:val="ParaTab1"/>
        <w:tabs>
          <w:tab w:val="left" w:pos="2070"/>
        </w:tabs>
        <w:ind w:firstLine="0"/>
        <w:rPr>
          <w:rFonts w:ascii="Times New Roman" w:hAnsi="Times New Roman" w:cs="Times New Roman"/>
        </w:rPr>
      </w:pPr>
    </w:p>
    <w:p w:rsidR="00A45869" w:rsidRPr="00850E69" w:rsidRDefault="00E43B9C" w:rsidP="00ED2E14">
      <w:pPr>
        <w:pStyle w:val="ParaTab1"/>
        <w:spacing w:line="360" w:lineRule="auto"/>
        <w:ind w:firstLine="1350"/>
        <w:rPr>
          <w:rFonts w:ascii="Times New Roman" w:hAnsi="Times New Roman" w:cs="Times New Roman"/>
        </w:rPr>
      </w:pPr>
      <w:r w:rsidRPr="00850E69">
        <w:rPr>
          <w:rFonts w:ascii="Times New Roman" w:hAnsi="Times New Roman" w:cs="Times New Roman"/>
        </w:rPr>
        <w:t xml:space="preserve">On </w:t>
      </w:r>
      <w:r w:rsidR="00A45869" w:rsidRPr="00850E69">
        <w:rPr>
          <w:rFonts w:ascii="Times New Roman" w:hAnsi="Times New Roman" w:cs="Times New Roman"/>
        </w:rPr>
        <w:t>October 24, 2012</w:t>
      </w:r>
      <w:r w:rsidR="00AE3021" w:rsidRPr="00850E69">
        <w:rPr>
          <w:rFonts w:ascii="Times New Roman" w:hAnsi="Times New Roman" w:cs="Times New Roman"/>
        </w:rPr>
        <w:t xml:space="preserve">, </w:t>
      </w:r>
      <w:r w:rsidR="00A45869" w:rsidRPr="00850E69">
        <w:rPr>
          <w:rFonts w:ascii="Times New Roman" w:hAnsi="Times New Roman" w:cs="Times New Roman"/>
        </w:rPr>
        <w:t>George W. Kopf, Jr.</w:t>
      </w:r>
      <w:r w:rsidR="000F0150" w:rsidRPr="00850E69">
        <w:rPr>
          <w:rFonts w:ascii="Times New Roman" w:hAnsi="Times New Roman" w:cs="Times New Roman"/>
        </w:rPr>
        <w:t xml:space="preserve"> </w:t>
      </w:r>
      <w:r w:rsidRPr="00850E69">
        <w:rPr>
          <w:rFonts w:ascii="Times New Roman" w:hAnsi="Times New Roman" w:cs="Times New Roman"/>
        </w:rPr>
        <w:t xml:space="preserve">(Complainant) filed a complaint </w:t>
      </w:r>
      <w:r w:rsidR="00FD52EB" w:rsidRPr="00850E69">
        <w:rPr>
          <w:rFonts w:ascii="Times New Roman" w:hAnsi="Times New Roman" w:cs="Times New Roman"/>
        </w:rPr>
        <w:t xml:space="preserve">with the Pennsylvania Public Utility Commission (Commission) </w:t>
      </w:r>
      <w:r w:rsidRPr="00850E69">
        <w:rPr>
          <w:rFonts w:ascii="Times New Roman" w:hAnsi="Times New Roman" w:cs="Times New Roman"/>
        </w:rPr>
        <w:t xml:space="preserve">against </w:t>
      </w:r>
      <w:r w:rsidR="00E627A9" w:rsidRPr="00850E69">
        <w:rPr>
          <w:rFonts w:ascii="Times New Roman" w:hAnsi="Times New Roman" w:cs="Times New Roman"/>
        </w:rPr>
        <w:t>PECO Energy Company</w:t>
      </w:r>
      <w:r w:rsidR="00AE3021" w:rsidRPr="00850E69">
        <w:rPr>
          <w:rFonts w:ascii="Times New Roman" w:hAnsi="Times New Roman" w:cs="Times New Roman"/>
        </w:rPr>
        <w:t xml:space="preserve"> </w:t>
      </w:r>
      <w:r w:rsidRPr="00850E69">
        <w:rPr>
          <w:rFonts w:ascii="Times New Roman" w:hAnsi="Times New Roman" w:cs="Times New Roman"/>
        </w:rPr>
        <w:t>(Respondent)</w:t>
      </w:r>
      <w:r w:rsidR="00FD52EB" w:rsidRPr="00850E69">
        <w:rPr>
          <w:rFonts w:ascii="Times New Roman" w:hAnsi="Times New Roman" w:cs="Times New Roman"/>
        </w:rPr>
        <w:t xml:space="preserve">.  </w:t>
      </w:r>
      <w:r w:rsidR="006960DD" w:rsidRPr="00850E69">
        <w:rPr>
          <w:rFonts w:ascii="Times New Roman" w:hAnsi="Times New Roman" w:cs="Times New Roman"/>
        </w:rPr>
        <w:t>The complaint concerns a property at 226 Green Street, 2</w:t>
      </w:r>
      <w:r w:rsidR="006960DD" w:rsidRPr="00850E69">
        <w:rPr>
          <w:rFonts w:ascii="Times New Roman" w:hAnsi="Times New Roman" w:cs="Times New Roman"/>
          <w:vertAlign w:val="superscript"/>
        </w:rPr>
        <w:t>nd</w:t>
      </w:r>
      <w:r w:rsidR="006960DD" w:rsidRPr="00850E69">
        <w:rPr>
          <w:rFonts w:ascii="Times New Roman" w:hAnsi="Times New Roman" w:cs="Times New Roman"/>
        </w:rPr>
        <w:t xml:space="preserve"> Floor, Holmes, Pennsylvania, owned by the Complainant.  T</w:t>
      </w:r>
      <w:r w:rsidR="00FD52EB" w:rsidRPr="00850E69">
        <w:rPr>
          <w:rFonts w:ascii="Times New Roman" w:hAnsi="Times New Roman" w:cs="Times New Roman"/>
        </w:rPr>
        <w:t>he complaint alleges that the</w:t>
      </w:r>
      <w:r w:rsidR="00A45869" w:rsidRPr="00850E69">
        <w:rPr>
          <w:rFonts w:ascii="Times New Roman" w:hAnsi="Times New Roman" w:cs="Times New Roman"/>
        </w:rPr>
        <w:t xml:space="preserve"> Respondent has informed the Complainant that he is “in violation of Section 1529.1(b) of the Pennsylvania </w:t>
      </w:r>
      <w:r w:rsidR="00A45869" w:rsidRPr="00850E69">
        <w:rPr>
          <w:rFonts w:ascii="Times New Roman" w:hAnsi="Times New Roman" w:cs="Times New Roman"/>
        </w:rPr>
        <w:lastRenderedPageBreak/>
        <w:t>Public Utility Code, 66 Pa. C.S. 1529.1”.</w:t>
      </w:r>
      <w:r w:rsidR="00421FDF" w:rsidRPr="00850E69">
        <w:rPr>
          <w:rFonts w:ascii="Times New Roman" w:hAnsi="Times New Roman" w:cs="Times New Roman"/>
        </w:rPr>
        <w:t xml:space="preserve">  According to the complaint, the Respondent has informed the Complainant that he must install a separate electric meter for the hallway, basement and outside light.</w:t>
      </w:r>
    </w:p>
    <w:p w:rsidR="00A45869" w:rsidRPr="00850E69" w:rsidRDefault="00A45869" w:rsidP="00ED2E14">
      <w:pPr>
        <w:pStyle w:val="ParaTab1"/>
        <w:spacing w:line="360" w:lineRule="auto"/>
        <w:ind w:firstLine="1350"/>
        <w:rPr>
          <w:rFonts w:ascii="Times New Roman" w:hAnsi="Times New Roman" w:cs="Times New Roman"/>
        </w:rPr>
      </w:pPr>
    </w:p>
    <w:p w:rsidR="005467C6" w:rsidRPr="00850E69" w:rsidRDefault="00A45869" w:rsidP="00ED2E14">
      <w:pPr>
        <w:pStyle w:val="ParaTab1"/>
        <w:spacing w:line="360" w:lineRule="auto"/>
        <w:ind w:firstLine="1350"/>
        <w:rPr>
          <w:rFonts w:ascii="Times New Roman" w:hAnsi="Times New Roman" w:cs="Times New Roman"/>
        </w:rPr>
      </w:pPr>
      <w:r w:rsidRPr="00850E69">
        <w:rPr>
          <w:rFonts w:ascii="Times New Roman" w:hAnsi="Times New Roman" w:cs="Times New Roman"/>
        </w:rPr>
        <w:t xml:space="preserve">Attached to the complaint is a letter dated October 15, 2012, from the Respondent </w:t>
      </w:r>
      <w:r w:rsidR="00753C64" w:rsidRPr="00850E69">
        <w:rPr>
          <w:rFonts w:ascii="Times New Roman" w:hAnsi="Times New Roman" w:cs="Times New Roman"/>
        </w:rPr>
        <w:t>to the Complainant regarding a property at 226 Green Street, 2</w:t>
      </w:r>
      <w:r w:rsidR="00753C64" w:rsidRPr="00850E69">
        <w:rPr>
          <w:rFonts w:ascii="Times New Roman" w:hAnsi="Times New Roman" w:cs="Times New Roman"/>
          <w:vertAlign w:val="superscript"/>
        </w:rPr>
        <w:t>nd</w:t>
      </w:r>
      <w:r w:rsidR="00753C64" w:rsidRPr="00850E69">
        <w:rPr>
          <w:rFonts w:ascii="Times New Roman" w:hAnsi="Times New Roman" w:cs="Times New Roman"/>
        </w:rPr>
        <w:t xml:space="preserve"> Floor, </w:t>
      </w:r>
      <w:r w:rsidR="005467C6" w:rsidRPr="00850E69">
        <w:rPr>
          <w:rFonts w:ascii="Times New Roman" w:hAnsi="Times New Roman" w:cs="Times New Roman"/>
        </w:rPr>
        <w:t>Philadelphia</w:t>
      </w:r>
      <w:r w:rsidR="00753C64" w:rsidRPr="00850E69">
        <w:rPr>
          <w:rFonts w:ascii="Times New Roman" w:hAnsi="Times New Roman" w:cs="Times New Roman"/>
        </w:rPr>
        <w:t>,</w:t>
      </w:r>
      <w:r w:rsidR="00DC0112">
        <w:rPr>
          <w:rFonts w:ascii="Times New Roman" w:hAnsi="Times New Roman" w:cs="Times New Roman"/>
        </w:rPr>
        <w:t xml:space="preserve"> (sic)</w:t>
      </w:r>
      <w:r w:rsidR="00753C64" w:rsidRPr="00850E69">
        <w:rPr>
          <w:rFonts w:ascii="Times New Roman" w:hAnsi="Times New Roman" w:cs="Times New Roman"/>
        </w:rPr>
        <w:t xml:space="preserve"> Pennsylvania, owned by the Complainant.  The letter states that on October 10, 2012, one of the Respondent’s field technicians visited the property in response to a high bill complaint and discovered that</w:t>
      </w:r>
      <w:r w:rsidR="004322AD">
        <w:rPr>
          <w:rFonts w:ascii="Times New Roman" w:hAnsi="Times New Roman" w:cs="Times New Roman"/>
        </w:rPr>
        <w:t xml:space="preserve"> the</w:t>
      </w:r>
      <w:r w:rsidR="00753C64" w:rsidRPr="00850E69">
        <w:rPr>
          <w:rFonts w:ascii="Times New Roman" w:hAnsi="Times New Roman" w:cs="Times New Roman"/>
        </w:rPr>
        <w:t xml:space="preserve"> </w:t>
      </w:r>
      <w:r w:rsidR="00DC0112">
        <w:rPr>
          <w:rFonts w:ascii="Times New Roman" w:hAnsi="Times New Roman" w:cs="Times New Roman"/>
        </w:rPr>
        <w:t xml:space="preserve">second floor tenant’s meter was registering usage for </w:t>
      </w:r>
      <w:r w:rsidR="00753C64" w:rsidRPr="00850E69">
        <w:rPr>
          <w:rFonts w:ascii="Times New Roman" w:hAnsi="Times New Roman" w:cs="Times New Roman"/>
        </w:rPr>
        <w:t>the outdoor light and lights in the common hall on the second floor</w:t>
      </w:r>
      <w:r w:rsidR="005467C6" w:rsidRPr="00850E69">
        <w:rPr>
          <w:rFonts w:ascii="Times New Roman" w:hAnsi="Times New Roman" w:cs="Times New Roman"/>
        </w:rPr>
        <w:t>.</w:t>
      </w:r>
      <w:r w:rsidR="00753C64" w:rsidRPr="00850E69">
        <w:rPr>
          <w:rFonts w:ascii="Times New Roman" w:hAnsi="Times New Roman" w:cs="Times New Roman"/>
        </w:rPr>
        <w:t xml:space="preserve">  </w:t>
      </w:r>
      <w:r w:rsidR="009E1953" w:rsidRPr="00850E69">
        <w:rPr>
          <w:rFonts w:ascii="Times New Roman" w:hAnsi="Times New Roman" w:cs="Times New Roman"/>
        </w:rPr>
        <w:t xml:space="preserve">The </w:t>
      </w:r>
      <w:r w:rsidR="005467C6" w:rsidRPr="00850E69">
        <w:rPr>
          <w:rFonts w:ascii="Times New Roman" w:hAnsi="Times New Roman" w:cs="Times New Roman"/>
        </w:rPr>
        <w:t xml:space="preserve">letter stated that, pursuant to 66 Pa. C.S. §1529.1(b), the </w:t>
      </w:r>
      <w:r w:rsidR="009E1953" w:rsidRPr="00850E69">
        <w:rPr>
          <w:rFonts w:ascii="Times New Roman" w:hAnsi="Times New Roman" w:cs="Times New Roman"/>
        </w:rPr>
        <w:t xml:space="preserve">Respondent </w:t>
      </w:r>
      <w:r w:rsidR="005467C6" w:rsidRPr="00850E69">
        <w:rPr>
          <w:rFonts w:ascii="Times New Roman" w:hAnsi="Times New Roman" w:cs="Times New Roman"/>
        </w:rPr>
        <w:t xml:space="preserve">would </w:t>
      </w:r>
      <w:r w:rsidR="009E1953" w:rsidRPr="00850E69">
        <w:rPr>
          <w:rFonts w:ascii="Times New Roman" w:hAnsi="Times New Roman" w:cs="Times New Roman"/>
        </w:rPr>
        <w:t xml:space="preserve">transfer the account for the service address from the </w:t>
      </w:r>
      <w:r w:rsidR="00DC0112">
        <w:rPr>
          <w:rFonts w:ascii="Times New Roman" w:hAnsi="Times New Roman" w:cs="Times New Roman"/>
        </w:rPr>
        <w:t xml:space="preserve">second floor </w:t>
      </w:r>
      <w:r w:rsidR="009E1953" w:rsidRPr="00850E69">
        <w:rPr>
          <w:rFonts w:ascii="Times New Roman" w:hAnsi="Times New Roman" w:cs="Times New Roman"/>
        </w:rPr>
        <w:t>tenant to the Complainant.</w:t>
      </w:r>
      <w:r w:rsidR="005467C6" w:rsidRPr="00850E69">
        <w:rPr>
          <w:rFonts w:ascii="Times New Roman" w:hAnsi="Times New Roman" w:cs="Times New Roman"/>
        </w:rPr>
        <w:t xml:space="preserve">  The letter advised the Complainant that the account for the </w:t>
      </w:r>
      <w:r w:rsidR="00DC0112">
        <w:rPr>
          <w:rFonts w:ascii="Times New Roman" w:hAnsi="Times New Roman" w:cs="Times New Roman"/>
        </w:rPr>
        <w:t xml:space="preserve">second floor apartment </w:t>
      </w:r>
      <w:r w:rsidR="005467C6" w:rsidRPr="00850E69">
        <w:rPr>
          <w:rFonts w:ascii="Times New Roman" w:hAnsi="Times New Roman" w:cs="Times New Roman"/>
        </w:rPr>
        <w:t xml:space="preserve">could be transferred back to the </w:t>
      </w:r>
      <w:r w:rsidR="00DC0112">
        <w:rPr>
          <w:rFonts w:ascii="Times New Roman" w:hAnsi="Times New Roman" w:cs="Times New Roman"/>
        </w:rPr>
        <w:t xml:space="preserve">second floor </w:t>
      </w:r>
      <w:r w:rsidR="005467C6" w:rsidRPr="00850E69">
        <w:rPr>
          <w:rFonts w:ascii="Times New Roman" w:hAnsi="Times New Roman" w:cs="Times New Roman"/>
        </w:rPr>
        <w:t>tenant after the Complainant had an electrician correct the wiring for the apartment.</w:t>
      </w:r>
    </w:p>
    <w:p w:rsidR="005467C6" w:rsidRPr="00850E69" w:rsidRDefault="005467C6" w:rsidP="00ED2E14">
      <w:pPr>
        <w:pStyle w:val="ParaTab1"/>
        <w:spacing w:line="360" w:lineRule="auto"/>
        <w:ind w:firstLine="1350"/>
        <w:rPr>
          <w:rFonts w:ascii="Times New Roman" w:hAnsi="Times New Roman" w:cs="Times New Roman"/>
        </w:rPr>
      </w:pPr>
    </w:p>
    <w:p w:rsidR="008F11CE" w:rsidRPr="00850E69" w:rsidRDefault="005467C6" w:rsidP="00421FDF">
      <w:pPr>
        <w:pStyle w:val="ParaTab1"/>
        <w:spacing w:line="360" w:lineRule="auto"/>
        <w:ind w:firstLine="1350"/>
        <w:rPr>
          <w:rFonts w:ascii="Times New Roman" w:hAnsi="Times New Roman" w:cs="Times New Roman"/>
        </w:rPr>
      </w:pPr>
      <w:r w:rsidRPr="00850E69">
        <w:rPr>
          <w:rFonts w:ascii="Times New Roman" w:hAnsi="Times New Roman" w:cs="Times New Roman"/>
        </w:rPr>
        <w:t xml:space="preserve">The complaint alleges that Complainant purchased the property in October 2011 with a lease for the second floor apartment.  According to the complaint, the </w:t>
      </w:r>
      <w:r w:rsidR="00DC0112">
        <w:rPr>
          <w:rFonts w:ascii="Times New Roman" w:hAnsi="Times New Roman" w:cs="Times New Roman"/>
        </w:rPr>
        <w:t xml:space="preserve">second floor </w:t>
      </w:r>
      <w:r w:rsidRPr="00850E69">
        <w:rPr>
          <w:rFonts w:ascii="Times New Roman" w:hAnsi="Times New Roman" w:cs="Times New Roman"/>
        </w:rPr>
        <w:t xml:space="preserve">tenant signed the lease in 2006 and the lease required the tenant to pay for the </w:t>
      </w:r>
      <w:r w:rsidR="00DC0112">
        <w:rPr>
          <w:rFonts w:ascii="Times New Roman" w:hAnsi="Times New Roman" w:cs="Times New Roman"/>
        </w:rPr>
        <w:t>electricity usage</w:t>
      </w:r>
      <w:r w:rsidRPr="00850E69">
        <w:rPr>
          <w:rFonts w:ascii="Times New Roman" w:hAnsi="Times New Roman" w:cs="Times New Roman"/>
        </w:rPr>
        <w:t xml:space="preserve"> in the common area.  Attached to the complaint is a copy of the lease.</w:t>
      </w:r>
    </w:p>
    <w:p w:rsidR="008F11CE" w:rsidRPr="00850E69" w:rsidRDefault="008F11CE" w:rsidP="00421FDF">
      <w:pPr>
        <w:pStyle w:val="ParaTab1"/>
        <w:spacing w:line="360" w:lineRule="auto"/>
        <w:ind w:firstLine="1350"/>
        <w:rPr>
          <w:rFonts w:ascii="Times New Roman" w:hAnsi="Times New Roman" w:cs="Times New Roman"/>
        </w:rPr>
      </w:pPr>
    </w:p>
    <w:p w:rsidR="00421FDF" w:rsidRPr="00850E69" w:rsidRDefault="00E06350" w:rsidP="00421FDF">
      <w:pPr>
        <w:pStyle w:val="ParaTab1"/>
        <w:spacing w:line="360" w:lineRule="auto"/>
        <w:ind w:firstLine="1350"/>
        <w:rPr>
          <w:rFonts w:ascii="Times New Roman" w:hAnsi="Times New Roman" w:cs="Times New Roman"/>
        </w:rPr>
      </w:pPr>
      <w:r w:rsidRPr="00850E69">
        <w:rPr>
          <w:rFonts w:ascii="Times New Roman" w:hAnsi="Times New Roman" w:cs="Times New Roman"/>
        </w:rPr>
        <w:t xml:space="preserve">Also attached to the complaint is a letter from the </w:t>
      </w:r>
      <w:r w:rsidR="00DC0112">
        <w:rPr>
          <w:rFonts w:ascii="Times New Roman" w:hAnsi="Times New Roman" w:cs="Times New Roman"/>
        </w:rPr>
        <w:t xml:space="preserve">second floor </w:t>
      </w:r>
      <w:r w:rsidRPr="00850E69">
        <w:rPr>
          <w:rFonts w:ascii="Times New Roman" w:hAnsi="Times New Roman" w:cs="Times New Roman"/>
        </w:rPr>
        <w:t xml:space="preserve">tenant, </w:t>
      </w:r>
      <w:r w:rsidR="00DC0112">
        <w:rPr>
          <w:rFonts w:ascii="Times New Roman" w:hAnsi="Times New Roman" w:cs="Times New Roman"/>
        </w:rPr>
        <w:t>Allesandra</w:t>
      </w:r>
      <w:r w:rsidRPr="00850E69">
        <w:rPr>
          <w:rFonts w:ascii="Times New Roman" w:hAnsi="Times New Roman" w:cs="Times New Roman"/>
        </w:rPr>
        <w:t xml:space="preserve"> </w:t>
      </w:r>
      <w:r w:rsidR="00DC0112">
        <w:rPr>
          <w:rFonts w:ascii="Times New Roman" w:hAnsi="Times New Roman" w:cs="Times New Roman"/>
        </w:rPr>
        <w:t>DelRaso</w:t>
      </w:r>
      <w:r w:rsidRPr="00850E69">
        <w:rPr>
          <w:rFonts w:ascii="Times New Roman" w:hAnsi="Times New Roman" w:cs="Times New Roman"/>
        </w:rPr>
        <w:t xml:space="preserve"> stating that she </w:t>
      </w:r>
      <w:r w:rsidR="004B5236">
        <w:rPr>
          <w:rFonts w:ascii="Times New Roman" w:hAnsi="Times New Roman" w:cs="Times New Roman"/>
        </w:rPr>
        <w:t xml:space="preserve">has </w:t>
      </w:r>
      <w:r w:rsidRPr="00850E69">
        <w:rPr>
          <w:rFonts w:ascii="Times New Roman" w:hAnsi="Times New Roman" w:cs="Times New Roman"/>
        </w:rPr>
        <w:t xml:space="preserve">always been responsible for the </w:t>
      </w:r>
      <w:r w:rsidR="00DC0112">
        <w:rPr>
          <w:rFonts w:ascii="Times New Roman" w:hAnsi="Times New Roman" w:cs="Times New Roman"/>
        </w:rPr>
        <w:t xml:space="preserve">electricity used by the </w:t>
      </w:r>
      <w:r w:rsidRPr="00850E69">
        <w:rPr>
          <w:rFonts w:ascii="Times New Roman" w:hAnsi="Times New Roman" w:cs="Times New Roman"/>
        </w:rPr>
        <w:t>hallway lights and outdoor lights</w:t>
      </w:r>
      <w:r w:rsidR="008F11CE" w:rsidRPr="00850E69">
        <w:rPr>
          <w:rFonts w:ascii="Times New Roman" w:hAnsi="Times New Roman" w:cs="Times New Roman"/>
        </w:rPr>
        <w:t>.</w:t>
      </w:r>
      <w:r w:rsidR="005467C6" w:rsidRPr="00850E69">
        <w:rPr>
          <w:rFonts w:ascii="Times New Roman" w:hAnsi="Times New Roman" w:cs="Times New Roman"/>
        </w:rPr>
        <w:t xml:space="preserve"> </w:t>
      </w:r>
      <w:r w:rsidR="008F11CE" w:rsidRPr="00850E69">
        <w:rPr>
          <w:rFonts w:ascii="Times New Roman" w:hAnsi="Times New Roman" w:cs="Times New Roman"/>
        </w:rPr>
        <w:t xml:space="preserve"> The letter further states that Ms. </w:t>
      </w:r>
      <w:r w:rsidR="00DC0112">
        <w:rPr>
          <w:rFonts w:ascii="Times New Roman" w:hAnsi="Times New Roman" w:cs="Times New Roman"/>
        </w:rPr>
        <w:t>DelRaso</w:t>
      </w:r>
      <w:r w:rsidR="008F11CE" w:rsidRPr="00850E69">
        <w:rPr>
          <w:rFonts w:ascii="Times New Roman" w:hAnsi="Times New Roman" w:cs="Times New Roman"/>
        </w:rPr>
        <w:t xml:space="preserve"> agrees to continue paying for the </w:t>
      </w:r>
      <w:r w:rsidR="00DC0112">
        <w:rPr>
          <w:rFonts w:ascii="Times New Roman" w:hAnsi="Times New Roman" w:cs="Times New Roman"/>
        </w:rPr>
        <w:t xml:space="preserve">electricity used by the </w:t>
      </w:r>
      <w:r w:rsidR="008F11CE" w:rsidRPr="00850E69">
        <w:rPr>
          <w:rFonts w:ascii="Times New Roman" w:hAnsi="Times New Roman" w:cs="Times New Roman"/>
        </w:rPr>
        <w:t xml:space="preserve">hallway lights and outdoor lights.  </w:t>
      </w:r>
      <w:r w:rsidR="00421FDF" w:rsidRPr="00850E69">
        <w:rPr>
          <w:rFonts w:ascii="Times New Roman" w:hAnsi="Times New Roman" w:cs="Times New Roman"/>
        </w:rPr>
        <w:t xml:space="preserve">The complaint requests that the Commission dismiss </w:t>
      </w:r>
      <w:r w:rsidR="00DC0112">
        <w:rPr>
          <w:rFonts w:ascii="Times New Roman" w:hAnsi="Times New Roman" w:cs="Times New Roman"/>
        </w:rPr>
        <w:t>Ms. DelRaso’s</w:t>
      </w:r>
      <w:r w:rsidR="00421FDF" w:rsidRPr="00850E69">
        <w:rPr>
          <w:rFonts w:ascii="Times New Roman" w:hAnsi="Times New Roman" w:cs="Times New Roman"/>
        </w:rPr>
        <w:t xml:space="preserve"> high bill complaint and rule that the Complainant does not have to install a separate meter for </w:t>
      </w:r>
      <w:r w:rsidR="00DC0112">
        <w:rPr>
          <w:rFonts w:ascii="Times New Roman" w:hAnsi="Times New Roman" w:cs="Times New Roman"/>
        </w:rPr>
        <w:t xml:space="preserve">the electricity </w:t>
      </w:r>
      <w:r w:rsidR="00421FDF" w:rsidRPr="00850E69">
        <w:rPr>
          <w:rFonts w:ascii="Times New Roman" w:hAnsi="Times New Roman" w:cs="Times New Roman"/>
        </w:rPr>
        <w:t xml:space="preserve">in the common areas of the Complainant’s </w:t>
      </w:r>
      <w:r w:rsidR="00DC0112">
        <w:rPr>
          <w:rFonts w:ascii="Times New Roman" w:hAnsi="Times New Roman" w:cs="Times New Roman"/>
        </w:rPr>
        <w:t>property</w:t>
      </w:r>
      <w:r w:rsidR="00421FDF" w:rsidRPr="00850E69">
        <w:rPr>
          <w:rFonts w:ascii="Times New Roman" w:hAnsi="Times New Roman" w:cs="Times New Roman"/>
        </w:rPr>
        <w:t>.</w:t>
      </w:r>
    </w:p>
    <w:p w:rsidR="00E43B9C" w:rsidRPr="00850E69" w:rsidRDefault="00E43B9C" w:rsidP="00ED2E14">
      <w:pPr>
        <w:pStyle w:val="ParaTab1"/>
        <w:spacing w:line="360" w:lineRule="auto"/>
        <w:ind w:firstLine="1350"/>
        <w:rPr>
          <w:rFonts w:ascii="Times New Roman" w:hAnsi="Times New Roman" w:cs="Times New Roman"/>
        </w:rPr>
      </w:pPr>
    </w:p>
    <w:p w:rsidR="00DB0DD1" w:rsidRPr="00850E69" w:rsidRDefault="00DB0DD1" w:rsidP="00ED2E14">
      <w:pPr>
        <w:pStyle w:val="ParaTab1"/>
        <w:spacing w:line="360" w:lineRule="auto"/>
        <w:ind w:firstLine="1350"/>
        <w:rPr>
          <w:rFonts w:ascii="Times New Roman" w:hAnsi="Times New Roman" w:cs="Times New Roman"/>
        </w:rPr>
      </w:pPr>
      <w:r w:rsidRPr="00850E69">
        <w:rPr>
          <w:rFonts w:ascii="Times New Roman" w:hAnsi="Times New Roman" w:cs="Times New Roman"/>
        </w:rPr>
        <w:t>On November 13, 2012, the Respondent filed an answer with new matter and preliminary objections, both with a notice to plead.</w:t>
      </w:r>
      <w:r w:rsidR="00E43B9C" w:rsidRPr="00850E69">
        <w:rPr>
          <w:rFonts w:ascii="Times New Roman" w:hAnsi="Times New Roman" w:cs="Times New Roman"/>
        </w:rPr>
        <w:t xml:space="preserve">  </w:t>
      </w:r>
      <w:r w:rsidR="0088426D" w:rsidRPr="00850E69">
        <w:rPr>
          <w:rFonts w:ascii="Times New Roman" w:hAnsi="Times New Roman" w:cs="Times New Roman"/>
        </w:rPr>
        <w:t xml:space="preserve">The answer admits that the Respondent provides service to </w:t>
      </w:r>
      <w:r w:rsidRPr="00850E69">
        <w:rPr>
          <w:rFonts w:ascii="Times New Roman" w:hAnsi="Times New Roman" w:cs="Times New Roman"/>
        </w:rPr>
        <w:t>226 Green Street, 2</w:t>
      </w:r>
      <w:r w:rsidRPr="00850E69">
        <w:rPr>
          <w:rFonts w:ascii="Times New Roman" w:hAnsi="Times New Roman" w:cs="Times New Roman"/>
          <w:vertAlign w:val="superscript"/>
        </w:rPr>
        <w:t>nd</w:t>
      </w:r>
      <w:r w:rsidRPr="00850E69">
        <w:rPr>
          <w:rFonts w:ascii="Times New Roman" w:hAnsi="Times New Roman" w:cs="Times New Roman"/>
        </w:rPr>
        <w:t xml:space="preserve"> Floor, Holmes, Pennsylvania</w:t>
      </w:r>
      <w:r w:rsidR="0088426D" w:rsidRPr="00850E69">
        <w:rPr>
          <w:rFonts w:ascii="Times New Roman" w:hAnsi="Times New Roman" w:cs="Times New Roman"/>
        </w:rPr>
        <w:t xml:space="preserve">.  </w:t>
      </w:r>
      <w:r w:rsidRPr="00850E69">
        <w:rPr>
          <w:rFonts w:ascii="Times New Roman" w:hAnsi="Times New Roman" w:cs="Times New Roman"/>
        </w:rPr>
        <w:t xml:space="preserve">The answer admits that the Respondent conducted a high bill investigation in response to a high bill complaint from Ms. </w:t>
      </w:r>
      <w:r w:rsidR="00DC0112">
        <w:rPr>
          <w:rFonts w:ascii="Times New Roman" w:hAnsi="Times New Roman" w:cs="Times New Roman"/>
        </w:rPr>
        <w:t>DelRaso</w:t>
      </w:r>
      <w:r w:rsidRPr="00850E69">
        <w:rPr>
          <w:rFonts w:ascii="Times New Roman" w:hAnsi="Times New Roman" w:cs="Times New Roman"/>
        </w:rPr>
        <w:t xml:space="preserve">, and discovered that the hallway and outdoor lights were connected to Ms. </w:t>
      </w:r>
      <w:r w:rsidR="00DC0112">
        <w:rPr>
          <w:rFonts w:ascii="Times New Roman" w:hAnsi="Times New Roman" w:cs="Times New Roman"/>
        </w:rPr>
        <w:t>DelRaso</w:t>
      </w:r>
      <w:r w:rsidRPr="00850E69">
        <w:rPr>
          <w:rFonts w:ascii="Times New Roman" w:hAnsi="Times New Roman" w:cs="Times New Roman"/>
        </w:rPr>
        <w:t xml:space="preserve">’s electric meter.  </w:t>
      </w:r>
      <w:r w:rsidR="00E43B9C" w:rsidRPr="00850E69">
        <w:rPr>
          <w:rFonts w:ascii="Times New Roman" w:hAnsi="Times New Roman" w:cs="Times New Roman"/>
        </w:rPr>
        <w:t xml:space="preserve">The </w:t>
      </w:r>
      <w:r w:rsidR="009E1953" w:rsidRPr="00850E69">
        <w:rPr>
          <w:rFonts w:ascii="Times New Roman" w:hAnsi="Times New Roman" w:cs="Times New Roman"/>
        </w:rPr>
        <w:t xml:space="preserve">answer </w:t>
      </w:r>
      <w:r w:rsidRPr="00850E69">
        <w:rPr>
          <w:rFonts w:ascii="Times New Roman" w:hAnsi="Times New Roman" w:cs="Times New Roman"/>
        </w:rPr>
        <w:t>admits that the Respondent established an account in the Complainant’s name for 226 Green Street, 2</w:t>
      </w:r>
      <w:r w:rsidRPr="00850E69">
        <w:rPr>
          <w:rFonts w:ascii="Times New Roman" w:hAnsi="Times New Roman" w:cs="Times New Roman"/>
          <w:vertAlign w:val="superscript"/>
        </w:rPr>
        <w:t>nd</w:t>
      </w:r>
      <w:r w:rsidRPr="00850E69">
        <w:rPr>
          <w:rFonts w:ascii="Times New Roman" w:hAnsi="Times New Roman" w:cs="Times New Roman"/>
        </w:rPr>
        <w:t xml:space="preserve"> Floor in October 2012</w:t>
      </w:r>
      <w:r w:rsidR="005D2660">
        <w:rPr>
          <w:rFonts w:ascii="Times New Roman" w:hAnsi="Times New Roman" w:cs="Times New Roman"/>
        </w:rPr>
        <w:t>,</w:t>
      </w:r>
      <w:r w:rsidRPr="00850E69">
        <w:rPr>
          <w:rFonts w:ascii="Times New Roman" w:hAnsi="Times New Roman" w:cs="Times New Roman"/>
        </w:rPr>
        <w:t xml:space="preserve"> when the Respondent discovered fore</w:t>
      </w:r>
      <w:r w:rsidR="00A32EEC">
        <w:rPr>
          <w:rFonts w:ascii="Times New Roman" w:hAnsi="Times New Roman" w:cs="Times New Roman"/>
        </w:rPr>
        <w:t>ign wiring at the property.</w:t>
      </w:r>
    </w:p>
    <w:p w:rsidR="008F11CE" w:rsidRPr="00850E69" w:rsidRDefault="008F11CE" w:rsidP="00ED2E14">
      <w:pPr>
        <w:pStyle w:val="ParaTab1"/>
        <w:spacing w:line="360" w:lineRule="auto"/>
        <w:ind w:firstLine="1350"/>
        <w:rPr>
          <w:rFonts w:ascii="Times New Roman" w:hAnsi="Times New Roman" w:cs="Times New Roman"/>
        </w:rPr>
      </w:pPr>
    </w:p>
    <w:p w:rsidR="00DB0DD1" w:rsidRPr="00850E69" w:rsidRDefault="00621CFD" w:rsidP="00ED2E14">
      <w:pPr>
        <w:pStyle w:val="ParaTab1"/>
        <w:spacing w:line="360" w:lineRule="auto"/>
        <w:ind w:firstLine="1350"/>
        <w:rPr>
          <w:rFonts w:ascii="Times New Roman" w:hAnsi="Times New Roman" w:cs="Times New Roman"/>
        </w:rPr>
      </w:pPr>
      <w:r w:rsidRPr="00850E69">
        <w:rPr>
          <w:rFonts w:ascii="Times New Roman" w:hAnsi="Times New Roman" w:cs="Times New Roman"/>
        </w:rPr>
        <w:t>The answer asserts that the Respondent acted properly in transferring the account for 226 Green Street, 2</w:t>
      </w:r>
      <w:r w:rsidRPr="00850E69">
        <w:rPr>
          <w:rFonts w:ascii="Times New Roman" w:hAnsi="Times New Roman" w:cs="Times New Roman"/>
          <w:vertAlign w:val="superscript"/>
        </w:rPr>
        <w:t>nd</w:t>
      </w:r>
      <w:r w:rsidRPr="00850E69">
        <w:rPr>
          <w:rFonts w:ascii="Times New Roman" w:hAnsi="Times New Roman" w:cs="Times New Roman"/>
        </w:rPr>
        <w:t xml:space="preserve"> Floor to the Complainant.  According to the answer, the Public Utility Code and Commission orders require the Respondent to transfer an account from a landlord to a tenant </w:t>
      </w:r>
      <w:r w:rsidR="005D2660">
        <w:rPr>
          <w:rFonts w:ascii="Times New Roman" w:hAnsi="Times New Roman" w:cs="Times New Roman"/>
        </w:rPr>
        <w:t xml:space="preserve">when </w:t>
      </w:r>
      <w:r w:rsidRPr="00850E69">
        <w:rPr>
          <w:rFonts w:ascii="Times New Roman" w:hAnsi="Times New Roman" w:cs="Times New Roman"/>
        </w:rPr>
        <w:t>the Respondent discovers foreign wiring.  According to the answer, the Complainant has not contacted the Respondent to advise it that he has corrected the foreign wiring it discovered.</w:t>
      </w:r>
    </w:p>
    <w:p w:rsidR="00825310" w:rsidRPr="00850E69" w:rsidRDefault="00825310" w:rsidP="00ED2E14">
      <w:pPr>
        <w:pStyle w:val="ParaTab1"/>
        <w:spacing w:line="360" w:lineRule="auto"/>
        <w:ind w:firstLine="1350"/>
        <w:rPr>
          <w:rFonts w:ascii="Times New Roman" w:hAnsi="Times New Roman" w:cs="Times New Roman"/>
        </w:rPr>
      </w:pPr>
    </w:p>
    <w:p w:rsidR="00E43B9C" w:rsidRPr="00850E69" w:rsidRDefault="00825310" w:rsidP="00ED2E14">
      <w:pPr>
        <w:pStyle w:val="ParaTab1"/>
        <w:spacing w:line="360" w:lineRule="auto"/>
        <w:ind w:firstLine="1350"/>
        <w:rPr>
          <w:rFonts w:ascii="Times New Roman" w:hAnsi="Times New Roman" w:cs="Times New Roman"/>
        </w:rPr>
      </w:pPr>
      <w:r w:rsidRPr="00850E69">
        <w:rPr>
          <w:rFonts w:ascii="Times New Roman" w:hAnsi="Times New Roman" w:cs="Times New Roman"/>
        </w:rPr>
        <w:t xml:space="preserve">The new matter </w:t>
      </w:r>
      <w:r w:rsidR="00621CFD" w:rsidRPr="00850E69">
        <w:rPr>
          <w:rFonts w:ascii="Times New Roman" w:hAnsi="Times New Roman" w:cs="Times New Roman"/>
        </w:rPr>
        <w:t>incorporates the responses contained in the answer.  The new matter further asserts that from October 11, 2012 to the present, the Respondent has billed the Complainant for electric usage for 226 Green Street, 2</w:t>
      </w:r>
      <w:r w:rsidR="00621CFD" w:rsidRPr="00850E69">
        <w:rPr>
          <w:rFonts w:ascii="Times New Roman" w:hAnsi="Times New Roman" w:cs="Times New Roman"/>
          <w:vertAlign w:val="superscript"/>
        </w:rPr>
        <w:t>nd</w:t>
      </w:r>
      <w:r w:rsidR="00621CFD" w:rsidRPr="00850E69">
        <w:rPr>
          <w:rFonts w:ascii="Times New Roman" w:hAnsi="Times New Roman" w:cs="Times New Roman"/>
        </w:rPr>
        <w:t xml:space="preserve"> Floor.  To date, the Complainant has not notified the Respondent that the foreign wiring has been repaired.  </w:t>
      </w:r>
      <w:r w:rsidR="00E43B9C" w:rsidRPr="00850E69">
        <w:rPr>
          <w:rFonts w:ascii="Times New Roman" w:hAnsi="Times New Roman" w:cs="Times New Roman"/>
        </w:rPr>
        <w:t xml:space="preserve">The </w:t>
      </w:r>
      <w:r w:rsidR="00724D89" w:rsidRPr="00850E69">
        <w:rPr>
          <w:rFonts w:ascii="Times New Roman" w:hAnsi="Times New Roman" w:cs="Times New Roman"/>
        </w:rPr>
        <w:t xml:space="preserve">answer and new matter </w:t>
      </w:r>
      <w:r w:rsidR="00E43B9C" w:rsidRPr="00850E69">
        <w:rPr>
          <w:rFonts w:ascii="Times New Roman" w:hAnsi="Times New Roman" w:cs="Times New Roman"/>
        </w:rPr>
        <w:t>request that the Commission d</w:t>
      </w:r>
      <w:r w:rsidR="00724D89" w:rsidRPr="00850E69">
        <w:rPr>
          <w:rFonts w:ascii="Times New Roman" w:hAnsi="Times New Roman" w:cs="Times New Roman"/>
        </w:rPr>
        <w:t>ismiss</w:t>
      </w:r>
      <w:r w:rsidR="008355A8">
        <w:rPr>
          <w:rFonts w:ascii="Times New Roman" w:hAnsi="Times New Roman" w:cs="Times New Roman"/>
        </w:rPr>
        <w:t xml:space="preserve"> the complaint.</w:t>
      </w:r>
    </w:p>
    <w:p w:rsidR="00621CFD" w:rsidRPr="00850E69" w:rsidRDefault="00621CFD" w:rsidP="00ED2E14">
      <w:pPr>
        <w:pStyle w:val="ParaTab1"/>
        <w:spacing w:line="360" w:lineRule="auto"/>
        <w:ind w:firstLine="1350"/>
        <w:rPr>
          <w:rFonts w:ascii="Times New Roman" w:hAnsi="Times New Roman" w:cs="Times New Roman"/>
        </w:rPr>
      </w:pPr>
    </w:p>
    <w:p w:rsidR="005602FD" w:rsidRPr="00850E69" w:rsidRDefault="005602FD" w:rsidP="005602FD">
      <w:pPr>
        <w:pStyle w:val="ParaTab1"/>
        <w:spacing w:line="360" w:lineRule="auto"/>
        <w:ind w:firstLine="1350"/>
        <w:rPr>
          <w:rFonts w:ascii="Times New Roman" w:hAnsi="Times New Roman" w:cs="Times New Roman"/>
        </w:rPr>
      </w:pPr>
      <w:r w:rsidRPr="00850E69">
        <w:rPr>
          <w:rFonts w:ascii="Times New Roman" w:hAnsi="Times New Roman" w:cs="Times New Roman"/>
        </w:rPr>
        <w:t>The preliminary objections contend that the complaint is legally insufficient</w:t>
      </w:r>
      <w:r w:rsidR="005D2660">
        <w:rPr>
          <w:rFonts w:ascii="Times New Roman" w:hAnsi="Times New Roman" w:cs="Times New Roman"/>
        </w:rPr>
        <w:t>,</w:t>
      </w:r>
      <w:r w:rsidRPr="00850E69">
        <w:rPr>
          <w:rFonts w:ascii="Times New Roman" w:hAnsi="Times New Roman" w:cs="Times New Roman"/>
        </w:rPr>
        <w:t xml:space="preserve"> pursuant to 52 Pa. Code §5.101(a)(4).  The preliminary objections reiterate the assertions in the answer and new matter regarding the foreign wiring at 226 Green Street, 2</w:t>
      </w:r>
      <w:r w:rsidRPr="00850E69">
        <w:rPr>
          <w:rFonts w:ascii="Times New Roman" w:hAnsi="Times New Roman" w:cs="Times New Roman"/>
          <w:vertAlign w:val="superscript"/>
        </w:rPr>
        <w:t>nd</w:t>
      </w:r>
      <w:r w:rsidRPr="00850E69">
        <w:rPr>
          <w:rFonts w:ascii="Times New Roman" w:hAnsi="Times New Roman" w:cs="Times New Roman"/>
        </w:rPr>
        <w:t xml:space="preserve"> Floor.  The preliminary objects contend that the Respondent properly transferred Ms. </w:t>
      </w:r>
      <w:r w:rsidR="00DC0112">
        <w:rPr>
          <w:rFonts w:ascii="Times New Roman" w:hAnsi="Times New Roman" w:cs="Times New Roman"/>
        </w:rPr>
        <w:t>DelRaso</w:t>
      </w:r>
      <w:r w:rsidRPr="00850E69">
        <w:rPr>
          <w:rFonts w:ascii="Times New Roman" w:hAnsi="Times New Roman" w:cs="Times New Roman"/>
        </w:rPr>
        <w:t>’s utility account to the Complainant and that its conduct is consistent with the Public Utility Code and Commission orders.</w:t>
      </w:r>
    </w:p>
    <w:p w:rsidR="005602FD" w:rsidRPr="00850E69" w:rsidRDefault="005602FD" w:rsidP="005602FD">
      <w:pPr>
        <w:pStyle w:val="ParaTab1"/>
        <w:spacing w:line="360" w:lineRule="auto"/>
        <w:ind w:firstLine="1350"/>
        <w:rPr>
          <w:rFonts w:ascii="Times New Roman" w:hAnsi="Times New Roman" w:cs="Times New Roman"/>
        </w:rPr>
      </w:pPr>
    </w:p>
    <w:p w:rsidR="005602FD" w:rsidRDefault="005602FD" w:rsidP="005602FD">
      <w:pPr>
        <w:pStyle w:val="ParaTab1"/>
        <w:spacing w:line="360" w:lineRule="auto"/>
        <w:ind w:firstLine="1350"/>
        <w:rPr>
          <w:rFonts w:ascii="Times New Roman" w:hAnsi="Times New Roman" w:cs="Times New Roman"/>
        </w:rPr>
      </w:pPr>
      <w:r w:rsidRPr="00850E69">
        <w:rPr>
          <w:rFonts w:ascii="Times New Roman" w:hAnsi="Times New Roman" w:cs="Times New Roman"/>
        </w:rPr>
        <w:t xml:space="preserve">The preliminary objections point out that the complaint does not contend that the Respondent incorrectly determined a foreign wiring condition existed at the property.  The preliminary objections </w:t>
      </w:r>
      <w:r w:rsidR="005D2660">
        <w:rPr>
          <w:rFonts w:ascii="Times New Roman" w:hAnsi="Times New Roman" w:cs="Times New Roman"/>
        </w:rPr>
        <w:t>assert</w:t>
      </w:r>
      <w:r w:rsidRPr="00850E69">
        <w:rPr>
          <w:rFonts w:ascii="Times New Roman" w:hAnsi="Times New Roman" w:cs="Times New Roman"/>
        </w:rPr>
        <w:t xml:space="preserve"> that the complaint does not allege that the Respondent transferred an incorrect amount to the Complainant’s account.  According to the preliminary object</w:t>
      </w:r>
      <w:r w:rsidR="005D2660">
        <w:rPr>
          <w:rFonts w:ascii="Times New Roman" w:hAnsi="Times New Roman" w:cs="Times New Roman"/>
        </w:rPr>
        <w:t xml:space="preserve">ions, the </w:t>
      </w:r>
      <w:r w:rsidRPr="00850E69">
        <w:rPr>
          <w:rFonts w:ascii="Times New Roman" w:hAnsi="Times New Roman" w:cs="Times New Roman"/>
        </w:rPr>
        <w:t xml:space="preserve">complaint is a contract dispute between Ms. </w:t>
      </w:r>
      <w:r w:rsidR="00DC0112">
        <w:rPr>
          <w:rFonts w:ascii="Times New Roman" w:hAnsi="Times New Roman" w:cs="Times New Roman"/>
        </w:rPr>
        <w:t>DelRaso</w:t>
      </w:r>
      <w:r w:rsidRPr="00850E69">
        <w:rPr>
          <w:rFonts w:ascii="Times New Roman" w:hAnsi="Times New Roman" w:cs="Times New Roman"/>
        </w:rPr>
        <w:t xml:space="preserve"> and the Complainant over who is responsible for electric service in the common areas u</w:t>
      </w:r>
      <w:r w:rsidR="001512DA">
        <w:rPr>
          <w:rFonts w:ascii="Times New Roman" w:hAnsi="Times New Roman" w:cs="Times New Roman"/>
        </w:rPr>
        <w:t>nder the lease agreement.</w:t>
      </w:r>
    </w:p>
    <w:p w:rsidR="001512DA" w:rsidRPr="00850E69" w:rsidRDefault="001512DA" w:rsidP="005602FD">
      <w:pPr>
        <w:pStyle w:val="ParaTab1"/>
        <w:spacing w:line="360" w:lineRule="auto"/>
        <w:ind w:firstLine="1350"/>
        <w:rPr>
          <w:rFonts w:ascii="Times New Roman" w:hAnsi="Times New Roman" w:cs="Times New Roman"/>
        </w:rPr>
      </w:pPr>
    </w:p>
    <w:p w:rsidR="005602FD" w:rsidRPr="00850E69" w:rsidRDefault="005602FD" w:rsidP="005602FD">
      <w:pPr>
        <w:pStyle w:val="ParaTab1"/>
        <w:spacing w:line="360" w:lineRule="auto"/>
        <w:ind w:firstLine="1350"/>
        <w:rPr>
          <w:rFonts w:ascii="Times New Roman" w:hAnsi="Times New Roman" w:cs="Times New Roman"/>
        </w:rPr>
      </w:pPr>
      <w:r w:rsidRPr="00850E69">
        <w:rPr>
          <w:rFonts w:ascii="Times New Roman" w:hAnsi="Times New Roman" w:cs="Times New Roman"/>
        </w:rPr>
        <w:t xml:space="preserve">The preliminary objections contend that the complaint fails to state a claim that the Respondent has violated a provision of the Public Utility Code, Commission regulation, </w:t>
      </w:r>
      <w:r w:rsidR="009B24DA" w:rsidRPr="00850E69">
        <w:rPr>
          <w:rFonts w:ascii="Times New Roman" w:hAnsi="Times New Roman" w:cs="Times New Roman"/>
        </w:rPr>
        <w:t xml:space="preserve">or </w:t>
      </w:r>
      <w:r w:rsidRPr="00850E69">
        <w:rPr>
          <w:rFonts w:ascii="Times New Roman" w:hAnsi="Times New Roman" w:cs="Times New Roman"/>
        </w:rPr>
        <w:t>Commission order.  Therefore, the complaint has failed to state a claim upon which relief can be granted.  The preliminary objections request that the Commission dismiss the complaint.</w:t>
      </w:r>
    </w:p>
    <w:p w:rsidR="005602FD" w:rsidRPr="00850E69" w:rsidRDefault="005602FD" w:rsidP="005602FD">
      <w:pPr>
        <w:pStyle w:val="ParaTab1"/>
        <w:spacing w:line="360" w:lineRule="auto"/>
        <w:ind w:firstLine="0"/>
        <w:rPr>
          <w:rFonts w:ascii="Times New Roman" w:hAnsi="Times New Roman" w:cs="Times New Roman"/>
        </w:rPr>
      </w:pPr>
    </w:p>
    <w:p w:rsidR="009B24DA" w:rsidRPr="00850E69" w:rsidRDefault="009B24DA" w:rsidP="009B24DA">
      <w:pPr>
        <w:pStyle w:val="ParaTab1"/>
        <w:spacing w:line="360" w:lineRule="auto"/>
        <w:ind w:firstLine="1350"/>
        <w:rPr>
          <w:rFonts w:ascii="Times New Roman" w:hAnsi="Times New Roman" w:cs="Times New Roman"/>
        </w:rPr>
      </w:pPr>
      <w:r w:rsidRPr="00850E69">
        <w:rPr>
          <w:rFonts w:ascii="Times New Roman" w:hAnsi="Times New Roman" w:cs="Times New Roman"/>
        </w:rPr>
        <w:t>By notice dated November 21, 2012, the Commission notified the parties that it had assigned the case to me as motion judge.  As of the date of this decision, the Complainant has not filed an answer to the Respondent’s preliminary objections.  The preliminary objections are ready for decision.  For the reasons set forth below, I will sustain the preliminary objections and dismiss the complaint.</w:t>
      </w:r>
    </w:p>
    <w:p w:rsidR="00621CFD" w:rsidRPr="00850E69" w:rsidRDefault="00621CFD" w:rsidP="00ED2E14">
      <w:pPr>
        <w:pStyle w:val="ParaTab1"/>
        <w:spacing w:line="360" w:lineRule="auto"/>
        <w:ind w:firstLine="1350"/>
        <w:rPr>
          <w:rFonts w:ascii="Times New Roman" w:hAnsi="Times New Roman" w:cs="Times New Roman"/>
        </w:rPr>
      </w:pPr>
    </w:p>
    <w:p w:rsidR="00E43B9C" w:rsidRPr="00850E69" w:rsidRDefault="00E43B9C" w:rsidP="00E00781">
      <w:pPr>
        <w:spacing w:line="360" w:lineRule="auto"/>
        <w:jc w:val="center"/>
        <w:rPr>
          <w:rFonts w:ascii="Times New Roman" w:hAnsi="Times New Roman" w:cs="Times New Roman"/>
          <w:u w:val="single"/>
        </w:rPr>
      </w:pPr>
      <w:r w:rsidRPr="00850E69">
        <w:rPr>
          <w:rFonts w:ascii="Times New Roman" w:hAnsi="Times New Roman" w:cs="Times New Roman"/>
          <w:u w:val="single"/>
        </w:rPr>
        <w:t>FINDINGS OF FACT</w:t>
      </w:r>
    </w:p>
    <w:p w:rsidR="00E43B9C" w:rsidRPr="00850E69" w:rsidRDefault="00E43B9C" w:rsidP="00ED2E14">
      <w:pPr>
        <w:spacing w:line="360" w:lineRule="auto"/>
        <w:rPr>
          <w:rFonts w:ascii="Times New Roman" w:hAnsi="Times New Roman" w:cs="Times New Roman"/>
        </w:rPr>
      </w:pPr>
    </w:p>
    <w:p w:rsidR="009B24DA" w:rsidRPr="00850E69" w:rsidRDefault="00E43B9C" w:rsidP="009B24DA">
      <w:pPr>
        <w:spacing w:line="360" w:lineRule="auto"/>
        <w:rPr>
          <w:rFonts w:ascii="Times New Roman" w:hAnsi="Times New Roman" w:cs="Times New Roman"/>
        </w:rPr>
      </w:pPr>
      <w:r w:rsidRPr="00850E69">
        <w:rPr>
          <w:rFonts w:ascii="Times New Roman" w:hAnsi="Times New Roman" w:cs="Times New Roman"/>
        </w:rPr>
        <w:tab/>
      </w:r>
      <w:r w:rsidR="0096710A" w:rsidRPr="00850E69">
        <w:rPr>
          <w:rFonts w:ascii="Times New Roman" w:hAnsi="Times New Roman" w:cs="Times New Roman"/>
        </w:rPr>
        <w:tab/>
      </w:r>
      <w:r w:rsidR="009B24DA" w:rsidRPr="00850E69">
        <w:rPr>
          <w:rFonts w:ascii="Times New Roman" w:hAnsi="Times New Roman" w:cs="Times New Roman"/>
        </w:rPr>
        <w:t>1.</w:t>
      </w:r>
      <w:r w:rsidR="009B24DA" w:rsidRPr="00850E69">
        <w:rPr>
          <w:rFonts w:ascii="Times New Roman" w:hAnsi="Times New Roman" w:cs="Times New Roman"/>
        </w:rPr>
        <w:tab/>
        <w:t>The Complainant in this case is George W. Kopf, Jr.</w:t>
      </w:r>
    </w:p>
    <w:p w:rsidR="009B24DA" w:rsidRPr="00850E69" w:rsidRDefault="009B24DA" w:rsidP="009B24DA">
      <w:pPr>
        <w:spacing w:line="360" w:lineRule="auto"/>
        <w:rPr>
          <w:rFonts w:ascii="Times New Roman" w:hAnsi="Times New Roman" w:cs="Times New Roman"/>
        </w:rPr>
      </w:pPr>
    </w:p>
    <w:p w:rsidR="009B24DA" w:rsidRPr="00850E69" w:rsidRDefault="009B24DA" w:rsidP="009B24DA">
      <w:pPr>
        <w:spacing w:line="360" w:lineRule="auto"/>
        <w:rPr>
          <w:rFonts w:ascii="Times New Roman" w:hAnsi="Times New Roman" w:cs="Times New Roman"/>
        </w:rPr>
      </w:pPr>
      <w:r w:rsidRPr="00850E69">
        <w:rPr>
          <w:rFonts w:ascii="Times New Roman" w:hAnsi="Times New Roman" w:cs="Times New Roman"/>
        </w:rPr>
        <w:tab/>
      </w:r>
      <w:r w:rsidRPr="00850E69">
        <w:rPr>
          <w:rFonts w:ascii="Times New Roman" w:hAnsi="Times New Roman" w:cs="Times New Roman"/>
        </w:rPr>
        <w:tab/>
        <w:t>2.</w:t>
      </w:r>
      <w:r w:rsidRPr="00850E69">
        <w:rPr>
          <w:rFonts w:ascii="Times New Roman" w:hAnsi="Times New Roman" w:cs="Times New Roman"/>
        </w:rPr>
        <w:tab/>
        <w:t>The Respondent in this case is PECO Energy Company.</w:t>
      </w:r>
    </w:p>
    <w:p w:rsidR="009B24DA" w:rsidRPr="00850E69" w:rsidRDefault="009B24DA" w:rsidP="009B24DA">
      <w:pPr>
        <w:spacing w:line="360" w:lineRule="auto"/>
        <w:rPr>
          <w:rFonts w:ascii="Times New Roman" w:hAnsi="Times New Roman" w:cs="Times New Roman"/>
        </w:rPr>
      </w:pPr>
    </w:p>
    <w:p w:rsidR="009B24DA" w:rsidRPr="00850E69" w:rsidRDefault="009B24DA" w:rsidP="009B24DA">
      <w:pPr>
        <w:spacing w:line="360" w:lineRule="auto"/>
        <w:rPr>
          <w:rFonts w:ascii="Times New Roman" w:hAnsi="Times New Roman" w:cs="Times New Roman"/>
        </w:rPr>
      </w:pPr>
      <w:r w:rsidRPr="00850E69">
        <w:rPr>
          <w:rFonts w:ascii="Times New Roman" w:hAnsi="Times New Roman" w:cs="Times New Roman"/>
        </w:rPr>
        <w:tab/>
      </w:r>
      <w:r w:rsidRPr="00850E69">
        <w:rPr>
          <w:rFonts w:ascii="Times New Roman" w:hAnsi="Times New Roman" w:cs="Times New Roman"/>
        </w:rPr>
        <w:tab/>
        <w:t>3.</w:t>
      </w:r>
      <w:r w:rsidRPr="00850E69">
        <w:rPr>
          <w:rFonts w:ascii="Times New Roman" w:hAnsi="Times New Roman" w:cs="Times New Roman"/>
        </w:rPr>
        <w:tab/>
        <w:t>On October 24, 2012, the Complainant filed a complaint with the Commission against the Respondent.</w:t>
      </w:r>
    </w:p>
    <w:p w:rsidR="009B24DA" w:rsidRPr="00850E69" w:rsidRDefault="009B24DA" w:rsidP="009B24DA">
      <w:pPr>
        <w:spacing w:line="360" w:lineRule="auto"/>
        <w:rPr>
          <w:rFonts w:ascii="Times New Roman" w:hAnsi="Times New Roman" w:cs="Times New Roman"/>
        </w:rPr>
      </w:pPr>
    </w:p>
    <w:p w:rsidR="009B24DA" w:rsidRPr="00850E69" w:rsidRDefault="009B24DA" w:rsidP="009B24DA">
      <w:pPr>
        <w:spacing w:line="360" w:lineRule="auto"/>
        <w:rPr>
          <w:rFonts w:ascii="Times New Roman" w:hAnsi="Times New Roman" w:cs="Times New Roman"/>
        </w:rPr>
      </w:pPr>
      <w:r w:rsidRPr="00850E69">
        <w:rPr>
          <w:rFonts w:ascii="Times New Roman" w:hAnsi="Times New Roman" w:cs="Times New Roman"/>
        </w:rPr>
        <w:tab/>
      </w:r>
      <w:r w:rsidRPr="00850E69">
        <w:rPr>
          <w:rFonts w:ascii="Times New Roman" w:hAnsi="Times New Roman" w:cs="Times New Roman"/>
        </w:rPr>
        <w:tab/>
        <w:t>4.</w:t>
      </w:r>
      <w:r w:rsidRPr="00850E69">
        <w:rPr>
          <w:rFonts w:ascii="Times New Roman" w:hAnsi="Times New Roman" w:cs="Times New Roman"/>
        </w:rPr>
        <w:tab/>
        <w:t>The Respondent filed an answer with new matter on November 13, 2012.</w:t>
      </w:r>
    </w:p>
    <w:p w:rsidR="009B24DA" w:rsidRPr="00850E69" w:rsidRDefault="009B24DA" w:rsidP="009B24DA">
      <w:pPr>
        <w:spacing w:line="360" w:lineRule="auto"/>
        <w:rPr>
          <w:rFonts w:ascii="Times New Roman" w:hAnsi="Times New Roman" w:cs="Times New Roman"/>
        </w:rPr>
      </w:pPr>
    </w:p>
    <w:p w:rsidR="009B24DA" w:rsidRPr="00850E69" w:rsidRDefault="009B24DA" w:rsidP="009B24DA">
      <w:pPr>
        <w:spacing w:line="360" w:lineRule="auto"/>
        <w:rPr>
          <w:rFonts w:ascii="Times New Roman" w:hAnsi="Times New Roman" w:cs="Times New Roman"/>
        </w:rPr>
      </w:pPr>
      <w:r w:rsidRPr="00850E69">
        <w:rPr>
          <w:rFonts w:ascii="Times New Roman" w:hAnsi="Times New Roman" w:cs="Times New Roman"/>
        </w:rPr>
        <w:tab/>
      </w:r>
      <w:r w:rsidRPr="00850E69">
        <w:rPr>
          <w:rFonts w:ascii="Times New Roman" w:hAnsi="Times New Roman" w:cs="Times New Roman"/>
        </w:rPr>
        <w:tab/>
        <w:t>5.</w:t>
      </w:r>
      <w:r w:rsidRPr="00850E69">
        <w:rPr>
          <w:rFonts w:ascii="Times New Roman" w:hAnsi="Times New Roman" w:cs="Times New Roman"/>
        </w:rPr>
        <w:tab/>
        <w:t>On November 13, 2012, the Respondent filed preliminary objections.</w:t>
      </w:r>
    </w:p>
    <w:p w:rsidR="009B24DA" w:rsidRPr="00850E69" w:rsidRDefault="009B24DA" w:rsidP="009B24DA">
      <w:pPr>
        <w:spacing w:line="360" w:lineRule="auto"/>
        <w:rPr>
          <w:rFonts w:ascii="Times New Roman" w:hAnsi="Times New Roman" w:cs="Times New Roman"/>
        </w:rPr>
      </w:pPr>
    </w:p>
    <w:p w:rsidR="009B24DA" w:rsidRPr="00850E69" w:rsidRDefault="009B24DA" w:rsidP="009B24DA">
      <w:pPr>
        <w:spacing w:line="360" w:lineRule="auto"/>
        <w:rPr>
          <w:rFonts w:ascii="Times New Roman" w:hAnsi="Times New Roman" w:cs="Times New Roman"/>
        </w:rPr>
      </w:pPr>
      <w:r w:rsidRPr="00850E69">
        <w:rPr>
          <w:rFonts w:ascii="Times New Roman" w:hAnsi="Times New Roman" w:cs="Times New Roman"/>
        </w:rPr>
        <w:tab/>
      </w:r>
      <w:r w:rsidRPr="00850E69">
        <w:rPr>
          <w:rFonts w:ascii="Times New Roman" w:hAnsi="Times New Roman" w:cs="Times New Roman"/>
        </w:rPr>
        <w:tab/>
        <w:t>6.</w:t>
      </w:r>
      <w:r w:rsidRPr="00850E69">
        <w:rPr>
          <w:rFonts w:ascii="Times New Roman" w:hAnsi="Times New Roman" w:cs="Times New Roman"/>
        </w:rPr>
        <w:tab/>
        <w:t>The Complainant did not file an answer to the Respondent’s new matter or its preliminary objections.</w:t>
      </w:r>
    </w:p>
    <w:p w:rsidR="005D2660" w:rsidRDefault="005D2660" w:rsidP="009D16C9">
      <w:pPr>
        <w:pStyle w:val="ParaTab1"/>
        <w:tabs>
          <w:tab w:val="left" w:pos="2070"/>
        </w:tabs>
        <w:spacing w:line="360" w:lineRule="auto"/>
        <w:ind w:firstLine="0"/>
        <w:rPr>
          <w:rFonts w:ascii="Times New Roman" w:hAnsi="Times New Roman" w:cs="Times New Roman"/>
          <w:u w:val="single"/>
        </w:rPr>
      </w:pPr>
    </w:p>
    <w:p w:rsidR="009D16C9" w:rsidRDefault="009D16C9" w:rsidP="00ED2E14">
      <w:pPr>
        <w:pStyle w:val="ParaTab1"/>
        <w:tabs>
          <w:tab w:val="left" w:pos="2070"/>
        </w:tabs>
        <w:spacing w:line="360" w:lineRule="auto"/>
        <w:ind w:firstLine="0"/>
        <w:jc w:val="center"/>
        <w:rPr>
          <w:rFonts w:ascii="Times New Roman" w:hAnsi="Times New Roman" w:cs="Times New Roman"/>
          <w:u w:val="single"/>
        </w:rPr>
      </w:pPr>
      <w:r>
        <w:rPr>
          <w:rFonts w:ascii="Times New Roman" w:hAnsi="Times New Roman" w:cs="Times New Roman"/>
          <w:u w:val="single"/>
        </w:rPr>
        <w:br w:type="page"/>
      </w:r>
    </w:p>
    <w:p w:rsidR="00E43B9C" w:rsidRPr="00850E69" w:rsidRDefault="00E43B9C" w:rsidP="00ED2E14">
      <w:pPr>
        <w:pStyle w:val="ParaTab1"/>
        <w:tabs>
          <w:tab w:val="left" w:pos="2070"/>
        </w:tabs>
        <w:spacing w:line="360" w:lineRule="auto"/>
        <w:ind w:firstLine="0"/>
        <w:jc w:val="center"/>
        <w:rPr>
          <w:rFonts w:ascii="Times New Roman" w:hAnsi="Times New Roman" w:cs="Times New Roman"/>
          <w:u w:val="single"/>
        </w:rPr>
      </w:pPr>
      <w:r w:rsidRPr="00850E69">
        <w:rPr>
          <w:rFonts w:ascii="Times New Roman" w:hAnsi="Times New Roman" w:cs="Times New Roman"/>
          <w:u w:val="single"/>
        </w:rPr>
        <w:t>DISCUSSION</w:t>
      </w:r>
    </w:p>
    <w:p w:rsidR="00E43B9C" w:rsidRPr="00850E69" w:rsidRDefault="00E43B9C" w:rsidP="00ED2E14">
      <w:pPr>
        <w:pStyle w:val="ParaTab1"/>
        <w:spacing w:line="360" w:lineRule="auto"/>
        <w:ind w:firstLine="1350"/>
        <w:rPr>
          <w:rFonts w:ascii="Times New Roman" w:hAnsi="Times New Roman" w:cs="Times New Roman"/>
        </w:rPr>
      </w:pPr>
    </w:p>
    <w:p w:rsidR="005F29DB" w:rsidRPr="00850E69" w:rsidRDefault="005F29DB" w:rsidP="005F29DB">
      <w:pPr>
        <w:spacing w:line="360" w:lineRule="auto"/>
        <w:ind w:firstLine="1440"/>
        <w:rPr>
          <w:rFonts w:ascii="Times New Roman" w:hAnsi="Times New Roman" w:cs="Times New Roman"/>
        </w:rPr>
      </w:pPr>
      <w:r w:rsidRPr="00850E69">
        <w:rPr>
          <w:rFonts w:ascii="Times New Roman" w:hAnsi="Times New Roman" w:cs="Times New Roman"/>
        </w:rPr>
        <w:t>The Commission’s Rules of Practice and Procedure permit parties to file preliminary objections.  The grounds for preliminary objections are limited to those set forth in 52 Pa</w:t>
      </w:r>
      <w:r w:rsidR="004322AD">
        <w:rPr>
          <w:rFonts w:ascii="Times New Roman" w:hAnsi="Times New Roman" w:cs="Times New Roman"/>
        </w:rPr>
        <w:t>.</w:t>
      </w:r>
      <w:r w:rsidRPr="00850E69">
        <w:rPr>
          <w:rFonts w:ascii="Times New Roman" w:hAnsi="Times New Roman" w:cs="Times New Roman"/>
        </w:rPr>
        <w:t xml:space="preserve"> Code §5.101(a) as follows:</w:t>
      </w:r>
    </w:p>
    <w:p w:rsidR="005F29DB" w:rsidRPr="00850E69" w:rsidRDefault="005F29DB" w:rsidP="005F29DB">
      <w:pPr>
        <w:spacing w:line="360" w:lineRule="auto"/>
        <w:rPr>
          <w:rFonts w:ascii="Times New Roman" w:hAnsi="Times New Roman" w:cs="Times New Roman"/>
        </w:rPr>
      </w:pPr>
    </w:p>
    <w:p w:rsidR="005F29DB" w:rsidRPr="00850E69" w:rsidRDefault="005F29DB" w:rsidP="005F29DB">
      <w:pPr>
        <w:widowControl w:val="0"/>
        <w:numPr>
          <w:ilvl w:val="0"/>
          <w:numId w:val="7"/>
        </w:numPr>
        <w:adjustRightInd w:val="0"/>
        <w:ind w:left="1440" w:right="1350" w:firstLine="720"/>
        <w:rPr>
          <w:rFonts w:ascii="Times New Roman" w:hAnsi="Times New Roman" w:cs="Times New Roman"/>
        </w:rPr>
      </w:pPr>
      <w:r w:rsidRPr="00850E69">
        <w:rPr>
          <w:rFonts w:ascii="Times New Roman" w:hAnsi="Times New Roman" w:cs="Times New Roman"/>
        </w:rPr>
        <w:t>Lack of Commission jurisdiction or improper service of the pleading initiating the proceeding.</w:t>
      </w:r>
    </w:p>
    <w:p w:rsidR="005F29DB" w:rsidRPr="00850E69" w:rsidRDefault="005F29DB" w:rsidP="005F29DB">
      <w:pPr>
        <w:ind w:left="1440" w:right="1350"/>
        <w:rPr>
          <w:rFonts w:ascii="Times New Roman" w:hAnsi="Times New Roman" w:cs="Times New Roman"/>
        </w:rPr>
      </w:pPr>
    </w:p>
    <w:p w:rsidR="005F29DB" w:rsidRPr="00850E69" w:rsidRDefault="005F29DB" w:rsidP="005F29DB">
      <w:pPr>
        <w:widowControl w:val="0"/>
        <w:numPr>
          <w:ilvl w:val="0"/>
          <w:numId w:val="7"/>
        </w:numPr>
        <w:adjustRightInd w:val="0"/>
        <w:ind w:left="1440" w:right="1350" w:firstLine="720"/>
        <w:rPr>
          <w:rFonts w:ascii="Times New Roman" w:hAnsi="Times New Roman" w:cs="Times New Roman"/>
        </w:rPr>
      </w:pPr>
      <w:r w:rsidRPr="00850E69">
        <w:rPr>
          <w:rFonts w:ascii="Times New Roman" w:hAnsi="Times New Roman" w:cs="Times New Roman"/>
        </w:rPr>
        <w:t>Failure of a pleading to conform to this chapter or the inclusion of scandalous or impertinent matter.</w:t>
      </w:r>
    </w:p>
    <w:p w:rsidR="005F29DB" w:rsidRPr="00850E69" w:rsidRDefault="005F29DB" w:rsidP="005F29DB">
      <w:pPr>
        <w:ind w:left="1440" w:right="1350"/>
        <w:rPr>
          <w:rFonts w:ascii="Times New Roman" w:hAnsi="Times New Roman" w:cs="Times New Roman"/>
        </w:rPr>
      </w:pPr>
    </w:p>
    <w:p w:rsidR="005F29DB" w:rsidRPr="00850E69" w:rsidRDefault="005F29DB" w:rsidP="005F29DB">
      <w:pPr>
        <w:widowControl w:val="0"/>
        <w:numPr>
          <w:ilvl w:val="0"/>
          <w:numId w:val="7"/>
        </w:numPr>
        <w:adjustRightInd w:val="0"/>
        <w:ind w:left="1440" w:right="1350" w:firstLine="720"/>
        <w:rPr>
          <w:rFonts w:ascii="Times New Roman" w:hAnsi="Times New Roman" w:cs="Times New Roman"/>
        </w:rPr>
      </w:pPr>
      <w:r w:rsidRPr="00850E69">
        <w:rPr>
          <w:rFonts w:ascii="Times New Roman" w:hAnsi="Times New Roman" w:cs="Times New Roman"/>
        </w:rPr>
        <w:t>Insufficient specificity of a pleading.</w:t>
      </w:r>
    </w:p>
    <w:p w:rsidR="005F29DB" w:rsidRPr="00850E69" w:rsidRDefault="005F29DB" w:rsidP="005F29DB">
      <w:pPr>
        <w:ind w:left="1440" w:right="1350"/>
        <w:rPr>
          <w:rFonts w:ascii="Times New Roman" w:hAnsi="Times New Roman" w:cs="Times New Roman"/>
        </w:rPr>
      </w:pPr>
    </w:p>
    <w:p w:rsidR="005F29DB" w:rsidRPr="00850E69" w:rsidRDefault="005F29DB" w:rsidP="005F29DB">
      <w:pPr>
        <w:widowControl w:val="0"/>
        <w:numPr>
          <w:ilvl w:val="0"/>
          <w:numId w:val="7"/>
        </w:numPr>
        <w:adjustRightInd w:val="0"/>
        <w:ind w:left="1440" w:right="1350" w:firstLine="720"/>
        <w:rPr>
          <w:rFonts w:ascii="Times New Roman" w:hAnsi="Times New Roman" w:cs="Times New Roman"/>
        </w:rPr>
      </w:pPr>
      <w:r w:rsidRPr="00850E69">
        <w:rPr>
          <w:rFonts w:ascii="Times New Roman" w:hAnsi="Times New Roman" w:cs="Times New Roman"/>
        </w:rPr>
        <w:t>Legal insufficiency of a pleading.</w:t>
      </w:r>
    </w:p>
    <w:p w:rsidR="005F29DB" w:rsidRPr="00850E69" w:rsidRDefault="005F29DB" w:rsidP="005F29DB">
      <w:pPr>
        <w:ind w:left="1440" w:right="1350"/>
        <w:rPr>
          <w:rFonts w:ascii="Times New Roman" w:hAnsi="Times New Roman" w:cs="Times New Roman"/>
        </w:rPr>
      </w:pPr>
    </w:p>
    <w:p w:rsidR="005F29DB" w:rsidRPr="00850E69" w:rsidRDefault="005F29DB" w:rsidP="005F29DB">
      <w:pPr>
        <w:widowControl w:val="0"/>
        <w:numPr>
          <w:ilvl w:val="0"/>
          <w:numId w:val="7"/>
        </w:numPr>
        <w:adjustRightInd w:val="0"/>
        <w:ind w:left="1440" w:right="1350" w:firstLine="720"/>
        <w:rPr>
          <w:rFonts w:ascii="Times New Roman" w:hAnsi="Times New Roman" w:cs="Times New Roman"/>
        </w:rPr>
      </w:pPr>
      <w:r w:rsidRPr="00850E69">
        <w:rPr>
          <w:rFonts w:ascii="Times New Roman" w:hAnsi="Times New Roman" w:cs="Times New Roman"/>
        </w:rPr>
        <w:t>Lack of capacity to sue, nonjoinder of a necessary party or misjoinder of a cause of action.</w:t>
      </w:r>
    </w:p>
    <w:p w:rsidR="005F29DB" w:rsidRPr="00850E69" w:rsidRDefault="005F29DB" w:rsidP="005F29DB">
      <w:pPr>
        <w:ind w:left="1440" w:right="1350"/>
        <w:rPr>
          <w:rFonts w:ascii="Times New Roman" w:hAnsi="Times New Roman" w:cs="Times New Roman"/>
        </w:rPr>
      </w:pPr>
    </w:p>
    <w:p w:rsidR="005F29DB" w:rsidRPr="00850E69" w:rsidRDefault="005F29DB" w:rsidP="005F29DB">
      <w:pPr>
        <w:widowControl w:val="0"/>
        <w:numPr>
          <w:ilvl w:val="0"/>
          <w:numId w:val="7"/>
        </w:numPr>
        <w:adjustRightInd w:val="0"/>
        <w:ind w:left="1440" w:right="1350" w:firstLine="720"/>
        <w:rPr>
          <w:rFonts w:ascii="Times New Roman" w:hAnsi="Times New Roman" w:cs="Times New Roman"/>
        </w:rPr>
      </w:pPr>
      <w:r w:rsidRPr="00850E69">
        <w:rPr>
          <w:rFonts w:ascii="Times New Roman" w:hAnsi="Times New Roman" w:cs="Times New Roman"/>
        </w:rPr>
        <w:t>Pendency of a prior proceeding or agreement for alternative dispute resolution.</w:t>
      </w:r>
    </w:p>
    <w:p w:rsidR="005F29DB" w:rsidRPr="00850E69" w:rsidRDefault="005F29DB" w:rsidP="005F29DB">
      <w:pPr>
        <w:pStyle w:val="ParaTab1"/>
        <w:spacing w:line="360" w:lineRule="auto"/>
        <w:ind w:right="1350" w:firstLine="0"/>
        <w:rPr>
          <w:rFonts w:ascii="Times New Roman" w:hAnsi="Times New Roman" w:cs="Times New Roman"/>
        </w:rPr>
      </w:pPr>
    </w:p>
    <w:p w:rsidR="005F29DB" w:rsidRPr="00850E69" w:rsidRDefault="005F29DB" w:rsidP="005F29DB">
      <w:pPr>
        <w:pStyle w:val="ParaTab1"/>
        <w:spacing w:line="360" w:lineRule="auto"/>
        <w:ind w:firstLine="1350"/>
        <w:rPr>
          <w:rFonts w:ascii="Times New Roman" w:hAnsi="Times New Roman" w:cs="Times New Roman"/>
        </w:rPr>
      </w:pPr>
      <w:r w:rsidRPr="00850E69">
        <w:rPr>
          <w:rFonts w:ascii="Times New Roman" w:hAnsi="Times New Roman" w:cs="Times New Roman"/>
        </w:rPr>
        <w:t>Here, the Respondent’s preliminary objections assert that the complaint is legally insufficient pursuant to 52 Pa. Code §5.101(a)(4), in that the complaint fails to allege that the Respondent violated the Public Utility Code, Commission regulations or orders or its tariff provisions.  I agree.</w:t>
      </w:r>
    </w:p>
    <w:p w:rsidR="005F29DB" w:rsidRPr="00850E69" w:rsidRDefault="005F29DB" w:rsidP="005F29DB">
      <w:pPr>
        <w:pStyle w:val="ParaTab1"/>
        <w:spacing w:line="360" w:lineRule="auto"/>
        <w:ind w:firstLine="0"/>
        <w:rPr>
          <w:rFonts w:ascii="Times New Roman" w:hAnsi="Times New Roman" w:cs="Times New Roman"/>
        </w:rPr>
      </w:pPr>
    </w:p>
    <w:p w:rsidR="005F29DB" w:rsidRPr="00850E69" w:rsidRDefault="005F29DB" w:rsidP="005F29DB">
      <w:pPr>
        <w:pStyle w:val="ParaTab1"/>
        <w:spacing w:line="360" w:lineRule="auto"/>
        <w:ind w:firstLine="1350"/>
        <w:rPr>
          <w:rFonts w:ascii="Times New Roman" w:hAnsi="Times New Roman" w:cs="Times New Roman"/>
        </w:rPr>
      </w:pPr>
      <w:r w:rsidRPr="00850E69">
        <w:rPr>
          <w:rFonts w:ascii="Times New Roman" w:hAnsi="Times New Roman" w:cs="Times New Roman"/>
        </w:rPr>
        <w:t xml:space="preserve">Commission preliminary objection practice is analogous to Pennsylvania civil practice regarding preliminary objections.  </w:t>
      </w:r>
      <w:r w:rsidRPr="00850E69">
        <w:rPr>
          <w:rFonts w:ascii="Times New Roman" w:hAnsi="Times New Roman" w:cs="Times New Roman"/>
          <w:u w:val="single"/>
        </w:rPr>
        <w:t>Equitable Small Transportation Intervenors v. Equitable Gas Company</w:t>
      </w:r>
      <w:r w:rsidRPr="00850E69">
        <w:rPr>
          <w:rFonts w:ascii="Times New Roman" w:hAnsi="Times New Roman" w:cs="Times New Roman"/>
        </w:rPr>
        <w:t>, 1994 Pa PUC LEXIS 69, Docket No. C</w:t>
      </w:r>
      <w:r w:rsidRPr="00850E69">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r w:rsidRPr="00850E69">
        <w:rPr>
          <w:rFonts w:ascii="Times New Roman" w:hAnsi="Times New Roman" w:cs="Times New Roman"/>
          <w:u w:val="single"/>
        </w:rPr>
        <w:t>Interstate Traveller Services, Inc. v. Pa. Dept. of Environment Resources</w:t>
      </w:r>
      <w:r w:rsidRPr="00850E69">
        <w:rPr>
          <w:rFonts w:ascii="Times New Roman" w:hAnsi="Times New Roman" w:cs="Times New Roman"/>
        </w:rPr>
        <w:t xml:space="preserve">, 406 A.2d 1020 (Pa. 1979); </w:t>
      </w:r>
      <w:r w:rsidRPr="00850E69">
        <w:rPr>
          <w:rFonts w:ascii="Times New Roman" w:hAnsi="Times New Roman" w:cs="Times New Roman"/>
          <w:u w:val="single"/>
        </w:rPr>
        <w:t>Rivera v. Philadelphia Theological Seminary of St. Charles Borromeo, Inc.</w:t>
      </w:r>
      <w:r w:rsidRPr="00850E69">
        <w:rPr>
          <w:rFonts w:ascii="Times New Roman" w:hAnsi="Times New Roman" w:cs="Times New Roman"/>
        </w:rPr>
        <w:t xml:space="preserve">, 595 A.2d 172 (Pa. Super. 1991).  The Commission follows this standard.  </w:t>
      </w:r>
      <w:r w:rsidRPr="00850E69">
        <w:rPr>
          <w:rFonts w:ascii="Times New Roman" w:hAnsi="Times New Roman" w:cs="Times New Roman"/>
          <w:u w:val="single"/>
        </w:rPr>
        <w:t>Montague v. Philadelphia Electric Company</w:t>
      </w:r>
      <w:r w:rsidRPr="00850E69">
        <w:rPr>
          <w:rFonts w:ascii="Times New Roman" w:hAnsi="Times New Roman" w:cs="Times New Roman"/>
        </w:rPr>
        <w:t>, 66 Pa. PUC 24 (1988).</w:t>
      </w:r>
    </w:p>
    <w:p w:rsidR="005F29DB" w:rsidRPr="00850E69" w:rsidRDefault="005F29DB" w:rsidP="005F29DB">
      <w:pPr>
        <w:pStyle w:val="ParaTab1"/>
        <w:spacing w:line="360" w:lineRule="auto"/>
        <w:ind w:firstLine="1350"/>
        <w:rPr>
          <w:rFonts w:ascii="Times New Roman" w:hAnsi="Times New Roman" w:cs="Times New Roman"/>
        </w:rPr>
      </w:pPr>
      <w:r w:rsidRPr="00850E69">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850E69">
        <w:rPr>
          <w:rFonts w:ascii="Times New Roman" w:hAnsi="Times New Roman" w:cs="Times New Roman"/>
          <w:u w:val="single"/>
        </w:rPr>
        <w:t>County of Allegheny v. Commonwealth of Pennsylvania</w:t>
      </w:r>
      <w:r w:rsidRPr="00850E69">
        <w:rPr>
          <w:rFonts w:ascii="Times New Roman" w:hAnsi="Times New Roman" w:cs="Times New Roman"/>
        </w:rPr>
        <w:t xml:space="preserve">, 490 A. 2d 402 (Pa. 1985); </w:t>
      </w:r>
      <w:r w:rsidRPr="00850E69">
        <w:rPr>
          <w:rFonts w:ascii="Times New Roman" w:hAnsi="Times New Roman" w:cs="Times New Roman"/>
          <w:u w:val="single"/>
        </w:rPr>
        <w:t>Commonwealth of Pennsylvania v. Bell Telephone Co. of Pa.</w:t>
      </w:r>
      <w:r w:rsidRPr="00850E69">
        <w:rPr>
          <w:rFonts w:ascii="Times New Roman" w:hAnsi="Times New Roman" w:cs="Times New Roman"/>
        </w:rPr>
        <w:t xml:space="preserve">, 551 A.2d 602 (Pa. Cmwlth. 1988).  The Commission must view the complaint in this case in the light most favorable to the Complainant and should dismiss the complaint only if it appears that the Complainant would not be entitled to relief under any circumstances as a matter of law.  </w:t>
      </w:r>
      <w:r w:rsidRPr="00850E69">
        <w:rPr>
          <w:rFonts w:ascii="Times New Roman" w:hAnsi="Times New Roman" w:cs="Times New Roman"/>
          <w:u w:val="single"/>
        </w:rPr>
        <w:t>Equitable Small Transportation Intervenors v. Equitable Gas Company</w:t>
      </w:r>
      <w:r w:rsidRPr="00850E69">
        <w:rPr>
          <w:rFonts w:ascii="Times New Roman" w:hAnsi="Times New Roman" w:cs="Times New Roman"/>
        </w:rPr>
        <w:t>, 1994 Pa PUC LEXIS 69, Docket No. C-00935435 (July 18, 1994).</w:t>
      </w:r>
    </w:p>
    <w:p w:rsidR="005F29DB" w:rsidRPr="00850E69" w:rsidRDefault="005F29DB" w:rsidP="005F29DB">
      <w:pPr>
        <w:pStyle w:val="ParaTab1"/>
        <w:spacing w:line="360" w:lineRule="auto"/>
        <w:ind w:firstLine="0"/>
        <w:rPr>
          <w:rFonts w:ascii="Times New Roman" w:hAnsi="Times New Roman" w:cs="Times New Roman"/>
        </w:rPr>
      </w:pPr>
    </w:p>
    <w:p w:rsidR="005F29DB" w:rsidRPr="00850E69" w:rsidRDefault="005F29DB" w:rsidP="005F29DB">
      <w:pPr>
        <w:pStyle w:val="ParaTab1"/>
        <w:spacing w:line="360" w:lineRule="auto"/>
        <w:ind w:firstLine="1350"/>
        <w:rPr>
          <w:rFonts w:ascii="Times New Roman" w:hAnsi="Times New Roman" w:cs="Times New Roman"/>
        </w:rPr>
      </w:pPr>
      <w:r w:rsidRPr="00850E69">
        <w:rPr>
          <w:rFonts w:ascii="Times New Roman" w:hAnsi="Times New Roman" w:cs="Times New Roman"/>
        </w:rPr>
        <w:t>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filed in response to a complaint.</w:t>
      </w:r>
    </w:p>
    <w:p w:rsidR="005F29DB" w:rsidRPr="00850E69" w:rsidRDefault="005F29DB" w:rsidP="005F29DB">
      <w:pPr>
        <w:pStyle w:val="ParaTab1"/>
        <w:spacing w:line="360" w:lineRule="auto"/>
        <w:ind w:firstLine="0"/>
        <w:rPr>
          <w:rFonts w:ascii="Times New Roman" w:hAnsi="Times New Roman" w:cs="Times New Roman"/>
        </w:rPr>
      </w:pPr>
    </w:p>
    <w:p w:rsidR="005F29DB" w:rsidRPr="00850E69" w:rsidRDefault="005F29DB" w:rsidP="005F29DB">
      <w:pPr>
        <w:pStyle w:val="ParaTab1"/>
        <w:spacing w:line="360" w:lineRule="auto"/>
        <w:ind w:firstLine="1350"/>
        <w:rPr>
          <w:rFonts w:ascii="Times New Roman" w:hAnsi="Times New Roman" w:cs="Times New Roman"/>
        </w:rPr>
      </w:pPr>
      <w:r w:rsidRPr="00850E69">
        <w:rPr>
          <w:rFonts w:ascii="Times New Roman" w:hAnsi="Times New Roman" w:cs="Times New Roman"/>
        </w:rPr>
        <w:t xml:space="preserve">The regulation at 52 Pa. Code §5.101(a)(4) permits the filing of a preliminary objection to dismiss a pleading for legal insufficiency.  The provision at 52 Pa. Code §5.101(a)(4) serves judicial economy by avoiding a hearing where no factual dispute exists.  If no factual issue pertinent to the resolution of a case exists, a hearing is unnecessary.  66 Pa. C.S. §703(a); </w:t>
      </w:r>
      <w:r w:rsidRPr="00850E69">
        <w:rPr>
          <w:rFonts w:ascii="Times New Roman" w:hAnsi="Times New Roman" w:cs="Times New Roman"/>
          <w:u w:val="single"/>
        </w:rPr>
        <w:t>Lehigh Valley Power Committee v. Pennsylvania Pub. Util. Comm’n.</w:t>
      </w:r>
      <w:r w:rsidRPr="00850E69">
        <w:rPr>
          <w:rFonts w:ascii="Times New Roman" w:hAnsi="Times New Roman" w:cs="Times New Roman"/>
        </w:rPr>
        <w:t xml:space="preserve">, 563 A.2d 557 (Pa. Cmwlth. 1989); </w:t>
      </w:r>
      <w:r w:rsidRPr="00850E69">
        <w:rPr>
          <w:rFonts w:ascii="Times New Roman" w:hAnsi="Times New Roman" w:cs="Times New Roman"/>
          <w:u w:val="single"/>
        </w:rPr>
        <w:t>Lehigh Valley Power Committee v. Pennsylvania Pub. Util. Comm’n.</w:t>
      </w:r>
      <w:r w:rsidRPr="00850E69">
        <w:rPr>
          <w:rFonts w:ascii="Times New Roman" w:hAnsi="Times New Roman" w:cs="Times New Roman"/>
        </w:rPr>
        <w:t xml:space="preserve">, 563 A.2d 548 (Pa. Cmwlth. 1989); </w:t>
      </w:r>
      <w:r w:rsidRPr="00850E69">
        <w:rPr>
          <w:rFonts w:ascii="Times New Roman" w:hAnsi="Times New Roman" w:cs="Times New Roman"/>
          <w:u w:val="single"/>
        </w:rPr>
        <w:t>S.M.E. Bessemer Cement, Inc. v. Pennsylvania Pub. Util. Comm’n.</w:t>
      </w:r>
      <w:r w:rsidRPr="00850E69">
        <w:rPr>
          <w:rFonts w:ascii="Times New Roman" w:hAnsi="Times New Roman" w:cs="Times New Roman"/>
        </w:rPr>
        <w:t xml:space="preserve">, 540 A.2d 1006 (Pa. Cmwlth. 1988); </w:t>
      </w:r>
      <w:r w:rsidRPr="00850E69">
        <w:rPr>
          <w:rFonts w:ascii="Times New Roman" w:hAnsi="Times New Roman" w:cs="Times New Roman"/>
          <w:u w:val="single"/>
        </w:rPr>
        <w:t>White Oak Borough Authority v. Pennsylvania Pub. Util. Comm’n.</w:t>
      </w:r>
      <w:r w:rsidRPr="00850E69">
        <w:rPr>
          <w:rFonts w:ascii="Times New Roman" w:hAnsi="Times New Roman" w:cs="Times New Roman"/>
        </w:rPr>
        <w:t>, 103 A.2d 502 (Pa. Super. 1954).</w:t>
      </w:r>
    </w:p>
    <w:p w:rsidR="005F29DB" w:rsidRPr="00850E69" w:rsidRDefault="005F29DB" w:rsidP="005F29DB">
      <w:pPr>
        <w:pStyle w:val="ParaTab1"/>
        <w:spacing w:line="360" w:lineRule="auto"/>
        <w:ind w:firstLine="0"/>
        <w:rPr>
          <w:rFonts w:ascii="Times New Roman" w:hAnsi="Times New Roman" w:cs="Times New Roman"/>
        </w:rPr>
      </w:pPr>
    </w:p>
    <w:p w:rsidR="005F29DB" w:rsidRPr="00850E69" w:rsidRDefault="005F29DB" w:rsidP="005F29DB">
      <w:pPr>
        <w:pStyle w:val="ParaTab1"/>
        <w:spacing w:line="360" w:lineRule="auto"/>
        <w:ind w:firstLine="1350"/>
        <w:rPr>
          <w:rFonts w:ascii="Times New Roman" w:hAnsi="Times New Roman" w:cs="Times New Roman"/>
        </w:rPr>
      </w:pPr>
      <w:r w:rsidRPr="00850E69">
        <w:rPr>
          <w:rFonts w:ascii="Times New Roman" w:hAnsi="Times New Roman" w:cs="Times New Roman"/>
        </w:rPr>
        <w:t>Viewing the complaint in this case in the light most favorable to the Complainant, the Complainant owns property at 226 Green Street, 2</w:t>
      </w:r>
      <w:r w:rsidRPr="00850E69">
        <w:rPr>
          <w:rFonts w:ascii="Times New Roman" w:hAnsi="Times New Roman" w:cs="Times New Roman"/>
          <w:vertAlign w:val="superscript"/>
        </w:rPr>
        <w:t>nd</w:t>
      </w:r>
      <w:r w:rsidRPr="00850E69">
        <w:rPr>
          <w:rFonts w:ascii="Times New Roman" w:hAnsi="Times New Roman" w:cs="Times New Roman"/>
        </w:rPr>
        <w:t xml:space="preserve"> Floor, Holmes, Pennsylvania.  The Respondent has discovered foreign wiring at the property </w:t>
      </w:r>
      <w:r w:rsidR="00E06350" w:rsidRPr="00850E69">
        <w:rPr>
          <w:rFonts w:ascii="Times New Roman" w:hAnsi="Times New Roman" w:cs="Times New Roman"/>
        </w:rPr>
        <w:t xml:space="preserve">and transferred the account for the property from </w:t>
      </w:r>
      <w:r w:rsidR="005D2660">
        <w:rPr>
          <w:rFonts w:ascii="Times New Roman" w:hAnsi="Times New Roman" w:cs="Times New Roman"/>
        </w:rPr>
        <w:t xml:space="preserve">Ms. DelRaso </w:t>
      </w:r>
      <w:r w:rsidR="00E06350" w:rsidRPr="00850E69">
        <w:rPr>
          <w:rFonts w:ascii="Times New Roman" w:hAnsi="Times New Roman" w:cs="Times New Roman"/>
        </w:rPr>
        <w:t>to the Complainant.  The lease between the Complainant a</w:t>
      </w:r>
      <w:r w:rsidR="008F11CE" w:rsidRPr="00850E69">
        <w:rPr>
          <w:rFonts w:ascii="Times New Roman" w:hAnsi="Times New Roman" w:cs="Times New Roman"/>
        </w:rPr>
        <w:t>n</w:t>
      </w:r>
      <w:r w:rsidR="00E06350" w:rsidRPr="00850E69">
        <w:rPr>
          <w:rFonts w:ascii="Times New Roman" w:hAnsi="Times New Roman" w:cs="Times New Roman"/>
        </w:rPr>
        <w:t xml:space="preserve">d </w:t>
      </w:r>
      <w:r w:rsidR="005D2660">
        <w:rPr>
          <w:rFonts w:ascii="Times New Roman" w:hAnsi="Times New Roman" w:cs="Times New Roman"/>
        </w:rPr>
        <w:t>Ms. DelRaso</w:t>
      </w:r>
      <w:r w:rsidR="00E06350" w:rsidRPr="00850E69">
        <w:rPr>
          <w:rFonts w:ascii="Times New Roman" w:hAnsi="Times New Roman" w:cs="Times New Roman"/>
        </w:rPr>
        <w:t xml:space="preserve"> requires </w:t>
      </w:r>
      <w:r w:rsidR="005D2660">
        <w:rPr>
          <w:rFonts w:ascii="Times New Roman" w:hAnsi="Times New Roman" w:cs="Times New Roman"/>
        </w:rPr>
        <w:t>her</w:t>
      </w:r>
      <w:r w:rsidR="00E06350" w:rsidRPr="00850E69">
        <w:rPr>
          <w:rFonts w:ascii="Times New Roman" w:hAnsi="Times New Roman" w:cs="Times New Roman"/>
        </w:rPr>
        <w:t xml:space="preserve"> to pay for </w:t>
      </w:r>
      <w:r w:rsidR="005D2660">
        <w:rPr>
          <w:rFonts w:ascii="Times New Roman" w:hAnsi="Times New Roman" w:cs="Times New Roman"/>
        </w:rPr>
        <w:t xml:space="preserve">the electricity used </w:t>
      </w:r>
      <w:r w:rsidR="00E06350" w:rsidRPr="00850E69">
        <w:rPr>
          <w:rFonts w:ascii="Times New Roman" w:hAnsi="Times New Roman" w:cs="Times New Roman"/>
        </w:rPr>
        <w:t xml:space="preserve">in the common areas.  </w:t>
      </w:r>
      <w:r w:rsidR="005D2660">
        <w:rPr>
          <w:rFonts w:ascii="Times New Roman" w:hAnsi="Times New Roman" w:cs="Times New Roman"/>
        </w:rPr>
        <w:t>Ms. DelRaso</w:t>
      </w:r>
      <w:r w:rsidR="008F11CE" w:rsidRPr="00850E69">
        <w:rPr>
          <w:rFonts w:ascii="Times New Roman" w:hAnsi="Times New Roman" w:cs="Times New Roman"/>
        </w:rPr>
        <w:t xml:space="preserve"> agrees to continue paying for the electricity used in the common areas.  </w:t>
      </w:r>
      <w:r w:rsidR="00E06350" w:rsidRPr="00850E69">
        <w:rPr>
          <w:rFonts w:ascii="Times New Roman" w:hAnsi="Times New Roman" w:cs="Times New Roman"/>
        </w:rPr>
        <w:t>The Complainant has not informed the Respondent that he has corrected the foreign wiring.</w:t>
      </w:r>
    </w:p>
    <w:p w:rsidR="005F29DB" w:rsidRPr="00850E69" w:rsidRDefault="005F29DB" w:rsidP="005F29DB">
      <w:pPr>
        <w:pStyle w:val="ParaTab1"/>
        <w:spacing w:line="360" w:lineRule="auto"/>
        <w:ind w:firstLine="0"/>
        <w:rPr>
          <w:rFonts w:ascii="Times New Roman" w:hAnsi="Times New Roman" w:cs="Times New Roman"/>
        </w:rPr>
      </w:pPr>
    </w:p>
    <w:p w:rsidR="005F29DB" w:rsidRPr="00850E69" w:rsidRDefault="005F29DB" w:rsidP="005F29DB">
      <w:pPr>
        <w:pStyle w:val="ParaTab1"/>
        <w:spacing w:line="360" w:lineRule="auto"/>
        <w:ind w:firstLine="1350"/>
        <w:rPr>
          <w:rFonts w:ascii="Times New Roman" w:hAnsi="Times New Roman" w:cs="Times New Roman"/>
        </w:rPr>
      </w:pPr>
      <w:r w:rsidRPr="00850E69">
        <w:rPr>
          <w:rFonts w:ascii="Times New Roman" w:hAnsi="Times New Roman" w:cs="Times New Roman"/>
        </w:rPr>
        <w:t>Accepting the facts alleged in the complaint as true for purposes of disposing of its preliminary objection, the Respondent contends that the complaint fails to allege that the Respondent has violated the Public Utility Code, Commission regulations or orders.  The Respondent concludes that the complaint is legally insufficient.  I agree.</w:t>
      </w:r>
    </w:p>
    <w:p w:rsidR="005F29DB" w:rsidRPr="00850E69" w:rsidRDefault="005F29DB" w:rsidP="005F29DB">
      <w:pPr>
        <w:pStyle w:val="ParaTab1"/>
        <w:spacing w:line="360" w:lineRule="auto"/>
        <w:ind w:firstLine="0"/>
        <w:rPr>
          <w:rFonts w:ascii="Times New Roman" w:hAnsi="Times New Roman" w:cs="Times New Roman"/>
        </w:rPr>
      </w:pPr>
    </w:p>
    <w:p w:rsidR="005F29DB" w:rsidRPr="00850E69" w:rsidRDefault="005F29DB" w:rsidP="005F29DB">
      <w:pPr>
        <w:pStyle w:val="ParaTab1"/>
        <w:spacing w:line="360" w:lineRule="auto"/>
        <w:ind w:firstLine="1350"/>
        <w:rPr>
          <w:rFonts w:ascii="Times New Roman" w:hAnsi="Times New Roman" w:cs="Times New Roman"/>
        </w:rPr>
      </w:pPr>
      <w:r w:rsidRPr="00850E69">
        <w:rPr>
          <w:rFonts w:ascii="Times New Roman" w:hAnsi="Times New Roman" w:cs="Times New Roman"/>
        </w:rPr>
        <w:t xml:space="preserve">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§5.22(a)(4).  Here, the Respondent has not violated any statute, regulation or order which the Commission has jurisdiction to administer by </w:t>
      </w:r>
      <w:r w:rsidR="00E06350" w:rsidRPr="00850E69">
        <w:rPr>
          <w:rFonts w:ascii="Times New Roman" w:hAnsi="Times New Roman" w:cs="Times New Roman"/>
        </w:rPr>
        <w:t xml:space="preserve">transferring the account for the property from </w:t>
      </w:r>
      <w:r w:rsidR="005D2660">
        <w:rPr>
          <w:rFonts w:ascii="Times New Roman" w:hAnsi="Times New Roman" w:cs="Times New Roman"/>
        </w:rPr>
        <w:t>Ms. DelRaso</w:t>
      </w:r>
      <w:r w:rsidR="00E06350" w:rsidRPr="00850E69">
        <w:rPr>
          <w:rFonts w:ascii="Times New Roman" w:hAnsi="Times New Roman" w:cs="Times New Roman"/>
        </w:rPr>
        <w:t xml:space="preserve"> to the Complainant.  </w:t>
      </w:r>
      <w:r w:rsidRPr="00850E69">
        <w:rPr>
          <w:rFonts w:ascii="Times New Roman" w:hAnsi="Times New Roman" w:cs="Times New Roman"/>
        </w:rPr>
        <w:t>Rather the Respondent is complying with relevant statutes, regulations and orders.</w:t>
      </w:r>
    </w:p>
    <w:p w:rsidR="0075297F" w:rsidRPr="00850E69" w:rsidRDefault="0075297F" w:rsidP="00ED2E14">
      <w:pPr>
        <w:pStyle w:val="ParaTab1"/>
        <w:spacing w:line="360" w:lineRule="auto"/>
        <w:ind w:firstLine="1350"/>
        <w:rPr>
          <w:rFonts w:ascii="Times New Roman" w:hAnsi="Times New Roman" w:cs="Times New Roman"/>
        </w:rPr>
      </w:pPr>
    </w:p>
    <w:p w:rsidR="006D170F" w:rsidRPr="00850E69" w:rsidRDefault="006D170F" w:rsidP="00ED2E14">
      <w:pPr>
        <w:pStyle w:val="ParaTab1"/>
        <w:spacing w:line="360" w:lineRule="auto"/>
        <w:ind w:firstLine="1350"/>
        <w:rPr>
          <w:rFonts w:ascii="Times New Roman" w:hAnsi="Times New Roman" w:cs="Times New Roman"/>
        </w:rPr>
      </w:pPr>
      <w:r w:rsidRPr="00850E69">
        <w:rPr>
          <w:rFonts w:ascii="Times New Roman" w:hAnsi="Times New Roman" w:cs="Times New Roman"/>
        </w:rPr>
        <w:t>This complaint involves foreign load.  Foreign load refers to a situation where a ratepayer’s</w:t>
      </w:r>
      <w:r w:rsidR="005D2660">
        <w:rPr>
          <w:rFonts w:ascii="Times New Roman" w:hAnsi="Times New Roman" w:cs="Times New Roman"/>
        </w:rPr>
        <w:t>, in this case Ms. DelRaso’s,</w:t>
      </w:r>
      <w:r w:rsidRPr="00850E69">
        <w:rPr>
          <w:rFonts w:ascii="Times New Roman" w:hAnsi="Times New Roman" w:cs="Times New Roman"/>
        </w:rPr>
        <w:t xml:space="preserve"> meter registers usage for utility service provided to a dwelling unit occupied by a person or persons other than </w:t>
      </w:r>
      <w:r w:rsidR="0063456C" w:rsidRPr="00850E69">
        <w:rPr>
          <w:rFonts w:ascii="Times New Roman" w:hAnsi="Times New Roman" w:cs="Times New Roman"/>
        </w:rPr>
        <w:t>the</w:t>
      </w:r>
      <w:r w:rsidRPr="00850E69">
        <w:rPr>
          <w:rFonts w:ascii="Times New Roman" w:hAnsi="Times New Roman" w:cs="Times New Roman"/>
        </w:rPr>
        <w:t xml:space="preserve"> ratepayer.</w:t>
      </w:r>
    </w:p>
    <w:p w:rsidR="006D170F" w:rsidRPr="00850E69" w:rsidRDefault="006D170F" w:rsidP="00ED2E14">
      <w:pPr>
        <w:pStyle w:val="ParaTab1"/>
        <w:spacing w:line="360" w:lineRule="auto"/>
        <w:ind w:firstLine="1350"/>
        <w:rPr>
          <w:rFonts w:ascii="Times New Roman" w:hAnsi="Times New Roman" w:cs="Times New Roman"/>
        </w:rPr>
      </w:pPr>
    </w:p>
    <w:p w:rsidR="006D170F" w:rsidRPr="00850E69" w:rsidRDefault="006D170F" w:rsidP="006D170F">
      <w:pPr>
        <w:pStyle w:val="p2"/>
        <w:spacing w:line="360" w:lineRule="auto"/>
        <w:ind w:firstLine="1483"/>
      </w:pPr>
      <w:r w:rsidRPr="00850E69">
        <w:t xml:space="preserve">In 1993, the General Assembly amended the Public Utility Code to include 66 Pa. C.S. §1529.1 in order to address foreign load issues.  Prior to 1993, the Commission resolved foreign load high bill complaints by directing the utility company to remove the charges attributable to the foreign load from the customer’s bill and to issue a bill for the foreign load in the property owner’s name.  Now, the statute at 66 Pa. C.S. §1529.1 places the burden of dealing with a foreign load problem onto the property owner and not on the tenant.  The policy behind the change is that the owner is in a better position to know about the existence of the foreign load than a tenant. </w:t>
      </w:r>
      <w:r w:rsidR="00EF76F7">
        <w:t xml:space="preserve"> </w:t>
      </w:r>
      <w:r w:rsidRPr="00850E69">
        <w:t>This section states:</w:t>
      </w:r>
    </w:p>
    <w:p w:rsidR="006D170F" w:rsidRPr="00850E69" w:rsidRDefault="006D170F" w:rsidP="006D170F">
      <w:pPr>
        <w:tabs>
          <w:tab w:val="left" w:pos="1485"/>
        </w:tabs>
        <w:spacing w:line="360" w:lineRule="auto"/>
        <w:rPr>
          <w:rFonts w:ascii="Times New Roman" w:hAnsi="Times New Roman" w:cs="Times New Roman"/>
        </w:rPr>
      </w:pPr>
    </w:p>
    <w:p w:rsidR="006D170F" w:rsidRPr="00850E69" w:rsidRDefault="006D170F" w:rsidP="006D170F">
      <w:pPr>
        <w:pStyle w:val="p2"/>
        <w:tabs>
          <w:tab w:val="clear" w:pos="1485"/>
        </w:tabs>
        <w:ind w:firstLine="1440"/>
      </w:pPr>
      <w:r w:rsidRPr="00850E69">
        <w:t xml:space="preserve">§ 1529.1. </w:t>
      </w:r>
      <w:r w:rsidR="008144A4">
        <w:t xml:space="preserve"> </w:t>
      </w:r>
      <w:r w:rsidRPr="00850E69">
        <w:t>Duty of owners of rental property</w:t>
      </w:r>
    </w:p>
    <w:p w:rsidR="006D170F" w:rsidRPr="00850E69" w:rsidRDefault="006D170F" w:rsidP="006D170F">
      <w:pPr>
        <w:tabs>
          <w:tab w:val="left" w:pos="1485"/>
        </w:tabs>
        <w:rPr>
          <w:rFonts w:ascii="Times New Roman" w:hAnsi="Times New Roman" w:cs="Times New Roman"/>
        </w:rPr>
      </w:pPr>
    </w:p>
    <w:p w:rsidR="006D170F" w:rsidRPr="00850E69" w:rsidRDefault="006D170F" w:rsidP="006D170F">
      <w:pPr>
        <w:pStyle w:val="c3"/>
        <w:numPr>
          <w:ilvl w:val="0"/>
          <w:numId w:val="6"/>
        </w:numPr>
        <w:ind w:left="1440" w:right="1440" w:firstLine="0"/>
        <w:jc w:val="left"/>
        <w:rPr>
          <w:b/>
        </w:rPr>
      </w:pPr>
      <w:r w:rsidRPr="00850E69">
        <w:rPr>
          <w:i/>
          <w:iCs/>
        </w:rPr>
        <w:t xml:space="preserve">notice to public utility.-- </w:t>
      </w:r>
      <w:r w:rsidRPr="00850E69">
        <w:t xml:space="preserve">It is the duty of every owner of a residential building or mobile home park, which contains one or more dwelling units, </w:t>
      </w:r>
      <w:r w:rsidRPr="00850E69">
        <w:rPr>
          <w:b/>
        </w:rPr>
        <w:t>not individually metered, to notify each public utility from whom utility service is received of their ownership and the fact that the premises served are used for rental purposes.</w:t>
      </w:r>
    </w:p>
    <w:p w:rsidR="006D170F" w:rsidRPr="00850E69" w:rsidRDefault="006D170F" w:rsidP="006D170F">
      <w:pPr>
        <w:pStyle w:val="c3"/>
        <w:tabs>
          <w:tab w:val="left" w:pos="1485"/>
        </w:tabs>
        <w:ind w:left="1440"/>
        <w:jc w:val="left"/>
        <w:rPr>
          <w:b/>
        </w:rPr>
      </w:pPr>
    </w:p>
    <w:p w:rsidR="006D170F" w:rsidRPr="00850E69" w:rsidRDefault="006D170F" w:rsidP="006D170F">
      <w:pPr>
        <w:pStyle w:val="p8"/>
        <w:numPr>
          <w:ilvl w:val="0"/>
          <w:numId w:val="6"/>
        </w:numPr>
        <w:tabs>
          <w:tab w:val="clear" w:pos="2211"/>
          <w:tab w:val="clear" w:pos="2953"/>
          <w:tab w:val="left" w:pos="0"/>
        </w:tabs>
        <w:ind w:left="1440" w:right="1440" w:firstLine="0"/>
        <w:rPr>
          <w:b/>
          <w:bCs/>
        </w:rPr>
      </w:pPr>
      <w:r w:rsidRPr="00850E69">
        <w:rPr>
          <w:i/>
          <w:iCs/>
        </w:rPr>
        <w:t xml:space="preserve">history of account.-- </w:t>
      </w:r>
      <w:r w:rsidRPr="00850E69">
        <w:rPr>
          <w:bCs/>
        </w:rPr>
        <w:t xml:space="preserve">Upon receipt of the notice provided in </w:t>
      </w:r>
      <w:r w:rsidRPr="00850E69">
        <w:t xml:space="preserve">this section, if the mobile home park or </w:t>
      </w:r>
      <w:r w:rsidRPr="00850E69">
        <w:rPr>
          <w:bCs/>
        </w:rPr>
        <w:t xml:space="preserve">residential building contains </w:t>
      </w:r>
      <w:r w:rsidRPr="00850E69">
        <w:rPr>
          <w:b/>
          <w:bCs/>
        </w:rPr>
        <w:t xml:space="preserve">one or more dwelling units not individually metered, an affected public utility shall forthwith list the account for the premises in question in the name of the owner, </w:t>
      </w:r>
      <w:r w:rsidRPr="00850E69">
        <w:rPr>
          <w:b/>
        </w:rPr>
        <w:t xml:space="preserve">and </w:t>
      </w:r>
      <w:r w:rsidRPr="00850E69">
        <w:rPr>
          <w:b/>
          <w:bCs/>
        </w:rPr>
        <w:t xml:space="preserve">the owner shall thereafter be responsible for the payment for the utility services rendered thereunto. </w:t>
      </w:r>
      <w:r w:rsidR="002B062D">
        <w:rPr>
          <w:b/>
          <w:bCs/>
        </w:rPr>
        <w:t xml:space="preserve"> </w:t>
      </w:r>
      <w:r w:rsidRPr="00850E69">
        <w:rPr>
          <w:b/>
          <w:bCs/>
        </w:rPr>
        <w:t xml:space="preserve">In the case of individually metered dwelling units, unless notified to the contrary by the tenant or an </w:t>
      </w:r>
      <w:r w:rsidRPr="00850E69">
        <w:rPr>
          <w:b/>
        </w:rPr>
        <w:t xml:space="preserve">authorized representative, </w:t>
      </w:r>
      <w:r w:rsidRPr="00850E69">
        <w:rPr>
          <w:b/>
          <w:bCs/>
        </w:rPr>
        <w:t xml:space="preserve">an affected public utility shall </w:t>
      </w:r>
      <w:r w:rsidRPr="00850E69">
        <w:rPr>
          <w:b/>
        </w:rPr>
        <w:t>list the account for the premises in question in the name of the owner, and the owner shall be responsible for the</w:t>
      </w:r>
      <w:r w:rsidRPr="00850E69">
        <w:t xml:space="preserve"> </w:t>
      </w:r>
      <w:r w:rsidRPr="00850E69">
        <w:rPr>
          <w:b/>
          <w:bCs/>
        </w:rPr>
        <w:t>payment for utility services to the premises.</w:t>
      </w:r>
    </w:p>
    <w:p w:rsidR="006D170F" w:rsidRPr="00850E69" w:rsidRDefault="006D170F" w:rsidP="006D170F">
      <w:pPr>
        <w:pStyle w:val="p9"/>
        <w:ind w:firstLine="0"/>
        <w:rPr>
          <w:b/>
          <w:bCs/>
        </w:rPr>
      </w:pPr>
    </w:p>
    <w:p w:rsidR="006D170F" w:rsidRPr="00850E69" w:rsidRDefault="006D170F" w:rsidP="006D170F">
      <w:pPr>
        <w:pStyle w:val="p9"/>
        <w:numPr>
          <w:ilvl w:val="0"/>
          <w:numId w:val="6"/>
        </w:numPr>
        <w:tabs>
          <w:tab w:val="clear" w:pos="1485"/>
          <w:tab w:val="clear" w:pos="2228"/>
          <w:tab w:val="clear" w:pos="2908"/>
        </w:tabs>
        <w:ind w:left="1440" w:right="1440" w:firstLine="0"/>
        <w:rPr>
          <w:b/>
          <w:bCs/>
        </w:rPr>
      </w:pPr>
      <w:r w:rsidRPr="00850E69">
        <w:rPr>
          <w:i/>
          <w:iCs/>
        </w:rPr>
        <w:t xml:space="preserve">failure to give notice.-- </w:t>
      </w:r>
      <w:r w:rsidRPr="00850E69">
        <w:rPr>
          <w:b/>
        </w:rPr>
        <w:t xml:space="preserve">Any owner of a residential building or mobile home park failing to notify </w:t>
      </w:r>
      <w:r w:rsidRPr="00850E69">
        <w:rPr>
          <w:b/>
          <w:bCs/>
        </w:rPr>
        <w:t>affected public utilities as required by this section shall nonetheless be responsible for payment of the utility services as if the required notice had been given.</w:t>
      </w:r>
    </w:p>
    <w:p w:rsidR="006D170F" w:rsidRPr="00850E69" w:rsidRDefault="006D170F" w:rsidP="006D170F">
      <w:pPr>
        <w:pStyle w:val="p2"/>
      </w:pPr>
      <w:r w:rsidRPr="00850E69">
        <w:t xml:space="preserve">(Emphasis </w:t>
      </w:r>
      <w:r w:rsidR="005072E5" w:rsidRPr="00850E69">
        <w:t>added</w:t>
      </w:r>
      <w:r w:rsidRPr="00850E69">
        <w:t>)</w:t>
      </w:r>
    </w:p>
    <w:p w:rsidR="006D170F" w:rsidRPr="00850E69" w:rsidRDefault="006D170F" w:rsidP="006D170F">
      <w:pPr>
        <w:pStyle w:val="p2"/>
        <w:spacing w:line="360" w:lineRule="auto"/>
        <w:ind w:firstLine="0"/>
      </w:pPr>
    </w:p>
    <w:p w:rsidR="0063456C" w:rsidRPr="00850E69" w:rsidRDefault="006D170F" w:rsidP="0063456C">
      <w:pPr>
        <w:spacing w:line="360" w:lineRule="auto"/>
        <w:ind w:firstLine="1440"/>
        <w:rPr>
          <w:rFonts w:ascii="Times New Roman" w:hAnsi="Times New Roman"/>
        </w:rPr>
      </w:pPr>
      <w:r w:rsidRPr="00850E69">
        <w:rPr>
          <w:rFonts w:ascii="Times New Roman" w:hAnsi="Times New Roman" w:cs="Times New Roman"/>
        </w:rPr>
        <w:t>The phrase “not individually metered” as used in the statute means that the meter for the unit is registering foreign load.</w:t>
      </w:r>
      <w:r w:rsidR="0063456C" w:rsidRPr="00850E69">
        <w:rPr>
          <w:rFonts w:ascii="Times New Roman" w:hAnsi="Times New Roman" w:cs="Times New Roman"/>
        </w:rPr>
        <w:t xml:space="preserve">  </w:t>
      </w:r>
      <w:r w:rsidR="0063456C" w:rsidRPr="00850E69">
        <w:rPr>
          <w:rFonts w:ascii="Times New Roman" w:hAnsi="Times New Roman" w:cs="Times New Roman"/>
          <w:u w:val="single"/>
        </w:rPr>
        <w:t>Shank v PPL Electric Utilities Corporation</w:t>
      </w:r>
      <w:r w:rsidR="0063456C" w:rsidRPr="00850E69">
        <w:rPr>
          <w:rFonts w:ascii="Times New Roman" w:hAnsi="Times New Roman" w:cs="Times New Roman"/>
        </w:rPr>
        <w:t xml:space="preserve">, Docket No. C-2009-2087300 (Order entered August 31, 2009).  </w:t>
      </w:r>
      <w:r w:rsidR="0063456C" w:rsidRPr="00850E69">
        <w:rPr>
          <w:rFonts w:ascii="Times New Roman" w:hAnsi="Times New Roman"/>
        </w:rPr>
        <w:t>The Commission has held that the presence of foreign load prevents a dwelling unit from being deemed “individually metered” as tha</w:t>
      </w:r>
      <w:r w:rsidR="00F73210">
        <w:rPr>
          <w:rFonts w:ascii="Times New Roman" w:hAnsi="Times New Roman"/>
        </w:rPr>
        <w:t xml:space="preserve">t term is used in 66 Pa. C.S. § </w:t>
      </w:r>
      <w:r w:rsidR="0063456C" w:rsidRPr="00850E69">
        <w:rPr>
          <w:rFonts w:ascii="Times New Roman" w:hAnsi="Times New Roman"/>
        </w:rPr>
        <w:t xml:space="preserve">1529.1.  </w:t>
      </w:r>
      <w:r w:rsidR="0063456C" w:rsidRPr="00850E69">
        <w:rPr>
          <w:rFonts w:ascii="Times New Roman" w:hAnsi="Times New Roman"/>
          <w:u w:val="single"/>
        </w:rPr>
        <w:t>David P. Boyce v. Duquesne Light Company</w:t>
      </w:r>
      <w:r w:rsidR="0063456C" w:rsidRPr="00850E69">
        <w:rPr>
          <w:rFonts w:ascii="Times New Roman" w:hAnsi="Times New Roman"/>
        </w:rPr>
        <w:t>, Docket Number Z-00223698, (Order entered September 1, 1994)</w:t>
      </w:r>
      <w:r w:rsidR="002C2279" w:rsidRPr="00850E69">
        <w:rPr>
          <w:rFonts w:ascii="Times New Roman" w:hAnsi="Times New Roman"/>
        </w:rPr>
        <w:t xml:space="preserve"> (</w:t>
      </w:r>
      <w:r w:rsidR="002C2279" w:rsidRPr="00850E69">
        <w:rPr>
          <w:rFonts w:ascii="Times New Roman" w:hAnsi="Times New Roman"/>
          <w:u w:val="single"/>
        </w:rPr>
        <w:t>Boyce</w:t>
      </w:r>
      <w:r w:rsidR="002C2279" w:rsidRPr="00850E69">
        <w:rPr>
          <w:rFonts w:ascii="Times New Roman" w:hAnsi="Times New Roman"/>
        </w:rPr>
        <w:t>)</w:t>
      </w:r>
      <w:r w:rsidR="0063456C" w:rsidRPr="00850E69">
        <w:rPr>
          <w:rFonts w:ascii="Times New Roman" w:hAnsi="Times New Roman"/>
        </w:rPr>
        <w:t xml:space="preserve">; </w:t>
      </w:r>
      <w:r w:rsidR="0063456C" w:rsidRPr="00850E69">
        <w:rPr>
          <w:rFonts w:ascii="Times New Roman" w:hAnsi="Times New Roman"/>
          <w:u w:val="single"/>
        </w:rPr>
        <w:t>Elizabeth Santos v. Metropolitan Edison Company</w:t>
      </w:r>
      <w:r w:rsidR="0063456C" w:rsidRPr="00850E69">
        <w:rPr>
          <w:rFonts w:ascii="Times New Roman" w:hAnsi="Times New Roman"/>
        </w:rPr>
        <w:t xml:space="preserve">, Docket Number C-00967757, </w:t>
      </w:r>
      <w:r w:rsidR="0095200D" w:rsidRPr="00850E69">
        <w:rPr>
          <w:rFonts w:ascii="Times New Roman" w:hAnsi="Times New Roman"/>
        </w:rPr>
        <w:t>(</w:t>
      </w:r>
      <w:r w:rsidR="0063456C" w:rsidRPr="00850E69">
        <w:rPr>
          <w:rFonts w:ascii="Times New Roman" w:hAnsi="Times New Roman"/>
        </w:rPr>
        <w:t>Order entered August 7, 1997</w:t>
      </w:r>
      <w:r w:rsidR="0095200D" w:rsidRPr="00850E69">
        <w:rPr>
          <w:rFonts w:ascii="Times New Roman" w:hAnsi="Times New Roman"/>
        </w:rPr>
        <w:t>)</w:t>
      </w:r>
      <w:r w:rsidR="002C2279" w:rsidRPr="00850E69">
        <w:rPr>
          <w:rFonts w:ascii="Times New Roman" w:hAnsi="Times New Roman"/>
        </w:rPr>
        <w:t xml:space="preserve"> (</w:t>
      </w:r>
      <w:r w:rsidR="002C2279" w:rsidRPr="00850E69">
        <w:rPr>
          <w:rFonts w:ascii="Times New Roman" w:hAnsi="Times New Roman"/>
          <w:u w:val="single"/>
        </w:rPr>
        <w:t>Santos</w:t>
      </w:r>
      <w:r w:rsidR="002C2279" w:rsidRPr="00850E69">
        <w:rPr>
          <w:rFonts w:ascii="Times New Roman" w:hAnsi="Times New Roman"/>
        </w:rPr>
        <w:t>)</w:t>
      </w:r>
      <w:r w:rsidR="0063456C" w:rsidRPr="00850E69">
        <w:rPr>
          <w:rFonts w:ascii="Times New Roman" w:hAnsi="Times New Roman"/>
        </w:rPr>
        <w:t xml:space="preserve">.  Foreign load exists where </w:t>
      </w:r>
      <w:r w:rsidR="0095200D" w:rsidRPr="00850E69">
        <w:rPr>
          <w:rFonts w:ascii="Times New Roman" w:hAnsi="Times New Roman"/>
        </w:rPr>
        <w:t xml:space="preserve">a </w:t>
      </w:r>
      <w:r w:rsidR="0063456C" w:rsidRPr="00850E69">
        <w:rPr>
          <w:rFonts w:ascii="Times New Roman" w:hAnsi="Times New Roman"/>
        </w:rPr>
        <w:t>tenant</w:t>
      </w:r>
      <w:r w:rsidR="0095200D" w:rsidRPr="00850E69">
        <w:rPr>
          <w:rFonts w:ascii="Times New Roman" w:hAnsi="Times New Roman"/>
        </w:rPr>
        <w:t xml:space="preserve"> has</w:t>
      </w:r>
      <w:r w:rsidR="0063456C" w:rsidRPr="00850E69">
        <w:rPr>
          <w:rFonts w:ascii="Times New Roman" w:hAnsi="Times New Roman"/>
        </w:rPr>
        <w:t xml:space="preserve"> a meter</w:t>
      </w:r>
      <w:r w:rsidR="0095200D" w:rsidRPr="00850E69">
        <w:rPr>
          <w:rFonts w:ascii="Times New Roman" w:hAnsi="Times New Roman"/>
        </w:rPr>
        <w:t>,</w:t>
      </w:r>
      <w:r w:rsidR="0063456C" w:rsidRPr="00850E69">
        <w:rPr>
          <w:rFonts w:ascii="Times New Roman" w:hAnsi="Times New Roman"/>
        </w:rPr>
        <w:t xml:space="preserve"> </w:t>
      </w:r>
      <w:r w:rsidR="0095200D" w:rsidRPr="00850E69">
        <w:rPr>
          <w:rFonts w:ascii="Times New Roman" w:hAnsi="Times New Roman"/>
        </w:rPr>
        <w:t>is a</w:t>
      </w:r>
      <w:r w:rsidR="0063456C" w:rsidRPr="00850E69">
        <w:rPr>
          <w:rFonts w:ascii="Times New Roman" w:hAnsi="Times New Roman"/>
        </w:rPr>
        <w:t xml:space="preserve"> utility customer and utility service for </w:t>
      </w:r>
      <w:r w:rsidR="0095200D" w:rsidRPr="00850E69">
        <w:rPr>
          <w:rFonts w:ascii="Times New Roman" w:hAnsi="Times New Roman"/>
        </w:rPr>
        <w:t>an</w:t>
      </w:r>
      <w:r w:rsidR="0063456C" w:rsidRPr="00850E69">
        <w:rPr>
          <w:rFonts w:ascii="Times New Roman" w:hAnsi="Times New Roman"/>
        </w:rPr>
        <w:t xml:space="preserve">other tenant or for the landlord is being billed through </w:t>
      </w:r>
      <w:r w:rsidR="0095200D" w:rsidRPr="00850E69">
        <w:rPr>
          <w:rFonts w:ascii="Times New Roman" w:hAnsi="Times New Roman"/>
        </w:rPr>
        <w:t>the tenant’s</w:t>
      </w:r>
      <w:r w:rsidR="0063456C" w:rsidRPr="00850E69">
        <w:rPr>
          <w:rFonts w:ascii="Times New Roman" w:hAnsi="Times New Roman"/>
        </w:rPr>
        <w:t xml:space="preserve"> meter.  </w:t>
      </w:r>
      <w:r w:rsidR="0063456C" w:rsidRPr="00850E69">
        <w:rPr>
          <w:rFonts w:ascii="Times New Roman" w:hAnsi="Times New Roman"/>
          <w:u w:val="single"/>
        </w:rPr>
        <w:t>Boyce</w:t>
      </w:r>
      <w:r w:rsidR="005D2660">
        <w:rPr>
          <w:rFonts w:ascii="Times New Roman" w:hAnsi="Times New Roman"/>
          <w:u w:val="single"/>
        </w:rPr>
        <w:t>.</w:t>
      </w:r>
      <w:r w:rsidR="0063456C" w:rsidRPr="00850E69">
        <w:rPr>
          <w:rFonts w:ascii="Times New Roman" w:hAnsi="Times New Roman"/>
        </w:rPr>
        <w:t xml:space="preserve">  In other words, foreign load is utility service which is not related to serving a tenant, but for which the tenant is being billed.  </w:t>
      </w:r>
      <w:r w:rsidR="0063456C" w:rsidRPr="00850E69">
        <w:rPr>
          <w:rFonts w:ascii="Times New Roman" w:hAnsi="Times New Roman"/>
          <w:u w:val="single"/>
        </w:rPr>
        <w:t>Santos</w:t>
      </w:r>
      <w:r w:rsidR="005D2660">
        <w:rPr>
          <w:rFonts w:ascii="Times New Roman" w:hAnsi="Times New Roman"/>
          <w:u w:val="single"/>
        </w:rPr>
        <w:t>.</w:t>
      </w:r>
      <w:r w:rsidR="0063456C" w:rsidRPr="00850E69">
        <w:rPr>
          <w:rFonts w:ascii="Times New Roman" w:hAnsi="Times New Roman"/>
        </w:rPr>
        <w:t xml:space="preserve">  </w:t>
      </w:r>
      <w:r w:rsidR="0095200D" w:rsidRPr="00850E69">
        <w:rPr>
          <w:rFonts w:ascii="Times New Roman" w:hAnsi="Times New Roman"/>
        </w:rPr>
        <w:t>T</w:t>
      </w:r>
      <w:r w:rsidR="0063456C" w:rsidRPr="00850E69">
        <w:rPr>
          <w:rFonts w:ascii="Times New Roman" w:hAnsi="Times New Roman"/>
        </w:rPr>
        <w:t>he Public Utility Code</w:t>
      </w:r>
      <w:r w:rsidR="0095200D" w:rsidRPr="00850E69">
        <w:rPr>
          <w:rFonts w:ascii="Times New Roman" w:hAnsi="Times New Roman"/>
        </w:rPr>
        <w:t xml:space="preserve"> at</w:t>
      </w:r>
      <w:r w:rsidR="0063456C" w:rsidRPr="00850E69">
        <w:rPr>
          <w:rFonts w:ascii="Times New Roman" w:hAnsi="Times New Roman"/>
        </w:rPr>
        <w:t xml:space="preserve"> 66 Pa.</w:t>
      </w:r>
      <w:r w:rsidR="0095200D" w:rsidRPr="00850E69">
        <w:rPr>
          <w:rFonts w:ascii="Times New Roman" w:hAnsi="Times New Roman"/>
        </w:rPr>
        <w:t xml:space="preserve"> </w:t>
      </w:r>
      <w:r w:rsidR="00AC6415">
        <w:rPr>
          <w:rFonts w:ascii="Times New Roman" w:hAnsi="Times New Roman"/>
        </w:rPr>
        <w:t xml:space="preserve">C.S. § </w:t>
      </w:r>
      <w:r w:rsidR="0063456C" w:rsidRPr="00850E69">
        <w:rPr>
          <w:rFonts w:ascii="Times New Roman" w:hAnsi="Times New Roman"/>
        </w:rPr>
        <w:t>1529.1, requires that a public utility “shall forthwith list the account for the premises in question in the name of the owner” when a residential building contains one or more dwelling units not individually metered.  66 Pa.</w:t>
      </w:r>
      <w:r w:rsidR="0095200D" w:rsidRPr="00850E69">
        <w:rPr>
          <w:rFonts w:ascii="Times New Roman" w:hAnsi="Times New Roman"/>
        </w:rPr>
        <w:t xml:space="preserve"> </w:t>
      </w:r>
      <w:r w:rsidR="0063456C" w:rsidRPr="00850E69">
        <w:rPr>
          <w:rFonts w:ascii="Times New Roman" w:hAnsi="Times New Roman"/>
        </w:rPr>
        <w:t>C.S. § 1529.1(b)</w:t>
      </w:r>
      <w:r w:rsidR="00F312AF" w:rsidRPr="00850E69">
        <w:rPr>
          <w:rFonts w:ascii="Times New Roman" w:hAnsi="Times New Roman"/>
        </w:rPr>
        <w:t xml:space="preserve">; </w:t>
      </w:r>
      <w:r w:rsidR="00F312AF" w:rsidRPr="00850E69">
        <w:rPr>
          <w:rFonts w:ascii="Times New Roman" w:hAnsi="Times New Roman"/>
          <w:u w:val="single"/>
        </w:rPr>
        <w:t>Ace Check Cashing, Inc. v</w:t>
      </w:r>
      <w:r w:rsidR="0063456C" w:rsidRPr="00850E69">
        <w:rPr>
          <w:rFonts w:ascii="Times New Roman" w:hAnsi="Times New Roman"/>
          <w:u w:val="single"/>
        </w:rPr>
        <w:t>.</w:t>
      </w:r>
      <w:r w:rsidR="00F312AF" w:rsidRPr="00850E69">
        <w:rPr>
          <w:rFonts w:ascii="Times New Roman" w:hAnsi="Times New Roman"/>
          <w:u w:val="single"/>
        </w:rPr>
        <w:t xml:space="preserve"> Philadelphia Gas Works</w:t>
      </w:r>
      <w:r w:rsidR="00F312AF" w:rsidRPr="00850E69">
        <w:rPr>
          <w:rFonts w:ascii="Times New Roman" w:hAnsi="Times New Roman"/>
        </w:rPr>
        <w:t>, Docket No. C-2008-2056428</w:t>
      </w:r>
      <w:r w:rsidR="005072E5" w:rsidRPr="00850E69">
        <w:rPr>
          <w:rFonts w:ascii="Times New Roman" w:hAnsi="Times New Roman"/>
        </w:rPr>
        <w:t xml:space="preserve"> (Order entered May 21, 2010)</w:t>
      </w:r>
      <w:r w:rsidR="00F312AF" w:rsidRPr="00850E69">
        <w:rPr>
          <w:rFonts w:ascii="Times New Roman" w:hAnsi="Times New Roman"/>
        </w:rPr>
        <w:t>.</w:t>
      </w:r>
    </w:p>
    <w:p w:rsidR="006D170F" w:rsidRPr="00850E69" w:rsidRDefault="006D170F" w:rsidP="006D170F">
      <w:pPr>
        <w:spacing w:line="360" w:lineRule="auto"/>
        <w:rPr>
          <w:rFonts w:ascii="Times New Roman" w:hAnsi="Times New Roman" w:cs="Times New Roman"/>
        </w:rPr>
      </w:pPr>
    </w:p>
    <w:p w:rsidR="002C2279" w:rsidRPr="00850E69" w:rsidRDefault="00372996" w:rsidP="006D170F">
      <w:pPr>
        <w:pStyle w:val="ParaTab1"/>
        <w:spacing w:line="360" w:lineRule="auto"/>
        <w:ind w:firstLine="1350"/>
        <w:rPr>
          <w:rFonts w:ascii="Times New Roman" w:hAnsi="Times New Roman" w:cs="Times New Roman"/>
        </w:rPr>
      </w:pPr>
      <w:r w:rsidRPr="00850E69">
        <w:rPr>
          <w:rFonts w:ascii="Times New Roman" w:hAnsi="Times New Roman" w:cs="Times New Roman"/>
        </w:rPr>
        <w:t xml:space="preserve">The Complainant apparently believes that the statute at 66 Pa. C.S. §1529.1 does not apply to this case.  </w:t>
      </w:r>
      <w:r w:rsidR="002C2279" w:rsidRPr="00850E69">
        <w:rPr>
          <w:rFonts w:ascii="Times New Roman" w:hAnsi="Times New Roman" w:cs="Times New Roman"/>
        </w:rPr>
        <w:t>The Complainant asserts that he ha</w:t>
      </w:r>
      <w:r w:rsidR="00E06350" w:rsidRPr="00850E69">
        <w:rPr>
          <w:rFonts w:ascii="Times New Roman" w:hAnsi="Times New Roman" w:cs="Times New Roman"/>
        </w:rPr>
        <w:t xml:space="preserve">s a lease with Ms. </w:t>
      </w:r>
      <w:r w:rsidR="00DC0112">
        <w:rPr>
          <w:rFonts w:ascii="Times New Roman" w:hAnsi="Times New Roman" w:cs="Times New Roman"/>
        </w:rPr>
        <w:t>DelRaso</w:t>
      </w:r>
      <w:r w:rsidR="00E06350" w:rsidRPr="00850E69">
        <w:rPr>
          <w:rFonts w:ascii="Times New Roman" w:hAnsi="Times New Roman" w:cs="Times New Roman"/>
        </w:rPr>
        <w:t xml:space="preserve"> that requires her to pay for the </w:t>
      </w:r>
      <w:r w:rsidR="008F11CE" w:rsidRPr="00850E69">
        <w:rPr>
          <w:rFonts w:ascii="Times New Roman" w:hAnsi="Times New Roman" w:cs="Times New Roman"/>
        </w:rPr>
        <w:t xml:space="preserve">electricity used in the common areas and Ms. </w:t>
      </w:r>
      <w:r w:rsidR="00DC0112">
        <w:rPr>
          <w:rFonts w:ascii="Times New Roman" w:hAnsi="Times New Roman" w:cs="Times New Roman"/>
        </w:rPr>
        <w:t>DelRaso</w:t>
      </w:r>
      <w:r w:rsidR="008F11CE" w:rsidRPr="00850E69">
        <w:rPr>
          <w:rFonts w:ascii="Times New Roman" w:hAnsi="Times New Roman" w:cs="Times New Roman"/>
        </w:rPr>
        <w:t xml:space="preserve"> has agreed to continue paying for the electricity used in the common areas.  </w:t>
      </w:r>
      <w:r w:rsidR="003C1B11" w:rsidRPr="00850E69">
        <w:rPr>
          <w:rFonts w:ascii="Times New Roman" w:hAnsi="Times New Roman" w:cs="Times New Roman"/>
        </w:rPr>
        <w:t>T</w:t>
      </w:r>
      <w:r w:rsidR="0095200D" w:rsidRPr="00850E69">
        <w:rPr>
          <w:rFonts w:ascii="Times New Roman" w:hAnsi="Times New Roman" w:cs="Times New Roman"/>
        </w:rPr>
        <w:t xml:space="preserve">he Complainant </w:t>
      </w:r>
      <w:r w:rsidR="003C1B11" w:rsidRPr="00850E69">
        <w:rPr>
          <w:rFonts w:ascii="Times New Roman" w:hAnsi="Times New Roman" w:cs="Times New Roman"/>
        </w:rPr>
        <w:t>argues that</w:t>
      </w:r>
      <w:r w:rsidR="005D2660">
        <w:rPr>
          <w:rFonts w:ascii="Times New Roman" w:hAnsi="Times New Roman" w:cs="Times New Roman"/>
        </w:rPr>
        <w:t>,</w:t>
      </w:r>
      <w:r w:rsidR="003C1B11" w:rsidRPr="00850E69">
        <w:rPr>
          <w:rFonts w:ascii="Times New Roman" w:hAnsi="Times New Roman" w:cs="Times New Roman"/>
        </w:rPr>
        <w:t xml:space="preserve"> </w:t>
      </w:r>
      <w:r w:rsidR="008F11CE" w:rsidRPr="00850E69">
        <w:rPr>
          <w:rFonts w:ascii="Times New Roman" w:hAnsi="Times New Roman" w:cs="Times New Roman"/>
        </w:rPr>
        <w:t xml:space="preserve">since Ms. </w:t>
      </w:r>
      <w:r w:rsidR="00DC0112">
        <w:rPr>
          <w:rFonts w:ascii="Times New Roman" w:hAnsi="Times New Roman" w:cs="Times New Roman"/>
        </w:rPr>
        <w:t>DelRaso</w:t>
      </w:r>
      <w:r w:rsidR="008F11CE" w:rsidRPr="00850E69">
        <w:rPr>
          <w:rFonts w:ascii="Times New Roman" w:hAnsi="Times New Roman" w:cs="Times New Roman"/>
        </w:rPr>
        <w:t xml:space="preserve"> agreed to pay for the electric</w:t>
      </w:r>
      <w:r w:rsidR="005D2660">
        <w:rPr>
          <w:rFonts w:ascii="Times New Roman" w:hAnsi="Times New Roman" w:cs="Times New Roman"/>
        </w:rPr>
        <w:t xml:space="preserve">ity </w:t>
      </w:r>
      <w:r w:rsidR="008F11CE" w:rsidRPr="00850E69">
        <w:rPr>
          <w:rFonts w:ascii="Times New Roman" w:hAnsi="Times New Roman" w:cs="Times New Roman"/>
        </w:rPr>
        <w:t>us</w:t>
      </w:r>
      <w:r w:rsidR="005D2660">
        <w:rPr>
          <w:rFonts w:ascii="Times New Roman" w:hAnsi="Times New Roman" w:cs="Times New Roman"/>
        </w:rPr>
        <w:t>ed</w:t>
      </w:r>
      <w:r w:rsidR="008F11CE" w:rsidRPr="00850E69">
        <w:rPr>
          <w:rFonts w:ascii="Times New Roman" w:hAnsi="Times New Roman" w:cs="Times New Roman"/>
        </w:rPr>
        <w:t xml:space="preserve"> in the common area, </w:t>
      </w:r>
      <w:r w:rsidR="003C1B11" w:rsidRPr="00850E69">
        <w:rPr>
          <w:rFonts w:ascii="Times New Roman" w:hAnsi="Times New Roman" w:cs="Times New Roman"/>
        </w:rPr>
        <w:t xml:space="preserve">the Respondent improperly transferred </w:t>
      </w:r>
      <w:r w:rsidR="005D2660">
        <w:rPr>
          <w:rFonts w:ascii="Times New Roman" w:hAnsi="Times New Roman" w:cs="Times New Roman"/>
        </w:rPr>
        <w:t>her</w:t>
      </w:r>
      <w:r w:rsidR="003C1B11" w:rsidRPr="00850E69">
        <w:rPr>
          <w:rFonts w:ascii="Times New Roman" w:hAnsi="Times New Roman" w:cs="Times New Roman"/>
        </w:rPr>
        <w:t xml:space="preserve"> account to him </w:t>
      </w:r>
      <w:r w:rsidR="005072E5" w:rsidRPr="00850E69">
        <w:rPr>
          <w:rFonts w:ascii="Times New Roman" w:hAnsi="Times New Roman" w:cs="Times New Roman"/>
        </w:rPr>
        <w:t xml:space="preserve">and improperly refused to transfer the account back to </w:t>
      </w:r>
      <w:r w:rsidR="005D2660">
        <w:rPr>
          <w:rFonts w:ascii="Times New Roman" w:hAnsi="Times New Roman" w:cs="Times New Roman"/>
        </w:rPr>
        <w:t>Ms. DelRaso</w:t>
      </w:r>
      <w:r w:rsidR="003C1B11" w:rsidRPr="00850E69">
        <w:rPr>
          <w:rFonts w:ascii="Times New Roman" w:hAnsi="Times New Roman" w:cs="Times New Roman"/>
        </w:rPr>
        <w:t>.</w:t>
      </w:r>
      <w:r w:rsidRPr="00850E69">
        <w:rPr>
          <w:rFonts w:ascii="Times New Roman" w:hAnsi="Times New Roman" w:cs="Times New Roman"/>
        </w:rPr>
        <w:t xml:space="preserve">  The Complainant contends that the Respondent should </w:t>
      </w:r>
      <w:r w:rsidR="00D625F8" w:rsidRPr="00850E69">
        <w:rPr>
          <w:rFonts w:ascii="Times New Roman" w:hAnsi="Times New Roman" w:cs="Times New Roman"/>
        </w:rPr>
        <w:t xml:space="preserve">transfer the account back to Ms. </w:t>
      </w:r>
      <w:r w:rsidR="00DC0112">
        <w:rPr>
          <w:rFonts w:ascii="Times New Roman" w:hAnsi="Times New Roman" w:cs="Times New Roman"/>
        </w:rPr>
        <w:t>DelRaso</w:t>
      </w:r>
      <w:r w:rsidR="005D2660">
        <w:rPr>
          <w:rFonts w:ascii="Times New Roman" w:hAnsi="Times New Roman" w:cs="Times New Roman"/>
        </w:rPr>
        <w:t xml:space="preserve"> </w:t>
      </w:r>
      <w:r w:rsidR="004322AD">
        <w:rPr>
          <w:rFonts w:ascii="Times New Roman" w:hAnsi="Times New Roman" w:cs="Times New Roman"/>
        </w:rPr>
        <w:t xml:space="preserve">and </w:t>
      </w:r>
      <w:r w:rsidR="00D625F8" w:rsidRPr="00850E69">
        <w:rPr>
          <w:rFonts w:ascii="Times New Roman" w:hAnsi="Times New Roman" w:cs="Times New Roman"/>
        </w:rPr>
        <w:t>collect the foreign load charges from her.</w:t>
      </w:r>
      <w:r w:rsidRPr="00850E69">
        <w:rPr>
          <w:rFonts w:ascii="Times New Roman" w:hAnsi="Times New Roman" w:cs="Times New Roman"/>
        </w:rPr>
        <w:t xml:space="preserve"> </w:t>
      </w:r>
      <w:r w:rsidR="002C2279" w:rsidRPr="00850E69">
        <w:rPr>
          <w:rFonts w:ascii="Times New Roman" w:hAnsi="Times New Roman" w:cs="Times New Roman"/>
        </w:rPr>
        <w:t xml:space="preserve"> The Complainant is incorrect</w:t>
      </w:r>
      <w:r w:rsidRPr="00850E69">
        <w:rPr>
          <w:rFonts w:ascii="Times New Roman" w:hAnsi="Times New Roman" w:cs="Times New Roman"/>
        </w:rPr>
        <w:t xml:space="preserve"> for two reasons</w:t>
      </w:r>
      <w:r w:rsidR="002C2279" w:rsidRPr="00850E69">
        <w:rPr>
          <w:rFonts w:ascii="Times New Roman" w:hAnsi="Times New Roman" w:cs="Times New Roman"/>
        </w:rPr>
        <w:t>.</w:t>
      </w:r>
    </w:p>
    <w:p w:rsidR="002C2279" w:rsidRPr="00850E69" w:rsidRDefault="002C2279" w:rsidP="006D170F">
      <w:pPr>
        <w:pStyle w:val="ParaTab1"/>
        <w:spacing w:line="360" w:lineRule="auto"/>
        <w:ind w:firstLine="1350"/>
        <w:rPr>
          <w:rFonts w:ascii="Times New Roman" w:hAnsi="Times New Roman" w:cs="Times New Roman"/>
        </w:rPr>
      </w:pPr>
    </w:p>
    <w:p w:rsidR="002C2279" w:rsidRPr="00850E69" w:rsidRDefault="00372996" w:rsidP="002C2279">
      <w:pPr>
        <w:spacing w:line="360" w:lineRule="auto"/>
        <w:ind w:firstLine="1440"/>
        <w:rPr>
          <w:rFonts w:ascii="Times New Roman" w:hAnsi="Times New Roman"/>
        </w:rPr>
      </w:pPr>
      <w:r w:rsidRPr="00850E69">
        <w:rPr>
          <w:rFonts w:ascii="Times New Roman" w:hAnsi="Times New Roman"/>
        </w:rPr>
        <w:t xml:space="preserve">First, the Public Utility Code does not authorize the Respondent to collect foreign load charges from a tenant.  </w:t>
      </w:r>
      <w:r w:rsidR="002C2279" w:rsidRPr="00850E69">
        <w:rPr>
          <w:rFonts w:ascii="Times New Roman" w:hAnsi="Times New Roman"/>
        </w:rPr>
        <w:t xml:space="preserve">In </w:t>
      </w:r>
      <w:r w:rsidR="002C2279" w:rsidRPr="00850E69">
        <w:rPr>
          <w:rFonts w:ascii="Times New Roman" w:hAnsi="Times New Roman"/>
          <w:u w:val="single"/>
        </w:rPr>
        <w:t>Santos</w:t>
      </w:r>
      <w:r w:rsidR="002C2279" w:rsidRPr="00850E69">
        <w:rPr>
          <w:rFonts w:ascii="Times New Roman" w:hAnsi="Times New Roman"/>
        </w:rPr>
        <w:t xml:space="preserve"> the Commission held that “[t]he utility must . . . place the account in the landlord’s name upon discovery of the foreign load and </w:t>
      </w:r>
      <w:r w:rsidR="002C2279" w:rsidRPr="00850E69">
        <w:rPr>
          <w:rFonts w:ascii="Times New Roman" w:hAnsi="Times New Roman"/>
          <w:u w:val="words"/>
        </w:rPr>
        <w:t>collect unpaid bills only from the landlord</w:t>
      </w:r>
      <w:r w:rsidR="002C2279" w:rsidRPr="00850E69">
        <w:rPr>
          <w:rFonts w:ascii="Times New Roman" w:hAnsi="Times New Roman"/>
        </w:rPr>
        <w:t xml:space="preserve">.” (emphasis added)  </w:t>
      </w:r>
      <w:r w:rsidR="002C2279" w:rsidRPr="00850E69">
        <w:rPr>
          <w:rFonts w:ascii="Times New Roman" w:hAnsi="Times New Roman"/>
          <w:u w:val="single"/>
        </w:rPr>
        <w:t>Santos</w:t>
      </w:r>
      <w:r w:rsidR="002C2279" w:rsidRPr="00850E69">
        <w:rPr>
          <w:rFonts w:ascii="Times New Roman" w:hAnsi="Times New Roman"/>
        </w:rPr>
        <w:t xml:space="preserve"> at 14.  The Commission also said, “[c]learly, the utility must pursue collection of any unpaid amounts </w:t>
      </w:r>
      <w:r w:rsidR="002C2279" w:rsidRPr="00850E69">
        <w:rPr>
          <w:rFonts w:ascii="Times New Roman" w:hAnsi="Times New Roman"/>
          <w:u w:val="words"/>
        </w:rPr>
        <w:t>from the landlord and not from the tenant</w:t>
      </w:r>
      <w:r w:rsidR="002C2279" w:rsidRPr="00850E69">
        <w:rPr>
          <w:rFonts w:ascii="Times New Roman" w:hAnsi="Times New Roman"/>
        </w:rPr>
        <w:t xml:space="preserve">.” (emphasis added)  </w:t>
      </w:r>
      <w:r w:rsidR="002C2279" w:rsidRPr="00850E69">
        <w:rPr>
          <w:rFonts w:ascii="Times New Roman" w:hAnsi="Times New Roman"/>
          <w:u w:val="single"/>
        </w:rPr>
        <w:t>Santos</w:t>
      </w:r>
      <w:r w:rsidR="002C2279" w:rsidRPr="00850E69">
        <w:rPr>
          <w:rFonts w:ascii="Times New Roman" w:hAnsi="Times New Roman"/>
          <w:u w:val="words"/>
        </w:rPr>
        <w:t xml:space="preserve"> </w:t>
      </w:r>
      <w:r w:rsidR="002C2279" w:rsidRPr="00850E69">
        <w:rPr>
          <w:rFonts w:ascii="Times New Roman" w:hAnsi="Times New Roman"/>
        </w:rPr>
        <w:t xml:space="preserve">at 16. </w:t>
      </w:r>
      <w:r w:rsidR="002C2279" w:rsidRPr="00850E69">
        <w:rPr>
          <w:rFonts w:ascii="Times New Roman" w:hAnsi="Times New Roman"/>
          <w:iCs/>
        </w:rPr>
        <w:t xml:space="preserve"> </w:t>
      </w:r>
      <w:r w:rsidR="002C2279" w:rsidRPr="00850E69">
        <w:rPr>
          <w:rFonts w:ascii="Times New Roman" w:hAnsi="Times New Roman"/>
          <w:u w:val="single"/>
        </w:rPr>
        <w:t>Allen L. Jones v. Pennsylvania Power &amp; Light Company</w:t>
      </w:r>
      <w:r w:rsidR="002C2279" w:rsidRPr="00850E69">
        <w:rPr>
          <w:rFonts w:ascii="Times New Roman" w:hAnsi="Times New Roman"/>
        </w:rPr>
        <w:t>, Docket Number C-00971013, (Order entered February 25, 1999).  The Complainant is</w:t>
      </w:r>
      <w:r w:rsidR="005D2660">
        <w:rPr>
          <w:rFonts w:ascii="Times New Roman" w:hAnsi="Times New Roman"/>
        </w:rPr>
        <w:t>, therefore,</w:t>
      </w:r>
      <w:r w:rsidR="002C2279" w:rsidRPr="00850E69">
        <w:rPr>
          <w:rFonts w:ascii="Times New Roman" w:hAnsi="Times New Roman"/>
        </w:rPr>
        <w:t xml:space="preserve"> responsible for </w:t>
      </w:r>
      <w:r w:rsidR="005D2660">
        <w:rPr>
          <w:rFonts w:ascii="Times New Roman" w:hAnsi="Times New Roman" w:cs="Times New Roman"/>
        </w:rPr>
        <w:t>Ms. DelRaso</w:t>
      </w:r>
      <w:r w:rsidR="005072E5" w:rsidRPr="00850E69">
        <w:rPr>
          <w:rFonts w:ascii="Times New Roman" w:hAnsi="Times New Roman"/>
        </w:rPr>
        <w:t>’</w:t>
      </w:r>
      <w:r w:rsidR="005D2660">
        <w:rPr>
          <w:rFonts w:ascii="Times New Roman" w:hAnsi="Times New Roman"/>
        </w:rPr>
        <w:t>s</w:t>
      </w:r>
      <w:r w:rsidR="002C2279" w:rsidRPr="00850E69">
        <w:rPr>
          <w:rFonts w:ascii="Times New Roman" w:hAnsi="Times New Roman"/>
        </w:rPr>
        <w:t xml:space="preserve"> account balance, including arrearages, as of the date of discovery of the foreign load plus usage until such time as the Complainant remove</w:t>
      </w:r>
      <w:r w:rsidR="00D625F8" w:rsidRPr="00850E69">
        <w:rPr>
          <w:rFonts w:ascii="Times New Roman" w:hAnsi="Times New Roman"/>
        </w:rPr>
        <w:t>s</w:t>
      </w:r>
      <w:r w:rsidR="002C2279" w:rsidRPr="00850E69">
        <w:rPr>
          <w:rFonts w:ascii="Times New Roman" w:hAnsi="Times New Roman"/>
        </w:rPr>
        <w:t xml:space="preserve"> the foreign load </w:t>
      </w:r>
      <w:r w:rsidR="005072E5" w:rsidRPr="00850E69">
        <w:rPr>
          <w:rFonts w:ascii="Times New Roman" w:hAnsi="Times New Roman"/>
        </w:rPr>
        <w:t>and</w:t>
      </w:r>
      <w:r w:rsidR="002C2279" w:rsidRPr="00850E69">
        <w:rPr>
          <w:rFonts w:ascii="Times New Roman" w:hAnsi="Times New Roman"/>
        </w:rPr>
        <w:t xml:space="preserve"> the Respondent verifie</w:t>
      </w:r>
      <w:r w:rsidR="00D625F8" w:rsidRPr="00850E69">
        <w:rPr>
          <w:rFonts w:ascii="Times New Roman" w:hAnsi="Times New Roman"/>
        </w:rPr>
        <w:t>s</w:t>
      </w:r>
      <w:r w:rsidR="002C2279" w:rsidRPr="00850E69">
        <w:rPr>
          <w:rFonts w:ascii="Times New Roman" w:hAnsi="Times New Roman"/>
        </w:rPr>
        <w:t xml:space="preserve"> the removal.</w:t>
      </w:r>
    </w:p>
    <w:p w:rsidR="005072E5" w:rsidRPr="00850E69" w:rsidRDefault="005072E5" w:rsidP="002C2279">
      <w:pPr>
        <w:spacing w:line="360" w:lineRule="auto"/>
        <w:ind w:firstLine="1440"/>
        <w:rPr>
          <w:rFonts w:ascii="Times New Roman" w:hAnsi="Times New Roman"/>
        </w:rPr>
      </w:pPr>
    </w:p>
    <w:p w:rsidR="00BC74F9" w:rsidRPr="00850E69" w:rsidRDefault="00372996" w:rsidP="0017205D">
      <w:pPr>
        <w:spacing w:line="360" w:lineRule="auto"/>
        <w:ind w:firstLine="1440"/>
        <w:rPr>
          <w:rFonts w:ascii="Times New Roman" w:hAnsi="Times New Roman" w:cs="Times New Roman"/>
        </w:rPr>
      </w:pPr>
      <w:r w:rsidRPr="00850E69">
        <w:rPr>
          <w:rFonts w:ascii="Times New Roman" w:hAnsi="Times New Roman"/>
        </w:rPr>
        <w:t>Second, t</w:t>
      </w:r>
      <w:r w:rsidR="005072E5" w:rsidRPr="00850E69">
        <w:rPr>
          <w:rFonts w:ascii="Times New Roman" w:hAnsi="Times New Roman"/>
        </w:rPr>
        <w:t>h</w:t>
      </w:r>
      <w:r w:rsidR="002C2279" w:rsidRPr="00850E69">
        <w:rPr>
          <w:rFonts w:ascii="Times New Roman" w:hAnsi="Times New Roman"/>
        </w:rPr>
        <w:t xml:space="preserve">e Complainant’s </w:t>
      </w:r>
      <w:r w:rsidR="00D625F8" w:rsidRPr="00850E69">
        <w:rPr>
          <w:rFonts w:ascii="Times New Roman" w:hAnsi="Times New Roman"/>
        </w:rPr>
        <w:t>lease</w:t>
      </w:r>
      <w:r w:rsidR="0017205D" w:rsidRPr="00850E69">
        <w:rPr>
          <w:rFonts w:ascii="Times New Roman" w:hAnsi="Times New Roman"/>
        </w:rPr>
        <w:t xml:space="preserve"> with </w:t>
      </w:r>
      <w:r w:rsidR="00D625F8" w:rsidRPr="00850E69">
        <w:rPr>
          <w:rFonts w:ascii="Times New Roman" w:hAnsi="Times New Roman"/>
        </w:rPr>
        <w:t xml:space="preserve">Ms. </w:t>
      </w:r>
      <w:r w:rsidR="00DC0112">
        <w:rPr>
          <w:rFonts w:ascii="Times New Roman" w:hAnsi="Times New Roman"/>
        </w:rPr>
        <w:t>DelRaso</w:t>
      </w:r>
      <w:r w:rsidR="005072E5" w:rsidRPr="00850E69">
        <w:rPr>
          <w:rFonts w:ascii="Times New Roman" w:hAnsi="Times New Roman"/>
        </w:rPr>
        <w:t>,</w:t>
      </w:r>
      <w:r w:rsidR="0017205D" w:rsidRPr="00850E69">
        <w:rPr>
          <w:rFonts w:ascii="Times New Roman" w:hAnsi="Times New Roman"/>
        </w:rPr>
        <w:t xml:space="preserve"> </w:t>
      </w:r>
      <w:r w:rsidR="005072E5" w:rsidRPr="00850E69">
        <w:rPr>
          <w:rFonts w:ascii="Times New Roman" w:hAnsi="Times New Roman"/>
        </w:rPr>
        <w:t xml:space="preserve">where </w:t>
      </w:r>
      <w:r w:rsidR="00D625F8" w:rsidRPr="00850E69">
        <w:rPr>
          <w:rFonts w:ascii="Times New Roman" w:hAnsi="Times New Roman"/>
        </w:rPr>
        <w:t>she</w:t>
      </w:r>
      <w:r w:rsidR="005072E5" w:rsidRPr="00850E69">
        <w:rPr>
          <w:rFonts w:ascii="Times New Roman" w:hAnsi="Times New Roman"/>
        </w:rPr>
        <w:t xml:space="preserve"> agreed to pay for the electricity used </w:t>
      </w:r>
      <w:r w:rsidR="00D625F8" w:rsidRPr="00850E69">
        <w:rPr>
          <w:rFonts w:ascii="Times New Roman" w:hAnsi="Times New Roman"/>
        </w:rPr>
        <w:t>in the common areas</w:t>
      </w:r>
      <w:r w:rsidR="005072E5" w:rsidRPr="00850E69">
        <w:rPr>
          <w:rFonts w:ascii="Times New Roman" w:hAnsi="Times New Roman"/>
        </w:rPr>
        <w:t xml:space="preserve">, </w:t>
      </w:r>
      <w:r w:rsidR="0017205D" w:rsidRPr="00850E69">
        <w:rPr>
          <w:rFonts w:ascii="Times New Roman" w:hAnsi="Times New Roman"/>
        </w:rPr>
        <w:t xml:space="preserve">cannot supersede the provisions of 66 Pa. C.S. §1529.1. </w:t>
      </w:r>
      <w:r w:rsidR="00BB0509">
        <w:rPr>
          <w:rFonts w:ascii="Times New Roman" w:hAnsi="Times New Roman"/>
        </w:rPr>
        <w:t xml:space="preserve"> </w:t>
      </w:r>
      <w:r w:rsidR="0017205D" w:rsidRPr="00850E69">
        <w:rPr>
          <w:rFonts w:ascii="Times New Roman" w:hAnsi="Times New Roman"/>
        </w:rPr>
        <w:t xml:space="preserve">The </w:t>
      </w:r>
      <w:r w:rsidR="00D625F8" w:rsidRPr="00850E69">
        <w:rPr>
          <w:rFonts w:ascii="Times New Roman" w:hAnsi="Times New Roman"/>
        </w:rPr>
        <w:t xml:space="preserve">lease </w:t>
      </w:r>
      <w:r w:rsidR="0017205D" w:rsidRPr="00850E69">
        <w:rPr>
          <w:rFonts w:ascii="Times New Roman" w:hAnsi="Times New Roman"/>
        </w:rPr>
        <w:t>the Complainant ha</w:t>
      </w:r>
      <w:r w:rsidR="00D625F8" w:rsidRPr="00850E69">
        <w:rPr>
          <w:rFonts w:ascii="Times New Roman" w:hAnsi="Times New Roman"/>
        </w:rPr>
        <w:t>s</w:t>
      </w:r>
      <w:r w:rsidR="0017205D" w:rsidRPr="00850E69">
        <w:rPr>
          <w:rFonts w:ascii="Times New Roman" w:hAnsi="Times New Roman"/>
        </w:rPr>
        <w:t xml:space="preserve"> with </w:t>
      </w:r>
      <w:r w:rsidR="00D625F8" w:rsidRPr="00850E69">
        <w:rPr>
          <w:rFonts w:ascii="Times New Roman" w:hAnsi="Times New Roman"/>
        </w:rPr>
        <w:t xml:space="preserve">Ms. </w:t>
      </w:r>
      <w:r w:rsidR="00DC0112">
        <w:rPr>
          <w:rFonts w:ascii="Times New Roman" w:hAnsi="Times New Roman"/>
        </w:rPr>
        <w:t>DelRaso</w:t>
      </w:r>
      <w:r w:rsidR="0017205D" w:rsidRPr="00850E69">
        <w:rPr>
          <w:rFonts w:ascii="Times New Roman" w:hAnsi="Times New Roman"/>
        </w:rPr>
        <w:t xml:space="preserve"> has no effect on the Respondent’s obligation to comply with 66 Pa. C.S. §1529.1.  The Complainant may seek damages from </w:t>
      </w:r>
      <w:r w:rsidR="00D625F8" w:rsidRPr="00850E69">
        <w:rPr>
          <w:rFonts w:ascii="Times New Roman" w:hAnsi="Times New Roman"/>
        </w:rPr>
        <w:t xml:space="preserve">Ms. </w:t>
      </w:r>
      <w:r w:rsidR="00DC0112">
        <w:rPr>
          <w:rFonts w:ascii="Times New Roman" w:hAnsi="Times New Roman"/>
        </w:rPr>
        <w:t>DelRaso</w:t>
      </w:r>
      <w:r w:rsidR="00D625F8" w:rsidRPr="00850E69">
        <w:rPr>
          <w:rFonts w:ascii="Times New Roman" w:hAnsi="Times New Roman"/>
        </w:rPr>
        <w:t xml:space="preserve"> </w:t>
      </w:r>
      <w:r w:rsidR="0044393D" w:rsidRPr="00850E69">
        <w:rPr>
          <w:rFonts w:ascii="Times New Roman" w:hAnsi="Times New Roman"/>
        </w:rPr>
        <w:t xml:space="preserve">for any amounts </w:t>
      </w:r>
      <w:r w:rsidR="00D625F8" w:rsidRPr="00850E69">
        <w:rPr>
          <w:rFonts w:ascii="Times New Roman" w:hAnsi="Times New Roman"/>
        </w:rPr>
        <w:t xml:space="preserve">she </w:t>
      </w:r>
      <w:r w:rsidR="0044393D" w:rsidRPr="00850E69">
        <w:rPr>
          <w:rFonts w:ascii="Times New Roman" w:hAnsi="Times New Roman"/>
        </w:rPr>
        <w:t>owe</w:t>
      </w:r>
      <w:r w:rsidR="00D625F8" w:rsidRPr="00850E69">
        <w:rPr>
          <w:rFonts w:ascii="Times New Roman" w:hAnsi="Times New Roman"/>
        </w:rPr>
        <w:t>s</w:t>
      </w:r>
      <w:r w:rsidR="0044393D" w:rsidRPr="00850E69">
        <w:rPr>
          <w:rFonts w:ascii="Times New Roman" w:hAnsi="Times New Roman"/>
        </w:rPr>
        <w:t xml:space="preserve">, pursuant to the </w:t>
      </w:r>
      <w:r w:rsidR="00D625F8" w:rsidRPr="00850E69">
        <w:rPr>
          <w:rFonts w:ascii="Times New Roman" w:hAnsi="Times New Roman"/>
        </w:rPr>
        <w:t>lease</w:t>
      </w:r>
      <w:r w:rsidR="0044393D" w:rsidRPr="00850E69">
        <w:rPr>
          <w:rFonts w:ascii="Times New Roman" w:hAnsi="Times New Roman"/>
        </w:rPr>
        <w:t xml:space="preserve">, </w:t>
      </w:r>
      <w:r w:rsidR="0017205D" w:rsidRPr="00850E69">
        <w:rPr>
          <w:rFonts w:ascii="Times New Roman" w:hAnsi="Times New Roman"/>
        </w:rPr>
        <w:t>through the courts</w:t>
      </w:r>
      <w:r w:rsidR="0044393D" w:rsidRPr="00850E69">
        <w:rPr>
          <w:rFonts w:ascii="Times New Roman" w:hAnsi="Times New Roman"/>
        </w:rPr>
        <w:t xml:space="preserve">.  Enforcement of the </w:t>
      </w:r>
      <w:r w:rsidR="00D625F8" w:rsidRPr="00850E69">
        <w:rPr>
          <w:rFonts w:ascii="Times New Roman" w:hAnsi="Times New Roman"/>
        </w:rPr>
        <w:t xml:space="preserve">lease or other </w:t>
      </w:r>
      <w:r w:rsidR="0044393D" w:rsidRPr="00850E69">
        <w:rPr>
          <w:rFonts w:ascii="Times New Roman" w:hAnsi="Times New Roman"/>
        </w:rPr>
        <w:t xml:space="preserve">agreement between the Complainant and </w:t>
      </w:r>
      <w:r w:rsidR="00D625F8" w:rsidRPr="00850E69">
        <w:rPr>
          <w:rFonts w:ascii="Times New Roman" w:hAnsi="Times New Roman"/>
        </w:rPr>
        <w:t xml:space="preserve">Ms. </w:t>
      </w:r>
      <w:r w:rsidR="00DC0112">
        <w:rPr>
          <w:rFonts w:ascii="Times New Roman" w:hAnsi="Times New Roman"/>
        </w:rPr>
        <w:t>DelRaso</w:t>
      </w:r>
      <w:r w:rsidR="0044393D" w:rsidRPr="00850E69">
        <w:rPr>
          <w:rFonts w:ascii="Times New Roman" w:hAnsi="Times New Roman"/>
        </w:rPr>
        <w:t xml:space="preserve"> </w:t>
      </w:r>
      <w:r w:rsidR="0017205D" w:rsidRPr="00850E69">
        <w:rPr>
          <w:rFonts w:ascii="Times New Roman" w:hAnsi="Times New Roman"/>
        </w:rPr>
        <w:t xml:space="preserve">is outside the Commission’s jurisdiction.  </w:t>
      </w:r>
      <w:r w:rsidR="0017205D" w:rsidRPr="00850E69">
        <w:rPr>
          <w:rFonts w:ascii="Times New Roman" w:hAnsi="Times New Roman"/>
          <w:u w:val="single"/>
        </w:rPr>
        <w:t>Corazzini v. UGI Penn Natural Gas, Inc.</w:t>
      </w:r>
      <w:r w:rsidR="0017205D" w:rsidRPr="00850E69">
        <w:rPr>
          <w:rFonts w:ascii="Times New Roman" w:hAnsi="Times New Roman"/>
        </w:rPr>
        <w:t>, Docket No. F-2009-2101282 (Order entered July 16, 2010)</w:t>
      </w:r>
      <w:r w:rsidR="007130B0">
        <w:rPr>
          <w:rFonts w:ascii="Times New Roman" w:hAnsi="Times New Roman"/>
        </w:rPr>
        <w:t>.</w:t>
      </w:r>
    </w:p>
    <w:p w:rsidR="00BC74F9" w:rsidRPr="00850E69" w:rsidRDefault="00BC74F9" w:rsidP="00ED2E14">
      <w:pPr>
        <w:pStyle w:val="ParaTab1"/>
        <w:spacing w:line="360" w:lineRule="auto"/>
        <w:ind w:firstLine="1350"/>
        <w:rPr>
          <w:rFonts w:ascii="Times New Roman" w:hAnsi="Times New Roman" w:cs="Times New Roman"/>
        </w:rPr>
      </w:pPr>
    </w:p>
    <w:p w:rsidR="00D625F8" w:rsidRPr="00850E69" w:rsidRDefault="00D625F8" w:rsidP="00D625F8">
      <w:pPr>
        <w:pStyle w:val="ParaTab1"/>
        <w:spacing w:line="360" w:lineRule="auto"/>
        <w:ind w:firstLine="1350"/>
        <w:rPr>
          <w:rFonts w:ascii="Times New Roman" w:hAnsi="Times New Roman" w:cs="Times New Roman"/>
        </w:rPr>
      </w:pPr>
      <w:r w:rsidRPr="00850E69">
        <w:rPr>
          <w:rFonts w:ascii="Times New Roman" w:hAnsi="Times New Roman" w:cs="Times New Roman"/>
        </w:rPr>
        <w:t>Since the Complainant’s complaint does not set forth any violation of a Commission regulation, statute or order, it is legally insufficient.  I will sustain the Respondent’s preliminary objection and enter the following order.</w:t>
      </w:r>
    </w:p>
    <w:p w:rsidR="00ED2E14" w:rsidRPr="00850E69" w:rsidRDefault="00ED2E14" w:rsidP="00ED2E14">
      <w:pPr>
        <w:pStyle w:val="ParaTab1"/>
        <w:spacing w:line="360" w:lineRule="auto"/>
        <w:ind w:firstLine="1350"/>
        <w:rPr>
          <w:rFonts w:ascii="Times New Roman" w:hAnsi="Times New Roman" w:cs="Times New Roman"/>
        </w:rPr>
      </w:pPr>
    </w:p>
    <w:p w:rsidR="00E43B9C" w:rsidRPr="00850E69" w:rsidRDefault="00E43B9C" w:rsidP="00ED2E14">
      <w:pPr>
        <w:spacing w:line="360" w:lineRule="auto"/>
        <w:jc w:val="center"/>
        <w:rPr>
          <w:rFonts w:ascii="Times New Roman" w:hAnsi="Times New Roman" w:cs="Times New Roman"/>
          <w:u w:val="single"/>
        </w:rPr>
      </w:pPr>
      <w:r w:rsidRPr="00850E69">
        <w:rPr>
          <w:rFonts w:ascii="Times New Roman" w:hAnsi="Times New Roman" w:cs="Times New Roman"/>
          <w:u w:val="single"/>
        </w:rPr>
        <w:t>CONCLUSIONS OF LAW</w:t>
      </w:r>
    </w:p>
    <w:p w:rsidR="00E43B9C" w:rsidRPr="00850E69" w:rsidRDefault="00E43B9C" w:rsidP="00ED2E14">
      <w:pPr>
        <w:spacing w:line="360" w:lineRule="auto"/>
        <w:rPr>
          <w:rFonts w:ascii="Times New Roman" w:hAnsi="Times New Roman" w:cs="Times New Roman"/>
        </w:rPr>
      </w:pPr>
    </w:p>
    <w:p w:rsidR="00D625F8" w:rsidRPr="00850E69" w:rsidRDefault="00D625F8" w:rsidP="00D625F8">
      <w:pPr>
        <w:numPr>
          <w:ilvl w:val="0"/>
          <w:numId w:val="8"/>
        </w:numPr>
        <w:tabs>
          <w:tab w:val="clear" w:pos="720"/>
          <w:tab w:val="num" w:pos="0"/>
        </w:tabs>
        <w:autoSpaceDE/>
        <w:autoSpaceDN/>
        <w:spacing w:line="360" w:lineRule="auto"/>
        <w:ind w:left="0" w:firstLine="1440"/>
        <w:rPr>
          <w:rFonts w:ascii="Times New Roman" w:hAnsi="Times New Roman" w:cs="Times New Roman"/>
          <w:b/>
        </w:rPr>
      </w:pPr>
      <w:r w:rsidRPr="00850E69">
        <w:rPr>
          <w:rFonts w:ascii="Times New Roman" w:hAnsi="Times New Roman" w:cs="Times New Roman"/>
        </w:rPr>
        <w:t>The Commission has jurisdiction over the parties and the subject matter of this dispute.  66 Pa. C.S.A. §701.</w:t>
      </w:r>
    </w:p>
    <w:p w:rsidR="00D625F8" w:rsidRPr="00850E69" w:rsidRDefault="00D625F8" w:rsidP="00D625F8">
      <w:pPr>
        <w:autoSpaceDE/>
        <w:autoSpaceDN/>
        <w:spacing w:line="360" w:lineRule="auto"/>
        <w:rPr>
          <w:rFonts w:ascii="Times New Roman" w:hAnsi="Times New Roman" w:cs="Times New Roman"/>
        </w:rPr>
      </w:pPr>
    </w:p>
    <w:p w:rsidR="00D625F8" w:rsidRPr="00850E69" w:rsidRDefault="00D625F8" w:rsidP="00D625F8">
      <w:pPr>
        <w:tabs>
          <w:tab w:val="left" w:pos="0"/>
        </w:tabs>
        <w:autoSpaceDE/>
        <w:autoSpaceDN/>
        <w:spacing w:line="360" w:lineRule="auto"/>
        <w:rPr>
          <w:rFonts w:ascii="Times New Roman" w:hAnsi="Times New Roman" w:cs="Times New Roman"/>
        </w:rPr>
      </w:pPr>
      <w:r w:rsidRPr="00850E69">
        <w:rPr>
          <w:rFonts w:ascii="Times New Roman" w:hAnsi="Times New Roman" w:cs="Times New Roman"/>
        </w:rPr>
        <w:tab/>
      </w:r>
      <w:r w:rsidRPr="00850E69">
        <w:rPr>
          <w:rFonts w:ascii="Times New Roman" w:hAnsi="Times New Roman" w:cs="Times New Roman"/>
        </w:rPr>
        <w:tab/>
        <w:t>2.</w:t>
      </w:r>
      <w:r w:rsidRPr="00850E69">
        <w:rPr>
          <w:rFonts w:ascii="Times New Roman" w:hAnsi="Times New Roman" w:cs="Times New Roman"/>
        </w:rPr>
        <w:tab/>
        <w:t>The Complainant’s complaint fails to state a claim upon which relief can be granted.</w:t>
      </w:r>
    </w:p>
    <w:p w:rsidR="00F312AF" w:rsidRPr="00850E69" w:rsidRDefault="00F312AF" w:rsidP="00D625F8">
      <w:pPr>
        <w:spacing w:line="360" w:lineRule="auto"/>
        <w:rPr>
          <w:rFonts w:ascii="Times New Roman" w:hAnsi="Times New Roman"/>
        </w:rPr>
      </w:pPr>
    </w:p>
    <w:p w:rsidR="00F312AF" w:rsidRPr="00850E69" w:rsidRDefault="00F312AF" w:rsidP="00ED2E14">
      <w:pPr>
        <w:pStyle w:val="BodyText"/>
        <w:tabs>
          <w:tab w:val="clear" w:pos="-1440"/>
          <w:tab w:val="clear" w:pos="-720"/>
          <w:tab w:val="clear" w:pos="0"/>
          <w:tab w:val="clear" w:pos="720"/>
          <w:tab w:val="clear" w:pos="1440"/>
        </w:tabs>
        <w:spacing w:line="360" w:lineRule="auto"/>
        <w:jc w:val="left"/>
        <w:rPr>
          <w:szCs w:val="24"/>
        </w:rPr>
      </w:pPr>
      <w:r w:rsidRPr="00850E69">
        <w:rPr>
          <w:szCs w:val="24"/>
        </w:rPr>
        <w:tab/>
      </w:r>
      <w:r w:rsidRPr="00850E69">
        <w:rPr>
          <w:szCs w:val="24"/>
        </w:rPr>
        <w:tab/>
      </w:r>
      <w:r w:rsidR="00D625F8" w:rsidRPr="00850E69">
        <w:rPr>
          <w:szCs w:val="24"/>
        </w:rPr>
        <w:t>3</w:t>
      </w:r>
      <w:r w:rsidRPr="00850E69">
        <w:rPr>
          <w:szCs w:val="24"/>
        </w:rPr>
        <w:t>.</w:t>
      </w:r>
      <w:r w:rsidRPr="00850E69">
        <w:rPr>
          <w:szCs w:val="24"/>
        </w:rPr>
        <w:tab/>
      </w:r>
      <w:r w:rsidRPr="00850E69">
        <w:t>T</w:t>
      </w:r>
      <w:r w:rsidRPr="00850E69">
        <w:rPr>
          <w:szCs w:val="24"/>
        </w:rPr>
        <w:t>he Public Utility Code</w:t>
      </w:r>
      <w:r w:rsidRPr="00850E69">
        <w:t xml:space="preserve"> </w:t>
      </w:r>
      <w:r w:rsidRPr="00850E69">
        <w:rPr>
          <w:szCs w:val="24"/>
        </w:rPr>
        <w:t>requires that a public utility “shall forthwith list the account for the premises in question in the name of the owner” when a residential building contains one or more dwelling units not individually metered.  66 Pa.</w:t>
      </w:r>
      <w:r w:rsidRPr="00850E69">
        <w:t xml:space="preserve"> </w:t>
      </w:r>
      <w:r w:rsidRPr="00850E69">
        <w:rPr>
          <w:szCs w:val="24"/>
        </w:rPr>
        <w:t>C.S. § 1529.1(b).</w:t>
      </w:r>
    </w:p>
    <w:p w:rsidR="00D625F8" w:rsidRPr="00850E69" w:rsidRDefault="00D625F8" w:rsidP="00ED2E14">
      <w:pPr>
        <w:pStyle w:val="BodyText"/>
        <w:tabs>
          <w:tab w:val="clear" w:pos="-1440"/>
          <w:tab w:val="clear" w:pos="-720"/>
          <w:tab w:val="clear" w:pos="0"/>
          <w:tab w:val="clear" w:pos="720"/>
          <w:tab w:val="clear" w:pos="1440"/>
        </w:tabs>
        <w:spacing w:line="360" w:lineRule="auto"/>
        <w:jc w:val="left"/>
        <w:rPr>
          <w:szCs w:val="24"/>
        </w:rPr>
      </w:pPr>
    </w:p>
    <w:p w:rsidR="00D625F8" w:rsidRPr="00850E69" w:rsidRDefault="00D625F8" w:rsidP="00D625F8">
      <w:pPr>
        <w:spacing w:line="360" w:lineRule="auto"/>
        <w:ind w:firstLine="1440"/>
        <w:rPr>
          <w:rFonts w:ascii="Times New Roman" w:hAnsi="Times New Roman" w:cs="Times New Roman"/>
        </w:rPr>
      </w:pPr>
      <w:r w:rsidRPr="00850E69">
        <w:rPr>
          <w:rFonts w:ascii="Times New Roman" w:hAnsi="Times New Roman" w:cs="Times New Roman"/>
        </w:rPr>
        <w:t>4.</w:t>
      </w:r>
      <w:r w:rsidRPr="00850E69">
        <w:rPr>
          <w:rFonts w:ascii="Times New Roman" w:hAnsi="Times New Roman" w:cs="Times New Roman"/>
        </w:rPr>
        <w:tab/>
        <w:t>It is just, reasonable and in the public interest that the complaint filed at Docket No. C-2012-2332993 be dismissed.</w:t>
      </w:r>
    </w:p>
    <w:p w:rsidR="00E625CB" w:rsidRPr="00850E69" w:rsidRDefault="00E625CB" w:rsidP="00ED2E14">
      <w:pPr>
        <w:spacing w:line="360" w:lineRule="auto"/>
        <w:jc w:val="center"/>
        <w:rPr>
          <w:rFonts w:ascii="Times New Roman" w:hAnsi="Times New Roman" w:cs="Times New Roman"/>
          <w:u w:val="single"/>
        </w:rPr>
      </w:pPr>
    </w:p>
    <w:p w:rsidR="00E43B9C" w:rsidRPr="00850E69" w:rsidRDefault="00E43B9C" w:rsidP="00ED2E14">
      <w:pPr>
        <w:spacing w:line="360" w:lineRule="auto"/>
        <w:jc w:val="center"/>
        <w:rPr>
          <w:rFonts w:ascii="Times New Roman" w:hAnsi="Times New Roman" w:cs="Times New Roman"/>
          <w:u w:val="single"/>
        </w:rPr>
      </w:pPr>
      <w:r w:rsidRPr="00850E69">
        <w:rPr>
          <w:rFonts w:ascii="Times New Roman" w:hAnsi="Times New Roman" w:cs="Times New Roman"/>
          <w:u w:val="single"/>
        </w:rPr>
        <w:t>ORDER</w:t>
      </w:r>
    </w:p>
    <w:p w:rsidR="00E43B9C" w:rsidRPr="00850E69" w:rsidRDefault="00E43B9C" w:rsidP="00ED2E14">
      <w:pPr>
        <w:spacing w:line="360" w:lineRule="auto"/>
        <w:rPr>
          <w:rFonts w:ascii="Times New Roman" w:hAnsi="Times New Roman" w:cs="Times New Roman"/>
        </w:rPr>
      </w:pPr>
    </w:p>
    <w:p w:rsidR="00E43B9C" w:rsidRPr="00850E69" w:rsidRDefault="00E43B9C" w:rsidP="00ED2E14">
      <w:pPr>
        <w:spacing w:line="360" w:lineRule="auto"/>
        <w:rPr>
          <w:rFonts w:ascii="Times New Roman" w:hAnsi="Times New Roman" w:cs="Times New Roman"/>
        </w:rPr>
      </w:pPr>
    </w:p>
    <w:p w:rsidR="00E43B9C" w:rsidRPr="00850E69" w:rsidRDefault="00E43B9C" w:rsidP="00ED2E14">
      <w:pPr>
        <w:spacing w:line="360" w:lineRule="auto"/>
        <w:rPr>
          <w:rFonts w:ascii="Times New Roman" w:hAnsi="Times New Roman" w:cs="Times New Roman"/>
        </w:rPr>
      </w:pPr>
      <w:r w:rsidRPr="00850E69">
        <w:rPr>
          <w:rFonts w:ascii="Times New Roman" w:hAnsi="Times New Roman" w:cs="Times New Roman"/>
        </w:rPr>
        <w:tab/>
      </w:r>
      <w:r w:rsidRPr="00850E69">
        <w:rPr>
          <w:rFonts w:ascii="Times New Roman" w:hAnsi="Times New Roman" w:cs="Times New Roman"/>
        </w:rPr>
        <w:tab/>
        <w:t>THEREFORE,</w:t>
      </w:r>
    </w:p>
    <w:p w:rsidR="00E43B9C" w:rsidRPr="00850E69" w:rsidRDefault="00E43B9C" w:rsidP="00ED2E14">
      <w:pPr>
        <w:rPr>
          <w:rFonts w:ascii="Times New Roman" w:hAnsi="Times New Roman" w:cs="Times New Roman"/>
        </w:rPr>
      </w:pPr>
    </w:p>
    <w:p w:rsidR="00E43B9C" w:rsidRPr="00850E69" w:rsidRDefault="00E43B9C" w:rsidP="00ED2E14">
      <w:pPr>
        <w:spacing w:line="360" w:lineRule="auto"/>
        <w:rPr>
          <w:rFonts w:ascii="Times New Roman" w:hAnsi="Times New Roman" w:cs="Times New Roman"/>
        </w:rPr>
      </w:pPr>
      <w:r w:rsidRPr="00850E69">
        <w:rPr>
          <w:rFonts w:ascii="Times New Roman" w:hAnsi="Times New Roman" w:cs="Times New Roman"/>
        </w:rPr>
        <w:tab/>
      </w:r>
      <w:r w:rsidRPr="00850E69">
        <w:rPr>
          <w:rFonts w:ascii="Times New Roman" w:hAnsi="Times New Roman" w:cs="Times New Roman"/>
        </w:rPr>
        <w:tab/>
        <w:t>IT IS ORDERED:</w:t>
      </w:r>
    </w:p>
    <w:p w:rsidR="00E43B9C" w:rsidRPr="00850E69" w:rsidRDefault="00E43B9C" w:rsidP="00ED2E14">
      <w:pPr>
        <w:spacing w:line="360" w:lineRule="auto"/>
        <w:rPr>
          <w:rFonts w:ascii="Times New Roman" w:hAnsi="Times New Roman" w:cs="Times New Roman"/>
        </w:rPr>
      </w:pPr>
    </w:p>
    <w:p w:rsidR="00D625F8" w:rsidRDefault="00D625F8" w:rsidP="00D625F8">
      <w:pPr>
        <w:numPr>
          <w:ilvl w:val="0"/>
          <w:numId w:val="9"/>
        </w:numPr>
        <w:spacing w:line="360" w:lineRule="auto"/>
        <w:ind w:left="0" w:firstLine="1440"/>
        <w:rPr>
          <w:rFonts w:ascii="Times New Roman" w:hAnsi="Times New Roman" w:cs="Times New Roman"/>
        </w:rPr>
      </w:pPr>
      <w:r w:rsidRPr="00850E69">
        <w:rPr>
          <w:rFonts w:ascii="Times New Roman" w:hAnsi="Times New Roman" w:cs="Times New Roman"/>
        </w:rPr>
        <w:t xml:space="preserve">That the preliminary objections filed by PECO Energy Company at Docket No. C-2012-2332993 </w:t>
      </w:r>
      <w:r w:rsidR="00273634">
        <w:rPr>
          <w:rFonts w:ascii="Times New Roman" w:hAnsi="Times New Roman" w:cs="Times New Roman"/>
        </w:rPr>
        <w:t>are</w:t>
      </w:r>
      <w:r w:rsidRPr="00850E69">
        <w:rPr>
          <w:rFonts w:ascii="Times New Roman" w:hAnsi="Times New Roman" w:cs="Times New Roman"/>
        </w:rPr>
        <w:t xml:space="preserve"> sustained.</w:t>
      </w:r>
    </w:p>
    <w:p w:rsidR="00885DC4" w:rsidRPr="00850E69" w:rsidRDefault="00885DC4" w:rsidP="00885DC4">
      <w:pPr>
        <w:spacing w:line="360" w:lineRule="auto"/>
        <w:rPr>
          <w:rFonts w:ascii="Times New Roman" w:hAnsi="Times New Roman" w:cs="Times New Roman"/>
        </w:rPr>
      </w:pPr>
    </w:p>
    <w:p w:rsidR="00D625F8" w:rsidRPr="00850E69" w:rsidRDefault="00D625F8" w:rsidP="00D625F8">
      <w:pPr>
        <w:numPr>
          <w:ilvl w:val="0"/>
          <w:numId w:val="9"/>
        </w:numPr>
        <w:spacing w:line="360" w:lineRule="auto"/>
        <w:ind w:left="0" w:firstLine="1440"/>
        <w:rPr>
          <w:rFonts w:ascii="Times New Roman" w:hAnsi="Times New Roman" w:cs="Times New Roman"/>
        </w:rPr>
      </w:pPr>
      <w:r w:rsidRPr="00850E69">
        <w:rPr>
          <w:rFonts w:ascii="Times New Roman" w:hAnsi="Times New Roman" w:cs="Times New Roman"/>
        </w:rPr>
        <w:t>That the complaint of George W. Kopf, Jr. at Docket No. C-2012-2332993</w:t>
      </w:r>
      <w:r w:rsidR="00850E69" w:rsidRPr="00850E69">
        <w:rPr>
          <w:rFonts w:ascii="Times New Roman" w:hAnsi="Times New Roman" w:cs="Times New Roman"/>
        </w:rPr>
        <w:t xml:space="preserve"> </w:t>
      </w:r>
      <w:r w:rsidRPr="00850E69">
        <w:rPr>
          <w:rFonts w:ascii="Times New Roman" w:hAnsi="Times New Roman" w:cs="Times New Roman"/>
        </w:rPr>
        <w:t>against PECO Energy Company is dismissed.</w:t>
      </w:r>
    </w:p>
    <w:p w:rsidR="00D625F8" w:rsidRPr="00850E69" w:rsidRDefault="00D625F8" w:rsidP="00D625F8">
      <w:pPr>
        <w:spacing w:line="360" w:lineRule="auto"/>
        <w:rPr>
          <w:rFonts w:ascii="Times New Roman" w:hAnsi="Times New Roman" w:cs="Times New Roman"/>
        </w:rPr>
      </w:pPr>
    </w:p>
    <w:p w:rsidR="00D625F8" w:rsidRPr="00850E69" w:rsidRDefault="00D625F8" w:rsidP="00D625F8">
      <w:pPr>
        <w:spacing w:line="360" w:lineRule="auto"/>
        <w:rPr>
          <w:rFonts w:ascii="Times New Roman" w:hAnsi="Times New Roman" w:cs="Times New Roman"/>
        </w:rPr>
      </w:pPr>
      <w:r w:rsidRPr="00850E69">
        <w:rPr>
          <w:rFonts w:ascii="Times New Roman" w:hAnsi="Times New Roman" w:cs="Times New Roman"/>
        </w:rPr>
        <w:tab/>
      </w:r>
      <w:r w:rsidRPr="00850E69">
        <w:rPr>
          <w:rFonts w:ascii="Times New Roman" w:hAnsi="Times New Roman" w:cs="Times New Roman"/>
        </w:rPr>
        <w:tab/>
        <w:t>3.</w:t>
      </w:r>
      <w:r w:rsidRPr="00850E69">
        <w:rPr>
          <w:rFonts w:ascii="Times New Roman" w:hAnsi="Times New Roman" w:cs="Times New Roman"/>
        </w:rPr>
        <w:tab/>
        <w:t xml:space="preserve">That the docket at Docket No. </w:t>
      </w:r>
      <w:r w:rsidR="00850E69" w:rsidRPr="00850E69">
        <w:rPr>
          <w:rFonts w:ascii="Times New Roman" w:hAnsi="Times New Roman" w:cs="Times New Roman"/>
        </w:rPr>
        <w:t xml:space="preserve">C-2012-2332993 </w:t>
      </w:r>
      <w:r w:rsidRPr="00850E69">
        <w:rPr>
          <w:rFonts w:ascii="Times New Roman" w:hAnsi="Times New Roman" w:cs="Times New Roman"/>
        </w:rPr>
        <w:t>is marked closed.</w:t>
      </w:r>
    </w:p>
    <w:p w:rsidR="00D625F8" w:rsidRPr="00850E69" w:rsidRDefault="00D625F8" w:rsidP="00D625F8">
      <w:pPr>
        <w:spacing w:line="360" w:lineRule="auto"/>
        <w:rPr>
          <w:rFonts w:ascii="Times New Roman" w:hAnsi="Times New Roman" w:cs="Times New Roman"/>
        </w:rPr>
      </w:pPr>
    </w:p>
    <w:p w:rsidR="00E43B9C" w:rsidRPr="00850E69" w:rsidRDefault="00E43B9C" w:rsidP="00ED2E14">
      <w:pPr>
        <w:pStyle w:val="ParaTab1"/>
        <w:spacing w:line="360" w:lineRule="auto"/>
        <w:rPr>
          <w:rFonts w:ascii="Times New Roman" w:hAnsi="Times New Roman" w:cs="Times New Roman"/>
          <w:spacing w:val="-3"/>
        </w:rPr>
      </w:pPr>
    </w:p>
    <w:p w:rsidR="00E43B9C" w:rsidRPr="00850E69" w:rsidRDefault="00E43B9C" w:rsidP="00ED2E14">
      <w:pPr>
        <w:pStyle w:val="ParaTab1"/>
        <w:tabs>
          <w:tab w:val="clear" w:pos="-720"/>
        </w:tabs>
        <w:ind w:firstLine="0"/>
        <w:rPr>
          <w:rFonts w:ascii="Times New Roman" w:hAnsi="Times New Roman" w:cs="Times New Roman"/>
          <w:spacing w:val="-3"/>
        </w:rPr>
      </w:pPr>
      <w:r w:rsidRPr="00850E69">
        <w:rPr>
          <w:rFonts w:ascii="Times New Roman" w:hAnsi="Times New Roman" w:cs="Times New Roman"/>
          <w:spacing w:val="-3"/>
        </w:rPr>
        <w:t>Date:</w:t>
      </w:r>
      <w:r w:rsidRPr="00850E69">
        <w:rPr>
          <w:rFonts w:ascii="Times New Roman" w:hAnsi="Times New Roman" w:cs="Times New Roman"/>
          <w:spacing w:val="-3"/>
        </w:rPr>
        <w:tab/>
      </w:r>
      <w:r w:rsidR="00850E69" w:rsidRPr="00850E69">
        <w:rPr>
          <w:rFonts w:ascii="Times New Roman" w:hAnsi="Times New Roman" w:cs="Times New Roman"/>
          <w:spacing w:val="-3"/>
          <w:u w:val="single"/>
        </w:rPr>
        <w:t>November 2</w:t>
      </w:r>
      <w:r w:rsidR="00273634">
        <w:rPr>
          <w:rFonts w:ascii="Times New Roman" w:hAnsi="Times New Roman" w:cs="Times New Roman"/>
          <w:spacing w:val="-3"/>
          <w:u w:val="single"/>
        </w:rPr>
        <w:t>9</w:t>
      </w:r>
      <w:r w:rsidR="00D64C08" w:rsidRPr="00850E69">
        <w:rPr>
          <w:rFonts w:ascii="Times New Roman" w:hAnsi="Times New Roman" w:cs="Times New Roman"/>
          <w:spacing w:val="-3"/>
          <w:u w:val="single"/>
        </w:rPr>
        <w:t>, 2012</w:t>
      </w:r>
      <w:r w:rsidRPr="00850E69">
        <w:rPr>
          <w:rFonts w:ascii="Times New Roman" w:hAnsi="Times New Roman" w:cs="Times New Roman"/>
          <w:spacing w:val="-3"/>
        </w:rPr>
        <w:tab/>
      </w:r>
      <w:r w:rsidR="00D64C08" w:rsidRPr="00850E69">
        <w:rPr>
          <w:rFonts w:ascii="Times New Roman" w:hAnsi="Times New Roman" w:cs="Times New Roman"/>
          <w:spacing w:val="-3"/>
        </w:rPr>
        <w:tab/>
      </w:r>
      <w:r w:rsidR="00F312AF" w:rsidRPr="00850E69">
        <w:rPr>
          <w:rFonts w:ascii="Times New Roman" w:hAnsi="Times New Roman" w:cs="Times New Roman"/>
          <w:spacing w:val="-3"/>
        </w:rPr>
        <w:tab/>
      </w:r>
      <w:r w:rsidR="00D64C08" w:rsidRPr="00850E69">
        <w:rPr>
          <w:rFonts w:ascii="Times New Roman" w:hAnsi="Times New Roman" w:cs="Times New Roman"/>
          <w:spacing w:val="-3"/>
        </w:rPr>
        <w:tab/>
      </w:r>
      <w:r w:rsidRPr="00850E69">
        <w:rPr>
          <w:rFonts w:ascii="Times New Roman" w:hAnsi="Times New Roman" w:cs="Times New Roman"/>
          <w:spacing w:val="-3"/>
        </w:rPr>
        <w:t>_______________________</w:t>
      </w:r>
      <w:r w:rsidR="00C46713" w:rsidRPr="00850E69">
        <w:rPr>
          <w:rFonts w:ascii="Times New Roman" w:hAnsi="Times New Roman" w:cs="Times New Roman"/>
          <w:spacing w:val="-3"/>
        </w:rPr>
        <w:t>_______</w:t>
      </w:r>
    </w:p>
    <w:p w:rsidR="00E43B9C" w:rsidRPr="00850E69" w:rsidRDefault="00E43B9C" w:rsidP="00ED2E14">
      <w:pPr>
        <w:pStyle w:val="ParaTab1"/>
        <w:tabs>
          <w:tab w:val="clear" w:pos="-720"/>
          <w:tab w:val="left" w:pos="720"/>
          <w:tab w:val="left" w:pos="5040"/>
        </w:tabs>
        <w:ind w:firstLine="0"/>
        <w:rPr>
          <w:rFonts w:ascii="Times New Roman" w:hAnsi="Times New Roman" w:cs="Times New Roman"/>
          <w:spacing w:val="-3"/>
        </w:rPr>
      </w:pPr>
      <w:r w:rsidRPr="00850E69">
        <w:rPr>
          <w:rFonts w:ascii="Times New Roman" w:hAnsi="Times New Roman" w:cs="Times New Roman"/>
          <w:spacing w:val="-3"/>
        </w:rPr>
        <w:tab/>
      </w:r>
      <w:r w:rsidRPr="00850E69">
        <w:rPr>
          <w:rFonts w:ascii="Times New Roman" w:hAnsi="Times New Roman" w:cs="Times New Roman"/>
          <w:spacing w:val="-3"/>
        </w:rPr>
        <w:tab/>
        <w:t>David A. Salapa</w:t>
      </w:r>
    </w:p>
    <w:p w:rsidR="00E43B9C" w:rsidRPr="00850E69" w:rsidRDefault="00E43B9C" w:rsidP="00ED2E14">
      <w:pPr>
        <w:pStyle w:val="ParaTab1"/>
        <w:tabs>
          <w:tab w:val="clear" w:pos="-720"/>
          <w:tab w:val="left" w:pos="720"/>
          <w:tab w:val="left" w:pos="5040"/>
        </w:tabs>
        <w:ind w:firstLine="0"/>
        <w:rPr>
          <w:rFonts w:ascii="Times New Roman" w:hAnsi="Times New Roman" w:cs="Times New Roman"/>
          <w:spacing w:val="-3"/>
        </w:rPr>
      </w:pPr>
      <w:r w:rsidRPr="00850E69">
        <w:rPr>
          <w:rFonts w:ascii="Times New Roman" w:hAnsi="Times New Roman" w:cs="Times New Roman"/>
          <w:spacing w:val="-3"/>
        </w:rPr>
        <w:tab/>
      </w:r>
      <w:r w:rsidRPr="00850E69">
        <w:rPr>
          <w:rFonts w:ascii="Times New Roman" w:hAnsi="Times New Roman" w:cs="Times New Roman"/>
          <w:spacing w:val="-3"/>
        </w:rPr>
        <w:tab/>
        <w:t>Administrative Law Judge</w:t>
      </w:r>
    </w:p>
    <w:sectPr w:rsidR="00E43B9C" w:rsidRPr="00850E69"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723" w:rsidRDefault="002C7723">
      <w:pPr>
        <w:spacing w:line="20" w:lineRule="exact"/>
        <w:rPr>
          <w:sz w:val="20"/>
          <w:szCs w:val="20"/>
        </w:rPr>
      </w:pPr>
    </w:p>
  </w:endnote>
  <w:endnote w:type="continuationSeparator" w:id="0">
    <w:p w:rsidR="002C7723" w:rsidRDefault="002C7723">
      <w:pPr>
        <w:pStyle w:val="ParaTab1"/>
        <w:rPr>
          <w:sz w:val="20"/>
          <w:szCs w:val="20"/>
        </w:rPr>
      </w:pPr>
      <w:r>
        <w:rPr>
          <w:sz w:val="20"/>
          <w:szCs w:val="20"/>
        </w:rPr>
        <w:t xml:space="preserve"> </w:t>
      </w:r>
    </w:p>
  </w:endnote>
  <w:endnote w:type="continuationNotice" w:id="1">
    <w:p w:rsidR="002C7723" w:rsidRDefault="002C772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Pr="00ED2E14" w:rsidRDefault="008905E7"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00B57BC7"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1E03F1">
      <w:rPr>
        <w:rStyle w:val="PageNumber"/>
        <w:rFonts w:ascii="Times New Roman" w:hAnsi="Times New Roman" w:cs="Times New Roman"/>
        <w:noProof/>
        <w:sz w:val="20"/>
        <w:szCs w:val="20"/>
      </w:rPr>
      <w:t>2</w:t>
    </w:r>
    <w:r w:rsidRPr="00ED2E14">
      <w:rPr>
        <w:rStyle w:val="PageNumber"/>
        <w:rFonts w:ascii="Times New Roman" w:hAnsi="Times New Roman" w:cs="Times New Roman"/>
        <w:sz w:val="20"/>
        <w:szCs w:val="20"/>
      </w:rPr>
      <w:fldChar w:fldCharType="end"/>
    </w:r>
  </w:p>
  <w:p w:rsidR="00B57BC7" w:rsidRDefault="00B57BC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723" w:rsidRDefault="002C7723">
      <w:pPr>
        <w:pStyle w:val="ParaTab1"/>
        <w:rPr>
          <w:sz w:val="20"/>
          <w:szCs w:val="20"/>
        </w:rPr>
      </w:pPr>
      <w:r>
        <w:rPr>
          <w:sz w:val="20"/>
          <w:szCs w:val="20"/>
        </w:rPr>
        <w:separator/>
      </w:r>
    </w:p>
  </w:footnote>
  <w:footnote w:type="continuationSeparator" w:id="0">
    <w:p w:rsidR="002C7723" w:rsidRDefault="002C7723">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33775"/>
    <w:rsid w:val="0003733C"/>
    <w:rsid w:val="00044EB2"/>
    <w:rsid w:val="0004672F"/>
    <w:rsid w:val="00046ABE"/>
    <w:rsid w:val="0005019C"/>
    <w:rsid w:val="00053E6C"/>
    <w:rsid w:val="00057568"/>
    <w:rsid w:val="00057ACC"/>
    <w:rsid w:val="0006648B"/>
    <w:rsid w:val="00066AF1"/>
    <w:rsid w:val="00071C51"/>
    <w:rsid w:val="00072486"/>
    <w:rsid w:val="0007411C"/>
    <w:rsid w:val="00074FDA"/>
    <w:rsid w:val="00075ACC"/>
    <w:rsid w:val="00080E30"/>
    <w:rsid w:val="00082455"/>
    <w:rsid w:val="00082B0F"/>
    <w:rsid w:val="000872E1"/>
    <w:rsid w:val="000878AF"/>
    <w:rsid w:val="00092F70"/>
    <w:rsid w:val="00093D2E"/>
    <w:rsid w:val="000A421D"/>
    <w:rsid w:val="000A6966"/>
    <w:rsid w:val="000A7D36"/>
    <w:rsid w:val="000B1A3A"/>
    <w:rsid w:val="000B3C86"/>
    <w:rsid w:val="000C1849"/>
    <w:rsid w:val="000C2645"/>
    <w:rsid w:val="000C696A"/>
    <w:rsid w:val="000C6A1D"/>
    <w:rsid w:val="000C76DF"/>
    <w:rsid w:val="000C779C"/>
    <w:rsid w:val="000D088E"/>
    <w:rsid w:val="000D2A74"/>
    <w:rsid w:val="000D7334"/>
    <w:rsid w:val="000E1C79"/>
    <w:rsid w:val="000E4193"/>
    <w:rsid w:val="000E4757"/>
    <w:rsid w:val="000E7B8F"/>
    <w:rsid w:val="000F0150"/>
    <w:rsid w:val="000F5153"/>
    <w:rsid w:val="000F697B"/>
    <w:rsid w:val="0010345D"/>
    <w:rsid w:val="0011223F"/>
    <w:rsid w:val="00115113"/>
    <w:rsid w:val="00117FE0"/>
    <w:rsid w:val="0012372B"/>
    <w:rsid w:val="001239A7"/>
    <w:rsid w:val="00132419"/>
    <w:rsid w:val="00137C44"/>
    <w:rsid w:val="00145617"/>
    <w:rsid w:val="001512DA"/>
    <w:rsid w:val="001545A6"/>
    <w:rsid w:val="00166D3C"/>
    <w:rsid w:val="0017205D"/>
    <w:rsid w:val="00175B7C"/>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3F1"/>
    <w:rsid w:val="001E0D40"/>
    <w:rsid w:val="001E56A5"/>
    <w:rsid w:val="001E778B"/>
    <w:rsid w:val="001F170C"/>
    <w:rsid w:val="00201F22"/>
    <w:rsid w:val="0020488B"/>
    <w:rsid w:val="00213880"/>
    <w:rsid w:val="0022061E"/>
    <w:rsid w:val="00220BB0"/>
    <w:rsid w:val="00232D3F"/>
    <w:rsid w:val="00232DAC"/>
    <w:rsid w:val="00234024"/>
    <w:rsid w:val="0023722B"/>
    <w:rsid w:val="00237701"/>
    <w:rsid w:val="00240F02"/>
    <w:rsid w:val="00244D8B"/>
    <w:rsid w:val="00254513"/>
    <w:rsid w:val="00255E38"/>
    <w:rsid w:val="00257425"/>
    <w:rsid w:val="0026178D"/>
    <w:rsid w:val="00261ABD"/>
    <w:rsid w:val="002624B6"/>
    <w:rsid w:val="00272AA7"/>
    <w:rsid w:val="00272C05"/>
    <w:rsid w:val="00273634"/>
    <w:rsid w:val="0027423F"/>
    <w:rsid w:val="00274791"/>
    <w:rsid w:val="00276EA1"/>
    <w:rsid w:val="00281054"/>
    <w:rsid w:val="00281D25"/>
    <w:rsid w:val="0028258E"/>
    <w:rsid w:val="002838AA"/>
    <w:rsid w:val="002842AC"/>
    <w:rsid w:val="00285650"/>
    <w:rsid w:val="0028579C"/>
    <w:rsid w:val="00292C8C"/>
    <w:rsid w:val="002931C8"/>
    <w:rsid w:val="00293EF8"/>
    <w:rsid w:val="002958C4"/>
    <w:rsid w:val="00296137"/>
    <w:rsid w:val="00297751"/>
    <w:rsid w:val="002A07C8"/>
    <w:rsid w:val="002A35B0"/>
    <w:rsid w:val="002A4333"/>
    <w:rsid w:val="002B062D"/>
    <w:rsid w:val="002B0AC5"/>
    <w:rsid w:val="002B142F"/>
    <w:rsid w:val="002B2008"/>
    <w:rsid w:val="002B5E52"/>
    <w:rsid w:val="002B757C"/>
    <w:rsid w:val="002B78D7"/>
    <w:rsid w:val="002B7EE8"/>
    <w:rsid w:val="002C0C04"/>
    <w:rsid w:val="002C2279"/>
    <w:rsid w:val="002C7723"/>
    <w:rsid w:val="002D0730"/>
    <w:rsid w:val="002D4B8D"/>
    <w:rsid w:val="002D6203"/>
    <w:rsid w:val="002E149C"/>
    <w:rsid w:val="002E35A1"/>
    <w:rsid w:val="002E3909"/>
    <w:rsid w:val="002E40C6"/>
    <w:rsid w:val="002E5C7F"/>
    <w:rsid w:val="002E7FA3"/>
    <w:rsid w:val="002F056C"/>
    <w:rsid w:val="002F48D3"/>
    <w:rsid w:val="002F5CD5"/>
    <w:rsid w:val="002F77C7"/>
    <w:rsid w:val="00304B12"/>
    <w:rsid w:val="00304C50"/>
    <w:rsid w:val="00305550"/>
    <w:rsid w:val="00313480"/>
    <w:rsid w:val="0031518E"/>
    <w:rsid w:val="003163BB"/>
    <w:rsid w:val="00317FA2"/>
    <w:rsid w:val="00322D34"/>
    <w:rsid w:val="003246E4"/>
    <w:rsid w:val="003255A1"/>
    <w:rsid w:val="00337CDB"/>
    <w:rsid w:val="00337CF1"/>
    <w:rsid w:val="00344BB9"/>
    <w:rsid w:val="0034744D"/>
    <w:rsid w:val="00352570"/>
    <w:rsid w:val="003613D7"/>
    <w:rsid w:val="00362634"/>
    <w:rsid w:val="00362B96"/>
    <w:rsid w:val="00362FFE"/>
    <w:rsid w:val="00363273"/>
    <w:rsid w:val="0036516C"/>
    <w:rsid w:val="00371787"/>
    <w:rsid w:val="00372996"/>
    <w:rsid w:val="00372D01"/>
    <w:rsid w:val="00373D26"/>
    <w:rsid w:val="00376195"/>
    <w:rsid w:val="00376D13"/>
    <w:rsid w:val="0037750F"/>
    <w:rsid w:val="00377F32"/>
    <w:rsid w:val="0038029E"/>
    <w:rsid w:val="003921FB"/>
    <w:rsid w:val="00396AE4"/>
    <w:rsid w:val="00397008"/>
    <w:rsid w:val="003A28F8"/>
    <w:rsid w:val="003A3BD7"/>
    <w:rsid w:val="003A4F24"/>
    <w:rsid w:val="003A65C4"/>
    <w:rsid w:val="003B429E"/>
    <w:rsid w:val="003B4D2C"/>
    <w:rsid w:val="003C18AE"/>
    <w:rsid w:val="003C1B11"/>
    <w:rsid w:val="003C5005"/>
    <w:rsid w:val="003C5897"/>
    <w:rsid w:val="003C6EF3"/>
    <w:rsid w:val="003D0EB4"/>
    <w:rsid w:val="003D4029"/>
    <w:rsid w:val="003D408B"/>
    <w:rsid w:val="003D6062"/>
    <w:rsid w:val="003D7C17"/>
    <w:rsid w:val="003E01A1"/>
    <w:rsid w:val="003F35CF"/>
    <w:rsid w:val="003F5E4D"/>
    <w:rsid w:val="0040168B"/>
    <w:rsid w:val="00403EE1"/>
    <w:rsid w:val="00405CE9"/>
    <w:rsid w:val="0041397D"/>
    <w:rsid w:val="00420ED9"/>
    <w:rsid w:val="00421B2E"/>
    <w:rsid w:val="00421FDF"/>
    <w:rsid w:val="00424437"/>
    <w:rsid w:val="004245ED"/>
    <w:rsid w:val="004322AD"/>
    <w:rsid w:val="00436AD3"/>
    <w:rsid w:val="00440B31"/>
    <w:rsid w:val="00440B5A"/>
    <w:rsid w:val="0044393D"/>
    <w:rsid w:val="0045506F"/>
    <w:rsid w:val="00461B36"/>
    <w:rsid w:val="00466A8F"/>
    <w:rsid w:val="00471358"/>
    <w:rsid w:val="00471371"/>
    <w:rsid w:val="0047159E"/>
    <w:rsid w:val="00474069"/>
    <w:rsid w:val="00483815"/>
    <w:rsid w:val="00486F8B"/>
    <w:rsid w:val="00491243"/>
    <w:rsid w:val="00493A84"/>
    <w:rsid w:val="004946F6"/>
    <w:rsid w:val="004955E6"/>
    <w:rsid w:val="00497F8C"/>
    <w:rsid w:val="004A1185"/>
    <w:rsid w:val="004A6EC8"/>
    <w:rsid w:val="004A77F9"/>
    <w:rsid w:val="004B0990"/>
    <w:rsid w:val="004B3362"/>
    <w:rsid w:val="004B5236"/>
    <w:rsid w:val="004B6940"/>
    <w:rsid w:val="004C0C95"/>
    <w:rsid w:val="004C111A"/>
    <w:rsid w:val="004C26DF"/>
    <w:rsid w:val="004C4DE8"/>
    <w:rsid w:val="004D38BE"/>
    <w:rsid w:val="004E2DD6"/>
    <w:rsid w:val="004E7587"/>
    <w:rsid w:val="004E7962"/>
    <w:rsid w:val="004F4257"/>
    <w:rsid w:val="004F737C"/>
    <w:rsid w:val="00503931"/>
    <w:rsid w:val="005072E5"/>
    <w:rsid w:val="00511F84"/>
    <w:rsid w:val="00513E70"/>
    <w:rsid w:val="005142E6"/>
    <w:rsid w:val="00515BEF"/>
    <w:rsid w:val="005211C3"/>
    <w:rsid w:val="00522445"/>
    <w:rsid w:val="00525333"/>
    <w:rsid w:val="00531329"/>
    <w:rsid w:val="00532BF8"/>
    <w:rsid w:val="00534201"/>
    <w:rsid w:val="0053453C"/>
    <w:rsid w:val="00544C76"/>
    <w:rsid w:val="005467C6"/>
    <w:rsid w:val="00546D04"/>
    <w:rsid w:val="0054748C"/>
    <w:rsid w:val="0055022D"/>
    <w:rsid w:val="00551376"/>
    <w:rsid w:val="00552343"/>
    <w:rsid w:val="00553E5E"/>
    <w:rsid w:val="00554503"/>
    <w:rsid w:val="005554F3"/>
    <w:rsid w:val="005602FD"/>
    <w:rsid w:val="005670AC"/>
    <w:rsid w:val="00567106"/>
    <w:rsid w:val="005716E6"/>
    <w:rsid w:val="00573692"/>
    <w:rsid w:val="00573B26"/>
    <w:rsid w:val="00581D4E"/>
    <w:rsid w:val="0058419B"/>
    <w:rsid w:val="005861B4"/>
    <w:rsid w:val="00586C74"/>
    <w:rsid w:val="00586E4D"/>
    <w:rsid w:val="005A2302"/>
    <w:rsid w:val="005A27D0"/>
    <w:rsid w:val="005A6C09"/>
    <w:rsid w:val="005B29B8"/>
    <w:rsid w:val="005B4414"/>
    <w:rsid w:val="005B4F80"/>
    <w:rsid w:val="005C172A"/>
    <w:rsid w:val="005C25A4"/>
    <w:rsid w:val="005C4537"/>
    <w:rsid w:val="005C4709"/>
    <w:rsid w:val="005D2660"/>
    <w:rsid w:val="005D6811"/>
    <w:rsid w:val="005E25E3"/>
    <w:rsid w:val="005E2ED7"/>
    <w:rsid w:val="005E4B0B"/>
    <w:rsid w:val="005E5B8A"/>
    <w:rsid w:val="005F29DB"/>
    <w:rsid w:val="005F706C"/>
    <w:rsid w:val="00600BCC"/>
    <w:rsid w:val="00604212"/>
    <w:rsid w:val="006078DF"/>
    <w:rsid w:val="00611DAB"/>
    <w:rsid w:val="00615461"/>
    <w:rsid w:val="00615586"/>
    <w:rsid w:val="00615756"/>
    <w:rsid w:val="006171F9"/>
    <w:rsid w:val="00617F4A"/>
    <w:rsid w:val="0062042D"/>
    <w:rsid w:val="00621CFD"/>
    <w:rsid w:val="00622209"/>
    <w:rsid w:val="006256AA"/>
    <w:rsid w:val="00630848"/>
    <w:rsid w:val="0063148D"/>
    <w:rsid w:val="0063456C"/>
    <w:rsid w:val="006349C0"/>
    <w:rsid w:val="006418C3"/>
    <w:rsid w:val="00643048"/>
    <w:rsid w:val="00646FCC"/>
    <w:rsid w:val="006479D7"/>
    <w:rsid w:val="006542F0"/>
    <w:rsid w:val="006557AC"/>
    <w:rsid w:val="006573C5"/>
    <w:rsid w:val="006608FD"/>
    <w:rsid w:val="0066241C"/>
    <w:rsid w:val="00662491"/>
    <w:rsid w:val="00664278"/>
    <w:rsid w:val="006731F6"/>
    <w:rsid w:val="0067658B"/>
    <w:rsid w:val="006807F4"/>
    <w:rsid w:val="006817DF"/>
    <w:rsid w:val="0068420E"/>
    <w:rsid w:val="006842ED"/>
    <w:rsid w:val="00686575"/>
    <w:rsid w:val="00693D05"/>
    <w:rsid w:val="006960DD"/>
    <w:rsid w:val="00696C96"/>
    <w:rsid w:val="006A4FFB"/>
    <w:rsid w:val="006A6645"/>
    <w:rsid w:val="006B097B"/>
    <w:rsid w:val="006B161B"/>
    <w:rsid w:val="006B4E52"/>
    <w:rsid w:val="006C0A06"/>
    <w:rsid w:val="006C0FF0"/>
    <w:rsid w:val="006C3A45"/>
    <w:rsid w:val="006C5054"/>
    <w:rsid w:val="006D05A2"/>
    <w:rsid w:val="006D170F"/>
    <w:rsid w:val="006D2C47"/>
    <w:rsid w:val="006D6C0B"/>
    <w:rsid w:val="006E0A31"/>
    <w:rsid w:val="006E0E53"/>
    <w:rsid w:val="006E721C"/>
    <w:rsid w:val="006F1C9F"/>
    <w:rsid w:val="006F244B"/>
    <w:rsid w:val="006F2E0F"/>
    <w:rsid w:val="006F3756"/>
    <w:rsid w:val="00702769"/>
    <w:rsid w:val="00702E1B"/>
    <w:rsid w:val="0070391C"/>
    <w:rsid w:val="00704BA8"/>
    <w:rsid w:val="00711F3E"/>
    <w:rsid w:val="0071211F"/>
    <w:rsid w:val="007130B0"/>
    <w:rsid w:val="0071467B"/>
    <w:rsid w:val="00717DD4"/>
    <w:rsid w:val="00720E8E"/>
    <w:rsid w:val="00722965"/>
    <w:rsid w:val="00723808"/>
    <w:rsid w:val="00724D89"/>
    <w:rsid w:val="00725BA8"/>
    <w:rsid w:val="007264CB"/>
    <w:rsid w:val="00730595"/>
    <w:rsid w:val="00732B4C"/>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80D6A"/>
    <w:rsid w:val="007810D0"/>
    <w:rsid w:val="00783B43"/>
    <w:rsid w:val="0078482F"/>
    <w:rsid w:val="0079257C"/>
    <w:rsid w:val="00792F0E"/>
    <w:rsid w:val="007966B2"/>
    <w:rsid w:val="007A2B0A"/>
    <w:rsid w:val="007B13A2"/>
    <w:rsid w:val="007B2ACE"/>
    <w:rsid w:val="007B49D6"/>
    <w:rsid w:val="007B5973"/>
    <w:rsid w:val="007C166F"/>
    <w:rsid w:val="007C2A8F"/>
    <w:rsid w:val="007C6B7B"/>
    <w:rsid w:val="007D0C0D"/>
    <w:rsid w:val="007D47BE"/>
    <w:rsid w:val="007E06A2"/>
    <w:rsid w:val="007E5599"/>
    <w:rsid w:val="007E7052"/>
    <w:rsid w:val="007F576B"/>
    <w:rsid w:val="007F5B4F"/>
    <w:rsid w:val="007F6B89"/>
    <w:rsid w:val="0080198C"/>
    <w:rsid w:val="00812A29"/>
    <w:rsid w:val="008144A4"/>
    <w:rsid w:val="00815E6C"/>
    <w:rsid w:val="00816732"/>
    <w:rsid w:val="00821A6B"/>
    <w:rsid w:val="0082300F"/>
    <w:rsid w:val="00823A72"/>
    <w:rsid w:val="008246CA"/>
    <w:rsid w:val="008249D3"/>
    <w:rsid w:val="00825310"/>
    <w:rsid w:val="00826284"/>
    <w:rsid w:val="00830B06"/>
    <w:rsid w:val="00832CEF"/>
    <w:rsid w:val="00832F5A"/>
    <w:rsid w:val="00833FB8"/>
    <w:rsid w:val="008355A8"/>
    <w:rsid w:val="008421C9"/>
    <w:rsid w:val="0084333D"/>
    <w:rsid w:val="00843C2B"/>
    <w:rsid w:val="00844412"/>
    <w:rsid w:val="00850B96"/>
    <w:rsid w:val="00850E69"/>
    <w:rsid w:val="0085111B"/>
    <w:rsid w:val="00853C51"/>
    <w:rsid w:val="008551A6"/>
    <w:rsid w:val="00855BE7"/>
    <w:rsid w:val="00862B5F"/>
    <w:rsid w:val="00862B6A"/>
    <w:rsid w:val="008650B0"/>
    <w:rsid w:val="00866578"/>
    <w:rsid w:val="008706BE"/>
    <w:rsid w:val="0087150B"/>
    <w:rsid w:val="00872F76"/>
    <w:rsid w:val="0087369B"/>
    <w:rsid w:val="0088426D"/>
    <w:rsid w:val="00885185"/>
    <w:rsid w:val="00885DC4"/>
    <w:rsid w:val="008878B6"/>
    <w:rsid w:val="008905E7"/>
    <w:rsid w:val="00895853"/>
    <w:rsid w:val="00897B60"/>
    <w:rsid w:val="00897C02"/>
    <w:rsid w:val="00897D6A"/>
    <w:rsid w:val="008A02A1"/>
    <w:rsid w:val="008A0E9A"/>
    <w:rsid w:val="008A141C"/>
    <w:rsid w:val="008A2E24"/>
    <w:rsid w:val="008A4221"/>
    <w:rsid w:val="008A6EC2"/>
    <w:rsid w:val="008B244B"/>
    <w:rsid w:val="008B2D08"/>
    <w:rsid w:val="008C1048"/>
    <w:rsid w:val="008C48C2"/>
    <w:rsid w:val="008C5902"/>
    <w:rsid w:val="008C5FC9"/>
    <w:rsid w:val="008D1001"/>
    <w:rsid w:val="008D157E"/>
    <w:rsid w:val="008D3243"/>
    <w:rsid w:val="008D341E"/>
    <w:rsid w:val="008D34C3"/>
    <w:rsid w:val="008D3827"/>
    <w:rsid w:val="008D645C"/>
    <w:rsid w:val="008E20A6"/>
    <w:rsid w:val="008E2FB6"/>
    <w:rsid w:val="008E6EDB"/>
    <w:rsid w:val="008F1052"/>
    <w:rsid w:val="008F11CE"/>
    <w:rsid w:val="008F18D2"/>
    <w:rsid w:val="008F1DE7"/>
    <w:rsid w:val="00922E51"/>
    <w:rsid w:val="009243A7"/>
    <w:rsid w:val="00926D97"/>
    <w:rsid w:val="0093032B"/>
    <w:rsid w:val="009336CE"/>
    <w:rsid w:val="00935843"/>
    <w:rsid w:val="00935864"/>
    <w:rsid w:val="00940725"/>
    <w:rsid w:val="009473BF"/>
    <w:rsid w:val="0095200D"/>
    <w:rsid w:val="00954445"/>
    <w:rsid w:val="009568BE"/>
    <w:rsid w:val="00957417"/>
    <w:rsid w:val="00960F3C"/>
    <w:rsid w:val="00963354"/>
    <w:rsid w:val="0096422B"/>
    <w:rsid w:val="00966E87"/>
    <w:rsid w:val="0096710A"/>
    <w:rsid w:val="009728A5"/>
    <w:rsid w:val="00974D94"/>
    <w:rsid w:val="009763F4"/>
    <w:rsid w:val="0098095E"/>
    <w:rsid w:val="0098215A"/>
    <w:rsid w:val="00984405"/>
    <w:rsid w:val="009860B5"/>
    <w:rsid w:val="0098732E"/>
    <w:rsid w:val="00990854"/>
    <w:rsid w:val="00990FDA"/>
    <w:rsid w:val="009959E2"/>
    <w:rsid w:val="009968A8"/>
    <w:rsid w:val="009A22E8"/>
    <w:rsid w:val="009A271D"/>
    <w:rsid w:val="009A4689"/>
    <w:rsid w:val="009B1EDC"/>
    <w:rsid w:val="009B1EE7"/>
    <w:rsid w:val="009B24DA"/>
    <w:rsid w:val="009B4366"/>
    <w:rsid w:val="009B5789"/>
    <w:rsid w:val="009B7615"/>
    <w:rsid w:val="009C1E4E"/>
    <w:rsid w:val="009C2BEA"/>
    <w:rsid w:val="009C4045"/>
    <w:rsid w:val="009D16C9"/>
    <w:rsid w:val="009D33D1"/>
    <w:rsid w:val="009D655D"/>
    <w:rsid w:val="009D7B04"/>
    <w:rsid w:val="009E01CA"/>
    <w:rsid w:val="009E1953"/>
    <w:rsid w:val="009E337B"/>
    <w:rsid w:val="009F05D7"/>
    <w:rsid w:val="009F5C5D"/>
    <w:rsid w:val="00A0104D"/>
    <w:rsid w:val="00A078F1"/>
    <w:rsid w:val="00A118DA"/>
    <w:rsid w:val="00A20FA0"/>
    <w:rsid w:val="00A247B9"/>
    <w:rsid w:val="00A249E8"/>
    <w:rsid w:val="00A25402"/>
    <w:rsid w:val="00A259E4"/>
    <w:rsid w:val="00A2796F"/>
    <w:rsid w:val="00A32897"/>
    <w:rsid w:val="00A32EEC"/>
    <w:rsid w:val="00A33A66"/>
    <w:rsid w:val="00A3571A"/>
    <w:rsid w:val="00A431D5"/>
    <w:rsid w:val="00A45869"/>
    <w:rsid w:val="00A50ED3"/>
    <w:rsid w:val="00A54324"/>
    <w:rsid w:val="00A56F0E"/>
    <w:rsid w:val="00A61BB4"/>
    <w:rsid w:val="00A64966"/>
    <w:rsid w:val="00A6621F"/>
    <w:rsid w:val="00A701B7"/>
    <w:rsid w:val="00A70891"/>
    <w:rsid w:val="00A839FD"/>
    <w:rsid w:val="00A85DA8"/>
    <w:rsid w:val="00A862CE"/>
    <w:rsid w:val="00A868F3"/>
    <w:rsid w:val="00A9452C"/>
    <w:rsid w:val="00AA0404"/>
    <w:rsid w:val="00AA1C7A"/>
    <w:rsid w:val="00AA545D"/>
    <w:rsid w:val="00AB17F8"/>
    <w:rsid w:val="00AB2673"/>
    <w:rsid w:val="00AC0CAA"/>
    <w:rsid w:val="00AC36E7"/>
    <w:rsid w:val="00AC6415"/>
    <w:rsid w:val="00AC7429"/>
    <w:rsid w:val="00AC775A"/>
    <w:rsid w:val="00AD64AA"/>
    <w:rsid w:val="00AE0497"/>
    <w:rsid w:val="00AE3021"/>
    <w:rsid w:val="00AE4308"/>
    <w:rsid w:val="00AF3C62"/>
    <w:rsid w:val="00AF3E72"/>
    <w:rsid w:val="00AF77D8"/>
    <w:rsid w:val="00B00B57"/>
    <w:rsid w:val="00B033A3"/>
    <w:rsid w:val="00B07ECF"/>
    <w:rsid w:val="00B101D2"/>
    <w:rsid w:val="00B10725"/>
    <w:rsid w:val="00B10A04"/>
    <w:rsid w:val="00B20E42"/>
    <w:rsid w:val="00B270F1"/>
    <w:rsid w:val="00B33991"/>
    <w:rsid w:val="00B33BA2"/>
    <w:rsid w:val="00B3758D"/>
    <w:rsid w:val="00B37763"/>
    <w:rsid w:val="00B4250A"/>
    <w:rsid w:val="00B42737"/>
    <w:rsid w:val="00B4433D"/>
    <w:rsid w:val="00B547D5"/>
    <w:rsid w:val="00B5790A"/>
    <w:rsid w:val="00B57BC7"/>
    <w:rsid w:val="00B61D9E"/>
    <w:rsid w:val="00B62415"/>
    <w:rsid w:val="00B708D5"/>
    <w:rsid w:val="00B70DED"/>
    <w:rsid w:val="00B710A9"/>
    <w:rsid w:val="00B715CE"/>
    <w:rsid w:val="00B72D65"/>
    <w:rsid w:val="00B73B79"/>
    <w:rsid w:val="00B838A8"/>
    <w:rsid w:val="00B860D6"/>
    <w:rsid w:val="00B97556"/>
    <w:rsid w:val="00BA2E94"/>
    <w:rsid w:val="00BA4173"/>
    <w:rsid w:val="00BA596D"/>
    <w:rsid w:val="00BA5DBD"/>
    <w:rsid w:val="00BB0509"/>
    <w:rsid w:val="00BB587E"/>
    <w:rsid w:val="00BB6A38"/>
    <w:rsid w:val="00BC3FE5"/>
    <w:rsid w:val="00BC51C0"/>
    <w:rsid w:val="00BC7344"/>
    <w:rsid w:val="00BC74F9"/>
    <w:rsid w:val="00BD44D3"/>
    <w:rsid w:val="00BD4BDF"/>
    <w:rsid w:val="00BD510A"/>
    <w:rsid w:val="00BD56B5"/>
    <w:rsid w:val="00BE2ACA"/>
    <w:rsid w:val="00BE5E17"/>
    <w:rsid w:val="00BF075A"/>
    <w:rsid w:val="00BF1A27"/>
    <w:rsid w:val="00BF1CFB"/>
    <w:rsid w:val="00C0443F"/>
    <w:rsid w:val="00C045AA"/>
    <w:rsid w:val="00C06FB5"/>
    <w:rsid w:val="00C07E84"/>
    <w:rsid w:val="00C11EEA"/>
    <w:rsid w:val="00C17974"/>
    <w:rsid w:val="00C26E94"/>
    <w:rsid w:val="00C3078F"/>
    <w:rsid w:val="00C324B4"/>
    <w:rsid w:val="00C42508"/>
    <w:rsid w:val="00C43B6A"/>
    <w:rsid w:val="00C46713"/>
    <w:rsid w:val="00C516FB"/>
    <w:rsid w:val="00C52F1D"/>
    <w:rsid w:val="00C52F27"/>
    <w:rsid w:val="00C562AF"/>
    <w:rsid w:val="00C610B2"/>
    <w:rsid w:val="00C6484A"/>
    <w:rsid w:val="00C6794F"/>
    <w:rsid w:val="00C710A5"/>
    <w:rsid w:val="00C74B7E"/>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408F"/>
    <w:rsid w:val="00CA53D9"/>
    <w:rsid w:val="00CB34A2"/>
    <w:rsid w:val="00CB7ACD"/>
    <w:rsid w:val="00CB7F09"/>
    <w:rsid w:val="00CC15FF"/>
    <w:rsid w:val="00CC2DDD"/>
    <w:rsid w:val="00CD285B"/>
    <w:rsid w:val="00CF496B"/>
    <w:rsid w:val="00D02DA3"/>
    <w:rsid w:val="00D10D65"/>
    <w:rsid w:val="00D11602"/>
    <w:rsid w:val="00D126CD"/>
    <w:rsid w:val="00D158B6"/>
    <w:rsid w:val="00D17FBA"/>
    <w:rsid w:val="00D269D2"/>
    <w:rsid w:val="00D26FF3"/>
    <w:rsid w:val="00D31DD0"/>
    <w:rsid w:val="00D31FD1"/>
    <w:rsid w:val="00D3322D"/>
    <w:rsid w:val="00D3344B"/>
    <w:rsid w:val="00D37A50"/>
    <w:rsid w:val="00D4052A"/>
    <w:rsid w:val="00D408F3"/>
    <w:rsid w:val="00D4375D"/>
    <w:rsid w:val="00D470F5"/>
    <w:rsid w:val="00D51D27"/>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243B"/>
    <w:rsid w:val="00D83169"/>
    <w:rsid w:val="00D858D8"/>
    <w:rsid w:val="00D867C0"/>
    <w:rsid w:val="00D9377A"/>
    <w:rsid w:val="00D97C37"/>
    <w:rsid w:val="00DA397B"/>
    <w:rsid w:val="00DA50DF"/>
    <w:rsid w:val="00DA5A29"/>
    <w:rsid w:val="00DA798E"/>
    <w:rsid w:val="00DB0DD1"/>
    <w:rsid w:val="00DB5107"/>
    <w:rsid w:val="00DB5586"/>
    <w:rsid w:val="00DC0112"/>
    <w:rsid w:val="00DC3283"/>
    <w:rsid w:val="00DD685A"/>
    <w:rsid w:val="00DE0129"/>
    <w:rsid w:val="00DE3E7D"/>
    <w:rsid w:val="00DE5ACE"/>
    <w:rsid w:val="00DF22BC"/>
    <w:rsid w:val="00DF6E68"/>
    <w:rsid w:val="00E00781"/>
    <w:rsid w:val="00E0190C"/>
    <w:rsid w:val="00E01DD8"/>
    <w:rsid w:val="00E06350"/>
    <w:rsid w:val="00E1039D"/>
    <w:rsid w:val="00E11423"/>
    <w:rsid w:val="00E12835"/>
    <w:rsid w:val="00E13FCA"/>
    <w:rsid w:val="00E14C30"/>
    <w:rsid w:val="00E1535E"/>
    <w:rsid w:val="00E16D45"/>
    <w:rsid w:val="00E16DAD"/>
    <w:rsid w:val="00E16F44"/>
    <w:rsid w:val="00E17CAD"/>
    <w:rsid w:val="00E214D9"/>
    <w:rsid w:val="00E21CC3"/>
    <w:rsid w:val="00E26BBB"/>
    <w:rsid w:val="00E369DB"/>
    <w:rsid w:val="00E400BE"/>
    <w:rsid w:val="00E4098F"/>
    <w:rsid w:val="00E43B23"/>
    <w:rsid w:val="00E43B9C"/>
    <w:rsid w:val="00E4450B"/>
    <w:rsid w:val="00E44E8B"/>
    <w:rsid w:val="00E47B6B"/>
    <w:rsid w:val="00E507BA"/>
    <w:rsid w:val="00E507BC"/>
    <w:rsid w:val="00E50E67"/>
    <w:rsid w:val="00E56518"/>
    <w:rsid w:val="00E61522"/>
    <w:rsid w:val="00E625CB"/>
    <w:rsid w:val="00E627A9"/>
    <w:rsid w:val="00E6379C"/>
    <w:rsid w:val="00E7161D"/>
    <w:rsid w:val="00E739A7"/>
    <w:rsid w:val="00E7480E"/>
    <w:rsid w:val="00E83947"/>
    <w:rsid w:val="00E849D5"/>
    <w:rsid w:val="00E92F24"/>
    <w:rsid w:val="00E93505"/>
    <w:rsid w:val="00E94046"/>
    <w:rsid w:val="00E95B19"/>
    <w:rsid w:val="00E96EB4"/>
    <w:rsid w:val="00EA3C79"/>
    <w:rsid w:val="00EC4681"/>
    <w:rsid w:val="00EC7184"/>
    <w:rsid w:val="00ED2E14"/>
    <w:rsid w:val="00ED4F75"/>
    <w:rsid w:val="00EE42D0"/>
    <w:rsid w:val="00EE49DB"/>
    <w:rsid w:val="00EE4F9F"/>
    <w:rsid w:val="00EE5A0F"/>
    <w:rsid w:val="00EF76F7"/>
    <w:rsid w:val="00F0391C"/>
    <w:rsid w:val="00F06708"/>
    <w:rsid w:val="00F11698"/>
    <w:rsid w:val="00F1278A"/>
    <w:rsid w:val="00F14268"/>
    <w:rsid w:val="00F1656B"/>
    <w:rsid w:val="00F1760D"/>
    <w:rsid w:val="00F20F26"/>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6E37"/>
    <w:rsid w:val="00F77131"/>
    <w:rsid w:val="00F777D0"/>
    <w:rsid w:val="00F80488"/>
    <w:rsid w:val="00F81B4C"/>
    <w:rsid w:val="00F820C3"/>
    <w:rsid w:val="00F82CFD"/>
    <w:rsid w:val="00F85A6E"/>
    <w:rsid w:val="00F90381"/>
    <w:rsid w:val="00F90C0F"/>
    <w:rsid w:val="00F91D7D"/>
    <w:rsid w:val="00F960F5"/>
    <w:rsid w:val="00FB095A"/>
    <w:rsid w:val="00FB13C0"/>
    <w:rsid w:val="00FB170C"/>
    <w:rsid w:val="00FB49CE"/>
    <w:rsid w:val="00FB7A4F"/>
    <w:rsid w:val="00FC0540"/>
    <w:rsid w:val="00FC0BE8"/>
    <w:rsid w:val="00FC1F33"/>
    <w:rsid w:val="00FC23DE"/>
    <w:rsid w:val="00FC3954"/>
    <w:rsid w:val="00FC6624"/>
    <w:rsid w:val="00FD04E2"/>
    <w:rsid w:val="00FD1E6A"/>
    <w:rsid w:val="00FD2CA7"/>
    <w:rsid w:val="00FD2F17"/>
    <w:rsid w:val="00FD52EB"/>
    <w:rsid w:val="00FD5797"/>
    <w:rsid w:val="00FE2711"/>
    <w:rsid w:val="00FE63B9"/>
    <w:rsid w:val="00FE6A4D"/>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FA153-B771-4179-AE41-4F3EDC3F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11</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31</cp:revision>
  <cp:lastPrinted>2012-11-27T20:07:00Z</cp:lastPrinted>
  <dcterms:created xsi:type="dcterms:W3CDTF">2012-11-26T20:29:00Z</dcterms:created>
  <dcterms:modified xsi:type="dcterms:W3CDTF">2012-12-06T15:00:00Z</dcterms:modified>
</cp:coreProperties>
</file>