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13AC" w:rsidRPr="00A8638A" w:rsidRDefault="000113AC">
      <w:pPr>
        <w:pStyle w:val="Title"/>
        <w:rPr>
          <w:rFonts w:ascii="Times New Roman" w:hAnsi="Times New Roman"/>
          <w:sz w:val="26"/>
          <w:szCs w:val="26"/>
        </w:rPr>
      </w:pPr>
    </w:p>
    <w:p w:rsidR="00A8638A" w:rsidRDefault="00A8638A" w:rsidP="00A8638A">
      <w:pPr>
        <w:pStyle w:val="Title"/>
        <w:rPr>
          <w:rFonts w:ascii="Times New Roman" w:hAnsi="Times New Roman"/>
          <w:sz w:val="26"/>
          <w:szCs w:val="26"/>
        </w:rPr>
      </w:pPr>
      <w:r>
        <w:rPr>
          <w:rFonts w:ascii="Times New Roman" w:hAnsi="Times New Roman"/>
          <w:sz w:val="26"/>
          <w:szCs w:val="26"/>
        </w:rPr>
        <w:t>PENNSYLVANIA</w:t>
      </w:r>
    </w:p>
    <w:p w:rsidR="0082408D" w:rsidRDefault="0082408D" w:rsidP="00A8638A">
      <w:pPr>
        <w:pStyle w:val="Title"/>
        <w:rPr>
          <w:rFonts w:ascii="Times New Roman" w:hAnsi="Times New Roman"/>
          <w:sz w:val="26"/>
          <w:szCs w:val="26"/>
        </w:rPr>
      </w:pPr>
      <w:r w:rsidRPr="00A8638A">
        <w:rPr>
          <w:rFonts w:ascii="Times New Roman" w:hAnsi="Times New Roman"/>
          <w:sz w:val="26"/>
          <w:szCs w:val="26"/>
        </w:rPr>
        <w:t>PUBLIC UTILITY COMMISSION</w:t>
      </w:r>
    </w:p>
    <w:p w:rsidR="00A8638A" w:rsidRDefault="00A8638A" w:rsidP="00A8638A">
      <w:pPr>
        <w:pStyle w:val="Title"/>
        <w:rPr>
          <w:rFonts w:ascii="Times New Roman" w:hAnsi="Times New Roman"/>
          <w:sz w:val="26"/>
          <w:szCs w:val="26"/>
        </w:rPr>
      </w:pPr>
      <w:r>
        <w:rPr>
          <w:rFonts w:ascii="Times New Roman" w:hAnsi="Times New Roman"/>
          <w:sz w:val="26"/>
          <w:szCs w:val="26"/>
        </w:rPr>
        <w:t>Harrisburg, PA  17105-3265</w:t>
      </w:r>
    </w:p>
    <w:p w:rsidR="00A8638A" w:rsidRDefault="00A8638A" w:rsidP="00A8638A">
      <w:pPr>
        <w:pStyle w:val="Title"/>
        <w:rPr>
          <w:rFonts w:ascii="Times New Roman" w:hAnsi="Times New Roman"/>
          <w:sz w:val="26"/>
          <w:szCs w:val="26"/>
        </w:rPr>
      </w:pPr>
    </w:p>
    <w:p w:rsidR="00A8638A" w:rsidRDefault="00A8638A" w:rsidP="00A8638A">
      <w:pPr>
        <w:pStyle w:val="Title"/>
        <w:jc w:val="right"/>
        <w:rPr>
          <w:rFonts w:ascii="Times New Roman" w:hAnsi="Times New Roman"/>
          <w:b w:val="0"/>
          <w:sz w:val="26"/>
          <w:szCs w:val="26"/>
        </w:rPr>
      </w:pPr>
      <w:r>
        <w:rPr>
          <w:rFonts w:ascii="Times New Roman" w:hAnsi="Times New Roman"/>
          <w:b w:val="0"/>
          <w:sz w:val="26"/>
          <w:szCs w:val="26"/>
        </w:rPr>
        <w:t>Public Meeting held November 8, 2012</w:t>
      </w:r>
    </w:p>
    <w:p w:rsidR="00A8638A" w:rsidRDefault="00A8638A" w:rsidP="00A8638A">
      <w:pPr>
        <w:pStyle w:val="Title"/>
        <w:jc w:val="right"/>
        <w:rPr>
          <w:rFonts w:ascii="Times New Roman" w:hAnsi="Times New Roman"/>
          <w:b w:val="0"/>
          <w:sz w:val="26"/>
          <w:szCs w:val="26"/>
        </w:rPr>
      </w:pPr>
    </w:p>
    <w:p w:rsidR="00A8638A" w:rsidRDefault="00A8638A" w:rsidP="00A8638A">
      <w:pPr>
        <w:pStyle w:val="Title"/>
        <w:jc w:val="left"/>
        <w:rPr>
          <w:rFonts w:ascii="Times New Roman" w:hAnsi="Times New Roman"/>
          <w:b w:val="0"/>
          <w:sz w:val="26"/>
          <w:szCs w:val="26"/>
        </w:rPr>
      </w:pPr>
      <w:r>
        <w:rPr>
          <w:rFonts w:ascii="Times New Roman" w:hAnsi="Times New Roman"/>
          <w:b w:val="0"/>
          <w:sz w:val="26"/>
          <w:szCs w:val="26"/>
        </w:rPr>
        <w:t>Commissioners Present:</w:t>
      </w:r>
    </w:p>
    <w:p w:rsidR="00A8638A" w:rsidRDefault="00A8638A" w:rsidP="00A8638A">
      <w:pPr>
        <w:pStyle w:val="Title"/>
        <w:jc w:val="left"/>
        <w:rPr>
          <w:rFonts w:ascii="Times New Roman" w:hAnsi="Times New Roman"/>
          <w:b w:val="0"/>
          <w:sz w:val="26"/>
          <w:szCs w:val="26"/>
        </w:rPr>
      </w:pPr>
    </w:p>
    <w:p w:rsidR="00A8638A" w:rsidRDefault="00A8638A" w:rsidP="00A8638A">
      <w:pPr>
        <w:pStyle w:val="Title"/>
        <w:jc w:val="left"/>
        <w:rPr>
          <w:rFonts w:ascii="Times New Roman" w:hAnsi="Times New Roman"/>
          <w:b w:val="0"/>
          <w:sz w:val="26"/>
          <w:szCs w:val="26"/>
        </w:rPr>
      </w:pPr>
      <w:r>
        <w:rPr>
          <w:rFonts w:ascii="Times New Roman" w:hAnsi="Times New Roman"/>
          <w:b w:val="0"/>
          <w:sz w:val="26"/>
          <w:szCs w:val="26"/>
        </w:rPr>
        <w:tab/>
        <w:t>Robert F. Powelson, Chairman</w:t>
      </w:r>
    </w:p>
    <w:p w:rsidR="00A8638A" w:rsidRDefault="00A8638A" w:rsidP="00A8638A">
      <w:pPr>
        <w:pStyle w:val="Title"/>
        <w:jc w:val="left"/>
        <w:rPr>
          <w:rFonts w:ascii="Times New Roman" w:hAnsi="Times New Roman"/>
          <w:b w:val="0"/>
          <w:sz w:val="26"/>
          <w:szCs w:val="26"/>
        </w:rPr>
      </w:pPr>
      <w:r>
        <w:rPr>
          <w:rFonts w:ascii="Times New Roman" w:hAnsi="Times New Roman"/>
          <w:b w:val="0"/>
          <w:sz w:val="26"/>
          <w:szCs w:val="26"/>
        </w:rPr>
        <w:tab/>
        <w:t>John F. Coleman, Jr., Vice Chairman</w:t>
      </w:r>
    </w:p>
    <w:p w:rsidR="00A8638A" w:rsidRDefault="00A8638A" w:rsidP="00A8638A">
      <w:pPr>
        <w:pStyle w:val="Title"/>
        <w:jc w:val="left"/>
        <w:rPr>
          <w:rFonts w:ascii="Times New Roman" w:hAnsi="Times New Roman"/>
          <w:b w:val="0"/>
          <w:sz w:val="26"/>
          <w:szCs w:val="26"/>
        </w:rPr>
      </w:pPr>
      <w:r>
        <w:rPr>
          <w:rFonts w:ascii="Times New Roman" w:hAnsi="Times New Roman"/>
          <w:b w:val="0"/>
          <w:sz w:val="26"/>
          <w:szCs w:val="26"/>
        </w:rPr>
        <w:tab/>
        <w:t>Wayne E. Gardner</w:t>
      </w:r>
    </w:p>
    <w:p w:rsidR="00A8638A" w:rsidRDefault="00A8638A" w:rsidP="00A8638A">
      <w:pPr>
        <w:pStyle w:val="Title"/>
        <w:jc w:val="left"/>
        <w:rPr>
          <w:rFonts w:ascii="Times New Roman" w:hAnsi="Times New Roman"/>
          <w:b w:val="0"/>
          <w:sz w:val="26"/>
          <w:szCs w:val="26"/>
        </w:rPr>
      </w:pPr>
      <w:r>
        <w:rPr>
          <w:rFonts w:ascii="Times New Roman" w:hAnsi="Times New Roman"/>
          <w:b w:val="0"/>
          <w:sz w:val="26"/>
          <w:szCs w:val="26"/>
        </w:rPr>
        <w:tab/>
        <w:t>James H. Cawley</w:t>
      </w:r>
    </w:p>
    <w:p w:rsidR="00A8638A" w:rsidRPr="00A8638A" w:rsidRDefault="00A8638A" w:rsidP="00A8638A">
      <w:pPr>
        <w:pStyle w:val="Title"/>
        <w:jc w:val="left"/>
        <w:rPr>
          <w:rFonts w:ascii="Times New Roman" w:hAnsi="Times New Roman"/>
          <w:b w:val="0"/>
          <w:sz w:val="26"/>
          <w:szCs w:val="26"/>
        </w:rPr>
      </w:pPr>
      <w:r>
        <w:rPr>
          <w:rFonts w:ascii="Times New Roman" w:hAnsi="Times New Roman"/>
          <w:b w:val="0"/>
          <w:sz w:val="26"/>
          <w:szCs w:val="26"/>
        </w:rPr>
        <w:tab/>
        <w:t>Pamela A. Witmer</w:t>
      </w:r>
    </w:p>
    <w:p w:rsidR="0082408D" w:rsidRPr="00A8638A" w:rsidRDefault="0082408D">
      <w:pPr>
        <w:jc w:val="both"/>
        <w:rPr>
          <w:szCs w:val="26"/>
        </w:rPr>
      </w:pPr>
    </w:p>
    <w:p w:rsidR="0082408D" w:rsidRPr="00A8638A" w:rsidRDefault="0082408D">
      <w:pPr>
        <w:jc w:val="both"/>
        <w:rPr>
          <w:szCs w:val="26"/>
        </w:rPr>
      </w:pPr>
    </w:p>
    <w:p w:rsidR="00477873" w:rsidRPr="00A8638A" w:rsidRDefault="00AD5A47" w:rsidP="00477873">
      <w:pPr>
        <w:jc w:val="both"/>
        <w:rPr>
          <w:szCs w:val="26"/>
        </w:rPr>
      </w:pPr>
      <w:r w:rsidRPr="00A8638A">
        <w:rPr>
          <w:szCs w:val="26"/>
        </w:rPr>
        <w:t>Dawn Smith</w:t>
      </w:r>
      <w:r w:rsidRPr="00A8638A">
        <w:rPr>
          <w:szCs w:val="26"/>
        </w:rPr>
        <w:tab/>
      </w:r>
      <w:r w:rsidR="00A8638A">
        <w:rPr>
          <w:szCs w:val="26"/>
        </w:rPr>
        <w:tab/>
      </w:r>
      <w:r w:rsidR="00A8638A">
        <w:rPr>
          <w:szCs w:val="26"/>
        </w:rPr>
        <w:tab/>
      </w:r>
      <w:r w:rsidR="00A8638A">
        <w:rPr>
          <w:szCs w:val="26"/>
        </w:rPr>
        <w:tab/>
      </w:r>
      <w:r w:rsidR="00A8638A">
        <w:rPr>
          <w:szCs w:val="26"/>
        </w:rPr>
        <w:tab/>
      </w:r>
      <w:r w:rsidR="00A8638A">
        <w:rPr>
          <w:szCs w:val="26"/>
        </w:rPr>
        <w:tab/>
        <w:t xml:space="preserve">  </w:t>
      </w:r>
      <w:r w:rsidR="00A8638A">
        <w:rPr>
          <w:szCs w:val="26"/>
        </w:rPr>
        <w:tab/>
      </w:r>
      <w:r w:rsidR="00A8638A">
        <w:rPr>
          <w:szCs w:val="26"/>
        </w:rPr>
        <w:tab/>
      </w:r>
      <w:r w:rsidR="00A8638A">
        <w:rPr>
          <w:szCs w:val="26"/>
        </w:rPr>
        <w:tab/>
        <w:t xml:space="preserve">     </w:t>
      </w:r>
      <w:r w:rsidR="00A8638A" w:rsidRPr="00A8638A">
        <w:rPr>
          <w:szCs w:val="26"/>
        </w:rPr>
        <w:t>C-2012-2292814</w:t>
      </w:r>
      <w:r w:rsidR="001D32C7" w:rsidRPr="00A8638A">
        <w:rPr>
          <w:szCs w:val="26"/>
        </w:rPr>
        <w:tab/>
      </w:r>
      <w:r w:rsidR="00A8638A">
        <w:rPr>
          <w:szCs w:val="26"/>
        </w:rPr>
        <w:tab/>
      </w:r>
      <w:r w:rsidR="00A8638A">
        <w:rPr>
          <w:szCs w:val="26"/>
        </w:rPr>
        <w:tab/>
      </w:r>
      <w:r w:rsidR="00A8638A">
        <w:rPr>
          <w:szCs w:val="26"/>
        </w:rPr>
        <w:tab/>
      </w:r>
      <w:r w:rsidR="00A8638A">
        <w:rPr>
          <w:szCs w:val="26"/>
        </w:rPr>
        <w:tab/>
      </w:r>
    </w:p>
    <w:p w:rsidR="0082408D" w:rsidRPr="00A8638A" w:rsidRDefault="00A8638A">
      <w:pPr>
        <w:jc w:val="both"/>
        <w:rPr>
          <w:szCs w:val="26"/>
        </w:rPr>
      </w:pPr>
      <w:r>
        <w:rPr>
          <w:szCs w:val="26"/>
        </w:rPr>
        <w:tab/>
      </w:r>
      <w:proofErr w:type="gramStart"/>
      <w:r>
        <w:rPr>
          <w:szCs w:val="26"/>
        </w:rPr>
        <w:t>v</w:t>
      </w:r>
      <w:proofErr w:type="gramEnd"/>
      <w:r>
        <w:rPr>
          <w:szCs w:val="26"/>
        </w:rPr>
        <w:t>.</w:t>
      </w:r>
      <w:r>
        <w:rPr>
          <w:szCs w:val="26"/>
        </w:rPr>
        <w:tab/>
      </w:r>
      <w:r>
        <w:rPr>
          <w:szCs w:val="26"/>
        </w:rPr>
        <w:tab/>
      </w:r>
      <w:r>
        <w:rPr>
          <w:szCs w:val="26"/>
        </w:rPr>
        <w:tab/>
      </w:r>
      <w:r>
        <w:rPr>
          <w:szCs w:val="26"/>
        </w:rPr>
        <w:tab/>
      </w:r>
      <w:r>
        <w:rPr>
          <w:szCs w:val="26"/>
        </w:rPr>
        <w:tab/>
      </w:r>
      <w:r>
        <w:rPr>
          <w:szCs w:val="26"/>
        </w:rPr>
        <w:tab/>
      </w:r>
      <w:r w:rsidR="006555D7" w:rsidRPr="00A8638A">
        <w:rPr>
          <w:szCs w:val="26"/>
        </w:rPr>
        <w:tab/>
      </w:r>
      <w:r w:rsidR="006555D7" w:rsidRPr="00A8638A">
        <w:rPr>
          <w:szCs w:val="26"/>
        </w:rPr>
        <w:tab/>
      </w:r>
    </w:p>
    <w:p w:rsidR="0082408D" w:rsidRPr="00A8638A" w:rsidRDefault="00A8638A">
      <w:pPr>
        <w:ind w:firstLine="720"/>
        <w:jc w:val="both"/>
        <w:rPr>
          <w:szCs w:val="26"/>
        </w:rPr>
      </w:pPr>
      <w:r>
        <w:rPr>
          <w:szCs w:val="26"/>
        </w:rPr>
        <w:tab/>
      </w:r>
      <w:r>
        <w:rPr>
          <w:szCs w:val="26"/>
        </w:rPr>
        <w:tab/>
      </w:r>
      <w:r>
        <w:rPr>
          <w:szCs w:val="26"/>
        </w:rPr>
        <w:tab/>
      </w:r>
      <w:r>
        <w:rPr>
          <w:szCs w:val="26"/>
        </w:rPr>
        <w:tab/>
      </w:r>
      <w:r>
        <w:rPr>
          <w:szCs w:val="26"/>
        </w:rPr>
        <w:tab/>
      </w:r>
      <w:r>
        <w:rPr>
          <w:szCs w:val="26"/>
        </w:rPr>
        <w:tab/>
      </w:r>
    </w:p>
    <w:p w:rsidR="0082408D" w:rsidRPr="00A8638A" w:rsidRDefault="00AD5A47">
      <w:pPr>
        <w:jc w:val="both"/>
        <w:rPr>
          <w:szCs w:val="26"/>
        </w:rPr>
      </w:pPr>
      <w:r w:rsidRPr="00A8638A">
        <w:rPr>
          <w:szCs w:val="26"/>
        </w:rPr>
        <w:t>Pennsylvania Electric Company</w:t>
      </w:r>
      <w:r w:rsidRPr="00A8638A">
        <w:rPr>
          <w:szCs w:val="26"/>
        </w:rPr>
        <w:tab/>
      </w:r>
      <w:r w:rsidR="00A8638A">
        <w:rPr>
          <w:szCs w:val="26"/>
        </w:rPr>
        <w:tab/>
      </w:r>
      <w:r w:rsidR="00A8638A">
        <w:rPr>
          <w:szCs w:val="26"/>
        </w:rPr>
        <w:tab/>
      </w:r>
    </w:p>
    <w:p w:rsidR="0082408D" w:rsidRPr="00A8638A" w:rsidRDefault="0082408D">
      <w:pPr>
        <w:jc w:val="both"/>
        <w:rPr>
          <w:szCs w:val="26"/>
        </w:rPr>
      </w:pPr>
    </w:p>
    <w:p w:rsidR="006555D7" w:rsidRPr="00A8638A" w:rsidRDefault="006555D7">
      <w:pPr>
        <w:jc w:val="both"/>
        <w:rPr>
          <w:szCs w:val="26"/>
        </w:rPr>
      </w:pPr>
    </w:p>
    <w:p w:rsidR="0082408D" w:rsidRPr="00A8638A" w:rsidRDefault="00A8638A">
      <w:pPr>
        <w:pStyle w:val="Heading1"/>
        <w:rPr>
          <w:rFonts w:ascii="Times New Roman" w:hAnsi="Times New Roman"/>
          <w:sz w:val="26"/>
          <w:szCs w:val="26"/>
          <w:u w:val="none"/>
        </w:rPr>
      </w:pPr>
      <w:r>
        <w:rPr>
          <w:rFonts w:ascii="Times New Roman" w:hAnsi="Times New Roman"/>
          <w:sz w:val="26"/>
          <w:szCs w:val="26"/>
          <w:u w:val="none"/>
        </w:rPr>
        <w:t>OPINION AND ORDER</w:t>
      </w:r>
    </w:p>
    <w:p w:rsidR="0082408D" w:rsidRDefault="0082408D" w:rsidP="00A8638A">
      <w:pPr>
        <w:rPr>
          <w:b/>
          <w:szCs w:val="26"/>
        </w:rPr>
      </w:pPr>
    </w:p>
    <w:p w:rsidR="00A8638A" w:rsidRPr="00A8638A" w:rsidRDefault="00A8638A" w:rsidP="00A8638A">
      <w:pPr>
        <w:rPr>
          <w:szCs w:val="26"/>
        </w:rPr>
      </w:pPr>
      <w:r>
        <w:rPr>
          <w:b/>
          <w:szCs w:val="26"/>
        </w:rPr>
        <w:t>BY THE COMMISSION:</w:t>
      </w:r>
    </w:p>
    <w:p w:rsidR="0082408D" w:rsidRPr="00A8638A" w:rsidRDefault="0082408D">
      <w:pPr>
        <w:jc w:val="center"/>
        <w:rPr>
          <w:b/>
          <w:szCs w:val="26"/>
        </w:rPr>
      </w:pPr>
    </w:p>
    <w:p w:rsidR="0082408D" w:rsidRPr="00A8638A" w:rsidRDefault="0082408D">
      <w:pPr>
        <w:jc w:val="center"/>
        <w:rPr>
          <w:b/>
          <w:szCs w:val="26"/>
        </w:rPr>
      </w:pPr>
    </w:p>
    <w:p w:rsidR="00D3252E" w:rsidRPr="00D3252E" w:rsidRDefault="000026EB" w:rsidP="00D3252E">
      <w:pPr>
        <w:spacing w:line="360" w:lineRule="auto"/>
        <w:rPr>
          <w:szCs w:val="26"/>
        </w:rPr>
      </w:pPr>
      <w:r w:rsidRPr="00A8638A">
        <w:rPr>
          <w:szCs w:val="26"/>
        </w:rPr>
        <w:tab/>
      </w:r>
      <w:r w:rsidRPr="00A8638A">
        <w:rPr>
          <w:szCs w:val="26"/>
        </w:rPr>
        <w:tab/>
      </w:r>
      <w:r w:rsidR="00A8638A">
        <w:rPr>
          <w:szCs w:val="26"/>
        </w:rPr>
        <w:t>Before the Pennsylvania Public Utility Commission (Commission) for consideration and disposition is the Initial Decision (I.D.) of Adminis</w:t>
      </w:r>
      <w:r w:rsidR="00D3252E">
        <w:rPr>
          <w:szCs w:val="26"/>
        </w:rPr>
        <w:t>trative Law Judge (ALJ) Dennis J</w:t>
      </w:r>
      <w:r w:rsidR="00A8638A">
        <w:rPr>
          <w:szCs w:val="26"/>
        </w:rPr>
        <w:t>. Buckley</w:t>
      </w:r>
      <w:r w:rsidR="00D3252E">
        <w:rPr>
          <w:szCs w:val="26"/>
        </w:rPr>
        <w:t xml:space="preserve"> </w:t>
      </w:r>
      <w:r w:rsidR="00D3252E">
        <w:rPr>
          <w:spacing w:val="-3"/>
          <w:szCs w:val="26"/>
        </w:rPr>
        <w:t>issued on July 31, 2012, in the above-captioned proceeding.  The Initial</w:t>
      </w:r>
      <w:r w:rsidR="00FC08E7">
        <w:rPr>
          <w:spacing w:val="-3"/>
          <w:szCs w:val="26"/>
        </w:rPr>
        <w:t xml:space="preserve"> Decision granted the Preliminary Objections that were filed on April 4, 2012, by Pennsylvania </w:t>
      </w:r>
      <w:r w:rsidR="009A746B">
        <w:rPr>
          <w:spacing w:val="-3"/>
          <w:szCs w:val="26"/>
        </w:rPr>
        <w:t>Electric Company (</w:t>
      </w:r>
      <w:r w:rsidR="00FC08E7">
        <w:rPr>
          <w:spacing w:val="-3"/>
          <w:szCs w:val="26"/>
        </w:rPr>
        <w:t>Penelec), and dismissed the</w:t>
      </w:r>
      <w:r w:rsidR="00D3252E">
        <w:rPr>
          <w:spacing w:val="-3"/>
          <w:szCs w:val="26"/>
        </w:rPr>
        <w:t xml:space="preserve"> Formal Complaint </w:t>
      </w:r>
      <w:r w:rsidR="00FC08E7">
        <w:rPr>
          <w:spacing w:val="-3"/>
          <w:szCs w:val="26"/>
        </w:rPr>
        <w:t xml:space="preserve">(Complaint) that was filed by Dawn Smith </w:t>
      </w:r>
      <w:r w:rsidR="00D3252E">
        <w:rPr>
          <w:spacing w:val="-3"/>
          <w:szCs w:val="26"/>
        </w:rPr>
        <w:t>(Complainant)</w:t>
      </w:r>
      <w:r w:rsidR="00FC08E7">
        <w:rPr>
          <w:spacing w:val="-3"/>
          <w:szCs w:val="26"/>
        </w:rPr>
        <w:t xml:space="preserve"> on March 6, 2012.  </w:t>
      </w:r>
      <w:r w:rsidR="00D3252E">
        <w:rPr>
          <w:spacing w:val="-3"/>
          <w:szCs w:val="26"/>
        </w:rPr>
        <w:t>No Exceptions to the Initial Decision were filed.  However, we exercised our right to review the Initial Decision pursuant to Section 332(h) of the Public Uti</w:t>
      </w:r>
      <w:r w:rsidR="00FC08E7">
        <w:rPr>
          <w:spacing w:val="-3"/>
          <w:szCs w:val="26"/>
        </w:rPr>
        <w:t>lity Code (Code), 66 Pa. C.S. § </w:t>
      </w:r>
      <w:r w:rsidR="00D3252E">
        <w:rPr>
          <w:spacing w:val="-3"/>
          <w:szCs w:val="26"/>
        </w:rPr>
        <w:t>332(</w:t>
      </w:r>
      <w:r w:rsidR="00FC08E7">
        <w:rPr>
          <w:spacing w:val="-3"/>
          <w:szCs w:val="26"/>
        </w:rPr>
        <w:t xml:space="preserve">h).  Upon review, we will reverse the Initial Decision and remand this proceeding to the Office of Administrative Law Judge for </w:t>
      </w:r>
      <w:r w:rsidR="00812971">
        <w:rPr>
          <w:spacing w:val="-3"/>
          <w:szCs w:val="26"/>
        </w:rPr>
        <w:t>further proceedings as may be appropriate</w:t>
      </w:r>
      <w:r w:rsidR="00D3252E">
        <w:rPr>
          <w:spacing w:val="-3"/>
          <w:szCs w:val="26"/>
        </w:rPr>
        <w:t>.</w:t>
      </w:r>
    </w:p>
    <w:p w:rsidR="00D3252E" w:rsidRDefault="00D3252E" w:rsidP="00D3252E">
      <w:pPr>
        <w:tabs>
          <w:tab w:val="left" w:pos="-1440"/>
          <w:tab w:val="left" w:pos="-720"/>
        </w:tabs>
        <w:suppressAutoHyphens/>
        <w:spacing w:line="360" w:lineRule="auto"/>
        <w:jc w:val="center"/>
        <w:rPr>
          <w:b/>
          <w:spacing w:val="-3"/>
          <w:szCs w:val="26"/>
        </w:rPr>
      </w:pPr>
      <w:r>
        <w:rPr>
          <w:b/>
          <w:spacing w:val="-3"/>
          <w:szCs w:val="26"/>
        </w:rPr>
        <w:lastRenderedPageBreak/>
        <w:t>History of the Proceeding</w:t>
      </w:r>
    </w:p>
    <w:p w:rsidR="00FC08E7" w:rsidRDefault="00FC08E7" w:rsidP="00FC08E7">
      <w:pPr>
        <w:tabs>
          <w:tab w:val="left" w:pos="-1440"/>
          <w:tab w:val="left" w:pos="-720"/>
        </w:tabs>
        <w:suppressAutoHyphens/>
        <w:spacing w:line="360" w:lineRule="auto"/>
        <w:rPr>
          <w:b/>
          <w:spacing w:val="-3"/>
          <w:szCs w:val="26"/>
        </w:rPr>
      </w:pPr>
    </w:p>
    <w:p w:rsidR="00FC08E7" w:rsidRPr="00A8638A" w:rsidRDefault="00FC08E7" w:rsidP="00FC08E7">
      <w:pPr>
        <w:pStyle w:val="BodyText"/>
        <w:tabs>
          <w:tab w:val="clear" w:pos="1980"/>
          <w:tab w:val="left" w:pos="0"/>
        </w:tabs>
        <w:spacing w:line="360" w:lineRule="auto"/>
        <w:jc w:val="left"/>
        <w:rPr>
          <w:rFonts w:ascii="Times New Roman" w:hAnsi="Times New Roman"/>
          <w:sz w:val="26"/>
          <w:szCs w:val="26"/>
        </w:rPr>
      </w:pPr>
      <w:r>
        <w:rPr>
          <w:rFonts w:ascii="Times New Roman" w:hAnsi="Times New Roman"/>
          <w:sz w:val="26"/>
          <w:szCs w:val="26"/>
        </w:rPr>
        <w:tab/>
        <w:t xml:space="preserve"> </w:t>
      </w:r>
      <w:r>
        <w:rPr>
          <w:rFonts w:ascii="Times New Roman" w:hAnsi="Times New Roman"/>
          <w:sz w:val="26"/>
          <w:szCs w:val="26"/>
        </w:rPr>
        <w:tab/>
      </w:r>
      <w:r w:rsidRPr="00A8638A">
        <w:rPr>
          <w:rFonts w:ascii="Times New Roman" w:hAnsi="Times New Roman"/>
          <w:sz w:val="26"/>
          <w:szCs w:val="26"/>
        </w:rPr>
        <w:t xml:space="preserve">On March 6, 2012, the Complainant filed </w:t>
      </w:r>
      <w:r w:rsidR="006D1783">
        <w:rPr>
          <w:rFonts w:ascii="Times New Roman" w:hAnsi="Times New Roman"/>
          <w:sz w:val="26"/>
          <w:szCs w:val="26"/>
        </w:rPr>
        <w:t xml:space="preserve">the instant </w:t>
      </w:r>
      <w:r w:rsidR="006C2F4A">
        <w:rPr>
          <w:rFonts w:ascii="Times New Roman" w:hAnsi="Times New Roman"/>
          <w:sz w:val="26"/>
          <w:szCs w:val="26"/>
        </w:rPr>
        <w:t xml:space="preserve">Complaint alleging that </w:t>
      </w:r>
      <w:r w:rsidRPr="00A8638A">
        <w:rPr>
          <w:rFonts w:ascii="Times New Roman" w:hAnsi="Times New Roman"/>
          <w:sz w:val="26"/>
          <w:szCs w:val="26"/>
        </w:rPr>
        <w:t>Penelec was responsible</w:t>
      </w:r>
      <w:r w:rsidR="006C2F4A">
        <w:rPr>
          <w:rFonts w:ascii="Times New Roman" w:hAnsi="Times New Roman"/>
          <w:sz w:val="26"/>
          <w:szCs w:val="26"/>
        </w:rPr>
        <w:t xml:space="preserve"> </w:t>
      </w:r>
      <w:r w:rsidRPr="00A8638A">
        <w:rPr>
          <w:rFonts w:ascii="Times New Roman" w:hAnsi="Times New Roman"/>
          <w:sz w:val="26"/>
          <w:szCs w:val="26"/>
        </w:rPr>
        <w:t>for a fire that oc</w:t>
      </w:r>
      <w:r w:rsidR="006C2F4A">
        <w:rPr>
          <w:rFonts w:ascii="Times New Roman" w:hAnsi="Times New Roman"/>
          <w:sz w:val="26"/>
          <w:szCs w:val="26"/>
        </w:rPr>
        <w:t xml:space="preserve">curred on December 11, 2011, in the basement of </w:t>
      </w:r>
      <w:r w:rsidRPr="00A8638A">
        <w:rPr>
          <w:rFonts w:ascii="Times New Roman" w:hAnsi="Times New Roman"/>
          <w:sz w:val="26"/>
          <w:szCs w:val="26"/>
        </w:rPr>
        <w:t>a rental property owned by C</w:t>
      </w:r>
      <w:r>
        <w:rPr>
          <w:rFonts w:ascii="Times New Roman" w:hAnsi="Times New Roman"/>
          <w:sz w:val="26"/>
          <w:szCs w:val="26"/>
        </w:rPr>
        <w:t>omplainant and her husband</w:t>
      </w:r>
      <w:r w:rsidR="006C2F4A">
        <w:rPr>
          <w:rFonts w:ascii="Times New Roman" w:hAnsi="Times New Roman"/>
          <w:sz w:val="26"/>
          <w:szCs w:val="26"/>
        </w:rPr>
        <w:t>.</w:t>
      </w:r>
      <w:r w:rsidR="006D1783">
        <w:rPr>
          <w:rFonts w:ascii="Times New Roman" w:hAnsi="Times New Roman"/>
          <w:sz w:val="26"/>
          <w:szCs w:val="26"/>
        </w:rPr>
        <w:t xml:space="preserve">  The Complainant</w:t>
      </w:r>
      <w:r w:rsidR="00FA53E3">
        <w:rPr>
          <w:rFonts w:ascii="Times New Roman" w:hAnsi="Times New Roman"/>
          <w:sz w:val="26"/>
          <w:szCs w:val="26"/>
        </w:rPr>
        <w:t xml:space="preserve"> alleged that the fire was caused by a broken electric line and a fa</w:t>
      </w:r>
      <w:r w:rsidR="009A746B">
        <w:rPr>
          <w:rFonts w:ascii="Times New Roman" w:hAnsi="Times New Roman"/>
          <w:sz w:val="26"/>
          <w:szCs w:val="26"/>
        </w:rPr>
        <w:t xml:space="preserve">ulty transformer, and that </w:t>
      </w:r>
      <w:r w:rsidR="00FA53E3">
        <w:rPr>
          <w:rFonts w:ascii="Times New Roman" w:hAnsi="Times New Roman"/>
          <w:sz w:val="26"/>
          <w:szCs w:val="26"/>
        </w:rPr>
        <w:t>the fire resulted in $3,841.60</w:t>
      </w:r>
      <w:r w:rsidRPr="00A8638A">
        <w:rPr>
          <w:rFonts w:ascii="Times New Roman" w:hAnsi="Times New Roman"/>
          <w:sz w:val="26"/>
          <w:szCs w:val="26"/>
        </w:rPr>
        <w:t xml:space="preserve"> in damage</w:t>
      </w:r>
      <w:r w:rsidR="00FA53E3">
        <w:rPr>
          <w:rFonts w:ascii="Times New Roman" w:hAnsi="Times New Roman"/>
          <w:sz w:val="26"/>
          <w:szCs w:val="26"/>
        </w:rPr>
        <w:t>s</w:t>
      </w:r>
      <w:r w:rsidR="009A746B">
        <w:rPr>
          <w:rFonts w:ascii="Times New Roman" w:hAnsi="Times New Roman"/>
          <w:sz w:val="26"/>
          <w:szCs w:val="26"/>
        </w:rPr>
        <w:t xml:space="preserve">.  </w:t>
      </w:r>
      <w:r w:rsidR="00FA53E3">
        <w:rPr>
          <w:rFonts w:ascii="Times New Roman" w:hAnsi="Times New Roman"/>
          <w:sz w:val="26"/>
          <w:szCs w:val="26"/>
        </w:rPr>
        <w:t>Attached to the Complaint w</w:t>
      </w:r>
      <w:r w:rsidR="00F0637B">
        <w:rPr>
          <w:rFonts w:ascii="Times New Roman" w:hAnsi="Times New Roman"/>
          <w:sz w:val="26"/>
          <w:szCs w:val="26"/>
        </w:rPr>
        <w:t xml:space="preserve">ere, </w:t>
      </w:r>
      <w:r w:rsidR="00F0637B" w:rsidRPr="00F0637B">
        <w:rPr>
          <w:rFonts w:ascii="Times New Roman" w:hAnsi="Times New Roman"/>
          <w:i/>
          <w:sz w:val="26"/>
          <w:szCs w:val="26"/>
        </w:rPr>
        <w:t>inter alia</w:t>
      </w:r>
      <w:r w:rsidR="00F0637B">
        <w:rPr>
          <w:rFonts w:ascii="Times New Roman" w:hAnsi="Times New Roman"/>
          <w:sz w:val="26"/>
          <w:szCs w:val="26"/>
        </w:rPr>
        <w:t xml:space="preserve">, a list of </w:t>
      </w:r>
      <w:r w:rsidR="00FA53E3">
        <w:rPr>
          <w:rFonts w:ascii="Times New Roman" w:hAnsi="Times New Roman"/>
          <w:sz w:val="26"/>
          <w:szCs w:val="26"/>
        </w:rPr>
        <w:t>items</w:t>
      </w:r>
      <w:r w:rsidR="00F0637B">
        <w:rPr>
          <w:rFonts w:ascii="Times New Roman" w:hAnsi="Times New Roman"/>
          <w:sz w:val="26"/>
          <w:szCs w:val="26"/>
        </w:rPr>
        <w:t xml:space="preserve"> damaged by the fire</w:t>
      </w:r>
      <w:r w:rsidR="00FA53E3">
        <w:rPr>
          <w:rFonts w:ascii="Times New Roman" w:hAnsi="Times New Roman"/>
          <w:sz w:val="26"/>
          <w:szCs w:val="26"/>
        </w:rPr>
        <w:t xml:space="preserve">, copies of receipts for </w:t>
      </w:r>
      <w:r w:rsidR="00F0637B">
        <w:rPr>
          <w:rFonts w:ascii="Times New Roman" w:hAnsi="Times New Roman"/>
          <w:sz w:val="26"/>
          <w:szCs w:val="26"/>
        </w:rPr>
        <w:t xml:space="preserve">several </w:t>
      </w:r>
      <w:r w:rsidR="00FA53E3">
        <w:rPr>
          <w:rFonts w:ascii="Times New Roman" w:hAnsi="Times New Roman"/>
          <w:sz w:val="26"/>
          <w:szCs w:val="26"/>
        </w:rPr>
        <w:t xml:space="preserve">replacement items, and an estimate for the </w:t>
      </w:r>
      <w:r w:rsidR="00F0637B">
        <w:rPr>
          <w:rFonts w:ascii="Times New Roman" w:hAnsi="Times New Roman"/>
          <w:sz w:val="26"/>
          <w:szCs w:val="26"/>
        </w:rPr>
        <w:t xml:space="preserve">replacement of fire-damaged </w:t>
      </w:r>
      <w:r w:rsidR="006D1783">
        <w:rPr>
          <w:rFonts w:ascii="Times New Roman" w:hAnsi="Times New Roman"/>
          <w:sz w:val="26"/>
          <w:szCs w:val="26"/>
        </w:rPr>
        <w:t>paneling in the basement</w:t>
      </w:r>
      <w:r w:rsidR="00F0637B">
        <w:rPr>
          <w:rFonts w:ascii="Times New Roman" w:hAnsi="Times New Roman"/>
          <w:sz w:val="26"/>
          <w:szCs w:val="26"/>
        </w:rPr>
        <w:t>.</w:t>
      </w:r>
      <w:r w:rsidR="007E00A7" w:rsidRPr="007E00A7">
        <w:rPr>
          <w:rFonts w:ascii="Times New Roman" w:hAnsi="Times New Roman"/>
          <w:sz w:val="26"/>
          <w:szCs w:val="26"/>
        </w:rPr>
        <w:t xml:space="preserve"> </w:t>
      </w:r>
      <w:r w:rsidR="007E00A7">
        <w:rPr>
          <w:rFonts w:ascii="Times New Roman" w:hAnsi="Times New Roman"/>
          <w:sz w:val="26"/>
          <w:szCs w:val="26"/>
        </w:rPr>
        <w:t>The Complainant</w:t>
      </w:r>
      <w:r w:rsidR="007E00A7" w:rsidRPr="007E00A7">
        <w:rPr>
          <w:rFonts w:ascii="Times New Roman" w:hAnsi="Times New Roman"/>
          <w:sz w:val="26"/>
          <w:szCs w:val="26"/>
        </w:rPr>
        <w:t xml:space="preserve"> </w:t>
      </w:r>
      <w:r w:rsidR="007E00A7">
        <w:rPr>
          <w:rFonts w:ascii="Times New Roman" w:hAnsi="Times New Roman"/>
          <w:sz w:val="26"/>
          <w:szCs w:val="26"/>
        </w:rPr>
        <w:t>reques</w:t>
      </w:r>
      <w:r w:rsidR="009A746B">
        <w:rPr>
          <w:rFonts w:ascii="Times New Roman" w:hAnsi="Times New Roman"/>
          <w:sz w:val="26"/>
          <w:szCs w:val="26"/>
        </w:rPr>
        <w:t xml:space="preserve">ted reimbursement </w:t>
      </w:r>
      <w:r w:rsidR="007E00A7">
        <w:rPr>
          <w:rFonts w:ascii="Times New Roman" w:hAnsi="Times New Roman"/>
          <w:sz w:val="26"/>
          <w:szCs w:val="26"/>
        </w:rPr>
        <w:t>for the replacement</w:t>
      </w:r>
      <w:r w:rsidR="007E00A7" w:rsidRPr="007E00A7">
        <w:rPr>
          <w:rFonts w:ascii="Times New Roman" w:hAnsi="Times New Roman"/>
          <w:sz w:val="26"/>
          <w:szCs w:val="26"/>
        </w:rPr>
        <w:t xml:space="preserve"> of her basement </w:t>
      </w:r>
      <w:r w:rsidR="007E00A7">
        <w:rPr>
          <w:rFonts w:ascii="Times New Roman" w:hAnsi="Times New Roman"/>
          <w:sz w:val="26"/>
          <w:szCs w:val="26"/>
        </w:rPr>
        <w:t xml:space="preserve">paneling </w:t>
      </w:r>
      <w:r w:rsidR="007E00A7" w:rsidRPr="007E00A7">
        <w:rPr>
          <w:rFonts w:ascii="Times New Roman" w:hAnsi="Times New Roman"/>
          <w:sz w:val="26"/>
          <w:szCs w:val="26"/>
        </w:rPr>
        <w:t>and a v</w:t>
      </w:r>
      <w:r w:rsidR="007E00A7">
        <w:rPr>
          <w:rFonts w:ascii="Times New Roman" w:hAnsi="Times New Roman"/>
          <w:sz w:val="26"/>
          <w:szCs w:val="26"/>
        </w:rPr>
        <w:t xml:space="preserve">ariety of household electronics, the repair of her </w:t>
      </w:r>
      <w:r w:rsidR="007E00A7" w:rsidRPr="007E00A7">
        <w:rPr>
          <w:rFonts w:ascii="Times New Roman" w:hAnsi="Times New Roman"/>
          <w:sz w:val="26"/>
          <w:szCs w:val="26"/>
        </w:rPr>
        <w:t xml:space="preserve">furnace, </w:t>
      </w:r>
      <w:r w:rsidR="007E00A7">
        <w:rPr>
          <w:rFonts w:ascii="Times New Roman" w:hAnsi="Times New Roman"/>
          <w:sz w:val="26"/>
          <w:szCs w:val="26"/>
        </w:rPr>
        <w:t xml:space="preserve">and </w:t>
      </w:r>
      <w:r w:rsidR="007E00A7" w:rsidRPr="007E00A7">
        <w:rPr>
          <w:rFonts w:ascii="Times New Roman" w:hAnsi="Times New Roman"/>
          <w:sz w:val="26"/>
          <w:szCs w:val="26"/>
        </w:rPr>
        <w:t>an inspection of h</w:t>
      </w:r>
      <w:r w:rsidR="007E00A7">
        <w:rPr>
          <w:rFonts w:ascii="Times New Roman" w:hAnsi="Times New Roman"/>
          <w:sz w:val="26"/>
          <w:szCs w:val="26"/>
        </w:rPr>
        <w:t>er wiring by an electrician.</w:t>
      </w:r>
      <w:r w:rsidR="009A746B" w:rsidRPr="009A746B">
        <w:rPr>
          <w:rFonts w:ascii="Times New Roman" w:hAnsi="Times New Roman"/>
          <w:sz w:val="26"/>
          <w:szCs w:val="26"/>
        </w:rPr>
        <w:t xml:space="preserve"> </w:t>
      </w:r>
      <w:r w:rsidR="009A746B">
        <w:rPr>
          <w:rFonts w:ascii="Times New Roman" w:hAnsi="Times New Roman"/>
          <w:sz w:val="26"/>
          <w:szCs w:val="26"/>
        </w:rPr>
        <w:t xml:space="preserve"> Complaint at 7-8.</w:t>
      </w:r>
    </w:p>
    <w:p w:rsidR="00FC08E7" w:rsidRPr="00A8638A" w:rsidRDefault="00FC08E7" w:rsidP="00FC08E7">
      <w:pPr>
        <w:pStyle w:val="BodyText"/>
        <w:tabs>
          <w:tab w:val="clear" w:pos="1980"/>
          <w:tab w:val="left" w:pos="0"/>
        </w:tabs>
        <w:spacing w:line="360" w:lineRule="auto"/>
        <w:jc w:val="left"/>
        <w:rPr>
          <w:rFonts w:ascii="Times New Roman" w:hAnsi="Times New Roman"/>
          <w:sz w:val="26"/>
          <w:szCs w:val="26"/>
        </w:rPr>
      </w:pPr>
      <w:r w:rsidRPr="00A8638A">
        <w:rPr>
          <w:rFonts w:ascii="Times New Roman" w:hAnsi="Times New Roman"/>
          <w:sz w:val="26"/>
          <w:szCs w:val="26"/>
        </w:rPr>
        <w:t xml:space="preserve"> </w:t>
      </w:r>
    </w:p>
    <w:p w:rsidR="00FC08E7" w:rsidRPr="00A8638A" w:rsidRDefault="00FC08E7" w:rsidP="00FC08E7">
      <w:pPr>
        <w:pStyle w:val="BodyText"/>
        <w:tabs>
          <w:tab w:val="clear" w:pos="1980"/>
          <w:tab w:val="left" w:pos="0"/>
        </w:tabs>
        <w:spacing w:line="360" w:lineRule="auto"/>
        <w:jc w:val="left"/>
        <w:rPr>
          <w:rFonts w:ascii="Times New Roman" w:hAnsi="Times New Roman"/>
          <w:sz w:val="26"/>
          <w:szCs w:val="26"/>
        </w:rPr>
      </w:pPr>
      <w:r w:rsidRPr="00A8638A">
        <w:rPr>
          <w:rFonts w:ascii="Times New Roman" w:hAnsi="Times New Roman"/>
          <w:sz w:val="26"/>
          <w:szCs w:val="26"/>
        </w:rPr>
        <w:tab/>
      </w:r>
      <w:r w:rsidRPr="00A8638A">
        <w:rPr>
          <w:rFonts w:ascii="Times New Roman" w:hAnsi="Times New Roman"/>
          <w:sz w:val="26"/>
          <w:szCs w:val="26"/>
        </w:rPr>
        <w:tab/>
        <w:t xml:space="preserve">On April 4, 2012, Penelec filed an Answer </w:t>
      </w:r>
      <w:r w:rsidR="001A55E2">
        <w:rPr>
          <w:rFonts w:ascii="Times New Roman" w:hAnsi="Times New Roman"/>
          <w:sz w:val="26"/>
          <w:szCs w:val="26"/>
        </w:rPr>
        <w:t xml:space="preserve">and New Matter (Answer) to the Complaint denying that there was a </w:t>
      </w:r>
      <w:r w:rsidR="00255082">
        <w:rPr>
          <w:rFonts w:ascii="Times New Roman" w:hAnsi="Times New Roman"/>
          <w:sz w:val="26"/>
          <w:szCs w:val="26"/>
        </w:rPr>
        <w:t>fire</w:t>
      </w:r>
      <w:r w:rsidR="001A55E2">
        <w:rPr>
          <w:rFonts w:ascii="Times New Roman" w:hAnsi="Times New Roman"/>
          <w:sz w:val="26"/>
          <w:szCs w:val="26"/>
        </w:rPr>
        <w:t xml:space="preserve"> in the basement of the Complainant’s rental house, and demanding proof thereof at hearing</w:t>
      </w:r>
      <w:r w:rsidR="006D1783">
        <w:rPr>
          <w:rFonts w:ascii="Times New Roman" w:hAnsi="Times New Roman"/>
          <w:sz w:val="26"/>
          <w:szCs w:val="26"/>
        </w:rPr>
        <w:t xml:space="preserve">.  </w:t>
      </w:r>
      <w:r w:rsidR="001A55E2">
        <w:rPr>
          <w:rFonts w:ascii="Times New Roman" w:hAnsi="Times New Roman"/>
          <w:sz w:val="26"/>
          <w:szCs w:val="26"/>
        </w:rPr>
        <w:t xml:space="preserve">Answer at 2.  </w:t>
      </w:r>
      <w:r w:rsidR="006D1783">
        <w:rPr>
          <w:rFonts w:ascii="Times New Roman" w:hAnsi="Times New Roman"/>
          <w:sz w:val="26"/>
          <w:szCs w:val="26"/>
        </w:rPr>
        <w:t>I</w:t>
      </w:r>
      <w:r w:rsidR="00255082">
        <w:rPr>
          <w:rFonts w:ascii="Times New Roman" w:hAnsi="Times New Roman"/>
          <w:sz w:val="26"/>
          <w:szCs w:val="26"/>
        </w:rPr>
        <w:t>n</w:t>
      </w:r>
      <w:r w:rsidRPr="00A8638A">
        <w:rPr>
          <w:rFonts w:ascii="Times New Roman" w:hAnsi="Times New Roman"/>
          <w:sz w:val="26"/>
          <w:szCs w:val="26"/>
        </w:rPr>
        <w:t xml:space="preserve"> </w:t>
      </w:r>
      <w:r w:rsidR="001A55E2">
        <w:rPr>
          <w:rFonts w:ascii="Times New Roman" w:hAnsi="Times New Roman"/>
          <w:sz w:val="26"/>
          <w:szCs w:val="26"/>
        </w:rPr>
        <w:t xml:space="preserve">its </w:t>
      </w:r>
      <w:r w:rsidRPr="00A8638A">
        <w:rPr>
          <w:rFonts w:ascii="Times New Roman" w:hAnsi="Times New Roman"/>
          <w:sz w:val="26"/>
          <w:szCs w:val="26"/>
        </w:rPr>
        <w:t>New Matte</w:t>
      </w:r>
      <w:r>
        <w:rPr>
          <w:rFonts w:ascii="Times New Roman" w:hAnsi="Times New Roman"/>
          <w:sz w:val="26"/>
          <w:szCs w:val="26"/>
        </w:rPr>
        <w:t>r</w:t>
      </w:r>
      <w:r w:rsidR="006D1783">
        <w:rPr>
          <w:rFonts w:ascii="Times New Roman" w:hAnsi="Times New Roman"/>
          <w:sz w:val="26"/>
          <w:szCs w:val="26"/>
        </w:rPr>
        <w:t>, Penelec argued</w:t>
      </w:r>
      <w:r>
        <w:rPr>
          <w:rFonts w:ascii="Times New Roman" w:hAnsi="Times New Roman"/>
          <w:sz w:val="26"/>
          <w:szCs w:val="26"/>
        </w:rPr>
        <w:t xml:space="preserve"> that</w:t>
      </w:r>
      <w:r w:rsidR="00255082">
        <w:rPr>
          <w:rFonts w:ascii="Times New Roman" w:hAnsi="Times New Roman"/>
          <w:sz w:val="26"/>
          <w:szCs w:val="26"/>
        </w:rPr>
        <w:t xml:space="preserve"> the Complainant does not have </w:t>
      </w:r>
      <w:r w:rsidRPr="00A8638A">
        <w:rPr>
          <w:rFonts w:ascii="Times New Roman" w:hAnsi="Times New Roman"/>
          <w:sz w:val="26"/>
          <w:szCs w:val="26"/>
        </w:rPr>
        <w:t>standing</w:t>
      </w:r>
      <w:r w:rsidR="00255082">
        <w:rPr>
          <w:rFonts w:ascii="Times New Roman" w:hAnsi="Times New Roman"/>
          <w:sz w:val="26"/>
          <w:szCs w:val="26"/>
        </w:rPr>
        <w:t xml:space="preserve"> </w:t>
      </w:r>
      <w:r w:rsidRPr="00A8638A">
        <w:rPr>
          <w:rFonts w:ascii="Times New Roman" w:hAnsi="Times New Roman"/>
          <w:sz w:val="26"/>
          <w:szCs w:val="26"/>
        </w:rPr>
        <w:t xml:space="preserve">to </w:t>
      </w:r>
      <w:r w:rsidR="001A55E2">
        <w:rPr>
          <w:rFonts w:ascii="Times New Roman" w:hAnsi="Times New Roman"/>
          <w:sz w:val="26"/>
          <w:szCs w:val="26"/>
        </w:rPr>
        <w:t xml:space="preserve">prosecute her Complaint because she is not the ratepayer of record at the service address.  </w:t>
      </w:r>
      <w:r w:rsidR="001A55E2" w:rsidRPr="001A55E2">
        <w:rPr>
          <w:rFonts w:ascii="Times New Roman" w:hAnsi="Times New Roman"/>
          <w:i/>
          <w:sz w:val="26"/>
          <w:szCs w:val="26"/>
        </w:rPr>
        <w:t>Id</w:t>
      </w:r>
      <w:r w:rsidR="001A55E2">
        <w:rPr>
          <w:rFonts w:ascii="Times New Roman" w:hAnsi="Times New Roman"/>
          <w:sz w:val="26"/>
          <w:szCs w:val="26"/>
        </w:rPr>
        <w:t>. at 6.  Penel</w:t>
      </w:r>
      <w:r w:rsidR="004321F5">
        <w:rPr>
          <w:rFonts w:ascii="Times New Roman" w:hAnsi="Times New Roman"/>
          <w:sz w:val="26"/>
          <w:szCs w:val="26"/>
        </w:rPr>
        <w:t>e</w:t>
      </w:r>
      <w:r w:rsidR="001A55E2">
        <w:rPr>
          <w:rFonts w:ascii="Times New Roman" w:hAnsi="Times New Roman"/>
          <w:sz w:val="26"/>
          <w:szCs w:val="26"/>
        </w:rPr>
        <w:t>c also noted that the “majority of the receipts attached to the Complaint are for household goods” and argued that the Complainant is not authorized to assert a claim for losses on her</w:t>
      </w:r>
      <w:r w:rsidRPr="00A8638A">
        <w:rPr>
          <w:rFonts w:ascii="Times New Roman" w:hAnsi="Times New Roman"/>
          <w:sz w:val="26"/>
          <w:szCs w:val="26"/>
        </w:rPr>
        <w:t xml:space="preserve"> tenant’s behalf.</w:t>
      </w:r>
      <w:r w:rsidR="00255082">
        <w:rPr>
          <w:rFonts w:ascii="Times New Roman" w:hAnsi="Times New Roman"/>
          <w:sz w:val="26"/>
          <w:szCs w:val="26"/>
        </w:rPr>
        <w:t xml:space="preserve">  </w:t>
      </w:r>
      <w:r w:rsidR="004321F5" w:rsidRPr="004321F5">
        <w:rPr>
          <w:rFonts w:ascii="Times New Roman" w:hAnsi="Times New Roman"/>
          <w:i/>
          <w:sz w:val="26"/>
          <w:szCs w:val="26"/>
        </w:rPr>
        <w:t>Id.</w:t>
      </w:r>
      <w:r w:rsidR="004321F5">
        <w:rPr>
          <w:rFonts w:ascii="Times New Roman" w:hAnsi="Times New Roman"/>
          <w:sz w:val="26"/>
          <w:szCs w:val="26"/>
        </w:rPr>
        <w:t xml:space="preserve"> at 7.  </w:t>
      </w:r>
      <w:r w:rsidRPr="00A8638A">
        <w:rPr>
          <w:rFonts w:ascii="Times New Roman" w:hAnsi="Times New Roman"/>
          <w:sz w:val="26"/>
          <w:szCs w:val="26"/>
        </w:rPr>
        <w:t>Also on April 4, 2012, Penelec filed Preliminary Objection</w:t>
      </w:r>
      <w:r w:rsidR="00255082">
        <w:rPr>
          <w:rFonts w:ascii="Times New Roman" w:hAnsi="Times New Roman"/>
          <w:sz w:val="26"/>
          <w:szCs w:val="26"/>
        </w:rPr>
        <w:t xml:space="preserve">s </w:t>
      </w:r>
      <w:r w:rsidRPr="00A8638A">
        <w:rPr>
          <w:rFonts w:ascii="Times New Roman" w:hAnsi="Times New Roman"/>
          <w:sz w:val="26"/>
          <w:szCs w:val="26"/>
        </w:rPr>
        <w:t>seeking dismissal o</w:t>
      </w:r>
      <w:r w:rsidR="004321F5">
        <w:rPr>
          <w:rFonts w:ascii="Times New Roman" w:hAnsi="Times New Roman"/>
          <w:sz w:val="26"/>
          <w:szCs w:val="26"/>
        </w:rPr>
        <w:t xml:space="preserve">f the Complaint as </w:t>
      </w:r>
      <w:r w:rsidRPr="00A8638A">
        <w:rPr>
          <w:rFonts w:ascii="Times New Roman" w:hAnsi="Times New Roman"/>
          <w:sz w:val="26"/>
          <w:szCs w:val="26"/>
        </w:rPr>
        <w:t>legal</w:t>
      </w:r>
      <w:r w:rsidR="004321F5">
        <w:rPr>
          <w:rFonts w:ascii="Times New Roman" w:hAnsi="Times New Roman"/>
          <w:sz w:val="26"/>
          <w:szCs w:val="26"/>
        </w:rPr>
        <w:t>ly</w:t>
      </w:r>
      <w:r w:rsidRPr="00A8638A">
        <w:rPr>
          <w:rFonts w:ascii="Times New Roman" w:hAnsi="Times New Roman"/>
          <w:sz w:val="26"/>
          <w:szCs w:val="26"/>
        </w:rPr>
        <w:t xml:space="preserve"> </w:t>
      </w:r>
      <w:r w:rsidR="004321F5">
        <w:rPr>
          <w:rFonts w:ascii="Times New Roman" w:hAnsi="Times New Roman"/>
          <w:sz w:val="26"/>
          <w:szCs w:val="26"/>
        </w:rPr>
        <w:t xml:space="preserve">insufficient, based on </w:t>
      </w:r>
      <w:r w:rsidR="009A746B">
        <w:rPr>
          <w:rFonts w:ascii="Times New Roman" w:hAnsi="Times New Roman"/>
          <w:sz w:val="26"/>
          <w:szCs w:val="26"/>
        </w:rPr>
        <w:t xml:space="preserve">the Commission’s inability to award </w:t>
      </w:r>
      <w:r w:rsidRPr="00A8638A">
        <w:rPr>
          <w:rFonts w:ascii="Times New Roman" w:hAnsi="Times New Roman"/>
          <w:sz w:val="26"/>
          <w:szCs w:val="26"/>
        </w:rPr>
        <w:t>monetary damages.</w:t>
      </w:r>
      <w:r w:rsidR="00255082">
        <w:rPr>
          <w:rFonts w:ascii="Times New Roman" w:hAnsi="Times New Roman"/>
          <w:sz w:val="26"/>
          <w:szCs w:val="26"/>
        </w:rPr>
        <w:t xml:space="preserve">  </w:t>
      </w:r>
      <w:r w:rsidR="004321F5">
        <w:rPr>
          <w:rFonts w:ascii="Times New Roman" w:hAnsi="Times New Roman"/>
          <w:sz w:val="26"/>
          <w:szCs w:val="26"/>
        </w:rPr>
        <w:t xml:space="preserve">Preliminary Objections at 4.  </w:t>
      </w:r>
      <w:r w:rsidR="00255082">
        <w:rPr>
          <w:rFonts w:ascii="Times New Roman" w:hAnsi="Times New Roman"/>
          <w:sz w:val="26"/>
          <w:szCs w:val="26"/>
        </w:rPr>
        <w:t>The Complainant did not file</w:t>
      </w:r>
      <w:r w:rsidRPr="00A8638A">
        <w:rPr>
          <w:rFonts w:ascii="Times New Roman" w:hAnsi="Times New Roman"/>
          <w:sz w:val="26"/>
          <w:szCs w:val="26"/>
        </w:rPr>
        <w:t xml:space="preserve"> any responsive pleading</w:t>
      </w:r>
      <w:r w:rsidR="00255082">
        <w:rPr>
          <w:rFonts w:ascii="Times New Roman" w:hAnsi="Times New Roman"/>
          <w:sz w:val="26"/>
          <w:szCs w:val="26"/>
        </w:rPr>
        <w:t>s</w:t>
      </w:r>
      <w:r w:rsidRPr="00A8638A">
        <w:rPr>
          <w:rFonts w:ascii="Times New Roman" w:hAnsi="Times New Roman"/>
          <w:sz w:val="26"/>
          <w:szCs w:val="26"/>
        </w:rPr>
        <w:t xml:space="preserve"> to Penelec’s New Matter or Preliminary Objections.</w:t>
      </w:r>
    </w:p>
    <w:p w:rsidR="00FC08E7" w:rsidRPr="00A8638A" w:rsidRDefault="00FC08E7" w:rsidP="00FC08E7">
      <w:pPr>
        <w:pStyle w:val="BodyText"/>
        <w:tabs>
          <w:tab w:val="clear" w:pos="1980"/>
          <w:tab w:val="left" w:pos="0"/>
        </w:tabs>
        <w:spacing w:line="360" w:lineRule="auto"/>
        <w:jc w:val="left"/>
        <w:rPr>
          <w:rFonts w:ascii="Times New Roman" w:hAnsi="Times New Roman"/>
          <w:sz w:val="26"/>
          <w:szCs w:val="26"/>
        </w:rPr>
      </w:pPr>
    </w:p>
    <w:p w:rsidR="00D3252E" w:rsidRPr="006D1783" w:rsidRDefault="00FC08E7" w:rsidP="006D1783">
      <w:pPr>
        <w:pStyle w:val="BodyText"/>
        <w:tabs>
          <w:tab w:val="clear" w:pos="1980"/>
          <w:tab w:val="left" w:pos="0"/>
        </w:tabs>
        <w:spacing w:line="360" w:lineRule="auto"/>
        <w:jc w:val="left"/>
        <w:rPr>
          <w:rFonts w:ascii="Times New Roman" w:hAnsi="Times New Roman"/>
          <w:sz w:val="26"/>
          <w:szCs w:val="26"/>
        </w:rPr>
      </w:pPr>
      <w:r w:rsidRPr="00A8638A">
        <w:rPr>
          <w:rFonts w:ascii="Times New Roman" w:hAnsi="Times New Roman"/>
          <w:sz w:val="26"/>
          <w:szCs w:val="26"/>
        </w:rPr>
        <w:tab/>
      </w:r>
      <w:r w:rsidRPr="00A8638A">
        <w:rPr>
          <w:rFonts w:ascii="Times New Roman" w:hAnsi="Times New Roman"/>
          <w:sz w:val="26"/>
          <w:szCs w:val="26"/>
        </w:rPr>
        <w:tab/>
        <w:t>On April 10, 2012, this matter</w:t>
      </w:r>
      <w:r w:rsidR="00255082">
        <w:rPr>
          <w:rFonts w:ascii="Times New Roman" w:hAnsi="Times New Roman"/>
          <w:sz w:val="26"/>
          <w:szCs w:val="26"/>
        </w:rPr>
        <w:t xml:space="preserve"> was assigned to ALJ Buckley</w:t>
      </w:r>
      <w:r w:rsidRPr="00A8638A">
        <w:rPr>
          <w:rFonts w:ascii="Times New Roman" w:hAnsi="Times New Roman"/>
          <w:sz w:val="26"/>
          <w:szCs w:val="26"/>
        </w:rPr>
        <w:t xml:space="preserve"> as Motion Judge.</w:t>
      </w:r>
      <w:r w:rsidR="00255082">
        <w:rPr>
          <w:rFonts w:ascii="Times New Roman" w:hAnsi="Times New Roman"/>
          <w:sz w:val="26"/>
          <w:szCs w:val="26"/>
        </w:rPr>
        <w:t xml:space="preserve">  </w:t>
      </w:r>
      <w:r w:rsidRPr="00A8638A">
        <w:rPr>
          <w:rFonts w:ascii="Times New Roman" w:hAnsi="Times New Roman"/>
          <w:sz w:val="26"/>
          <w:szCs w:val="26"/>
        </w:rPr>
        <w:t>A telephonic preliminary hearing was held on July 6, 20</w:t>
      </w:r>
      <w:r w:rsidR="00255082">
        <w:rPr>
          <w:rFonts w:ascii="Times New Roman" w:hAnsi="Times New Roman"/>
          <w:sz w:val="26"/>
          <w:szCs w:val="26"/>
        </w:rPr>
        <w:t xml:space="preserve">12.  The Complainant appeared </w:t>
      </w:r>
      <w:r w:rsidR="00255082" w:rsidRPr="00255082">
        <w:rPr>
          <w:rFonts w:ascii="Times New Roman" w:hAnsi="Times New Roman"/>
          <w:i/>
          <w:sz w:val="26"/>
          <w:szCs w:val="26"/>
        </w:rPr>
        <w:t>pro se</w:t>
      </w:r>
      <w:r w:rsidR="006D1783">
        <w:rPr>
          <w:rFonts w:ascii="Times New Roman" w:hAnsi="Times New Roman"/>
          <w:sz w:val="26"/>
          <w:szCs w:val="26"/>
        </w:rPr>
        <w:t xml:space="preserve"> and </w:t>
      </w:r>
      <w:r w:rsidRPr="00A8638A">
        <w:rPr>
          <w:rFonts w:ascii="Times New Roman" w:hAnsi="Times New Roman"/>
          <w:sz w:val="26"/>
          <w:szCs w:val="26"/>
        </w:rPr>
        <w:t>Penelec was repr</w:t>
      </w:r>
      <w:r w:rsidR="00255082">
        <w:rPr>
          <w:rFonts w:ascii="Times New Roman" w:hAnsi="Times New Roman"/>
          <w:sz w:val="26"/>
          <w:szCs w:val="26"/>
        </w:rPr>
        <w:t>esented by counsel</w:t>
      </w:r>
      <w:r w:rsidR="006D1783">
        <w:rPr>
          <w:rFonts w:ascii="Times New Roman" w:hAnsi="Times New Roman"/>
          <w:sz w:val="26"/>
          <w:szCs w:val="26"/>
        </w:rPr>
        <w:t>.  The record was closed after the</w:t>
      </w:r>
      <w:r w:rsidRPr="00A8638A">
        <w:rPr>
          <w:rFonts w:ascii="Times New Roman" w:hAnsi="Times New Roman"/>
          <w:sz w:val="26"/>
          <w:szCs w:val="26"/>
        </w:rPr>
        <w:t xml:space="preserve"> </w:t>
      </w:r>
      <w:r w:rsidRPr="00A8638A">
        <w:rPr>
          <w:rFonts w:ascii="Times New Roman" w:hAnsi="Times New Roman"/>
          <w:sz w:val="26"/>
          <w:szCs w:val="26"/>
        </w:rPr>
        <w:lastRenderedPageBreak/>
        <w:t>transcript of fourteen pages was filed with the Secretary of t</w:t>
      </w:r>
      <w:r w:rsidR="006D1783">
        <w:rPr>
          <w:rFonts w:ascii="Times New Roman" w:hAnsi="Times New Roman"/>
          <w:sz w:val="26"/>
          <w:szCs w:val="26"/>
        </w:rPr>
        <w:t>he Commission on July 16, 2012</w:t>
      </w:r>
      <w:r w:rsidRPr="00A8638A">
        <w:rPr>
          <w:rFonts w:ascii="Times New Roman" w:hAnsi="Times New Roman"/>
          <w:sz w:val="26"/>
          <w:szCs w:val="26"/>
        </w:rPr>
        <w:t>.</w:t>
      </w:r>
    </w:p>
    <w:p w:rsidR="00812971" w:rsidRPr="00EF0705" w:rsidRDefault="00812971" w:rsidP="00D3252E">
      <w:pPr>
        <w:tabs>
          <w:tab w:val="left" w:pos="-1440"/>
          <w:tab w:val="left" w:pos="-720"/>
        </w:tabs>
        <w:suppressAutoHyphens/>
        <w:spacing w:line="360" w:lineRule="auto"/>
        <w:jc w:val="center"/>
      </w:pPr>
    </w:p>
    <w:p w:rsidR="00D3252E" w:rsidRDefault="00D3252E" w:rsidP="00D3252E">
      <w:pPr>
        <w:tabs>
          <w:tab w:val="left" w:pos="-1440"/>
          <w:tab w:val="left" w:pos="-720"/>
        </w:tabs>
        <w:suppressAutoHyphens/>
        <w:spacing w:line="360" w:lineRule="auto"/>
        <w:jc w:val="center"/>
        <w:rPr>
          <w:b/>
        </w:rPr>
      </w:pPr>
      <w:r>
        <w:rPr>
          <w:b/>
        </w:rPr>
        <w:t>Discussion</w:t>
      </w:r>
    </w:p>
    <w:p w:rsidR="0051022B" w:rsidRDefault="0051022B" w:rsidP="0051022B">
      <w:pPr>
        <w:tabs>
          <w:tab w:val="left" w:pos="-720"/>
        </w:tabs>
        <w:suppressAutoHyphens/>
        <w:spacing w:line="360" w:lineRule="auto"/>
      </w:pPr>
    </w:p>
    <w:p w:rsidR="0051022B" w:rsidRDefault="0085074A" w:rsidP="0051022B">
      <w:pPr>
        <w:spacing w:line="360" w:lineRule="auto"/>
        <w:ind w:firstLine="1440"/>
        <w:rPr>
          <w:szCs w:val="26"/>
        </w:rPr>
      </w:pPr>
      <w:r>
        <w:rPr>
          <w:szCs w:val="26"/>
        </w:rPr>
        <w:t>The Commission</w:t>
      </w:r>
      <w:r w:rsidR="009A746B">
        <w:rPr>
          <w:szCs w:val="26"/>
        </w:rPr>
        <w:t>’s</w:t>
      </w:r>
      <w:r>
        <w:rPr>
          <w:szCs w:val="26"/>
        </w:rPr>
        <w:t xml:space="preserve"> r</w:t>
      </w:r>
      <w:r w:rsidR="0051022B">
        <w:rPr>
          <w:szCs w:val="26"/>
        </w:rPr>
        <w:t>egulation</w:t>
      </w:r>
      <w:r w:rsidR="009A746B">
        <w:rPr>
          <w:szCs w:val="26"/>
        </w:rPr>
        <w:t>s permit</w:t>
      </w:r>
      <w:r w:rsidR="0051022B">
        <w:rPr>
          <w:szCs w:val="26"/>
        </w:rPr>
        <w:t xml:space="preserve"> a party to file preliminary objections on the following grounds:</w:t>
      </w:r>
    </w:p>
    <w:p w:rsidR="0051022B" w:rsidRDefault="0051022B" w:rsidP="0051022B">
      <w:pPr>
        <w:ind w:left="1440" w:right="720"/>
        <w:rPr>
          <w:szCs w:val="26"/>
        </w:rPr>
      </w:pPr>
    </w:p>
    <w:p w:rsidR="0051022B" w:rsidRDefault="0051022B" w:rsidP="0051022B">
      <w:pPr>
        <w:widowControl w:val="0"/>
        <w:numPr>
          <w:ilvl w:val="0"/>
          <w:numId w:val="7"/>
        </w:numPr>
        <w:autoSpaceDE w:val="0"/>
        <w:autoSpaceDN w:val="0"/>
        <w:adjustRightInd w:val="0"/>
        <w:ind w:right="720" w:hanging="720"/>
        <w:rPr>
          <w:szCs w:val="26"/>
        </w:rPr>
      </w:pPr>
      <w:r>
        <w:rPr>
          <w:szCs w:val="26"/>
        </w:rPr>
        <w:t>Lack of Commission jurisdiction or improper service of the pleading initiating the proceeding.</w:t>
      </w:r>
    </w:p>
    <w:p w:rsidR="0051022B" w:rsidRDefault="0051022B" w:rsidP="0051022B">
      <w:pPr>
        <w:ind w:left="1800" w:right="720"/>
        <w:rPr>
          <w:szCs w:val="26"/>
        </w:rPr>
      </w:pPr>
    </w:p>
    <w:p w:rsidR="0051022B" w:rsidRDefault="0051022B" w:rsidP="0051022B">
      <w:pPr>
        <w:widowControl w:val="0"/>
        <w:numPr>
          <w:ilvl w:val="0"/>
          <w:numId w:val="7"/>
        </w:numPr>
        <w:autoSpaceDE w:val="0"/>
        <w:autoSpaceDN w:val="0"/>
        <w:adjustRightInd w:val="0"/>
        <w:ind w:right="720" w:hanging="720"/>
        <w:rPr>
          <w:szCs w:val="26"/>
        </w:rPr>
      </w:pPr>
      <w:r>
        <w:rPr>
          <w:szCs w:val="26"/>
        </w:rPr>
        <w:t>Failure of a pleading to conform to this chapter or the inclusion of scandalous or impertinent matter.</w:t>
      </w:r>
    </w:p>
    <w:p w:rsidR="0051022B" w:rsidRDefault="0051022B" w:rsidP="0051022B">
      <w:pPr>
        <w:ind w:right="720"/>
        <w:rPr>
          <w:szCs w:val="26"/>
        </w:rPr>
      </w:pPr>
    </w:p>
    <w:p w:rsidR="0051022B" w:rsidRDefault="0051022B" w:rsidP="0051022B">
      <w:pPr>
        <w:widowControl w:val="0"/>
        <w:numPr>
          <w:ilvl w:val="0"/>
          <w:numId w:val="7"/>
        </w:numPr>
        <w:autoSpaceDE w:val="0"/>
        <w:autoSpaceDN w:val="0"/>
        <w:adjustRightInd w:val="0"/>
        <w:ind w:right="720" w:hanging="720"/>
        <w:rPr>
          <w:szCs w:val="26"/>
        </w:rPr>
      </w:pPr>
      <w:r>
        <w:rPr>
          <w:szCs w:val="26"/>
        </w:rPr>
        <w:t>Insufficient specificity of a pleading.</w:t>
      </w:r>
    </w:p>
    <w:p w:rsidR="0051022B" w:rsidRDefault="0051022B" w:rsidP="0051022B">
      <w:pPr>
        <w:ind w:left="2160" w:right="720" w:hanging="720"/>
        <w:rPr>
          <w:szCs w:val="26"/>
        </w:rPr>
      </w:pPr>
    </w:p>
    <w:p w:rsidR="0051022B" w:rsidRDefault="0051022B" w:rsidP="0051022B">
      <w:pPr>
        <w:widowControl w:val="0"/>
        <w:numPr>
          <w:ilvl w:val="0"/>
          <w:numId w:val="7"/>
        </w:numPr>
        <w:autoSpaceDE w:val="0"/>
        <w:autoSpaceDN w:val="0"/>
        <w:adjustRightInd w:val="0"/>
        <w:ind w:right="720" w:hanging="720"/>
        <w:rPr>
          <w:szCs w:val="26"/>
        </w:rPr>
      </w:pPr>
      <w:r>
        <w:rPr>
          <w:szCs w:val="26"/>
        </w:rPr>
        <w:t>Legal insufficiency of a pleading.</w:t>
      </w:r>
    </w:p>
    <w:p w:rsidR="0051022B" w:rsidRDefault="0051022B" w:rsidP="0051022B">
      <w:pPr>
        <w:ind w:left="2160" w:right="720" w:hanging="720"/>
        <w:rPr>
          <w:szCs w:val="26"/>
        </w:rPr>
      </w:pPr>
    </w:p>
    <w:p w:rsidR="0051022B" w:rsidRDefault="0051022B" w:rsidP="0051022B">
      <w:pPr>
        <w:widowControl w:val="0"/>
        <w:numPr>
          <w:ilvl w:val="0"/>
          <w:numId w:val="7"/>
        </w:numPr>
        <w:autoSpaceDE w:val="0"/>
        <w:autoSpaceDN w:val="0"/>
        <w:adjustRightInd w:val="0"/>
        <w:ind w:right="720" w:hanging="720"/>
        <w:rPr>
          <w:szCs w:val="26"/>
        </w:rPr>
      </w:pPr>
      <w:r>
        <w:rPr>
          <w:szCs w:val="26"/>
        </w:rPr>
        <w:t>Lack of capacity to sue, nonjoinder of a necessary party or misjoinder of a cause of action.</w:t>
      </w:r>
    </w:p>
    <w:p w:rsidR="0051022B" w:rsidRDefault="0051022B" w:rsidP="0051022B">
      <w:pPr>
        <w:ind w:left="2160" w:right="720" w:hanging="720"/>
        <w:rPr>
          <w:szCs w:val="26"/>
        </w:rPr>
      </w:pPr>
    </w:p>
    <w:p w:rsidR="0051022B" w:rsidRDefault="0051022B" w:rsidP="0051022B">
      <w:pPr>
        <w:widowControl w:val="0"/>
        <w:numPr>
          <w:ilvl w:val="0"/>
          <w:numId w:val="7"/>
        </w:numPr>
        <w:autoSpaceDE w:val="0"/>
        <w:autoSpaceDN w:val="0"/>
        <w:adjustRightInd w:val="0"/>
        <w:ind w:right="720" w:hanging="720"/>
        <w:rPr>
          <w:szCs w:val="26"/>
        </w:rPr>
      </w:pPr>
      <w:r>
        <w:rPr>
          <w:szCs w:val="26"/>
        </w:rPr>
        <w:t>Pendency of a prior proceeding or agreement for alternative dispute resolution.</w:t>
      </w:r>
    </w:p>
    <w:p w:rsidR="009A746B" w:rsidRDefault="009A746B" w:rsidP="009A746B">
      <w:pPr>
        <w:widowControl w:val="0"/>
        <w:autoSpaceDE w:val="0"/>
        <w:autoSpaceDN w:val="0"/>
        <w:adjustRightInd w:val="0"/>
        <w:ind w:right="720"/>
        <w:rPr>
          <w:szCs w:val="26"/>
        </w:rPr>
      </w:pPr>
    </w:p>
    <w:p w:rsidR="00857844" w:rsidRDefault="009A746B" w:rsidP="004321F5">
      <w:pPr>
        <w:tabs>
          <w:tab w:val="left" w:pos="204"/>
        </w:tabs>
        <w:spacing w:line="360" w:lineRule="auto"/>
      </w:pPr>
      <w:r>
        <w:rPr>
          <w:szCs w:val="26"/>
        </w:rPr>
        <w:t xml:space="preserve">52 Pa. Code § 5.101(a).  </w:t>
      </w:r>
      <w:r w:rsidR="0051022B">
        <w:rPr>
          <w:color w:val="000000"/>
        </w:rPr>
        <w:t xml:space="preserve">Commission procedure </w:t>
      </w:r>
      <w:r w:rsidR="0051022B">
        <w:t xml:space="preserve">regarding the disposition of preliminary objections is similar to the procedure utilized in Pennsylvania civil practice.  </w:t>
      </w:r>
      <w:r w:rsidR="0051022B">
        <w:rPr>
          <w:i/>
        </w:rPr>
        <w:t>Equitable Small Transportation Intervenors v. Equitable Gas Company</w:t>
      </w:r>
      <w:r w:rsidR="0051022B">
        <w:t xml:space="preserve">, Docket No. C-00935435, 1994 </w:t>
      </w:r>
      <w:smartTag w:uri="urn:schemas-microsoft-com:office:smarttags" w:element="place">
        <w:smartTag w:uri="urn:schemas-microsoft-com:office:smarttags" w:element="State">
          <w:r w:rsidR="0051022B">
            <w:t>Pa.</w:t>
          </w:r>
        </w:smartTag>
      </w:smartTag>
      <w:r w:rsidR="0051022B">
        <w:t xml:space="preserve"> PUC LEXIS 69 (</w:t>
      </w:r>
      <w:r w:rsidR="00857844">
        <w:t xml:space="preserve">Order entered </w:t>
      </w:r>
      <w:r w:rsidR="0051022B">
        <w:t xml:space="preserve">July 18, 1994).  A preliminary objection in civil practice seeking dismissal of a pleading will be granted only where relief is clearly warranted and free from doubt.  </w:t>
      </w:r>
      <w:proofErr w:type="gramStart"/>
      <w:r w:rsidR="00857844" w:rsidRPr="00857844">
        <w:rPr>
          <w:i/>
        </w:rPr>
        <w:t>Interstate Traveller Services, Inc. v. Pa. Dept. of Environmental Resources</w:t>
      </w:r>
      <w:r w:rsidR="00857844">
        <w:t xml:space="preserve">, </w:t>
      </w:r>
      <w:r>
        <w:t>486 Pa. 536, 406 A.2d 1020 (</w:t>
      </w:r>
      <w:r w:rsidR="00857844">
        <w:t xml:space="preserve">1979); </w:t>
      </w:r>
      <w:r w:rsidR="0051022B">
        <w:rPr>
          <w:i/>
        </w:rPr>
        <w:t>Baker v. Brennan</w:t>
      </w:r>
      <w:r w:rsidR="0051022B">
        <w:t>, 419 Pa. 222, 213 A.2d 362 (1965)</w:t>
      </w:r>
      <w:r w:rsidR="0085074A">
        <w:t>.</w:t>
      </w:r>
      <w:proofErr w:type="gramEnd"/>
      <w:r w:rsidR="0085074A">
        <w:t xml:space="preserve"> </w:t>
      </w:r>
    </w:p>
    <w:p w:rsidR="00812971" w:rsidRPr="004321F5" w:rsidRDefault="00812971" w:rsidP="004321F5">
      <w:pPr>
        <w:tabs>
          <w:tab w:val="left" w:pos="204"/>
        </w:tabs>
        <w:spacing w:line="360" w:lineRule="auto"/>
        <w:rPr>
          <w:szCs w:val="26"/>
        </w:rPr>
      </w:pPr>
    </w:p>
    <w:p w:rsidR="00857844" w:rsidRPr="00A8638A" w:rsidRDefault="00857844" w:rsidP="00857844">
      <w:pPr>
        <w:suppressAutoHyphens/>
        <w:spacing w:line="360" w:lineRule="auto"/>
        <w:ind w:firstLine="720"/>
        <w:rPr>
          <w:szCs w:val="26"/>
        </w:rPr>
      </w:pPr>
      <w:r>
        <w:rPr>
          <w:szCs w:val="26"/>
        </w:rPr>
        <w:lastRenderedPageBreak/>
        <w:t xml:space="preserve"> </w:t>
      </w:r>
      <w:r>
        <w:rPr>
          <w:szCs w:val="26"/>
        </w:rPr>
        <w:tab/>
      </w:r>
      <w:r w:rsidRPr="00A8638A">
        <w:rPr>
          <w:szCs w:val="26"/>
        </w:rPr>
        <w:t xml:space="preserve">The moving party may not rely on its own factual assertions, but must accept for the purposes of disposition of the preliminary objection, all well-pleaded, material facts of the other party, as well as every inference fairly deducible from those facts.  </w:t>
      </w:r>
      <w:r w:rsidR="0085074A">
        <w:rPr>
          <w:i/>
          <w:szCs w:val="26"/>
        </w:rPr>
        <w:t>C</w:t>
      </w:r>
      <w:r w:rsidR="009A746B">
        <w:rPr>
          <w:i/>
          <w:szCs w:val="26"/>
        </w:rPr>
        <w:t>ounty of Allegheny v. Commonwealth</w:t>
      </w:r>
      <w:r w:rsidRPr="00A8638A">
        <w:rPr>
          <w:i/>
          <w:szCs w:val="26"/>
        </w:rPr>
        <w:t xml:space="preserve"> of Pa</w:t>
      </w:r>
      <w:r w:rsidRPr="00A8638A">
        <w:rPr>
          <w:szCs w:val="26"/>
        </w:rPr>
        <w:t xml:space="preserve">., </w:t>
      </w:r>
      <w:r w:rsidR="009A746B">
        <w:rPr>
          <w:szCs w:val="26"/>
        </w:rPr>
        <w:t>507 Pa. 360, 490 A.2d 402 (</w:t>
      </w:r>
      <w:r w:rsidRPr="00A8638A">
        <w:rPr>
          <w:szCs w:val="26"/>
        </w:rPr>
        <w:t>1985).  Therefore, in ruling on a preliminary objection, the Commission must assume</w:t>
      </w:r>
      <w:r w:rsidR="0085074A">
        <w:rPr>
          <w:szCs w:val="26"/>
        </w:rPr>
        <w:t xml:space="preserve"> </w:t>
      </w:r>
      <w:r w:rsidRPr="00A8638A">
        <w:rPr>
          <w:szCs w:val="26"/>
        </w:rPr>
        <w:t>that the factual allegations o</w:t>
      </w:r>
      <w:r w:rsidR="0085074A">
        <w:rPr>
          <w:szCs w:val="26"/>
        </w:rPr>
        <w:t xml:space="preserve">f the Complaint are true.  </w:t>
      </w:r>
      <w:r w:rsidRPr="00A8638A">
        <w:rPr>
          <w:szCs w:val="26"/>
        </w:rPr>
        <w:t xml:space="preserve">A preliminary objection may be granted only if the moving party prevails as a matter of law.  </w:t>
      </w:r>
      <w:proofErr w:type="gramStart"/>
      <w:r w:rsidRPr="00A8638A">
        <w:rPr>
          <w:i/>
          <w:szCs w:val="26"/>
        </w:rPr>
        <w:t>Roc v. Flaherty</w:t>
      </w:r>
      <w:r w:rsidRPr="00A8638A">
        <w:rPr>
          <w:szCs w:val="26"/>
        </w:rPr>
        <w:t>, 527 A.2d 211 (Pa. Cmwlth. 198</w:t>
      </w:r>
      <w:r w:rsidR="003F7730">
        <w:rPr>
          <w:szCs w:val="26"/>
        </w:rPr>
        <w:t>7</w:t>
      </w:r>
      <w:r w:rsidRPr="00A8638A">
        <w:rPr>
          <w:szCs w:val="26"/>
        </w:rPr>
        <w:t>).</w:t>
      </w:r>
      <w:proofErr w:type="gramEnd"/>
      <w:r w:rsidRPr="00A8638A">
        <w:rPr>
          <w:szCs w:val="26"/>
        </w:rPr>
        <w:t xml:space="preserve">  Any doubt must be resolved in favor of the no</w:t>
      </w:r>
      <w:r w:rsidR="0085074A">
        <w:rPr>
          <w:szCs w:val="26"/>
        </w:rPr>
        <w:t>n-moving party</w:t>
      </w:r>
      <w:r w:rsidRPr="00A8638A">
        <w:rPr>
          <w:szCs w:val="26"/>
        </w:rPr>
        <w:t xml:space="preserve">.  </w:t>
      </w:r>
      <w:proofErr w:type="gramStart"/>
      <w:r w:rsidR="009A746B">
        <w:rPr>
          <w:i/>
          <w:szCs w:val="26"/>
        </w:rPr>
        <w:t xml:space="preserve">Dept. of </w:t>
      </w:r>
      <w:r w:rsidR="003F7730">
        <w:rPr>
          <w:i/>
          <w:szCs w:val="26"/>
        </w:rPr>
        <w:t xml:space="preserve">the </w:t>
      </w:r>
      <w:r w:rsidR="009A746B">
        <w:rPr>
          <w:i/>
          <w:szCs w:val="26"/>
        </w:rPr>
        <w:t>Auditor General</w:t>
      </w:r>
      <w:r w:rsidRPr="00A8638A">
        <w:rPr>
          <w:i/>
          <w:szCs w:val="26"/>
        </w:rPr>
        <w:t xml:space="preserve"> v. State Employees' Retirement System</w:t>
      </w:r>
      <w:r w:rsidRPr="00A8638A">
        <w:rPr>
          <w:szCs w:val="26"/>
        </w:rPr>
        <w:t>, 836 A.2d 1053, 1064 (Pa</w:t>
      </w:r>
      <w:r w:rsidR="0085074A">
        <w:rPr>
          <w:szCs w:val="26"/>
        </w:rPr>
        <w:t xml:space="preserve">. Cmwlth. 2003); </w:t>
      </w:r>
      <w:r w:rsidRPr="00A8638A">
        <w:rPr>
          <w:i/>
          <w:szCs w:val="26"/>
        </w:rPr>
        <w:t>Boyd v. Ward</w:t>
      </w:r>
      <w:r w:rsidRPr="00A8638A">
        <w:rPr>
          <w:szCs w:val="26"/>
        </w:rPr>
        <w:t>, 802 A.2d 705 (Pa. Cmwlth. 2002).</w:t>
      </w:r>
      <w:proofErr w:type="gramEnd"/>
    </w:p>
    <w:p w:rsidR="0051022B" w:rsidRDefault="0051022B" w:rsidP="0051022B">
      <w:pPr>
        <w:spacing w:line="360" w:lineRule="auto"/>
        <w:rPr>
          <w:sz w:val="24"/>
        </w:rPr>
      </w:pPr>
    </w:p>
    <w:p w:rsidR="00812971" w:rsidRDefault="0051022B" w:rsidP="0051022B">
      <w:pPr>
        <w:spacing w:line="360" w:lineRule="auto"/>
        <w:ind w:firstLine="1440"/>
        <w:rPr>
          <w:szCs w:val="26"/>
        </w:rPr>
      </w:pPr>
      <w:r>
        <w:rPr>
          <w:szCs w:val="26"/>
        </w:rPr>
        <w:t>In his Initial Decision, the ALJ made eight Findings of Fact and reached nine Conclusions of Law.  I.D. at 3, 7-8.  We shall adopt and incorporate herein by reference the ALJ’s Findings of Fact and Conclusions of Law, unless they are reversed or modified by this Opinion and Order, either expressly or by necessary implication.</w:t>
      </w:r>
    </w:p>
    <w:p w:rsidR="00812971" w:rsidRDefault="00812971" w:rsidP="0051022B">
      <w:pPr>
        <w:spacing w:line="360" w:lineRule="auto"/>
        <w:ind w:firstLine="1440"/>
        <w:rPr>
          <w:szCs w:val="26"/>
        </w:rPr>
      </w:pPr>
    </w:p>
    <w:p w:rsidR="00D56B41" w:rsidRPr="00D56B41" w:rsidRDefault="00812971" w:rsidP="00D56B41">
      <w:pPr>
        <w:tabs>
          <w:tab w:val="left" w:pos="-720"/>
        </w:tabs>
        <w:suppressAutoHyphens/>
        <w:spacing w:line="360" w:lineRule="auto"/>
        <w:ind w:firstLine="1440"/>
      </w:pPr>
      <w:r w:rsidRPr="00D56B41">
        <w:rPr>
          <w:szCs w:val="26"/>
        </w:rPr>
        <w:t xml:space="preserve">In addition, we note that </w:t>
      </w:r>
      <w:r w:rsidR="00D56B41" w:rsidRPr="00D56B41">
        <w:t xml:space="preserve">we are not required to consider expressly or at great length each and every contention raised by a party to our proceedings.  Any argument that is not specifically addressed herein shall be deemed to have been duly considered and denied without further discussion.  </w:t>
      </w:r>
      <w:hyperlink r:id="rId9" w:history="1">
        <w:r w:rsidR="00D56B41" w:rsidRPr="00D56B41">
          <w:rPr>
            <w:rStyle w:val="Emphasis"/>
            <w:color w:val="000000"/>
            <w:szCs w:val="26"/>
          </w:rPr>
          <w:t xml:space="preserve">Consolidated Rail Corp. v. Pa. PUC, </w:t>
        </w:r>
        <w:r w:rsidR="00D56B41" w:rsidRPr="00EF0705">
          <w:rPr>
            <w:rStyle w:val="Hyperlink"/>
            <w:color w:val="000000"/>
            <w:szCs w:val="26"/>
            <w:u w:val="none"/>
          </w:rPr>
          <w:t xml:space="preserve">625 A.2d 741 (Pa. </w:t>
        </w:r>
        <w:proofErr w:type="spellStart"/>
        <w:r w:rsidR="00D56B41" w:rsidRPr="00EF0705">
          <w:rPr>
            <w:rStyle w:val="Hyperlink"/>
            <w:color w:val="000000"/>
            <w:szCs w:val="26"/>
            <w:u w:val="none"/>
          </w:rPr>
          <w:t>Cmwlth</w:t>
        </w:r>
        <w:proofErr w:type="spellEnd"/>
        <w:r w:rsidR="00D56B41" w:rsidRPr="00EF0705">
          <w:rPr>
            <w:rStyle w:val="Hyperlink"/>
            <w:color w:val="000000"/>
            <w:szCs w:val="26"/>
            <w:u w:val="none"/>
          </w:rPr>
          <w:t>. 1993);</w:t>
        </w:r>
      </w:hyperlink>
      <w:r w:rsidR="00D56B41" w:rsidRPr="00D56B41">
        <w:rPr>
          <w:color w:val="000000"/>
          <w:szCs w:val="26"/>
        </w:rPr>
        <w:t xml:space="preserve"> </w:t>
      </w:r>
      <w:r w:rsidR="00D56B41" w:rsidRPr="00D56B41">
        <w:rPr>
          <w:i/>
          <w:color w:val="000000"/>
          <w:szCs w:val="26"/>
        </w:rPr>
        <w:t xml:space="preserve">also </w:t>
      </w:r>
      <w:r w:rsidR="00D56B41" w:rsidRPr="00D56B41">
        <w:rPr>
          <w:rStyle w:val="Emphasis"/>
          <w:color w:val="000000"/>
          <w:szCs w:val="26"/>
        </w:rPr>
        <w:t xml:space="preserve">see, generally, </w:t>
      </w:r>
      <w:hyperlink r:id="rId10" w:history="1">
        <w:r w:rsidR="00D56B41" w:rsidRPr="00D56B41">
          <w:rPr>
            <w:rStyle w:val="Emphasis"/>
            <w:color w:val="000000"/>
            <w:szCs w:val="26"/>
          </w:rPr>
          <w:t>University of Pennsylvania v. Pa. PUC</w:t>
        </w:r>
        <w:r w:rsidR="00D56B41" w:rsidRPr="00EF0705">
          <w:rPr>
            <w:rStyle w:val="Hyperlink"/>
            <w:color w:val="000000"/>
            <w:szCs w:val="26"/>
            <w:u w:val="none"/>
          </w:rPr>
          <w:t xml:space="preserve">, 485 A.2d 1217 (Pa. </w:t>
        </w:r>
        <w:proofErr w:type="spellStart"/>
        <w:r w:rsidR="00D56B41" w:rsidRPr="00EF0705">
          <w:rPr>
            <w:rStyle w:val="Hyperlink"/>
            <w:color w:val="000000"/>
            <w:szCs w:val="26"/>
            <w:u w:val="none"/>
          </w:rPr>
          <w:t>Cmwlth</w:t>
        </w:r>
        <w:proofErr w:type="spellEnd"/>
        <w:r w:rsidR="00D56B41" w:rsidRPr="00EF0705">
          <w:rPr>
            <w:rStyle w:val="Hyperlink"/>
            <w:color w:val="000000"/>
            <w:szCs w:val="26"/>
            <w:u w:val="none"/>
          </w:rPr>
          <w:t>. 1984).</w:t>
        </w:r>
      </w:hyperlink>
    </w:p>
    <w:p w:rsidR="00E72D1D" w:rsidRDefault="0051022B" w:rsidP="0051022B">
      <w:pPr>
        <w:spacing w:line="360" w:lineRule="auto"/>
        <w:ind w:firstLine="1440"/>
        <w:rPr>
          <w:szCs w:val="26"/>
        </w:rPr>
      </w:pPr>
      <w:r>
        <w:rPr>
          <w:szCs w:val="26"/>
        </w:rPr>
        <w:t> </w:t>
      </w:r>
      <w:r w:rsidR="00E72D1D">
        <w:rPr>
          <w:szCs w:val="26"/>
        </w:rPr>
        <w:t xml:space="preserve">  </w:t>
      </w:r>
    </w:p>
    <w:p w:rsidR="00857844" w:rsidRPr="00A8638A" w:rsidRDefault="00857844" w:rsidP="00857844">
      <w:pPr>
        <w:suppressAutoHyphens/>
        <w:spacing w:line="360" w:lineRule="auto"/>
        <w:ind w:firstLine="720"/>
        <w:rPr>
          <w:szCs w:val="26"/>
        </w:rPr>
      </w:pPr>
      <w:r>
        <w:rPr>
          <w:szCs w:val="26"/>
        </w:rPr>
        <w:t xml:space="preserve"> </w:t>
      </w:r>
      <w:r>
        <w:rPr>
          <w:szCs w:val="26"/>
        </w:rPr>
        <w:tab/>
      </w:r>
      <w:r w:rsidR="00E72D1D">
        <w:rPr>
          <w:szCs w:val="26"/>
        </w:rPr>
        <w:t xml:space="preserve">The ALJ </w:t>
      </w:r>
      <w:r>
        <w:rPr>
          <w:szCs w:val="26"/>
        </w:rPr>
        <w:t>correct</w:t>
      </w:r>
      <w:r w:rsidR="009A746B">
        <w:rPr>
          <w:szCs w:val="26"/>
        </w:rPr>
        <w:t>ly held</w:t>
      </w:r>
      <w:r w:rsidR="00E72D1D">
        <w:rPr>
          <w:szCs w:val="26"/>
        </w:rPr>
        <w:t xml:space="preserve"> that the Commission cannot award monetary damages.  </w:t>
      </w:r>
      <w:r w:rsidRPr="00A8638A">
        <w:rPr>
          <w:szCs w:val="26"/>
        </w:rPr>
        <w:t>The law is well settled that the Commission possesses no jurisdiction to award monetary com</w:t>
      </w:r>
      <w:r w:rsidR="0047739E">
        <w:rPr>
          <w:szCs w:val="26"/>
        </w:rPr>
        <w:t>pensation</w:t>
      </w:r>
      <w:r w:rsidR="009A746B">
        <w:rPr>
          <w:szCs w:val="26"/>
        </w:rPr>
        <w:t xml:space="preserve"> for property damage</w:t>
      </w:r>
      <w:r w:rsidR="0047739E">
        <w:rPr>
          <w:szCs w:val="26"/>
        </w:rPr>
        <w:t xml:space="preserve">.  </w:t>
      </w:r>
      <w:r w:rsidRPr="00A8638A">
        <w:rPr>
          <w:i/>
          <w:szCs w:val="26"/>
        </w:rPr>
        <w:t>DeFrancesco</w:t>
      </w:r>
      <w:r w:rsidR="0047739E" w:rsidRPr="0047739E">
        <w:rPr>
          <w:i/>
          <w:szCs w:val="26"/>
        </w:rPr>
        <w:t xml:space="preserve"> </w:t>
      </w:r>
      <w:r w:rsidR="0047739E" w:rsidRPr="00A8638A">
        <w:rPr>
          <w:i/>
          <w:szCs w:val="26"/>
        </w:rPr>
        <w:t>v. Western Pennsylvania Water Co</w:t>
      </w:r>
      <w:r w:rsidR="0047739E" w:rsidRPr="00A8638A">
        <w:rPr>
          <w:szCs w:val="26"/>
        </w:rPr>
        <w:t>., 499 Pa. 374, 453 A.2d 595 (1982)</w:t>
      </w:r>
      <w:r w:rsidRPr="00A8638A">
        <w:rPr>
          <w:szCs w:val="26"/>
        </w:rPr>
        <w:t xml:space="preserve">; </w:t>
      </w:r>
      <w:r w:rsidRPr="00A8638A">
        <w:rPr>
          <w:i/>
          <w:szCs w:val="26"/>
        </w:rPr>
        <w:t xml:space="preserve">Elkin v. </w:t>
      </w:r>
      <w:r w:rsidR="003F7730">
        <w:rPr>
          <w:i/>
          <w:szCs w:val="26"/>
        </w:rPr>
        <w:t xml:space="preserve">The </w:t>
      </w:r>
      <w:r w:rsidRPr="00A8638A">
        <w:rPr>
          <w:i/>
          <w:szCs w:val="26"/>
        </w:rPr>
        <w:t xml:space="preserve">Bell </w:t>
      </w:r>
      <w:r w:rsidR="003F7730">
        <w:rPr>
          <w:i/>
          <w:szCs w:val="26"/>
        </w:rPr>
        <w:t xml:space="preserve">Telephone Co. </w:t>
      </w:r>
      <w:r w:rsidRPr="00A8638A">
        <w:rPr>
          <w:i/>
          <w:szCs w:val="26"/>
        </w:rPr>
        <w:t>of Pa.</w:t>
      </w:r>
      <w:r w:rsidRPr="00A8638A">
        <w:rPr>
          <w:szCs w:val="26"/>
        </w:rPr>
        <w:t xml:space="preserve">, 491 Pa. 123, 420 A.2d 371 (1980); </w:t>
      </w:r>
      <w:r w:rsidR="0047739E" w:rsidRPr="00A8638A">
        <w:rPr>
          <w:i/>
          <w:szCs w:val="26"/>
        </w:rPr>
        <w:t>Feingold v. Bell of Pa</w:t>
      </w:r>
      <w:r w:rsidR="0047739E" w:rsidRPr="00A8638A">
        <w:rPr>
          <w:szCs w:val="26"/>
        </w:rPr>
        <w:t>., 477 Pa. 1, 383 A.2d 791 (1977)</w:t>
      </w:r>
      <w:r w:rsidRPr="00A8638A">
        <w:rPr>
          <w:szCs w:val="26"/>
        </w:rPr>
        <w:t xml:space="preserve">. </w:t>
      </w:r>
      <w:r w:rsidR="009A746B">
        <w:rPr>
          <w:szCs w:val="26"/>
        </w:rPr>
        <w:t xml:space="preserve"> However, as the ALJ </w:t>
      </w:r>
      <w:r w:rsidR="00AC7237">
        <w:rPr>
          <w:szCs w:val="26"/>
        </w:rPr>
        <w:t xml:space="preserve">also </w:t>
      </w:r>
      <w:r w:rsidR="009A746B">
        <w:rPr>
          <w:szCs w:val="26"/>
        </w:rPr>
        <w:t xml:space="preserve">noted, the Commission may </w:t>
      </w:r>
      <w:r w:rsidR="00AC7237">
        <w:rPr>
          <w:szCs w:val="26"/>
        </w:rPr>
        <w:t xml:space="preserve">proceed to </w:t>
      </w:r>
      <w:r w:rsidR="009A746B">
        <w:rPr>
          <w:szCs w:val="26"/>
        </w:rPr>
        <w:t xml:space="preserve">hear the merits </w:t>
      </w:r>
      <w:r w:rsidR="009A746B">
        <w:rPr>
          <w:szCs w:val="26"/>
        </w:rPr>
        <w:lastRenderedPageBreak/>
        <w:t xml:space="preserve">of a complaint that </w:t>
      </w:r>
      <w:r w:rsidR="00AC7237">
        <w:rPr>
          <w:szCs w:val="26"/>
        </w:rPr>
        <w:t xml:space="preserve">requests monetary damages where the complaint </w:t>
      </w:r>
      <w:r w:rsidR="009A746B">
        <w:rPr>
          <w:szCs w:val="26"/>
        </w:rPr>
        <w:t>relates to a utility’s duties under the Code, the C</w:t>
      </w:r>
      <w:r w:rsidR="004321F5">
        <w:rPr>
          <w:szCs w:val="26"/>
        </w:rPr>
        <w:t xml:space="preserve">ommission’s </w:t>
      </w:r>
      <w:r w:rsidR="00AB4336">
        <w:rPr>
          <w:szCs w:val="26"/>
        </w:rPr>
        <w:t>R</w:t>
      </w:r>
      <w:r w:rsidR="004321F5">
        <w:rPr>
          <w:szCs w:val="26"/>
        </w:rPr>
        <w:t xml:space="preserve">egulations, or </w:t>
      </w:r>
      <w:r w:rsidR="00AB4336">
        <w:rPr>
          <w:szCs w:val="26"/>
        </w:rPr>
        <w:t xml:space="preserve">the </w:t>
      </w:r>
      <w:r w:rsidR="004321F5">
        <w:rPr>
          <w:szCs w:val="26"/>
        </w:rPr>
        <w:t>Commission</w:t>
      </w:r>
      <w:r w:rsidR="00AB4336">
        <w:rPr>
          <w:szCs w:val="26"/>
        </w:rPr>
        <w:t>’s</w:t>
      </w:r>
      <w:r w:rsidR="009A746B">
        <w:rPr>
          <w:szCs w:val="26"/>
        </w:rPr>
        <w:t xml:space="preserve"> </w:t>
      </w:r>
      <w:r w:rsidR="00AB4336">
        <w:rPr>
          <w:szCs w:val="26"/>
        </w:rPr>
        <w:t>O</w:t>
      </w:r>
      <w:r w:rsidR="009A746B">
        <w:rPr>
          <w:szCs w:val="26"/>
        </w:rPr>
        <w:t xml:space="preserve">rders.  If the complainant </w:t>
      </w:r>
      <w:r w:rsidR="00AC7237">
        <w:rPr>
          <w:szCs w:val="26"/>
        </w:rPr>
        <w:t xml:space="preserve">in such a proceeding </w:t>
      </w:r>
      <w:r w:rsidR="009A746B">
        <w:rPr>
          <w:szCs w:val="26"/>
        </w:rPr>
        <w:t xml:space="preserve">prevails, the complainant subsequently may pursue his or her claim for damages in a court of competent jurisdiction.  Therefore, the fact that the Complainant in the instant proceeding requested </w:t>
      </w:r>
      <w:r w:rsidR="00AC7237">
        <w:rPr>
          <w:szCs w:val="26"/>
        </w:rPr>
        <w:t>monetary damages does not render the Complaint legally insufficient under 52 Pa. Code § 5</w:t>
      </w:r>
      <w:r w:rsidR="004321F5">
        <w:rPr>
          <w:szCs w:val="26"/>
        </w:rPr>
        <w:t xml:space="preserve">.101(a).  Because </w:t>
      </w:r>
      <w:r w:rsidR="00AC7237">
        <w:rPr>
          <w:szCs w:val="26"/>
        </w:rPr>
        <w:t>Penelec’s Preliminary Objections are based on the Commission’s inability to award damages, the Preliminary Objections should be denied.</w:t>
      </w:r>
    </w:p>
    <w:p w:rsidR="00857844" w:rsidRDefault="00857844" w:rsidP="0051022B">
      <w:pPr>
        <w:spacing w:line="360" w:lineRule="auto"/>
        <w:ind w:firstLine="1440"/>
        <w:rPr>
          <w:szCs w:val="26"/>
        </w:rPr>
      </w:pPr>
    </w:p>
    <w:p w:rsidR="007E00A7" w:rsidRPr="007E00A7" w:rsidRDefault="002F1FC1" w:rsidP="007E00A7">
      <w:pPr>
        <w:spacing w:line="360" w:lineRule="auto"/>
        <w:ind w:firstLine="1440"/>
        <w:rPr>
          <w:szCs w:val="26"/>
        </w:rPr>
      </w:pPr>
      <w:r>
        <w:rPr>
          <w:szCs w:val="26"/>
        </w:rPr>
        <w:t>T</w:t>
      </w:r>
      <w:r w:rsidR="00E72D1D">
        <w:rPr>
          <w:szCs w:val="26"/>
        </w:rPr>
        <w:t xml:space="preserve">he ALJ </w:t>
      </w:r>
      <w:r w:rsidR="0047739E">
        <w:rPr>
          <w:szCs w:val="26"/>
        </w:rPr>
        <w:t xml:space="preserve">also </w:t>
      </w:r>
      <w:r w:rsidR="00E72D1D">
        <w:rPr>
          <w:szCs w:val="26"/>
        </w:rPr>
        <w:t xml:space="preserve">held that the Commission cannot adjudicate a quality of service issue brought by a landlord.  In so holding, the ALJ relied on </w:t>
      </w:r>
      <w:r w:rsidR="00E72D1D" w:rsidRPr="0047739E">
        <w:rPr>
          <w:i/>
          <w:szCs w:val="26"/>
        </w:rPr>
        <w:t>Rohrbaugh v. Pa. PUC</w:t>
      </w:r>
      <w:r w:rsidR="00E72D1D">
        <w:rPr>
          <w:szCs w:val="26"/>
        </w:rPr>
        <w:t>, 556 Pa. 199, 727 A.2d 1080 (1999)</w:t>
      </w:r>
      <w:r w:rsidR="007E00A7">
        <w:rPr>
          <w:szCs w:val="26"/>
        </w:rPr>
        <w:t xml:space="preserve"> (</w:t>
      </w:r>
      <w:r w:rsidR="007E00A7" w:rsidRPr="007E00A7">
        <w:rPr>
          <w:i/>
          <w:szCs w:val="26"/>
        </w:rPr>
        <w:t>Rohrbaugh</w:t>
      </w:r>
      <w:r w:rsidR="007E00A7">
        <w:rPr>
          <w:szCs w:val="26"/>
        </w:rPr>
        <w:t>)</w:t>
      </w:r>
      <w:r w:rsidR="00E72D1D">
        <w:rPr>
          <w:szCs w:val="26"/>
        </w:rPr>
        <w:t>, for the proposition that “the Pennsylvania Supreme Court has held that a utility’s statutory duty to provide reasonable service under Section 1501 of the Public Utility Code . . . does not extend to a customer’s landlord.”  I.D. at 6.</w:t>
      </w:r>
      <w:r w:rsidR="0047739E">
        <w:rPr>
          <w:szCs w:val="26"/>
        </w:rPr>
        <w:t xml:space="preserve">  </w:t>
      </w:r>
      <w:r w:rsidR="00E72D1D">
        <w:rPr>
          <w:szCs w:val="26"/>
        </w:rPr>
        <w:t xml:space="preserve">For the reasons set forth below, we shall reverse </w:t>
      </w:r>
      <w:r w:rsidR="0047739E">
        <w:rPr>
          <w:szCs w:val="26"/>
        </w:rPr>
        <w:t xml:space="preserve">this portion of </w:t>
      </w:r>
      <w:r w:rsidR="00E72D1D">
        <w:rPr>
          <w:szCs w:val="26"/>
        </w:rPr>
        <w:t xml:space="preserve">the Initial Decision and remand this matter to the Office of Administrative Law Judge for </w:t>
      </w:r>
      <w:r>
        <w:rPr>
          <w:szCs w:val="26"/>
        </w:rPr>
        <w:t>further proceedings as may be appropriate</w:t>
      </w:r>
      <w:r w:rsidR="00E72D1D">
        <w:rPr>
          <w:szCs w:val="26"/>
        </w:rPr>
        <w:t>.</w:t>
      </w:r>
      <w:r w:rsidR="006C2F4A">
        <w:rPr>
          <w:szCs w:val="26"/>
        </w:rPr>
        <w:t xml:space="preserve">  </w:t>
      </w:r>
    </w:p>
    <w:p w:rsidR="007E00A7" w:rsidRPr="007E00A7" w:rsidRDefault="007E00A7" w:rsidP="007E00A7">
      <w:pPr>
        <w:spacing w:line="360" w:lineRule="auto"/>
        <w:ind w:firstLine="720"/>
        <w:rPr>
          <w:szCs w:val="26"/>
        </w:rPr>
      </w:pPr>
    </w:p>
    <w:p w:rsidR="0085074A" w:rsidRDefault="007E00A7" w:rsidP="007E00A7">
      <w:pPr>
        <w:spacing w:line="360" w:lineRule="auto"/>
        <w:ind w:firstLine="720"/>
        <w:rPr>
          <w:szCs w:val="26"/>
        </w:rPr>
      </w:pPr>
      <w:r>
        <w:rPr>
          <w:szCs w:val="26"/>
        </w:rPr>
        <w:t xml:space="preserve"> </w:t>
      </w:r>
      <w:r>
        <w:rPr>
          <w:szCs w:val="26"/>
        </w:rPr>
        <w:tab/>
        <w:t xml:space="preserve">In our view, the Court’s holding in </w:t>
      </w:r>
      <w:r w:rsidRPr="007E00A7">
        <w:rPr>
          <w:i/>
          <w:szCs w:val="26"/>
        </w:rPr>
        <w:t>Rohrbaugh</w:t>
      </w:r>
      <w:r w:rsidRPr="007E00A7">
        <w:rPr>
          <w:szCs w:val="26"/>
        </w:rPr>
        <w:t xml:space="preserve"> </w:t>
      </w:r>
      <w:r>
        <w:rPr>
          <w:szCs w:val="26"/>
        </w:rPr>
        <w:t xml:space="preserve">does not stand for </w:t>
      </w:r>
      <w:r w:rsidR="00444F0C">
        <w:rPr>
          <w:szCs w:val="26"/>
        </w:rPr>
        <w:t>the proposition that a utility’s statutory duty to provide reasonable service does not extend to a customer’s landlord.  T</w:t>
      </w:r>
      <w:r w:rsidRPr="007E00A7">
        <w:rPr>
          <w:szCs w:val="26"/>
        </w:rPr>
        <w:t xml:space="preserve">he Court’s holding </w:t>
      </w:r>
      <w:r w:rsidR="00444F0C">
        <w:rPr>
          <w:szCs w:val="26"/>
        </w:rPr>
        <w:t xml:space="preserve">in </w:t>
      </w:r>
      <w:r w:rsidR="00444F0C" w:rsidRPr="007E00A7">
        <w:rPr>
          <w:i/>
          <w:szCs w:val="26"/>
        </w:rPr>
        <w:t>Rohrbaugh</w:t>
      </w:r>
      <w:r w:rsidR="00444F0C" w:rsidRPr="007E00A7">
        <w:rPr>
          <w:szCs w:val="26"/>
        </w:rPr>
        <w:t xml:space="preserve"> </w:t>
      </w:r>
      <w:r w:rsidR="00444F0C">
        <w:rPr>
          <w:szCs w:val="26"/>
        </w:rPr>
        <w:t xml:space="preserve">cannot </w:t>
      </w:r>
      <w:r w:rsidRPr="007E00A7">
        <w:rPr>
          <w:szCs w:val="26"/>
        </w:rPr>
        <w:t xml:space="preserve">be so broadly construed.  In </w:t>
      </w:r>
      <w:r w:rsidRPr="007E00A7">
        <w:rPr>
          <w:i/>
          <w:szCs w:val="26"/>
        </w:rPr>
        <w:t>Rohrbaugh</w:t>
      </w:r>
      <w:r w:rsidRPr="007E00A7">
        <w:rPr>
          <w:szCs w:val="26"/>
        </w:rPr>
        <w:t xml:space="preserve">, the narrow issue contemplated by the Court was whether a utility violated its duty to </w:t>
      </w:r>
      <w:r w:rsidR="0085074A">
        <w:rPr>
          <w:szCs w:val="26"/>
        </w:rPr>
        <w:t xml:space="preserve">a landlord </w:t>
      </w:r>
      <w:r>
        <w:rPr>
          <w:szCs w:val="26"/>
        </w:rPr>
        <w:t xml:space="preserve">under Section </w:t>
      </w:r>
      <w:r w:rsidRPr="007E00A7">
        <w:rPr>
          <w:szCs w:val="26"/>
        </w:rPr>
        <w:t xml:space="preserve">1501 </w:t>
      </w:r>
      <w:r w:rsidR="0085074A">
        <w:rPr>
          <w:szCs w:val="26"/>
        </w:rPr>
        <w:t xml:space="preserve">of the Code, 66 Pa. C.S. § 1501, </w:t>
      </w:r>
      <w:r w:rsidRPr="007E00A7">
        <w:rPr>
          <w:szCs w:val="26"/>
        </w:rPr>
        <w:t>by disco</w:t>
      </w:r>
      <w:r w:rsidR="00444F0C">
        <w:rPr>
          <w:szCs w:val="26"/>
        </w:rPr>
        <w:t>nnecting electric service at a</w:t>
      </w:r>
      <w:r w:rsidRPr="007E00A7">
        <w:rPr>
          <w:szCs w:val="26"/>
        </w:rPr>
        <w:t xml:space="preserve"> ratepayer tenant’s request without notifying the landlord.  There, the landlord complainants alleged that, because the electricity was disconnected without their knowledge, water pipes in the residence broke, causing damage throughout.  They argued that the utility had a duty to notify them before disconnecting service.  </w:t>
      </w:r>
    </w:p>
    <w:p w:rsidR="0085074A" w:rsidRDefault="0085074A" w:rsidP="007E00A7">
      <w:pPr>
        <w:spacing w:line="360" w:lineRule="auto"/>
        <w:ind w:firstLine="720"/>
        <w:rPr>
          <w:szCs w:val="26"/>
        </w:rPr>
      </w:pPr>
    </w:p>
    <w:p w:rsidR="007E00A7" w:rsidRPr="007E00A7" w:rsidRDefault="0085074A" w:rsidP="007E00A7">
      <w:pPr>
        <w:spacing w:line="360" w:lineRule="auto"/>
        <w:ind w:firstLine="720"/>
        <w:rPr>
          <w:szCs w:val="26"/>
        </w:rPr>
      </w:pPr>
      <w:r>
        <w:rPr>
          <w:szCs w:val="26"/>
        </w:rPr>
        <w:lastRenderedPageBreak/>
        <w:t xml:space="preserve"> </w:t>
      </w:r>
      <w:r>
        <w:rPr>
          <w:szCs w:val="26"/>
        </w:rPr>
        <w:tab/>
      </w:r>
      <w:r w:rsidR="007E00A7" w:rsidRPr="007E00A7">
        <w:rPr>
          <w:szCs w:val="26"/>
        </w:rPr>
        <w:t>The Court revie</w:t>
      </w:r>
      <w:r w:rsidR="006D1783">
        <w:rPr>
          <w:szCs w:val="26"/>
        </w:rPr>
        <w:t xml:space="preserve">wed the Commission’s </w:t>
      </w:r>
      <w:r w:rsidR="00444F0C">
        <w:rPr>
          <w:szCs w:val="26"/>
        </w:rPr>
        <w:t xml:space="preserve">validly enacted </w:t>
      </w:r>
      <w:r w:rsidR="006D1783">
        <w:rPr>
          <w:szCs w:val="26"/>
        </w:rPr>
        <w:t>regulation</w:t>
      </w:r>
      <w:r w:rsidR="007E00A7" w:rsidRPr="007E00A7">
        <w:rPr>
          <w:szCs w:val="26"/>
        </w:rPr>
        <w:t xml:space="preserve"> at </w:t>
      </w:r>
      <w:hyperlink r:id="rId11" w:history="1">
        <w:r w:rsidR="007E00A7" w:rsidRPr="006D1783">
          <w:rPr>
            <w:rStyle w:val="Hyperlink"/>
            <w:color w:val="auto"/>
            <w:szCs w:val="26"/>
            <w:u w:val="none"/>
          </w:rPr>
          <w:t>52 Pa. Code § 56.72</w:t>
        </w:r>
      </w:hyperlink>
      <w:r w:rsidR="00444F0C">
        <w:rPr>
          <w:rStyle w:val="Hyperlink"/>
          <w:color w:val="auto"/>
          <w:szCs w:val="26"/>
          <w:u w:val="none"/>
        </w:rPr>
        <w:t>,</w:t>
      </w:r>
      <w:r w:rsidR="007E00A7" w:rsidRPr="006D1783">
        <w:rPr>
          <w:rStyle w:val="Hyperlink"/>
          <w:color w:val="auto"/>
          <w:szCs w:val="26"/>
          <w:u w:val="none"/>
        </w:rPr>
        <w:t xml:space="preserve"> and </w:t>
      </w:r>
      <w:r w:rsidR="00444F0C">
        <w:rPr>
          <w:szCs w:val="26"/>
        </w:rPr>
        <w:t xml:space="preserve">determined that the </w:t>
      </w:r>
      <w:r w:rsidR="007E00A7" w:rsidRPr="007E00A7">
        <w:rPr>
          <w:szCs w:val="26"/>
        </w:rPr>
        <w:t xml:space="preserve">regulation </w:t>
      </w:r>
      <w:r w:rsidR="00444F0C">
        <w:rPr>
          <w:szCs w:val="26"/>
        </w:rPr>
        <w:t xml:space="preserve">was unambiguous, and </w:t>
      </w:r>
      <w:r w:rsidR="007E00A7" w:rsidRPr="007E00A7">
        <w:rPr>
          <w:szCs w:val="26"/>
        </w:rPr>
        <w:t xml:space="preserve">permitted a utility to terminate service upon </w:t>
      </w:r>
      <w:r w:rsidR="00444F0C">
        <w:rPr>
          <w:szCs w:val="26"/>
        </w:rPr>
        <w:t>a ratepayer’s request</w:t>
      </w:r>
      <w:r w:rsidR="007E00A7" w:rsidRPr="007E00A7">
        <w:rPr>
          <w:szCs w:val="26"/>
        </w:rPr>
        <w:t>, with no requirement to no</w:t>
      </w:r>
      <w:r w:rsidR="00444F0C">
        <w:rPr>
          <w:szCs w:val="26"/>
        </w:rPr>
        <w:t>tify the ratepayer’s landlord</w:t>
      </w:r>
      <w:r w:rsidR="007E00A7" w:rsidRPr="007E00A7">
        <w:rPr>
          <w:szCs w:val="26"/>
        </w:rPr>
        <w:t>.   The Court did not hold that a utility never has a statutory duty to a l</w:t>
      </w:r>
      <w:r w:rsidR="006D1783">
        <w:rPr>
          <w:szCs w:val="26"/>
        </w:rPr>
        <w:t>andlord under Section 1501</w:t>
      </w:r>
      <w:r w:rsidR="007E00A7" w:rsidRPr="007E00A7">
        <w:rPr>
          <w:szCs w:val="26"/>
        </w:rPr>
        <w:t xml:space="preserve">.  Rather, the Court limited its scope of review to determining whether the utility had complied with one Commission </w:t>
      </w:r>
      <w:r w:rsidR="006D05C0">
        <w:rPr>
          <w:szCs w:val="26"/>
        </w:rPr>
        <w:t>R</w:t>
      </w:r>
      <w:r w:rsidR="007E00A7" w:rsidRPr="007E00A7">
        <w:rPr>
          <w:szCs w:val="26"/>
        </w:rPr>
        <w:t>egulation.</w:t>
      </w:r>
      <w:r w:rsidR="006D1783">
        <w:rPr>
          <w:szCs w:val="26"/>
        </w:rPr>
        <w:t xml:space="preserve">  The facts alleged by the Complainant</w:t>
      </w:r>
      <w:r w:rsidR="007E00A7" w:rsidRPr="007E00A7">
        <w:rPr>
          <w:szCs w:val="26"/>
        </w:rPr>
        <w:t xml:space="preserve"> in the instant matter do not implicate the same section of our </w:t>
      </w:r>
      <w:r w:rsidR="00AB4336">
        <w:rPr>
          <w:szCs w:val="26"/>
        </w:rPr>
        <w:t>R</w:t>
      </w:r>
      <w:r w:rsidR="007E00A7" w:rsidRPr="007E00A7">
        <w:rPr>
          <w:szCs w:val="26"/>
        </w:rPr>
        <w:t xml:space="preserve">egulations as did the </w:t>
      </w:r>
      <w:r w:rsidR="007E00A7" w:rsidRPr="007E00A7">
        <w:rPr>
          <w:i/>
          <w:szCs w:val="26"/>
        </w:rPr>
        <w:t>Rohrbaugh</w:t>
      </w:r>
      <w:r w:rsidR="006D1783">
        <w:rPr>
          <w:szCs w:val="26"/>
        </w:rPr>
        <w:t xml:space="preserve"> case.  Here, the Complainant </w:t>
      </w:r>
      <w:r w:rsidR="007E00A7" w:rsidRPr="007E00A7">
        <w:rPr>
          <w:szCs w:val="26"/>
        </w:rPr>
        <w:t xml:space="preserve">has alleged that damage was caused to her property due to Penelec’s faulty facilities, not because her tenant requested disconnection of service. Because the decision in </w:t>
      </w:r>
      <w:r w:rsidR="007E00A7" w:rsidRPr="007E00A7">
        <w:rPr>
          <w:i/>
          <w:szCs w:val="26"/>
        </w:rPr>
        <w:t>Rohrbaugh</w:t>
      </w:r>
      <w:r w:rsidR="007E00A7" w:rsidRPr="007E00A7">
        <w:rPr>
          <w:szCs w:val="26"/>
        </w:rPr>
        <w:t xml:space="preserve"> is not implicated </w:t>
      </w:r>
      <w:r w:rsidR="006D1783">
        <w:rPr>
          <w:szCs w:val="26"/>
        </w:rPr>
        <w:t>in the instant case, the</w:t>
      </w:r>
      <w:r w:rsidR="007E00A7" w:rsidRPr="007E00A7">
        <w:rPr>
          <w:szCs w:val="26"/>
        </w:rPr>
        <w:t xml:space="preserve"> Complaint c</w:t>
      </w:r>
      <w:r w:rsidR="006D1783">
        <w:rPr>
          <w:szCs w:val="26"/>
        </w:rPr>
        <w:t xml:space="preserve">annot be dismissed based on the </w:t>
      </w:r>
      <w:r w:rsidR="007E00A7" w:rsidRPr="007E00A7">
        <w:rPr>
          <w:szCs w:val="26"/>
        </w:rPr>
        <w:t>holding</w:t>
      </w:r>
      <w:r w:rsidR="006D1783" w:rsidRPr="006D1783">
        <w:rPr>
          <w:szCs w:val="26"/>
        </w:rPr>
        <w:t xml:space="preserve"> </w:t>
      </w:r>
      <w:r w:rsidR="006D1783" w:rsidRPr="007E00A7">
        <w:rPr>
          <w:szCs w:val="26"/>
        </w:rPr>
        <w:t xml:space="preserve">in </w:t>
      </w:r>
      <w:r w:rsidR="006D1783" w:rsidRPr="007E00A7">
        <w:rPr>
          <w:i/>
          <w:szCs w:val="26"/>
        </w:rPr>
        <w:t>Rohrbaugh</w:t>
      </w:r>
      <w:r w:rsidR="007E00A7" w:rsidRPr="007E00A7">
        <w:rPr>
          <w:szCs w:val="26"/>
        </w:rPr>
        <w:t xml:space="preserve">.  </w:t>
      </w:r>
    </w:p>
    <w:p w:rsidR="007E00A7" w:rsidRPr="007E00A7" w:rsidRDefault="007E00A7" w:rsidP="007E00A7">
      <w:pPr>
        <w:spacing w:line="360" w:lineRule="auto"/>
        <w:ind w:firstLine="720"/>
        <w:rPr>
          <w:szCs w:val="26"/>
        </w:rPr>
      </w:pPr>
    </w:p>
    <w:p w:rsidR="007E00A7" w:rsidRPr="007E00A7" w:rsidRDefault="006D1783" w:rsidP="006D1783">
      <w:pPr>
        <w:spacing w:line="360" w:lineRule="auto"/>
        <w:ind w:firstLine="720"/>
        <w:rPr>
          <w:szCs w:val="26"/>
        </w:rPr>
      </w:pPr>
      <w:r>
        <w:rPr>
          <w:szCs w:val="26"/>
        </w:rPr>
        <w:t xml:space="preserve"> </w:t>
      </w:r>
      <w:r>
        <w:rPr>
          <w:szCs w:val="26"/>
        </w:rPr>
        <w:tab/>
      </w:r>
      <w:r w:rsidR="007E00A7" w:rsidRPr="007E00A7">
        <w:rPr>
          <w:szCs w:val="26"/>
        </w:rPr>
        <w:t>Although not addressed in the Initial Decision</w:t>
      </w:r>
      <w:r>
        <w:rPr>
          <w:szCs w:val="26"/>
        </w:rPr>
        <w:t xml:space="preserve">, Penelec </w:t>
      </w:r>
      <w:r w:rsidR="00444F0C">
        <w:rPr>
          <w:szCs w:val="26"/>
        </w:rPr>
        <w:t xml:space="preserve">also </w:t>
      </w:r>
      <w:r>
        <w:rPr>
          <w:szCs w:val="26"/>
        </w:rPr>
        <w:t>averred that the Complainant</w:t>
      </w:r>
      <w:r w:rsidR="007E00A7" w:rsidRPr="007E00A7">
        <w:rPr>
          <w:szCs w:val="26"/>
        </w:rPr>
        <w:t xml:space="preserve"> lacked standing. </w:t>
      </w:r>
      <w:r>
        <w:rPr>
          <w:szCs w:val="26"/>
        </w:rPr>
        <w:t xml:space="preserve"> </w:t>
      </w:r>
      <w:r w:rsidR="007E00A7" w:rsidRPr="007E00A7">
        <w:rPr>
          <w:szCs w:val="26"/>
        </w:rPr>
        <w:t>Penelec argued that</w:t>
      </w:r>
      <w:r>
        <w:rPr>
          <w:szCs w:val="26"/>
        </w:rPr>
        <w:t>,</w:t>
      </w:r>
      <w:r w:rsidR="00444F0C">
        <w:rPr>
          <w:szCs w:val="26"/>
        </w:rPr>
        <w:t xml:space="preserve"> because the Complainant</w:t>
      </w:r>
      <w:r w:rsidR="007E00A7" w:rsidRPr="007E00A7">
        <w:rPr>
          <w:szCs w:val="26"/>
        </w:rPr>
        <w:t xml:space="preserve"> was not the ratepayer, she did n</w:t>
      </w:r>
      <w:r>
        <w:rPr>
          <w:szCs w:val="26"/>
        </w:rPr>
        <w:t>ot have standing to bring this C</w:t>
      </w:r>
      <w:r w:rsidR="007E00A7" w:rsidRPr="007E00A7">
        <w:rPr>
          <w:szCs w:val="26"/>
        </w:rPr>
        <w:t xml:space="preserve">omplaint.  Standing requires that a party have an interest in the matter that is substantial, direct, and immediate.  </w:t>
      </w:r>
      <w:r w:rsidR="007E00A7" w:rsidRPr="007E00A7">
        <w:rPr>
          <w:i/>
          <w:szCs w:val="26"/>
        </w:rPr>
        <w:t xml:space="preserve">William </w:t>
      </w:r>
      <w:r>
        <w:rPr>
          <w:i/>
          <w:szCs w:val="26"/>
        </w:rPr>
        <w:t xml:space="preserve">Penn Parking Garage, </w:t>
      </w:r>
      <w:r w:rsidR="00444F0C">
        <w:rPr>
          <w:i/>
          <w:szCs w:val="26"/>
        </w:rPr>
        <w:t>Inc.</w:t>
      </w:r>
      <w:r>
        <w:rPr>
          <w:i/>
          <w:szCs w:val="26"/>
        </w:rPr>
        <w:t xml:space="preserve"> </w:t>
      </w:r>
      <w:r w:rsidR="007E00A7" w:rsidRPr="007E00A7">
        <w:rPr>
          <w:i/>
          <w:szCs w:val="26"/>
        </w:rPr>
        <w:t>v. City of Pittsburgh</w:t>
      </w:r>
      <w:r w:rsidR="007E00A7" w:rsidRPr="007E00A7">
        <w:rPr>
          <w:szCs w:val="26"/>
        </w:rPr>
        <w:t xml:space="preserve">, </w:t>
      </w:r>
      <w:r w:rsidR="00444F0C">
        <w:rPr>
          <w:szCs w:val="26"/>
        </w:rPr>
        <w:t xml:space="preserve">464 Pa. 168, </w:t>
      </w:r>
      <w:r w:rsidR="007E00A7" w:rsidRPr="007E00A7">
        <w:rPr>
          <w:szCs w:val="26"/>
        </w:rPr>
        <w:t xml:space="preserve">346 </w:t>
      </w:r>
      <w:r w:rsidR="00444F0C">
        <w:rPr>
          <w:szCs w:val="26"/>
        </w:rPr>
        <w:t>A.2d 269 (</w:t>
      </w:r>
      <w:r>
        <w:rPr>
          <w:szCs w:val="26"/>
        </w:rPr>
        <w:t>1975).   The Complainant</w:t>
      </w:r>
      <w:r w:rsidR="007E00A7" w:rsidRPr="007E00A7">
        <w:rPr>
          <w:szCs w:val="26"/>
        </w:rPr>
        <w:t xml:space="preserve">’s interest in this matter is substantial, direct, and </w:t>
      </w:r>
      <w:r w:rsidR="004321F5">
        <w:rPr>
          <w:szCs w:val="26"/>
        </w:rPr>
        <w:t xml:space="preserve">immediate.  She owns the home that </w:t>
      </w:r>
      <w:r w:rsidR="00444F0C">
        <w:rPr>
          <w:szCs w:val="26"/>
        </w:rPr>
        <w:t xml:space="preserve">allegedly </w:t>
      </w:r>
      <w:r w:rsidR="004321F5">
        <w:rPr>
          <w:szCs w:val="26"/>
        </w:rPr>
        <w:t xml:space="preserve">was </w:t>
      </w:r>
      <w:r w:rsidR="00444F0C">
        <w:rPr>
          <w:szCs w:val="26"/>
        </w:rPr>
        <w:t xml:space="preserve">damaged by Penelec, and </w:t>
      </w:r>
      <w:r w:rsidR="004321F5">
        <w:rPr>
          <w:szCs w:val="26"/>
        </w:rPr>
        <w:t xml:space="preserve">is responsible for </w:t>
      </w:r>
      <w:r w:rsidR="007E00A7" w:rsidRPr="007E00A7">
        <w:rPr>
          <w:szCs w:val="26"/>
        </w:rPr>
        <w:t>all repairs</w:t>
      </w:r>
      <w:r w:rsidR="004321F5">
        <w:rPr>
          <w:szCs w:val="26"/>
        </w:rPr>
        <w:t xml:space="preserve"> to her property, which allegedly include the replacement of fire-damaged paneling in her basement and the repair of her furnace</w:t>
      </w:r>
      <w:r w:rsidR="007E00A7" w:rsidRPr="007E00A7">
        <w:rPr>
          <w:szCs w:val="26"/>
        </w:rPr>
        <w:t xml:space="preserve">.  Therefore, </w:t>
      </w:r>
      <w:r>
        <w:rPr>
          <w:szCs w:val="26"/>
        </w:rPr>
        <w:t>she has standing to bring the instant C</w:t>
      </w:r>
      <w:r w:rsidR="007E00A7" w:rsidRPr="007E00A7">
        <w:rPr>
          <w:szCs w:val="26"/>
        </w:rPr>
        <w:t xml:space="preserve">omplaint. </w:t>
      </w:r>
    </w:p>
    <w:p w:rsidR="007E00A7" w:rsidRPr="007E00A7" w:rsidRDefault="007E00A7" w:rsidP="007E00A7">
      <w:pPr>
        <w:spacing w:line="360" w:lineRule="auto"/>
        <w:ind w:firstLine="720"/>
        <w:rPr>
          <w:szCs w:val="26"/>
        </w:rPr>
      </w:pPr>
    </w:p>
    <w:p w:rsidR="00D3252E" w:rsidRDefault="006D1783" w:rsidP="00A17D0A">
      <w:pPr>
        <w:spacing w:line="360" w:lineRule="auto"/>
        <w:rPr>
          <w:szCs w:val="26"/>
        </w:rPr>
      </w:pPr>
      <w:r>
        <w:rPr>
          <w:szCs w:val="26"/>
        </w:rPr>
        <w:t xml:space="preserve"> </w:t>
      </w:r>
      <w:r>
        <w:rPr>
          <w:szCs w:val="26"/>
        </w:rPr>
        <w:tab/>
        <w:t xml:space="preserve"> </w:t>
      </w:r>
      <w:r>
        <w:rPr>
          <w:szCs w:val="26"/>
        </w:rPr>
        <w:tab/>
        <w:t>Because the Complainant</w:t>
      </w:r>
      <w:r w:rsidR="007E00A7" w:rsidRPr="007E00A7">
        <w:rPr>
          <w:szCs w:val="26"/>
        </w:rPr>
        <w:t xml:space="preserve"> has standing to bring this cause of action before the Commission and the </w:t>
      </w:r>
      <w:r w:rsidR="007E00A7" w:rsidRPr="007E00A7">
        <w:rPr>
          <w:i/>
          <w:szCs w:val="26"/>
        </w:rPr>
        <w:t>Rohrbaugh</w:t>
      </w:r>
      <w:r w:rsidR="007E00A7" w:rsidRPr="007E00A7">
        <w:rPr>
          <w:szCs w:val="26"/>
        </w:rPr>
        <w:t xml:space="preserve"> holding does not apply, this case should be remanded to the Office of Administrative Law Judge for </w:t>
      </w:r>
      <w:r w:rsidR="006D05C0">
        <w:rPr>
          <w:szCs w:val="26"/>
        </w:rPr>
        <w:t>further proceedings as may be appropriate</w:t>
      </w:r>
      <w:r w:rsidR="007E00A7" w:rsidRPr="007E00A7">
        <w:rPr>
          <w:szCs w:val="26"/>
        </w:rPr>
        <w:t>.</w:t>
      </w:r>
      <w:r w:rsidR="00A17D0A">
        <w:rPr>
          <w:szCs w:val="26"/>
        </w:rPr>
        <w:t xml:space="preserve">  </w:t>
      </w:r>
      <w:r w:rsidR="006C2F4A">
        <w:rPr>
          <w:szCs w:val="26"/>
        </w:rPr>
        <w:t>T</w:t>
      </w:r>
      <w:r w:rsidR="0047739E">
        <w:rPr>
          <w:szCs w:val="26"/>
        </w:rPr>
        <w:t xml:space="preserve">he Commission retains subject matter jurisdiction over issues related to a </w:t>
      </w:r>
      <w:r w:rsidR="0047739E">
        <w:rPr>
          <w:szCs w:val="26"/>
        </w:rPr>
        <w:lastRenderedPageBreak/>
        <w:t xml:space="preserve">public utility’s duty to provide adequate, </w:t>
      </w:r>
      <w:r w:rsidR="006C2F4A">
        <w:rPr>
          <w:szCs w:val="26"/>
        </w:rPr>
        <w:t>efficient, safe and reasonable service as required by Section 1501</w:t>
      </w:r>
      <w:r w:rsidR="0085074A">
        <w:rPr>
          <w:szCs w:val="26"/>
        </w:rPr>
        <w:t xml:space="preserve"> of the Code</w:t>
      </w:r>
      <w:r w:rsidR="006C2F4A">
        <w:rPr>
          <w:szCs w:val="26"/>
        </w:rPr>
        <w:t xml:space="preserve">.  </w:t>
      </w:r>
    </w:p>
    <w:p w:rsidR="004321F5" w:rsidRDefault="004321F5" w:rsidP="00A17D0A">
      <w:pPr>
        <w:spacing w:line="360" w:lineRule="auto"/>
        <w:rPr>
          <w:szCs w:val="26"/>
        </w:rPr>
      </w:pPr>
    </w:p>
    <w:p w:rsidR="00D3252E" w:rsidRDefault="00D3252E" w:rsidP="00D3252E">
      <w:pPr>
        <w:tabs>
          <w:tab w:val="left" w:pos="-1440"/>
          <w:tab w:val="left" w:pos="-720"/>
        </w:tabs>
        <w:suppressAutoHyphens/>
        <w:spacing w:line="360" w:lineRule="auto"/>
        <w:jc w:val="center"/>
        <w:rPr>
          <w:b/>
          <w:spacing w:val="-3"/>
          <w:szCs w:val="26"/>
        </w:rPr>
      </w:pPr>
      <w:r>
        <w:rPr>
          <w:b/>
          <w:spacing w:val="-3"/>
          <w:szCs w:val="26"/>
        </w:rPr>
        <w:t>Conclusion</w:t>
      </w:r>
    </w:p>
    <w:p w:rsidR="00D3252E" w:rsidRDefault="00D3252E" w:rsidP="00D3252E">
      <w:pPr>
        <w:tabs>
          <w:tab w:val="left" w:pos="-1440"/>
          <w:tab w:val="left" w:pos="-720"/>
        </w:tabs>
        <w:suppressAutoHyphens/>
        <w:spacing w:line="360" w:lineRule="auto"/>
        <w:rPr>
          <w:spacing w:val="-3"/>
          <w:szCs w:val="26"/>
        </w:rPr>
      </w:pPr>
    </w:p>
    <w:p w:rsidR="00D3252E" w:rsidRDefault="00D3252E" w:rsidP="00D3252E">
      <w:pPr>
        <w:tabs>
          <w:tab w:val="left" w:pos="-1440"/>
          <w:tab w:val="left" w:pos="-720"/>
        </w:tabs>
        <w:suppressAutoHyphens/>
        <w:spacing w:line="360" w:lineRule="auto"/>
        <w:rPr>
          <w:spacing w:val="-3"/>
          <w:szCs w:val="26"/>
        </w:rPr>
      </w:pPr>
      <w:r>
        <w:rPr>
          <w:spacing w:val="-3"/>
          <w:szCs w:val="26"/>
        </w:rPr>
        <w:tab/>
        <w:t xml:space="preserve"> </w:t>
      </w:r>
      <w:r>
        <w:rPr>
          <w:spacing w:val="-3"/>
          <w:szCs w:val="26"/>
        </w:rPr>
        <w:tab/>
        <w:t>Based upon the foreg</w:t>
      </w:r>
      <w:r w:rsidR="00A17D0A">
        <w:rPr>
          <w:spacing w:val="-3"/>
          <w:szCs w:val="26"/>
        </w:rPr>
        <w:t>oing discussion, we shall reverse</w:t>
      </w:r>
      <w:r>
        <w:rPr>
          <w:spacing w:val="-3"/>
          <w:szCs w:val="26"/>
        </w:rPr>
        <w:t xml:space="preserve"> the Initial Decision and </w:t>
      </w:r>
      <w:r w:rsidR="00A17D0A">
        <w:rPr>
          <w:spacing w:val="-3"/>
          <w:szCs w:val="26"/>
        </w:rPr>
        <w:t>remand</w:t>
      </w:r>
      <w:r w:rsidR="00A17D0A" w:rsidRPr="00A17D0A">
        <w:rPr>
          <w:spacing w:val="-3"/>
          <w:szCs w:val="26"/>
        </w:rPr>
        <w:t xml:space="preserve"> </w:t>
      </w:r>
      <w:r w:rsidR="00A17D0A">
        <w:rPr>
          <w:spacing w:val="-3"/>
          <w:szCs w:val="26"/>
        </w:rPr>
        <w:t xml:space="preserve">this proceeding to the Office of Administrative Law Judge for </w:t>
      </w:r>
      <w:r w:rsidR="008E39FC">
        <w:rPr>
          <w:spacing w:val="-3"/>
          <w:szCs w:val="26"/>
        </w:rPr>
        <w:t>further proceedings as may be appropriate</w:t>
      </w:r>
      <w:r>
        <w:rPr>
          <w:szCs w:val="26"/>
        </w:rPr>
        <w:t xml:space="preserve">; </w:t>
      </w:r>
      <w:r>
        <w:rPr>
          <w:b/>
          <w:szCs w:val="26"/>
        </w:rPr>
        <w:t>THEREFORE,</w:t>
      </w:r>
    </w:p>
    <w:p w:rsidR="00D3252E" w:rsidRDefault="00D3252E" w:rsidP="00D3252E">
      <w:pPr>
        <w:spacing w:line="360" w:lineRule="auto"/>
        <w:ind w:firstLine="1440"/>
        <w:rPr>
          <w:szCs w:val="26"/>
        </w:rPr>
      </w:pPr>
    </w:p>
    <w:p w:rsidR="00D3252E" w:rsidRDefault="00D3252E" w:rsidP="00D3252E">
      <w:pPr>
        <w:spacing w:line="360" w:lineRule="auto"/>
        <w:ind w:firstLine="1440"/>
        <w:rPr>
          <w:b/>
          <w:szCs w:val="26"/>
        </w:rPr>
      </w:pPr>
      <w:r>
        <w:rPr>
          <w:b/>
          <w:szCs w:val="26"/>
        </w:rPr>
        <w:t xml:space="preserve">IT IS ORDERED: </w:t>
      </w:r>
    </w:p>
    <w:p w:rsidR="00D3252E" w:rsidRDefault="00D3252E" w:rsidP="00D3252E">
      <w:pPr>
        <w:spacing w:line="360" w:lineRule="auto"/>
        <w:ind w:firstLine="1440"/>
        <w:rPr>
          <w:szCs w:val="26"/>
        </w:rPr>
      </w:pPr>
    </w:p>
    <w:p w:rsidR="00D3252E" w:rsidRDefault="00D3252E" w:rsidP="00D3252E">
      <w:pPr>
        <w:spacing w:line="360" w:lineRule="auto"/>
        <w:ind w:firstLine="1440"/>
        <w:rPr>
          <w:spacing w:val="-3"/>
          <w:szCs w:val="26"/>
        </w:rPr>
      </w:pPr>
      <w:r>
        <w:rPr>
          <w:szCs w:val="26"/>
        </w:rPr>
        <w:t>1.</w:t>
      </w:r>
      <w:r>
        <w:rPr>
          <w:szCs w:val="26"/>
        </w:rPr>
        <w:tab/>
        <w:t xml:space="preserve">That the Initial Decision of Administrative Law Judge </w:t>
      </w:r>
      <w:r w:rsidR="00A17D0A">
        <w:rPr>
          <w:spacing w:val="-3"/>
          <w:szCs w:val="26"/>
        </w:rPr>
        <w:t>Dennis J. Buckley issued on July 31, 2012</w:t>
      </w:r>
      <w:r>
        <w:rPr>
          <w:spacing w:val="-3"/>
          <w:szCs w:val="26"/>
        </w:rPr>
        <w:t>,</w:t>
      </w:r>
      <w:r w:rsidR="00A17D0A">
        <w:rPr>
          <w:spacing w:val="-3"/>
          <w:szCs w:val="26"/>
        </w:rPr>
        <w:t xml:space="preserve"> is reversed</w:t>
      </w:r>
      <w:r>
        <w:rPr>
          <w:spacing w:val="-3"/>
          <w:szCs w:val="26"/>
        </w:rPr>
        <w:t>, consistent with this Opinion and Order.</w:t>
      </w:r>
    </w:p>
    <w:p w:rsidR="00D3252E" w:rsidRDefault="00D3252E" w:rsidP="00D3252E">
      <w:pPr>
        <w:spacing w:line="360" w:lineRule="auto"/>
        <w:ind w:firstLine="1440"/>
        <w:rPr>
          <w:szCs w:val="26"/>
        </w:rPr>
      </w:pPr>
    </w:p>
    <w:p w:rsidR="00A17D0A" w:rsidRDefault="00A17D0A" w:rsidP="00444F0C">
      <w:pPr>
        <w:spacing w:line="360" w:lineRule="auto"/>
        <w:ind w:firstLine="1440"/>
        <w:rPr>
          <w:szCs w:val="26"/>
        </w:rPr>
      </w:pPr>
      <w:r>
        <w:rPr>
          <w:szCs w:val="26"/>
        </w:rPr>
        <w:t>2.</w:t>
      </w:r>
      <w:r>
        <w:rPr>
          <w:szCs w:val="26"/>
        </w:rPr>
        <w:tab/>
        <w:t>That the Preliminary Objections filed by Pennsylvania Electric Company on April 4, 2012, are denied</w:t>
      </w:r>
      <w:r w:rsidR="00D3252E">
        <w:rPr>
          <w:szCs w:val="26"/>
        </w:rPr>
        <w:t xml:space="preserve">. </w:t>
      </w:r>
    </w:p>
    <w:p w:rsidR="00A17D0A" w:rsidRDefault="00A17D0A" w:rsidP="00D3252E">
      <w:pPr>
        <w:spacing w:line="360" w:lineRule="auto"/>
        <w:ind w:firstLine="1440"/>
        <w:rPr>
          <w:szCs w:val="26"/>
        </w:rPr>
      </w:pPr>
    </w:p>
    <w:p w:rsidR="00D3252E" w:rsidRDefault="00A17D0A" w:rsidP="00A17D0A">
      <w:pPr>
        <w:spacing w:line="360" w:lineRule="auto"/>
        <w:ind w:firstLine="1440"/>
        <w:rPr>
          <w:szCs w:val="26"/>
        </w:rPr>
      </w:pPr>
      <w:r>
        <w:rPr>
          <w:szCs w:val="26"/>
        </w:rPr>
        <w:t>3.</w:t>
      </w:r>
      <w:r>
        <w:rPr>
          <w:szCs w:val="26"/>
        </w:rPr>
        <w:tab/>
        <w:t>That this proceeding shall be remanded to the Office of Administrative Law Judge for further proceedings as may be appropriate</w:t>
      </w:r>
      <w:r w:rsidR="00D3252E">
        <w:rPr>
          <w:szCs w:val="26"/>
        </w:rPr>
        <w:t xml:space="preserve">. </w:t>
      </w:r>
    </w:p>
    <w:p w:rsidR="00D3252E" w:rsidRDefault="009675AC" w:rsidP="00D3252E">
      <w:pPr>
        <w:spacing w:line="360" w:lineRule="auto"/>
        <w:rPr>
          <w:szCs w:val="26"/>
        </w:rPr>
      </w:pPr>
      <w:bookmarkStart w:id="0" w:name="_GoBack"/>
      <w:r w:rsidRPr="00A14635">
        <w:rPr>
          <w:noProof/>
        </w:rPr>
        <w:drawing>
          <wp:anchor distT="0" distB="0" distL="114300" distR="114300" simplePos="0" relativeHeight="251659264" behindDoc="1" locked="0" layoutInCell="1" allowOverlap="1" wp14:anchorId="761D67C1" wp14:editId="61225451">
            <wp:simplePos x="0" y="0"/>
            <wp:positionH relativeFrom="column">
              <wp:posOffset>3188970</wp:posOffset>
            </wp:positionH>
            <wp:positionV relativeFrom="paragraph">
              <wp:posOffset>159385</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bookmarkEnd w:id="0"/>
    </w:p>
    <w:p w:rsidR="00D3252E" w:rsidRDefault="00D3252E" w:rsidP="00D3252E">
      <w:pPr>
        <w:spacing w:line="360" w:lineRule="auto"/>
        <w:ind w:left="720" w:firstLine="720"/>
        <w:rPr>
          <w:b/>
          <w:szCs w:val="26"/>
        </w:rPr>
      </w:pPr>
      <w:r>
        <w:rPr>
          <w:szCs w:val="26"/>
        </w:rPr>
        <w:tab/>
      </w:r>
      <w:r>
        <w:rPr>
          <w:szCs w:val="26"/>
        </w:rPr>
        <w:tab/>
      </w:r>
      <w:r>
        <w:rPr>
          <w:szCs w:val="26"/>
        </w:rPr>
        <w:tab/>
      </w:r>
      <w:r>
        <w:rPr>
          <w:szCs w:val="26"/>
        </w:rPr>
        <w:tab/>
      </w:r>
      <w:r>
        <w:rPr>
          <w:szCs w:val="26"/>
        </w:rPr>
        <w:tab/>
      </w:r>
      <w:r>
        <w:rPr>
          <w:b/>
          <w:szCs w:val="26"/>
        </w:rPr>
        <w:t>BY THE COMMISSION,</w:t>
      </w:r>
    </w:p>
    <w:p w:rsidR="00D3252E" w:rsidRDefault="00D3252E" w:rsidP="00D3252E">
      <w:pPr>
        <w:spacing w:line="360" w:lineRule="auto"/>
        <w:rPr>
          <w:szCs w:val="26"/>
        </w:rPr>
      </w:pPr>
    </w:p>
    <w:p w:rsidR="00D3252E" w:rsidRDefault="00D3252E" w:rsidP="00D3252E">
      <w:pPr>
        <w:ind w:left="720" w:firstLine="720"/>
        <w:rPr>
          <w:szCs w:val="26"/>
        </w:rPr>
      </w:pPr>
      <w:r>
        <w:rPr>
          <w:szCs w:val="26"/>
        </w:rPr>
        <w:tab/>
      </w:r>
      <w:r>
        <w:rPr>
          <w:szCs w:val="26"/>
        </w:rPr>
        <w:tab/>
      </w:r>
      <w:r>
        <w:rPr>
          <w:szCs w:val="26"/>
        </w:rPr>
        <w:tab/>
      </w:r>
      <w:r>
        <w:rPr>
          <w:szCs w:val="26"/>
        </w:rPr>
        <w:tab/>
      </w:r>
      <w:r>
        <w:rPr>
          <w:szCs w:val="26"/>
        </w:rPr>
        <w:tab/>
        <w:t>Rosemary Chiavetta</w:t>
      </w:r>
    </w:p>
    <w:p w:rsidR="00D3252E" w:rsidRDefault="00D3252E" w:rsidP="00D3252E">
      <w:pPr>
        <w:ind w:left="720" w:firstLine="720"/>
        <w:rPr>
          <w:szCs w:val="26"/>
        </w:rPr>
      </w:pPr>
      <w:r>
        <w:rPr>
          <w:szCs w:val="26"/>
        </w:rPr>
        <w:tab/>
      </w:r>
      <w:r>
        <w:rPr>
          <w:szCs w:val="26"/>
        </w:rPr>
        <w:tab/>
      </w:r>
      <w:r>
        <w:rPr>
          <w:szCs w:val="26"/>
        </w:rPr>
        <w:tab/>
      </w:r>
      <w:r>
        <w:rPr>
          <w:szCs w:val="26"/>
        </w:rPr>
        <w:tab/>
      </w:r>
      <w:r>
        <w:rPr>
          <w:szCs w:val="26"/>
        </w:rPr>
        <w:tab/>
        <w:t>Secretary</w:t>
      </w:r>
    </w:p>
    <w:p w:rsidR="00D3252E" w:rsidRDefault="00D3252E" w:rsidP="00D3252E">
      <w:pPr>
        <w:rPr>
          <w:szCs w:val="26"/>
        </w:rPr>
      </w:pPr>
    </w:p>
    <w:p w:rsidR="00444F0C" w:rsidRDefault="00444F0C" w:rsidP="00D3252E">
      <w:pPr>
        <w:rPr>
          <w:szCs w:val="26"/>
        </w:rPr>
      </w:pPr>
    </w:p>
    <w:p w:rsidR="00D3252E" w:rsidRDefault="00D3252E" w:rsidP="00D3252E">
      <w:pPr>
        <w:rPr>
          <w:szCs w:val="26"/>
        </w:rPr>
      </w:pPr>
      <w:r>
        <w:rPr>
          <w:szCs w:val="26"/>
        </w:rPr>
        <w:t>(SEAL)</w:t>
      </w:r>
    </w:p>
    <w:p w:rsidR="00D3252E" w:rsidRDefault="00D3252E" w:rsidP="00D3252E">
      <w:pPr>
        <w:rPr>
          <w:szCs w:val="26"/>
        </w:rPr>
      </w:pPr>
    </w:p>
    <w:p w:rsidR="00D3252E" w:rsidRDefault="00A17D0A" w:rsidP="00D3252E">
      <w:pPr>
        <w:rPr>
          <w:szCs w:val="26"/>
        </w:rPr>
      </w:pPr>
      <w:r>
        <w:rPr>
          <w:szCs w:val="26"/>
        </w:rPr>
        <w:t>ORDER ADOPTED:</w:t>
      </w:r>
      <w:r>
        <w:rPr>
          <w:szCs w:val="26"/>
        </w:rPr>
        <w:tab/>
        <w:t>November 8, 2012</w:t>
      </w:r>
    </w:p>
    <w:p w:rsidR="00D3252E" w:rsidRDefault="00D3252E" w:rsidP="00D3252E">
      <w:pPr>
        <w:rPr>
          <w:szCs w:val="26"/>
        </w:rPr>
      </w:pPr>
    </w:p>
    <w:p w:rsidR="0082408D" w:rsidRPr="00A8638A" w:rsidRDefault="004321F5" w:rsidP="004E4FD6">
      <w:pPr>
        <w:rPr>
          <w:szCs w:val="26"/>
        </w:rPr>
      </w:pPr>
      <w:r>
        <w:rPr>
          <w:szCs w:val="26"/>
        </w:rPr>
        <w:t>ORDER ENTERED</w:t>
      </w:r>
      <w:r w:rsidR="00D371E1">
        <w:rPr>
          <w:szCs w:val="26"/>
        </w:rPr>
        <w:t>:</w:t>
      </w:r>
      <w:r w:rsidR="009675AC">
        <w:rPr>
          <w:szCs w:val="26"/>
        </w:rPr>
        <w:t xml:space="preserve">  December 7, 2012</w:t>
      </w:r>
    </w:p>
    <w:sectPr w:rsidR="0082408D" w:rsidRPr="00A8638A" w:rsidSect="008203AA">
      <w:footerReference w:type="first" r:id="rId13"/>
      <w:pgSz w:w="12240" w:h="15840" w:code="1"/>
      <w:pgMar w:top="1440" w:right="1440" w:bottom="1440" w:left="1440" w:header="0" w:footer="720" w:gutter="0"/>
      <w:cols w:space="720"/>
      <w:titlePg/>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2BA5" w:rsidRDefault="00202BA5">
      <w:r>
        <w:separator/>
      </w:r>
    </w:p>
  </w:endnote>
  <w:endnote w:type="continuationSeparator" w:id="0">
    <w:p w:rsidR="00202BA5" w:rsidRDefault="00202B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3" w:usb1="10000000" w:usb2="00000000" w:usb3="00000000" w:csb0="80000001"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3760360"/>
      <w:docPartObj>
        <w:docPartGallery w:val="Page Numbers (Bottom of Page)"/>
        <w:docPartUnique/>
      </w:docPartObj>
    </w:sdtPr>
    <w:sdtEndPr>
      <w:rPr>
        <w:noProof/>
        <w:sz w:val="20"/>
      </w:rPr>
    </w:sdtEndPr>
    <w:sdtContent>
      <w:p w:rsidR="008203AA" w:rsidRPr="008203AA" w:rsidRDefault="008203AA">
        <w:pPr>
          <w:pStyle w:val="Footer"/>
          <w:jc w:val="center"/>
          <w:rPr>
            <w:sz w:val="20"/>
          </w:rPr>
        </w:pPr>
        <w:r w:rsidRPr="008203AA">
          <w:rPr>
            <w:sz w:val="20"/>
          </w:rPr>
          <w:fldChar w:fldCharType="begin"/>
        </w:r>
        <w:r w:rsidRPr="008203AA">
          <w:rPr>
            <w:sz w:val="20"/>
          </w:rPr>
          <w:instrText xml:space="preserve"> PAGE   \* MERGEFORMAT </w:instrText>
        </w:r>
        <w:r w:rsidRPr="008203AA">
          <w:rPr>
            <w:sz w:val="20"/>
          </w:rPr>
          <w:fldChar w:fldCharType="separate"/>
        </w:r>
        <w:r w:rsidR="009675AC">
          <w:rPr>
            <w:noProof/>
            <w:sz w:val="20"/>
          </w:rPr>
          <w:t>1</w:t>
        </w:r>
        <w:r w:rsidRPr="008203AA">
          <w:rPr>
            <w:noProof/>
            <w:sz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2BA5" w:rsidRDefault="00202BA5">
      <w:r>
        <w:separator/>
      </w:r>
    </w:p>
  </w:footnote>
  <w:footnote w:type="continuationSeparator" w:id="0">
    <w:p w:rsidR="00202BA5" w:rsidRDefault="00202BA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6844DC"/>
    <w:multiLevelType w:val="hybridMultilevel"/>
    <w:tmpl w:val="FC387BAC"/>
    <w:lvl w:ilvl="0" w:tplc="C6100FE0">
      <w:start w:val="12"/>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398860AD"/>
    <w:multiLevelType w:val="hybridMultilevel"/>
    <w:tmpl w:val="536E3B32"/>
    <w:lvl w:ilvl="0" w:tplc="0409000F">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nsid w:val="4FCF0948"/>
    <w:multiLevelType w:val="hybridMultilevel"/>
    <w:tmpl w:val="BA0AAF16"/>
    <w:lvl w:ilvl="0" w:tplc="3EA25DB8">
      <w:start w:val="12"/>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nsid w:val="58741BE8"/>
    <w:multiLevelType w:val="hybridMultilevel"/>
    <w:tmpl w:val="04429A4E"/>
    <w:lvl w:ilvl="0" w:tplc="B13CFE9A">
      <w:start w:val="1"/>
      <w:numFmt w:val="bullet"/>
      <w:lvlText w:val=""/>
      <w:lvlJc w:val="left"/>
      <w:pPr>
        <w:tabs>
          <w:tab w:val="num" w:pos="360"/>
        </w:tabs>
        <w:ind w:left="72" w:hanging="72"/>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5D000D7C"/>
    <w:multiLevelType w:val="hybridMultilevel"/>
    <w:tmpl w:val="130404FC"/>
    <w:lvl w:ilvl="0" w:tplc="E17E2330">
      <w:start w:val="1"/>
      <w:numFmt w:val="decimal"/>
      <w:lvlText w:val="(%1)"/>
      <w:lvlJc w:val="left"/>
      <w:pPr>
        <w:tabs>
          <w:tab w:val="num" w:pos="2160"/>
        </w:tabs>
        <w:ind w:left="2160" w:hanging="360"/>
      </w:pPr>
    </w:lvl>
    <w:lvl w:ilvl="1" w:tplc="04090019">
      <w:start w:val="1"/>
      <w:numFmt w:val="lowerLetter"/>
      <w:lvlText w:val="%2."/>
      <w:lvlJc w:val="left"/>
      <w:pPr>
        <w:tabs>
          <w:tab w:val="num" w:pos="2880"/>
        </w:tabs>
        <w:ind w:left="2880" w:hanging="360"/>
      </w:pPr>
    </w:lvl>
    <w:lvl w:ilvl="2" w:tplc="0409001B">
      <w:start w:val="1"/>
      <w:numFmt w:val="lowerRoman"/>
      <w:lvlText w:val="%3."/>
      <w:lvlJc w:val="right"/>
      <w:pPr>
        <w:tabs>
          <w:tab w:val="num" w:pos="3600"/>
        </w:tabs>
        <w:ind w:left="3600" w:hanging="180"/>
      </w:pPr>
    </w:lvl>
    <w:lvl w:ilvl="3" w:tplc="0409000F">
      <w:start w:val="1"/>
      <w:numFmt w:val="decimal"/>
      <w:lvlText w:val="%4."/>
      <w:lvlJc w:val="left"/>
      <w:pPr>
        <w:tabs>
          <w:tab w:val="num" w:pos="4320"/>
        </w:tabs>
        <w:ind w:left="4320" w:hanging="360"/>
      </w:pPr>
    </w:lvl>
    <w:lvl w:ilvl="4" w:tplc="04090019">
      <w:start w:val="1"/>
      <w:numFmt w:val="lowerLetter"/>
      <w:lvlText w:val="%5."/>
      <w:lvlJc w:val="left"/>
      <w:pPr>
        <w:tabs>
          <w:tab w:val="num" w:pos="5040"/>
        </w:tabs>
        <w:ind w:left="5040" w:hanging="360"/>
      </w:pPr>
    </w:lvl>
    <w:lvl w:ilvl="5" w:tplc="0409001B">
      <w:start w:val="1"/>
      <w:numFmt w:val="lowerRoman"/>
      <w:lvlText w:val="%6."/>
      <w:lvlJc w:val="right"/>
      <w:pPr>
        <w:tabs>
          <w:tab w:val="num" w:pos="5760"/>
        </w:tabs>
        <w:ind w:left="5760" w:hanging="180"/>
      </w:pPr>
    </w:lvl>
    <w:lvl w:ilvl="6" w:tplc="0409000F">
      <w:start w:val="1"/>
      <w:numFmt w:val="decimal"/>
      <w:lvlText w:val="%7."/>
      <w:lvlJc w:val="left"/>
      <w:pPr>
        <w:tabs>
          <w:tab w:val="num" w:pos="6480"/>
        </w:tabs>
        <w:ind w:left="6480" w:hanging="360"/>
      </w:pPr>
    </w:lvl>
    <w:lvl w:ilvl="7" w:tplc="04090019">
      <w:start w:val="1"/>
      <w:numFmt w:val="lowerLetter"/>
      <w:lvlText w:val="%8."/>
      <w:lvlJc w:val="left"/>
      <w:pPr>
        <w:tabs>
          <w:tab w:val="num" w:pos="7200"/>
        </w:tabs>
        <w:ind w:left="7200" w:hanging="360"/>
      </w:pPr>
    </w:lvl>
    <w:lvl w:ilvl="8" w:tplc="0409001B">
      <w:start w:val="1"/>
      <w:numFmt w:val="lowerRoman"/>
      <w:lvlText w:val="%9."/>
      <w:lvlJc w:val="right"/>
      <w:pPr>
        <w:tabs>
          <w:tab w:val="num" w:pos="7920"/>
        </w:tabs>
        <w:ind w:left="7920" w:hanging="180"/>
      </w:pPr>
    </w:lvl>
  </w:abstractNum>
  <w:abstractNum w:abstractNumId="5">
    <w:nsid w:val="6BA145CD"/>
    <w:multiLevelType w:val="hybridMultilevel"/>
    <w:tmpl w:val="FD565BA4"/>
    <w:lvl w:ilvl="0" w:tplc="AC26C3EC">
      <w:start w:val="1"/>
      <w:numFmt w:val="bullet"/>
      <w:lvlText w:val=""/>
      <w:lvlJc w:val="left"/>
      <w:pPr>
        <w:tabs>
          <w:tab w:val="num" w:pos="360"/>
        </w:tabs>
        <w:ind w:left="72" w:hanging="72"/>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3"/>
  </w:num>
  <w:num w:numId="3">
    <w:abstractNumId w:val="0"/>
  </w:num>
  <w:num w:numId="4">
    <w:abstractNumId w:val="2"/>
  </w:num>
  <w:num w:numId="5">
    <w:abstractNumId w:val="2"/>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302B"/>
    <w:rsid w:val="000026EB"/>
    <w:rsid w:val="0000338C"/>
    <w:rsid w:val="000113AC"/>
    <w:rsid w:val="00014DF4"/>
    <w:rsid w:val="000158A4"/>
    <w:rsid w:val="00023F14"/>
    <w:rsid w:val="00027BDB"/>
    <w:rsid w:val="000373FF"/>
    <w:rsid w:val="00053167"/>
    <w:rsid w:val="000577A1"/>
    <w:rsid w:val="0007029C"/>
    <w:rsid w:val="000750BE"/>
    <w:rsid w:val="0007652A"/>
    <w:rsid w:val="00093062"/>
    <w:rsid w:val="000A2141"/>
    <w:rsid w:val="000A2320"/>
    <w:rsid w:val="000A7743"/>
    <w:rsid w:val="000B179D"/>
    <w:rsid w:val="000B39DD"/>
    <w:rsid w:val="000B6CDA"/>
    <w:rsid w:val="000B7C7A"/>
    <w:rsid w:val="000C6474"/>
    <w:rsid w:val="000E4653"/>
    <w:rsid w:val="000F3B48"/>
    <w:rsid w:val="001177E2"/>
    <w:rsid w:val="0012199B"/>
    <w:rsid w:val="00121AE9"/>
    <w:rsid w:val="00123CBF"/>
    <w:rsid w:val="00124C90"/>
    <w:rsid w:val="00134A36"/>
    <w:rsid w:val="0014704D"/>
    <w:rsid w:val="0014740F"/>
    <w:rsid w:val="00147FD8"/>
    <w:rsid w:val="00150728"/>
    <w:rsid w:val="00153BC0"/>
    <w:rsid w:val="00162A9F"/>
    <w:rsid w:val="00164299"/>
    <w:rsid w:val="00165845"/>
    <w:rsid w:val="00173854"/>
    <w:rsid w:val="001764FD"/>
    <w:rsid w:val="00177F46"/>
    <w:rsid w:val="001853E8"/>
    <w:rsid w:val="001939A4"/>
    <w:rsid w:val="00196A40"/>
    <w:rsid w:val="001A151F"/>
    <w:rsid w:val="001A55E2"/>
    <w:rsid w:val="001B3B27"/>
    <w:rsid w:val="001C08A6"/>
    <w:rsid w:val="001D32C7"/>
    <w:rsid w:val="001D3653"/>
    <w:rsid w:val="001D6387"/>
    <w:rsid w:val="001E276B"/>
    <w:rsid w:val="001E646A"/>
    <w:rsid w:val="001F0CFE"/>
    <w:rsid w:val="001F1039"/>
    <w:rsid w:val="001F457C"/>
    <w:rsid w:val="00202BA5"/>
    <w:rsid w:val="00203E9B"/>
    <w:rsid w:val="00206515"/>
    <w:rsid w:val="00207D13"/>
    <w:rsid w:val="00210D0E"/>
    <w:rsid w:val="002141CD"/>
    <w:rsid w:val="00214EDE"/>
    <w:rsid w:val="002303C5"/>
    <w:rsid w:val="00230547"/>
    <w:rsid w:val="002349BF"/>
    <w:rsid w:val="00234C52"/>
    <w:rsid w:val="00251BFC"/>
    <w:rsid w:val="00255082"/>
    <w:rsid w:val="0025628A"/>
    <w:rsid w:val="00264CA7"/>
    <w:rsid w:val="002717E4"/>
    <w:rsid w:val="00280BE6"/>
    <w:rsid w:val="00281B73"/>
    <w:rsid w:val="0028256C"/>
    <w:rsid w:val="0029037E"/>
    <w:rsid w:val="00290441"/>
    <w:rsid w:val="00292DB8"/>
    <w:rsid w:val="002A6FFB"/>
    <w:rsid w:val="002B3D02"/>
    <w:rsid w:val="002B472E"/>
    <w:rsid w:val="002C197C"/>
    <w:rsid w:val="002C1BC7"/>
    <w:rsid w:val="002C60CC"/>
    <w:rsid w:val="002C6EA9"/>
    <w:rsid w:val="002D7C13"/>
    <w:rsid w:val="002E15DC"/>
    <w:rsid w:val="002E4E15"/>
    <w:rsid w:val="002E53B7"/>
    <w:rsid w:val="002F1FC1"/>
    <w:rsid w:val="002F25CF"/>
    <w:rsid w:val="003039F1"/>
    <w:rsid w:val="003165F9"/>
    <w:rsid w:val="00321B88"/>
    <w:rsid w:val="00321F70"/>
    <w:rsid w:val="00323856"/>
    <w:rsid w:val="00327DAC"/>
    <w:rsid w:val="003359A4"/>
    <w:rsid w:val="00354863"/>
    <w:rsid w:val="00354F87"/>
    <w:rsid w:val="00356EC0"/>
    <w:rsid w:val="0036302B"/>
    <w:rsid w:val="0036368B"/>
    <w:rsid w:val="0037737A"/>
    <w:rsid w:val="003818C4"/>
    <w:rsid w:val="00385252"/>
    <w:rsid w:val="00391689"/>
    <w:rsid w:val="00393596"/>
    <w:rsid w:val="0039655D"/>
    <w:rsid w:val="003A2526"/>
    <w:rsid w:val="003A28D5"/>
    <w:rsid w:val="003A4DBC"/>
    <w:rsid w:val="003A61AD"/>
    <w:rsid w:val="003C1FA5"/>
    <w:rsid w:val="003C6B1C"/>
    <w:rsid w:val="003D17EA"/>
    <w:rsid w:val="003E1A33"/>
    <w:rsid w:val="003E310E"/>
    <w:rsid w:val="003F7730"/>
    <w:rsid w:val="00407ED2"/>
    <w:rsid w:val="0041603F"/>
    <w:rsid w:val="004212F3"/>
    <w:rsid w:val="0042447B"/>
    <w:rsid w:val="004321F5"/>
    <w:rsid w:val="00434AA0"/>
    <w:rsid w:val="00435ACC"/>
    <w:rsid w:val="00443511"/>
    <w:rsid w:val="00444F0C"/>
    <w:rsid w:val="0044552C"/>
    <w:rsid w:val="0044703D"/>
    <w:rsid w:val="00450055"/>
    <w:rsid w:val="00460639"/>
    <w:rsid w:val="00465738"/>
    <w:rsid w:val="00471967"/>
    <w:rsid w:val="0047739E"/>
    <w:rsid w:val="00477873"/>
    <w:rsid w:val="00481849"/>
    <w:rsid w:val="00485B4E"/>
    <w:rsid w:val="00486D2B"/>
    <w:rsid w:val="004923E8"/>
    <w:rsid w:val="00494CA4"/>
    <w:rsid w:val="00495826"/>
    <w:rsid w:val="00496B9E"/>
    <w:rsid w:val="004C169D"/>
    <w:rsid w:val="004C1709"/>
    <w:rsid w:val="004D28C8"/>
    <w:rsid w:val="004D43ED"/>
    <w:rsid w:val="004E4FD6"/>
    <w:rsid w:val="004F2B91"/>
    <w:rsid w:val="004F35E2"/>
    <w:rsid w:val="004F74A8"/>
    <w:rsid w:val="004F7592"/>
    <w:rsid w:val="00502612"/>
    <w:rsid w:val="00502BFE"/>
    <w:rsid w:val="005077BA"/>
    <w:rsid w:val="0051022B"/>
    <w:rsid w:val="0052376C"/>
    <w:rsid w:val="00534D2B"/>
    <w:rsid w:val="00542CB0"/>
    <w:rsid w:val="00543676"/>
    <w:rsid w:val="00547B36"/>
    <w:rsid w:val="00550ADA"/>
    <w:rsid w:val="005527AE"/>
    <w:rsid w:val="0055348E"/>
    <w:rsid w:val="00563CF3"/>
    <w:rsid w:val="00573ECB"/>
    <w:rsid w:val="00577D29"/>
    <w:rsid w:val="005832E0"/>
    <w:rsid w:val="00583EC9"/>
    <w:rsid w:val="0058442B"/>
    <w:rsid w:val="0058671A"/>
    <w:rsid w:val="00593264"/>
    <w:rsid w:val="00594328"/>
    <w:rsid w:val="0059456D"/>
    <w:rsid w:val="005B4689"/>
    <w:rsid w:val="005B5BD5"/>
    <w:rsid w:val="005C089B"/>
    <w:rsid w:val="005C3F66"/>
    <w:rsid w:val="005D14BB"/>
    <w:rsid w:val="005D1EF3"/>
    <w:rsid w:val="005D2564"/>
    <w:rsid w:val="005D3930"/>
    <w:rsid w:val="005D7B02"/>
    <w:rsid w:val="005E0C64"/>
    <w:rsid w:val="005E26EB"/>
    <w:rsid w:val="005F59DD"/>
    <w:rsid w:val="006019D2"/>
    <w:rsid w:val="00606884"/>
    <w:rsid w:val="00617A57"/>
    <w:rsid w:val="00620AA7"/>
    <w:rsid w:val="0062755E"/>
    <w:rsid w:val="00630649"/>
    <w:rsid w:val="00631196"/>
    <w:rsid w:val="00631BC7"/>
    <w:rsid w:val="00634651"/>
    <w:rsid w:val="00635F70"/>
    <w:rsid w:val="00645F97"/>
    <w:rsid w:val="00650ECA"/>
    <w:rsid w:val="006533DF"/>
    <w:rsid w:val="006555D7"/>
    <w:rsid w:val="00655AC9"/>
    <w:rsid w:val="0066355B"/>
    <w:rsid w:val="0067397D"/>
    <w:rsid w:val="00680300"/>
    <w:rsid w:val="00690054"/>
    <w:rsid w:val="006A38A8"/>
    <w:rsid w:val="006A51FE"/>
    <w:rsid w:val="006A63A1"/>
    <w:rsid w:val="006A7959"/>
    <w:rsid w:val="006B1345"/>
    <w:rsid w:val="006C2F4A"/>
    <w:rsid w:val="006C35DF"/>
    <w:rsid w:val="006C4639"/>
    <w:rsid w:val="006C5843"/>
    <w:rsid w:val="006D05C0"/>
    <w:rsid w:val="006D1783"/>
    <w:rsid w:val="006D2D80"/>
    <w:rsid w:val="006E0DEA"/>
    <w:rsid w:val="006E4968"/>
    <w:rsid w:val="006F3481"/>
    <w:rsid w:val="006F7D46"/>
    <w:rsid w:val="00703D60"/>
    <w:rsid w:val="007042D6"/>
    <w:rsid w:val="007106CE"/>
    <w:rsid w:val="00716750"/>
    <w:rsid w:val="0072127A"/>
    <w:rsid w:val="00722F5F"/>
    <w:rsid w:val="007456A8"/>
    <w:rsid w:val="007469AD"/>
    <w:rsid w:val="00747881"/>
    <w:rsid w:val="00751555"/>
    <w:rsid w:val="00752A44"/>
    <w:rsid w:val="00754A33"/>
    <w:rsid w:val="00755F79"/>
    <w:rsid w:val="007603AC"/>
    <w:rsid w:val="00760E44"/>
    <w:rsid w:val="00771BF0"/>
    <w:rsid w:val="00771D09"/>
    <w:rsid w:val="007741DF"/>
    <w:rsid w:val="00784168"/>
    <w:rsid w:val="0079457E"/>
    <w:rsid w:val="0079607F"/>
    <w:rsid w:val="007A14D7"/>
    <w:rsid w:val="007A3193"/>
    <w:rsid w:val="007C1BFC"/>
    <w:rsid w:val="007C3331"/>
    <w:rsid w:val="007D0439"/>
    <w:rsid w:val="007E00A7"/>
    <w:rsid w:val="007F00EC"/>
    <w:rsid w:val="007F0232"/>
    <w:rsid w:val="007F526C"/>
    <w:rsid w:val="00812971"/>
    <w:rsid w:val="008203AA"/>
    <w:rsid w:val="00822BBE"/>
    <w:rsid w:val="00822C55"/>
    <w:rsid w:val="00822DAC"/>
    <w:rsid w:val="0082408D"/>
    <w:rsid w:val="008277B7"/>
    <w:rsid w:val="00830427"/>
    <w:rsid w:val="00836D0A"/>
    <w:rsid w:val="00842A55"/>
    <w:rsid w:val="00843A44"/>
    <w:rsid w:val="00844690"/>
    <w:rsid w:val="00847F5A"/>
    <w:rsid w:val="0085074A"/>
    <w:rsid w:val="0085304D"/>
    <w:rsid w:val="00857844"/>
    <w:rsid w:val="0087495E"/>
    <w:rsid w:val="00880725"/>
    <w:rsid w:val="00890E80"/>
    <w:rsid w:val="00895217"/>
    <w:rsid w:val="0089580E"/>
    <w:rsid w:val="008B76D1"/>
    <w:rsid w:val="008C1B10"/>
    <w:rsid w:val="008C23D9"/>
    <w:rsid w:val="008C62F6"/>
    <w:rsid w:val="008C7FB3"/>
    <w:rsid w:val="008D2DA4"/>
    <w:rsid w:val="008D3F07"/>
    <w:rsid w:val="008D603B"/>
    <w:rsid w:val="008E39FC"/>
    <w:rsid w:val="008E3DA5"/>
    <w:rsid w:val="008E3DC9"/>
    <w:rsid w:val="008F23B8"/>
    <w:rsid w:val="008F313B"/>
    <w:rsid w:val="00901177"/>
    <w:rsid w:val="00907283"/>
    <w:rsid w:val="00914EA5"/>
    <w:rsid w:val="00920847"/>
    <w:rsid w:val="00921CE8"/>
    <w:rsid w:val="0093282B"/>
    <w:rsid w:val="009367D0"/>
    <w:rsid w:val="009530C5"/>
    <w:rsid w:val="00956EAF"/>
    <w:rsid w:val="009601CE"/>
    <w:rsid w:val="009619DC"/>
    <w:rsid w:val="009634FE"/>
    <w:rsid w:val="009675AC"/>
    <w:rsid w:val="00972E01"/>
    <w:rsid w:val="0097415D"/>
    <w:rsid w:val="0097488E"/>
    <w:rsid w:val="00984496"/>
    <w:rsid w:val="00994EB1"/>
    <w:rsid w:val="009A15CA"/>
    <w:rsid w:val="009A1731"/>
    <w:rsid w:val="009A3478"/>
    <w:rsid w:val="009A746B"/>
    <w:rsid w:val="009B5BB7"/>
    <w:rsid w:val="009C0D8A"/>
    <w:rsid w:val="009C0EFE"/>
    <w:rsid w:val="009C5027"/>
    <w:rsid w:val="009E1325"/>
    <w:rsid w:val="009F3C36"/>
    <w:rsid w:val="00A050D1"/>
    <w:rsid w:val="00A05536"/>
    <w:rsid w:val="00A05818"/>
    <w:rsid w:val="00A07A40"/>
    <w:rsid w:val="00A126FF"/>
    <w:rsid w:val="00A17D0A"/>
    <w:rsid w:val="00A4430A"/>
    <w:rsid w:val="00A472F8"/>
    <w:rsid w:val="00A477E8"/>
    <w:rsid w:val="00A82046"/>
    <w:rsid w:val="00A8638A"/>
    <w:rsid w:val="00A93B73"/>
    <w:rsid w:val="00AA08F5"/>
    <w:rsid w:val="00AB011D"/>
    <w:rsid w:val="00AB2329"/>
    <w:rsid w:val="00AB361B"/>
    <w:rsid w:val="00AB4336"/>
    <w:rsid w:val="00AC26C0"/>
    <w:rsid w:val="00AC7237"/>
    <w:rsid w:val="00AD1448"/>
    <w:rsid w:val="00AD46B9"/>
    <w:rsid w:val="00AD5A47"/>
    <w:rsid w:val="00B0179C"/>
    <w:rsid w:val="00B02A05"/>
    <w:rsid w:val="00B05B3B"/>
    <w:rsid w:val="00B0677F"/>
    <w:rsid w:val="00B077D4"/>
    <w:rsid w:val="00B11165"/>
    <w:rsid w:val="00B1219D"/>
    <w:rsid w:val="00B15D1B"/>
    <w:rsid w:val="00B2471F"/>
    <w:rsid w:val="00B438C4"/>
    <w:rsid w:val="00B515FE"/>
    <w:rsid w:val="00B611D2"/>
    <w:rsid w:val="00B6402D"/>
    <w:rsid w:val="00B657BB"/>
    <w:rsid w:val="00B66943"/>
    <w:rsid w:val="00B750B7"/>
    <w:rsid w:val="00B855E4"/>
    <w:rsid w:val="00B9260B"/>
    <w:rsid w:val="00BA2CF2"/>
    <w:rsid w:val="00BA62D4"/>
    <w:rsid w:val="00BB24DF"/>
    <w:rsid w:val="00BB391C"/>
    <w:rsid w:val="00BB77C8"/>
    <w:rsid w:val="00BC12FC"/>
    <w:rsid w:val="00BC3A54"/>
    <w:rsid w:val="00BC5E9E"/>
    <w:rsid w:val="00BD099E"/>
    <w:rsid w:val="00BD75E3"/>
    <w:rsid w:val="00BD7FE6"/>
    <w:rsid w:val="00BE1584"/>
    <w:rsid w:val="00BF60DB"/>
    <w:rsid w:val="00C02220"/>
    <w:rsid w:val="00C028C0"/>
    <w:rsid w:val="00C04D91"/>
    <w:rsid w:val="00C20167"/>
    <w:rsid w:val="00C27904"/>
    <w:rsid w:val="00C30822"/>
    <w:rsid w:val="00C34D41"/>
    <w:rsid w:val="00C44ACF"/>
    <w:rsid w:val="00C50D53"/>
    <w:rsid w:val="00C531C5"/>
    <w:rsid w:val="00C53246"/>
    <w:rsid w:val="00C613A8"/>
    <w:rsid w:val="00C6262B"/>
    <w:rsid w:val="00C6617C"/>
    <w:rsid w:val="00C66277"/>
    <w:rsid w:val="00C838F0"/>
    <w:rsid w:val="00C971B6"/>
    <w:rsid w:val="00C97DEB"/>
    <w:rsid w:val="00CA0A01"/>
    <w:rsid w:val="00CA60CB"/>
    <w:rsid w:val="00CA70FF"/>
    <w:rsid w:val="00CB0252"/>
    <w:rsid w:val="00CB2234"/>
    <w:rsid w:val="00CB2743"/>
    <w:rsid w:val="00CB5D93"/>
    <w:rsid w:val="00CC335A"/>
    <w:rsid w:val="00CE0084"/>
    <w:rsid w:val="00CE34D8"/>
    <w:rsid w:val="00CF6462"/>
    <w:rsid w:val="00CF7119"/>
    <w:rsid w:val="00D1338A"/>
    <w:rsid w:val="00D26E67"/>
    <w:rsid w:val="00D3252E"/>
    <w:rsid w:val="00D332C3"/>
    <w:rsid w:val="00D371E1"/>
    <w:rsid w:val="00D45E8D"/>
    <w:rsid w:val="00D517DB"/>
    <w:rsid w:val="00D5188D"/>
    <w:rsid w:val="00D544A1"/>
    <w:rsid w:val="00D55527"/>
    <w:rsid w:val="00D56B41"/>
    <w:rsid w:val="00D706DD"/>
    <w:rsid w:val="00D77603"/>
    <w:rsid w:val="00D812B6"/>
    <w:rsid w:val="00D9018C"/>
    <w:rsid w:val="00DB1651"/>
    <w:rsid w:val="00DB1A2D"/>
    <w:rsid w:val="00DC0C93"/>
    <w:rsid w:val="00DC38F0"/>
    <w:rsid w:val="00DD6972"/>
    <w:rsid w:val="00DE09B8"/>
    <w:rsid w:val="00DE3072"/>
    <w:rsid w:val="00DE5BCF"/>
    <w:rsid w:val="00DF24CD"/>
    <w:rsid w:val="00DF536C"/>
    <w:rsid w:val="00DF7D2E"/>
    <w:rsid w:val="00E22030"/>
    <w:rsid w:val="00E2402B"/>
    <w:rsid w:val="00E24EAA"/>
    <w:rsid w:val="00E25179"/>
    <w:rsid w:val="00E26861"/>
    <w:rsid w:val="00E30BFE"/>
    <w:rsid w:val="00E3203B"/>
    <w:rsid w:val="00E453F2"/>
    <w:rsid w:val="00E5279E"/>
    <w:rsid w:val="00E6753E"/>
    <w:rsid w:val="00E70CFD"/>
    <w:rsid w:val="00E72D1D"/>
    <w:rsid w:val="00E77DE2"/>
    <w:rsid w:val="00E8461E"/>
    <w:rsid w:val="00E95D89"/>
    <w:rsid w:val="00EA6FFB"/>
    <w:rsid w:val="00EC162F"/>
    <w:rsid w:val="00EC760C"/>
    <w:rsid w:val="00ED2ABA"/>
    <w:rsid w:val="00ED5B21"/>
    <w:rsid w:val="00EF0705"/>
    <w:rsid w:val="00EF16DD"/>
    <w:rsid w:val="00EF2D23"/>
    <w:rsid w:val="00EF393E"/>
    <w:rsid w:val="00F04306"/>
    <w:rsid w:val="00F05B4E"/>
    <w:rsid w:val="00F0637B"/>
    <w:rsid w:val="00F102A2"/>
    <w:rsid w:val="00F12589"/>
    <w:rsid w:val="00F16FD6"/>
    <w:rsid w:val="00F20157"/>
    <w:rsid w:val="00F24339"/>
    <w:rsid w:val="00F25E5C"/>
    <w:rsid w:val="00F27C3F"/>
    <w:rsid w:val="00F36644"/>
    <w:rsid w:val="00F40D85"/>
    <w:rsid w:val="00F4455B"/>
    <w:rsid w:val="00F471D8"/>
    <w:rsid w:val="00F6072B"/>
    <w:rsid w:val="00F61F07"/>
    <w:rsid w:val="00F6622F"/>
    <w:rsid w:val="00F71372"/>
    <w:rsid w:val="00F71869"/>
    <w:rsid w:val="00F72A12"/>
    <w:rsid w:val="00F80E54"/>
    <w:rsid w:val="00F8286F"/>
    <w:rsid w:val="00F83836"/>
    <w:rsid w:val="00F8455B"/>
    <w:rsid w:val="00F85220"/>
    <w:rsid w:val="00F91F30"/>
    <w:rsid w:val="00FA53E3"/>
    <w:rsid w:val="00FB66D5"/>
    <w:rsid w:val="00FC08E7"/>
    <w:rsid w:val="00FC1C24"/>
    <w:rsid w:val="00FC6B35"/>
    <w:rsid w:val="00FC7ED0"/>
    <w:rsid w:val="00FC7F8D"/>
    <w:rsid w:val="00FD0B7E"/>
    <w:rsid w:val="00FE53AF"/>
    <w:rsid w:val="00FE7F1F"/>
    <w:rsid w:val="00FF0751"/>
    <w:rsid w:val="00FF3EC5"/>
    <w:rsid w:val="00FF4C6E"/>
    <w:rsid w:val="00FF5041"/>
    <w:rsid w:val="00FF7D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7283"/>
    <w:rPr>
      <w:sz w:val="26"/>
    </w:rPr>
  </w:style>
  <w:style w:type="paragraph" w:styleId="Heading1">
    <w:name w:val="heading 1"/>
    <w:basedOn w:val="Normal"/>
    <w:next w:val="Normal"/>
    <w:qFormat/>
    <w:rsid w:val="00907283"/>
    <w:pPr>
      <w:keepNext/>
      <w:jc w:val="center"/>
      <w:outlineLvl w:val="0"/>
    </w:pPr>
    <w:rPr>
      <w:rFonts w:ascii="Courier" w:hAnsi="Courier"/>
      <w:b/>
      <w:sz w:val="24"/>
      <w:u w:val="single"/>
    </w:rPr>
  </w:style>
  <w:style w:type="paragraph" w:styleId="Heading2">
    <w:name w:val="heading 2"/>
    <w:basedOn w:val="Normal"/>
    <w:next w:val="Normal"/>
    <w:qFormat/>
    <w:rsid w:val="00907283"/>
    <w:pPr>
      <w:keepNext/>
      <w:jc w:val="center"/>
      <w:outlineLvl w:val="1"/>
    </w:pPr>
    <w:rPr>
      <w:rFonts w:ascii="Courier" w:hAnsi="Courier"/>
      <w:b/>
      <w:sz w:val="24"/>
    </w:rPr>
  </w:style>
  <w:style w:type="paragraph" w:styleId="Heading3">
    <w:name w:val="heading 3"/>
    <w:basedOn w:val="Normal"/>
    <w:next w:val="Normal"/>
    <w:qFormat/>
    <w:rsid w:val="00907283"/>
    <w:pPr>
      <w:keepNext/>
      <w:spacing w:line="360" w:lineRule="auto"/>
      <w:jc w:val="center"/>
      <w:outlineLvl w:val="2"/>
    </w:pPr>
    <w:rPr>
      <w:b/>
      <w:u w:val="single"/>
    </w:rPr>
  </w:style>
  <w:style w:type="paragraph" w:styleId="Heading4">
    <w:name w:val="heading 4"/>
    <w:basedOn w:val="Normal"/>
    <w:next w:val="Normal"/>
    <w:qFormat/>
    <w:rsid w:val="00907283"/>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907283"/>
    <w:pPr>
      <w:jc w:val="center"/>
    </w:pPr>
    <w:rPr>
      <w:rFonts w:ascii="Courier" w:hAnsi="Courier"/>
      <w:b/>
      <w:sz w:val="24"/>
    </w:rPr>
  </w:style>
  <w:style w:type="paragraph" w:styleId="Subtitle">
    <w:name w:val="Subtitle"/>
    <w:basedOn w:val="Normal"/>
    <w:qFormat/>
    <w:rsid w:val="00907283"/>
    <w:pPr>
      <w:jc w:val="center"/>
    </w:pPr>
    <w:rPr>
      <w:rFonts w:ascii="Courier" w:hAnsi="Courier"/>
      <w:b/>
      <w:sz w:val="24"/>
    </w:rPr>
  </w:style>
  <w:style w:type="paragraph" w:styleId="BodyText">
    <w:name w:val="Body Text"/>
    <w:basedOn w:val="Normal"/>
    <w:rsid w:val="00907283"/>
    <w:pPr>
      <w:tabs>
        <w:tab w:val="left" w:pos="1980"/>
      </w:tabs>
      <w:spacing w:line="480" w:lineRule="auto"/>
      <w:jc w:val="both"/>
    </w:pPr>
    <w:rPr>
      <w:rFonts w:ascii="Courier" w:hAnsi="Courier"/>
      <w:sz w:val="24"/>
    </w:rPr>
  </w:style>
  <w:style w:type="paragraph" w:styleId="BodyText2">
    <w:name w:val="Body Text 2"/>
    <w:basedOn w:val="Normal"/>
    <w:rsid w:val="00907283"/>
    <w:pPr>
      <w:spacing w:line="360" w:lineRule="auto"/>
      <w:jc w:val="both"/>
    </w:pPr>
  </w:style>
  <w:style w:type="paragraph" w:styleId="BodyText3">
    <w:name w:val="Body Text 3"/>
    <w:basedOn w:val="Normal"/>
    <w:rsid w:val="00907283"/>
    <w:pPr>
      <w:spacing w:line="360" w:lineRule="auto"/>
    </w:pPr>
  </w:style>
  <w:style w:type="paragraph" w:styleId="Footer">
    <w:name w:val="footer"/>
    <w:basedOn w:val="Normal"/>
    <w:link w:val="FooterChar"/>
    <w:uiPriority w:val="99"/>
    <w:rsid w:val="00907283"/>
    <w:pPr>
      <w:tabs>
        <w:tab w:val="center" w:pos="4320"/>
        <w:tab w:val="right" w:pos="8640"/>
      </w:tabs>
    </w:pPr>
  </w:style>
  <w:style w:type="character" w:styleId="PageNumber">
    <w:name w:val="page number"/>
    <w:basedOn w:val="DefaultParagraphFont"/>
    <w:rsid w:val="00907283"/>
  </w:style>
  <w:style w:type="paragraph" w:styleId="NormalWeb">
    <w:name w:val="Normal (Web)"/>
    <w:basedOn w:val="Normal"/>
    <w:rsid w:val="00907283"/>
    <w:pPr>
      <w:spacing w:before="100" w:beforeAutospacing="1" w:after="100" w:afterAutospacing="1"/>
    </w:pPr>
    <w:rPr>
      <w:sz w:val="24"/>
      <w:szCs w:val="24"/>
    </w:rPr>
  </w:style>
  <w:style w:type="paragraph" w:styleId="FootnoteText">
    <w:name w:val="footnote text"/>
    <w:aliases w:val="ALTS FOOTNOTE,fn,Footnote Text 2,Footnote text,FOOTNOTE,ALTS FOOTNOTE Char,fn Char,Footnote Text Char1 Char,Footnote Text Char Char Char,ALTS FOOTNOTE Char Char Char,fn Char Char Char,Footnote Text Char2 Char Char Char"/>
    <w:basedOn w:val="Normal"/>
    <w:link w:val="FootnoteTextChar"/>
    <w:uiPriority w:val="99"/>
    <w:semiHidden/>
    <w:rsid w:val="00907283"/>
    <w:rPr>
      <w:sz w:val="20"/>
    </w:rPr>
  </w:style>
  <w:style w:type="character" w:styleId="FootnoteReference">
    <w:name w:val="footnote reference"/>
    <w:aliases w:val="o,fr"/>
    <w:basedOn w:val="DefaultParagraphFont"/>
    <w:uiPriority w:val="99"/>
    <w:semiHidden/>
    <w:rsid w:val="00907283"/>
    <w:rPr>
      <w:vertAlign w:val="superscript"/>
    </w:rPr>
  </w:style>
  <w:style w:type="table" w:styleId="TableGrid">
    <w:name w:val="Table Grid"/>
    <w:basedOn w:val="TableNormal"/>
    <w:rsid w:val="007741D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semiHidden/>
    <w:rsid w:val="00BE1584"/>
    <w:pPr>
      <w:shd w:val="clear" w:color="auto" w:fill="000080"/>
    </w:pPr>
    <w:rPr>
      <w:rFonts w:ascii="Tahoma" w:hAnsi="Tahoma" w:cs="Tahoma"/>
      <w:sz w:val="20"/>
    </w:rPr>
  </w:style>
  <w:style w:type="character" w:styleId="Hyperlink">
    <w:name w:val="Hyperlink"/>
    <w:basedOn w:val="DefaultParagraphFont"/>
    <w:rsid w:val="00321B88"/>
    <w:rPr>
      <w:color w:val="0000FF" w:themeColor="hyperlink"/>
      <w:u w:val="single"/>
    </w:rPr>
  </w:style>
  <w:style w:type="paragraph" w:styleId="Header">
    <w:name w:val="header"/>
    <w:basedOn w:val="Normal"/>
    <w:link w:val="HeaderChar"/>
    <w:rsid w:val="00BB391C"/>
    <w:pPr>
      <w:tabs>
        <w:tab w:val="center" w:pos="4680"/>
        <w:tab w:val="right" w:pos="9360"/>
      </w:tabs>
    </w:pPr>
  </w:style>
  <w:style w:type="character" w:customStyle="1" w:styleId="HeaderChar">
    <w:name w:val="Header Char"/>
    <w:basedOn w:val="DefaultParagraphFont"/>
    <w:link w:val="Header"/>
    <w:rsid w:val="00BB391C"/>
    <w:rPr>
      <w:sz w:val="26"/>
    </w:rPr>
  </w:style>
  <w:style w:type="character" w:customStyle="1" w:styleId="FooterChar">
    <w:name w:val="Footer Char"/>
    <w:basedOn w:val="DefaultParagraphFont"/>
    <w:link w:val="Footer"/>
    <w:uiPriority w:val="99"/>
    <w:rsid w:val="008203AA"/>
    <w:rPr>
      <w:sz w:val="26"/>
    </w:rPr>
  </w:style>
  <w:style w:type="paragraph" w:styleId="BalloonText">
    <w:name w:val="Balloon Text"/>
    <w:basedOn w:val="Normal"/>
    <w:link w:val="BalloonTextChar"/>
    <w:rsid w:val="00E24EAA"/>
    <w:rPr>
      <w:rFonts w:ascii="Tahoma" w:hAnsi="Tahoma" w:cs="Tahoma"/>
      <w:sz w:val="16"/>
      <w:szCs w:val="16"/>
    </w:rPr>
  </w:style>
  <w:style w:type="character" w:customStyle="1" w:styleId="BalloonTextChar">
    <w:name w:val="Balloon Text Char"/>
    <w:basedOn w:val="DefaultParagraphFont"/>
    <w:link w:val="BalloonText"/>
    <w:rsid w:val="00E24EAA"/>
    <w:rPr>
      <w:rFonts w:ascii="Tahoma" w:hAnsi="Tahoma" w:cs="Tahoma"/>
      <w:sz w:val="16"/>
      <w:szCs w:val="16"/>
    </w:rPr>
  </w:style>
  <w:style w:type="character" w:customStyle="1" w:styleId="FootnoteTextChar">
    <w:name w:val="Footnote Text Char"/>
    <w:aliases w:val="ALTS FOOTNOTE Char1,fn Char1,Footnote Text 2 Char,Footnote text Char,FOOTNOTE Char,ALTS FOOTNOTE Char Char,fn Char Char,Footnote Text Char1 Char Char,Footnote Text Char Char Char Char,ALTS FOOTNOTE Char Char Char Char"/>
    <w:basedOn w:val="DefaultParagraphFont"/>
    <w:link w:val="FootnoteText"/>
    <w:uiPriority w:val="99"/>
    <w:semiHidden/>
    <w:locked/>
    <w:rsid w:val="00D3252E"/>
  </w:style>
  <w:style w:type="paragraph" w:styleId="ListParagraph">
    <w:name w:val="List Paragraph"/>
    <w:basedOn w:val="Normal"/>
    <w:uiPriority w:val="34"/>
    <w:qFormat/>
    <w:rsid w:val="009A746B"/>
    <w:pPr>
      <w:ind w:left="720"/>
      <w:contextualSpacing/>
    </w:pPr>
  </w:style>
  <w:style w:type="character" w:styleId="Emphasis">
    <w:name w:val="Emphasis"/>
    <w:qFormat/>
    <w:rsid w:val="00D56B41"/>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7283"/>
    <w:rPr>
      <w:sz w:val="26"/>
    </w:rPr>
  </w:style>
  <w:style w:type="paragraph" w:styleId="Heading1">
    <w:name w:val="heading 1"/>
    <w:basedOn w:val="Normal"/>
    <w:next w:val="Normal"/>
    <w:qFormat/>
    <w:rsid w:val="00907283"/>
    <w:pPr>
      <w:keepNext/>
      <w:jc w:val="center"/>
      <w:outlineLvl w:val="0"/>
    </w:pPr>
    <w:rPr>
      <w:rFonts w:ascii="Courier" w:hAnsi="Courier"/>
      <w:b/>
      <w:sz w:val="24"/>
      <w:u w:val="single"/>
    </w:rPr>
  </w:style>
  <w:style w:type="paragraph" w:styleId="Heading2">
    <w:name w:val="heading 2"/>
    <w:basedOn w:val="Normal"/>
    <w:next w:val="Normal"/>
    <w:qFormat/>
    <w:rsid w:val="00907283"/>
    <w:pPr>
      <w:keepNext/>
      <w:jc w:val="center"/>
      <w:outlineLvl w:val="1"/>
    </w:pPr>
    <w:rPr>
      <w:rFonts w:ascii="Courier" w:hAnsi="Courier"/>
      <w:b/>
      <w:sz w:val="24"/>
    </w:rPr>
  </w:style>
  <w:style w:type="paragraph" w:styleId="Heading3">
    <w:name w:val="heading 3"/>
    <w:basedOn w:val="Normal"/>
    <w:next w:val="Normal"/>
    <w:qFormat/>
    <w:rsid w:val="00907283"/>
    <w:pPr>
      <w:keepNext/>
      <w:spacing w:line="360" w:lineRule="auto"/>
      <w:jc w:val="center"/>
      <w:outlineLvl w:val="2"/>
    </w:pPr>
    <w:rPr>
      <w:b/>
      <w:u w:val="single"/>
    </w:rPr>
  </w:style>
  <w:style w:type="paragraph" w:styleId="Heading4">
    <w:name w:val="heading 4"/>
    <w:basedOn w:val="Normal"/>
    <w:next w:val="Normal"/>
    <w:qFormat/>
    <w:rsid w:val="00907283"/>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907283"/>
    <w:pPr>
      <w:jc w:val="center"/>
    </w:pPr>
    <w:rPr>
      <w:rFonts w:ascii="Courier" w:hAnsi="Courier"/>
      <w:b/>
      <w:sz w:val="24"/>
    </w:rPr>
  </w:style>
  <w:style w:type="paragraph" w:styleId="Subtitle">
    <w:name w:val="Subtitle"/>
    <w:basedOn w:val="Normal"/>
    <w:qFormat/>
    <w:rsid w:val="00907283"/>
    <w:pPr>
      <w:jc w:val="center"/>
    </w:pPr>
    <w:rPr>
      <w:rFonts w:ascii="Courier" w:hAnsi="Courier"/>
      <w:b/>
      <w:sz w:val="24"/>
    </w:rPr>
  </w:style>
  <w:style w:type="paragraph" w:styleId="BodyText">
    <w:name w:val="Body Text"/>
    <w:basedOn w:val="Normal"/>
    <w:rsid w:val="00907283"/>
    <w:pPr>
      <w:tabs>
        <w:tab w:val="left" w:pos="1980"/>
      </w:tabs>
      <w:spacing w:line="480" w:lineRule="auto"/>
      <w:jc w:val="both"/>
    </w:pPr>
    <w:rPr>
      <w:rFonts w:ascii="Courier" w:hAnsi="Courier"/>
      <w:sz w:val="24"/>
    </w:rPr>
  </w:style>
  <w:style w:type="paragraph" w:styleId="BodyText2">
    <w:name w:val="Body Text 2"/>
    <w:basedOn w:val="Normal"/>
    <w:rsid w:val="00907283"/>
    <w:pPr>
      <w:spacing w:line="360" w:lineRule="auto"/>
      <w:jc w:val="both"/>
    </w:pPr>
  </w:style>
  <w:style w:type="paragraph" w:styleId="BodyText3">
    <w:name w:val="Body Text 3"/>
    <w:basedOn w:val="Normal"/>
    <w:rsid w:val="00907283"/>
    <w:pPr>
      <w:spacing w:line="360" w:lineRule="auto"/>
    </w:pPr>
  </w:style>
  <w:style w:type="paragraph" w:styleId="Footer">
    <w:name w:val="footer"/>
    <w:basedOn w:val="Normal"/>
    <w:link w:val="FooterChar"/>
    <w:uiPriority w:val="99"/>
    <w:rsid w:val="00907283"/>
    <w:pPr>
      <w:tabs>
        <w:tab w:val="center" w:pos="4320"/>
        <w:tab w:val="right" w:pos="8640"/>
      </w:tabs>
    </w:pPr>
  </w:style>
  <w:style w:type="character" w:styleId="PageNumber">
    <w:name w:val="page number"/>
    <w:basedOn w:val="DefaultParagraphFont"/>
    <w:rsid w:val="00907283"/>
  </w:style>
  <w:style w:type="paragraph" w:styleId="NormalWeb">
    <w:name w:val="Normal (Web)"/>
    <w:basedOn w:val="Normal"/>
    <w:rsid w:val="00907283"/>
    <w:pPr>
      <w:spacing w:before="100" w:beforeAutospacing="1" w:after="100" w:afterAutospacing="1"/>
    </w:pPr>
    <w:rPr>
      <w:sz w:val="24"/>
      <w:szCs w:val="24"/>
    </w:rPr>
  </w:style>
  <w:style w:type="paragraph" w:styleId="FootnoteText">
    <w:name w:val="footnote text"/>
    <w:aliases w:val="ALTS FOOTNOTE,fn,Footnote Text 2,Footnote text,FOOTNOTE,ALTS FOOTNOTE Char,fn Char,Footnote Text Char1 Char,Footnote Text Char Char Char,ALTS FOOTNOTE Char Char Char,fn Char Char Char,Footnote Text Char2 Char Char Char"/>
    <w:basedOn w:val="Normal"/>
    <w:link w:val="FootnoteTextChar"/>
    <w:uiPriority w:val="99"/>
    <w:semiHidden/>
    <w:rsid w:val="00907283"/>
    <w:rPr>
      <w:sz w:val="20"/>
    </w:rPr>
  </w:style>
  <w:style w:type="character" w:styleId="FootnoteReference">
    <w:name w:val="footnote reference"/>
    <w:aliases w:val="o,fr"/>
    <w:basedOn w:val="DefaultParagraphFont"/>
    <w:uiPriority w:val="99"/>
    <w:semiHidden/>
    <w:rsid w:val="00907283"/>
    <w:rPr>
      <w:vertAlign w:val="superscript"/>
    </w:rPr>
  </w:style>
  <w:style w:type="table" w:styleId="TableGrid">
    <w:name w:val="Table Grid"/>
    <w:basedOn w:val="TableNormal"/>
    <w:rsid w:val="007741D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semiHidden/>
    <w:rsid w:val="00BE1584"/>
    <w:pPr>
      <w:shd w:val="clear" w:color="auto" w:fill="000080"/>
    </w:pPr>
    <w:rPr>
      <w:rFonts w:ascii="Tahoma" w:hAnsi="Tahoma" w:cs="Tahoma"/>
      <w:sz w:val="20"/>
    </w:rPr>
  </w:style>
  <w:style w:type="character" w:styleId="Hyperlink">
    <w:name w:val="Hyperlink"/>
    <w:basedOn w:val="DefaultParagraphFont"/>
    <w:rsid w:val="00321B88"/>
    <w:rPr>
      <w:color w:val="0000FF" w:themeColor="hyperlink"/>
      <w:u w:val="single"/>
    </w:rPr>
  </w:style>
  <w:style w:type="paragraph" w:styleId="Header">
    <w:name w:val="header"/>
    <w:basedOn w:val="Normal"/>
    <w:link w:val="HeaderChar"/>
    <w:rsid w:val="00BB391C"/>
    <w:pPr>
      <w:tabs>
        <w:tab w:val="center" w:pos="4680"/>
        <w:tab w:val="right" w:pos="9360"/>
      </w:tabs>
    </w:pPr>
  </w:style>
  <w:style w:type="character" w:customStyle="1" w:styleId="HeaderChar">
    <w:name w:val="Header Char"/>
    <w:basedOn w:val="DefaultParagraphFont"/>
    <w:link w:val="Header"/>
    <w:rsid w:val="00BB391C"/>
    <w:rPr>
      <w:sz w:val="26"/>
    </w:rPr>
  </w:style>
  <w:style w:type="character" w:customStyle="1" w:styleId="FooterChar">
    <w:name w:val="Footer Char"/>
    <w:basedOn w:val="DefaultParagraphFont"/>
    <w:link w:val="Footer"/>
    <w:uiPriority w:val="99"/>
    <w:rsid w:val="008203AA"/>
    <w:rPr>
      <w:sz w:val="26"/>
    </w:rPr>
  </w:style>
  <w:style w:type="paragraph" w:styleId="BalloonText">
    <w:name w:val="Balloon Text"/>
    <w:basedOn w:val="Normal"/>
    <w:link w:val="BalloonTextChar"/>
    <w:rsid w:val="00E24EAA"/>
    <w:rPr>
      <w:rFonts w:ascii="Tahoma" w:hAnsi="Tahoma" w:cs="Tahoma"/>
      <w:sz w:val="16"/>
      <w:szCs w:val="16"/>
    </w:rPr>
  </w:style>
  <w:style w:type="character" w:customStyle="1" w:styleId="BalloonTextChar">
    <w:name w:val="Balloon Text Char"/>
    <w:basedOn w:val="DefaultParagraphFont"/>
    <w:link w:val="BalloonText"/>
    <w:rsid w:val="00E24EAA"/>
    <w:rPr>
      <w:rFonts w:ascii="Tahoma" w:hAnsi="Tahoma" w:cs="Tahoma"/>
      <w:sz w:val="16"/>
      <w:szCs w:val="16"/>
    </w:rPr>
  </w:style>
  <w:style w:type="character" w:customStyle="1" w:styleId="FootnoteTextChar">
    <w:name w:val="Footnote Text Char"/>
    <w:aliases w:val="ALTS FOOTNOTE Char1,fn Char1,Footnote Text 2 Char,Footnote text Char,FOOTNOTE Char,ALTS FOOTNOTE Char Char,fn Char Char,Footnote Text Char1 Char Char,Footnote Text Char Char Char Char,ALTS FOOTNOTE Char Char Char Char"/>
    <w:basedOn w:val="DefaultParagraphFont"/>
    <w:link w:val="FootnoteText"/>
    <w:uiPriority w:val="99"/>
    <w:semiHidden/>
    <w:locked/>
    <w:rsid w:val="00D3252E"/>
  </w:style>
  <w:style w:type="paragraph" w:styleId="ListParagraph">
    <w:name w:val="List Paragraph"/>
    <w:basedOn w:val="Normal"/>
    <w:uiPriority w:val="34"/>
    <w:qFormat/>
    <w:rsid w:val="009A746B"/>
    <w:pPr>
      <w:ind w:left="720"/>
      <w:contextualSpacing/>
    </w:pPr>
  </w:style>
  <w:style w:type="character" w:styleId="Emphasis">
    <w:name w:val="Emphasis"/>
    <w:qFormat/>
    <w:rsid w:val="00D56B4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874503">
      <w:bodyDiv w:val="1"/>
      <w:marLeft w:val="0"/>
      <w:marRight w:val="0"/>
      <w:marTop w:val="0"/>
      <w:marBottom w:val="0"/>
      <w:divBdr>
        <w:top w:val="none" w:sz="0" w:space="0" w:color="auto"/>
        <w:left w:val="none" w:sz="0" w:space="0" w:color="auto"/>
        <w:bottom w:val="none" w:sz="0" w:space="0" w:color="auto"/>
        <w:right w:val="none" w:sz="0" w:space="0" w:color="auto"/>
      </w:divBdr>
    </w:div>
    <w:div w:id="72633230">
      <w:bodyDiv w:val="1"/>
      <w:marLeft w:val="0"/>
      <w:marRight w:val="0"/>
      <w:marTop w:val="0"/>
      <w:marBottom w:val="0"/>
      <w:divBdr>
        <w:top w:val="none" w:sz="0" w:space="0" w:color="auto"/>
        <w:left w:val="none" w:sz="0" w:space="0" w:color="auto"/>
        <w:bottom w:val="none" w:sz="0" w:space="0" w:color="auto"/>
        <w:right w:val="none" w:sz="0" w:space="0" w:color="auto"/>
      </w:divBdr>
    </w:div>
    <w:div w:id="176160944">
      <w:bodyDiv w:val="1"/>
      <w:marLeft w:val="0"/>
      <w:marRight w:val="0"/>
      <w:marTop w:val="0"/>
      <w:marBottom w:val="0"/>
      <w:divBdr>
        <w:top w:val="none" w:sz="0" w:space="0" w:color="auto"/>
        <w:left w:val="none" w:sz="0" w:space="0" w:color="auto"/>
        <w:bottom w:val="none" w:sz="0" w:space="0" w:color="auto"/>
        <w:right w:val="none" w:sz="0" w:space="0" w:color="auto"/>
      </w:divBdr>
    </w:div>
    <w:div w:id="223688584">
      <w:bodyDiv w:val="1"/>
      <w:marLeft w:val="0"/>
      <w:marRight w:val="0"/>
      <w:marTop w:val="0"/>
      <w:marBottom w:val="0"/>
      <w:divBdr>
        <w:top w:val="none" w:sz="0" w:space="0" w:color="auto"/>
        <w:left w:val="none" w:sz="0" w:space="0" w:color="auto"/>
        <w:bottom w:val="none" w:sz="0" w:space="0" w:color="auto"/>
        <w:right w:val="none" w:sz="0" w:space="0" w:color="auto"/>
      </w:divBdr>
    </w:div>
    <w:div w:id="347827635">
      <w:bodyDiv w:val="1"/>
      <w:marLeft w:val="0"/>
      <w:marRight w:val="0"/>
      <w:marTop w:val="0"/>
      <w:marBottom w:val="0"/>
      <w:divBdr>
        <w:top w:val="none" w:sz="0" w:space="0" w:color="auto"/>
        <w:left w:val="none" w:sz="0" w:space="0" w:color="auto"/>
        <w:bottom w:val="none" w:sz="0" w:space="0" w:color="auto"/>
        <w:right w:val="none" w:sz="0" w:space="0" w:color="auto"/>
      </w:divBdr>
      <w:divsChild>
        <w:div w:id="520901084">
          <w:marLeft w:val="0"/>
          <w:marRight w:val="0"/>
          <w:marTop w:val="0"/>
          <w:marBottom w:val="0"/>
          <w:divBdr>
            <w:top w:val="none" w:sz="0" w:space="0" w:color="auto"/>
            <w:left w:val="none" w:sz="0" w:space="0" w:color="auto"/>
            <w:bottom w:val="none" w:sz="0" w:space="0" w:color="auto"/>
            <w:right w:val="none" w:sz="0" w:space="0" w:color="auto"/>
          </w:divBdr>
          <w:divsChild>
            <w:div w:id="1990133494">
              <w:marLeft w:val="0"/>
              <w:marRight w:val="0"/>
              <w:marTop w:val="0"/>
              <w:marBottom w:val="0"/>
              <w:divBdr>
                <w:top w:val="none" w:sz="0" w:space="0" w:color="auto"/>
                <w:left w:val="none" w:sz="0" w:space="0" w:color="auto"/>
                <w:bottom w:val="none" w:sz="0" w:space="0" w:color="auto"/>
                <w:right w:val="none" w:sz="0" w:space="0" w:color="auto"/>
              </w:divBdr>
              <w:divsChild>
                <w:div w:id="194581518">
                  <w:marLeft w:val="0"/>
                  <w:marRight w:val="0"/>
                  <w:marTop w:val="0"/>
                  <w:marBottom w:val="0"/>
                  <w:divBdr>
                    <w:top w:val="none" w:sz="0" w:space="0" w:color="auto"/>
                    <w:left w:val="none" w:sz="0" w:space="0" w:color="auto"/>
                    <w:bottom w:val="none" w:sz="0" w:space="0" w:color="auto"/>
                    <w:right w:val="none" w:sz="0" w:space="0" w:color="auto"/>
                  </w:divBdr>
                  <w:divsChild>
                    <w:div w:id="956369170">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2389098">
      <w:bodyDiv w:val="1"/>
      <w:marLeft w:val="0"/>
      <w:marRight w:val="0"/>
      <w:marTop w:val="0"/>
      <w:marBottom w:val="0"/>
      <w:divBdr>
        <w:top w:val="none" w:sz="0" w:space="0" w:color="auto"/>
        <w:left w:val="none" w:sz="0" w:space="0" w:color="auto"/>
        <w:bottom w:val="none" w:sz="0" w:space="0" w:color="auto"/>
        <w:right w:val="none" w:sz="0" w:space="0" w:color="auto"/>
      </w:divBdr>
    </w:div>
    <w:div w:id="454298410">
      <w:bodyDiv w:val="1"/>
      <w:marLeft w:val="0"/>
      <w:marRight w:val="0"/>
      <w:marTop w:val="0"/>
      <w:marBottom w:val="0"/>
      <w:divBdr>
        <w:top w:val="none" w:sz="0" w:space="0" w:color="auto"/>
        <w:left w:val="none" w:sz="0" w:space="0" w:color="auto"/>
        <w:bottom w:val="none" w:sz="0" w:space="0" w:color="auto"/>
        <w:right w:val="none" w:sz="0" w:space="0" w:color="auto"/>
      </w:divBdr>
    </w:div>
    <w:div w:id="548349012">
      <w:bodyDiv w:val="1"/>
      <w:marLeft w:val="0"/>
      <w:marRight w:val="0"/>
      <w:marTop w:val="0"/>
      <w:marBottom w:val="0"/>
      <w:divBdr>
        <w:top w:val="none" w:sz="0" w:space="0" w:color="auto"/>
        <w:left w:val="none" w:sz="0" w:space="0" w:color="auto"/>
        <w:bottom w:val="none" w:sz="0" w:space="0" w:color="auto"/>
        <w:right w:val="none" w:sz="0" w:space="0" w:color="auto"/>
      </w:divBdr>
    </w:div>
    <w:div w:id="584345444">
      <w:bodyDiv w:val="1"/>
      <w:marLeft w:val="0"/>
      <w:marRight w:val="0"/>
      <w:marTop w:val="0"/>
      <w:marBottom w:val="0"/>
      <w:divBdr>
        <w:top w:val="none" w:sz="0" w:space="0" w:color="auto"/>
        <w:left w:val="none" w:sz="0" w:space="0" w:color="auto"/>
        <w:bottom w:val="none" w:sz="0" w:space="0" w:color="auto"/>
        <w:right w:val="none" w:sz="0" w:space="0" w:color="auto"/>
      </w:divBdr>
    </w:div>
    <w:div w:id="603730745">
      <w:bodyDiv w:val="1"/>
      <w:marLeft w:val="0"/>
      <w:marRight w:val="0"/>
      <w:marTop w:val="0"/>
      <w:marBottom w:val="0"/>
      <w:divBdr>
        <w:top w:val="none" w:sz="0" w:space="0" w:color="auto"/>
        <w:left w:val="none" w:sz="0" w:space="0" w:color="auto"/>
        <w:bottom w:val="none" w:sz="0" w:space="0" w:color="auto"/>
        <w:right w:val="none" w:sz="0" w:space="0" w:color="auto"/>
      </w:divBdr>
    </w:div>
    <w:div w:id="606349586">
      <w:bodyDiv w:val="1"/>
      <w:marLeft w:val="0"/>
      <w:marRight w:val="0"/>
      <w:marTop w:val="0"/>
      <w:marBottom w:val="0"/>
      <w:divBdr>
        <w:top w:val="none" w:sz="0" w:space="0" w:color="auto"/>
        <w:left w:val="none" w:sz="0" w:space="0" w:color="auto"/>
        <w:bottom w:val="none" w:sz="0" w:space="0" w:color="auto"/>
        <w:right w:val="none" w:sz="0" w:space="0" w:color="auto"/>
      </w:divBdr>
    </w:div>
    <w:div w:id="649987682">
      <w:bodyDiv w:val="1"/>
      <w:marLeft w:val="0"/>
      <w:marRight w:val="0"/>
      <w:marTop w:val="0"/>
      <w:marBottom w:val="0"/>
      <w:divBdr>
        <w:top w:val="none" w:sz="0" w:space="0" w:color="auto"/>
        <w:left w:val="none" w:sz="0" w:space="0" w:color="auto"/>
        <w:bottom w:val="none" w:sz="0" w:space="0" w:color="auto"/>
        <w:right w:val="none" w:sz="0" w:space="0" w:color="auto"/>
      </w:divBdr>
    </w:div>
    <w:div w:id="905728260">
      <w:bodyDiv w:val="1"/>
      <w:marLeft w:val="0"/>
      <w:marRight w:val="0"/>
      <w:marTop w:val="0"/>
      <w:marBottom w:val="0"/>
      <w:divBdr>
        <w:top w:val="none" w:sz="0" w:space="0" w:color="auto"/>
        <w:left w:val="none" w:sz="0" w:space="0" w:color="auto"/>
        <w:bottom w:val="none" w:sz="0" w:space="0" w:color="auto"/>
        <w:right w:val="none" w:sz="0" w:space="0" w:color="auto"/>
      </w:divBdr>
    </w:div>
    <w:div w:id="968437693">
      <w:bodyDiv w:val="1"/>
      <w:marLeft w:val="0"/>
      <w:marRight w:val="0"/>
      <w:marTop w:val="0"/>
      <w:marBottom w:val="0"/>
      <w:divBdr>
        <w:top w:val="none" w:sz="0" w:space="0" w:color="auto"/>
        <w:left w:val="none" w:sz="0" w:space="0" w:color="auto"/>
        <w:bottom w:val="none" w:sz="0" w:space="0" w:color="auto"/>
        <w:right w:val="none" w:sz="0" w:space="0" w:color="auto"/>
      </w:divBdr>
    </w:div>
    <w:div w:id="985159564">
      <w:bodyDiv w:val="1"/>
      <w:marLeft w:val="0"/>
      <w:marRight w:val="0"/>
      <w:marTop w:val="0"/>
      <w:marBottom w:val="0"/>
      <w:divBdr>
        <w:top w:val="none" w:sz="0" w:space="0" w:color="auto"/>
        <w:left w:val="none" w:sz="0" w:space="0" w:color="auto"/>
        <w:bottom w:val="none" w:sz="0" w:space="0" w:color="auto"/>
        <w:right w:val="none" w:sz="0" w:space="0" w:color="auto"/>
      </w:divBdr>
    </w:div>
    <w:div w:id="1032270936">
      <w:bodyDiv w:val="1"/>
      <w:marLeft w:val="0"/>
      <w:marRight w:val="0"/>
      <w:marTop w:val="0"/>
      <w:marBottom w:val="0"/>
      <w:divBdr>
        <w:top w:val="none" w:sz="0" w:space="0" w:color="auto"/>
        <w:left w:val="none" w:sz="0" w:space="0" w:color="auto"/>
        <w:bottom w:val="none" w:sz="0" w:space="0" w:color="auto"/>
        <w:right w:val="none" w:sz="0" w:space="0" w:color="auto"/>
      </w:divBdr>
    </w:div>
    <w:div w:id="1110929807">
      <w:bodyDiv w:val="1"/>
      <w:marLeft w:val="0"/>
      <w:marRight w:val="0"/>
      <w:marTop w:val="0"/>
      <w:marBottom w:val="0"/>
      <w:divBdr>
        <w:top w:val="none" w:sz="0" w:space="0" w:color="auto"/>
        <w:left w:val="none" w:sz="0" w:space="0" w:color="auto"/>
        <w:bottom w:val="none" w:sz="0" w:space="0" w:color="auto"/>
        <w:right w:val="none" w:sz="0" w:space="0" w:color="auto"/>
      </w:divBdr>
    </w:div>
    <w:div w:id="1213034934">
      <w:bodyDiv w:val="1"/>
      <w:marLeft w:val="0"/>
      <w:marRight w:val="0"/>
      <w:marTop w:val="0"/>
      <w:marBottom w:val="0"/>
      <w:divBdr>
        <w:top w:val="none" w:sz="0" w:space="0" w:color="auto"/>
        <w:left w:val="none" w:sz="0" w:space="0" w:color="auto"/>
        <w:bottom w:val="none" w:sz="0" w:space="0" w:color="auto"/>
        <w:right w:val="none" w:sz="0" w:space="0" w:color="auto"/>
      </w:divBdr>
    </w:div>
    <w:div w:id="1281181921">
      <w:bodyDiv w:val="1"/>
      <w:marLeft w:val="0"/>
      <w:marRight w:val="0"/>
      <w:marTop w:val="0"/>
      <w:marBottom w:val="0"/>
      <w:divBdr>
        <w:top w:val="none" w:sz="0" w:space="0" w:color="auto"/>
        <w:left w:val="none" w:sz="0" w:space="0" w:color="auto"/>
        <w:bottom w:val="none" w:sz="0" w:space="0" w:color="auto"/>
        <w:right w:val="none" w:sz="0" w:space="0" w:color="auto"/>
      </w:divBdr>
    </w:div>
    <w:div w:id="1310137473">
      <w:bodyDiv w:val="1"/>
      <w:marLeft w:val="0"/>
      <w:marRight w:val="0"/>
      <w:marTop w:val="0"/>
      <w:marBottom w:val="0"/>
      <w:divBdr>
        <w:top w:val="none" w:sz="0" w:space="0" w:color="auto"/>
        <w:left w:val="none" w:sz="0" w:space="0" w:color="auto"/>
        <w:bottom w:val="none" w:sz="0" w:space="0" w:color="auto"/>
        <w:right w:val="none" w:sz="0" w:space="0" w:color="auto"/>
      </w:divBdr>
    </w:div>
    <w:div w:id="1361786775">
      <w:bodyDiv w:val="1"/>
      <w:marLeft w:val="0"/>
      <w:marRight w:val="0"/>
      <w:marTop w:val="0"/>
      <w:marBottom w:val="0"/>
      <w:divBdr>
        <w:top w:val="none" w:sz="0" w:space="0" w:color="auto"/>
        <w:left w:val="none" w:sz="0" w:space="0" w:color="auto"/>
        <w:bottom w:val="none" w:sz="0" w:space="0" w:color="auto"/>
        <w:right w:val="none" w:sz="0" w:space="0" w:color="auto"/>
      </w:divBdr>
    </w:div>
    <w:div w:id="1511722825">
      <w:bodyDiv w:val="1"/>
      <w:marLeft w:val="0"/>
      <w:marRight w:val="0"/>
      <w:marTop w:val="0"/>
      <w:marBottom w:val="0"/>
      <w:divBdr>
        <w:top w:val="none" w:sz="0" w:space="0" w:color="auto"/>
        <w:left w:val="none" w:sz="0" w:space="0" w:color="auto"/>
        <w:bottom w:val="none" w:sz="0" w:space="0" w:color="auto"/>
        <w:right w:val="none" w:sz="0" w:space="0" w:color="auto"/>
      </w:divBdr>
    </w:div>
    <w:div w:id="1564099075">
      <w:bodyDiv w:val="1"/>
      <w:marLeft w:val="0"/>
      <w:marRight w:val="0"/>
      <w:marTop w:val="0"/>
      <w:marBottom w:val="0"/>
      <w:divBdr>
        <w:top w:val="none" w:sz="0" w:space="0" w:color="auto"/>
        <w:left w:val="none" w:sz="0" w:space="0" w:color="auto"/>
        <w:bottom w:val="none" w:sz="0" w:space="0" w:color="auto"/>
        <w:right w:val="none" w:sz="0" w:space="0" w:color="auto"/>
      </w:divBdr>
    </w:div>
    <w:div w:id="1601061408">
      <w:bodyDiv w:val="1"/>
      <w:marLeft w:val="0"/>
      <w:marRight w:val="0"/>
      <w:marTop w:val="0"/>
      <w:marBottom w:val="0"/>
      <w:divBdr>
        <w:top w:val="none" w:sz="0" w:space="0" w:color="auto"/>
        <w:left w:val="none" w:sz="0" w:space="0" w:color="auto"/>
        <w:bottom w:val="none" w:sz="0" w:space="0" w:color="auto"/>
        <w:right w:val="none" w:sz="0" w:space="0" w:color="auto"/>
      </w:divBdr>
    </w:div>
    <w:div w:id="1660690102">
      <w:bodyDiv w:val="1"/>
      <w:marLeft w:val="0"/>
      <w:marRight w:val="0"/>
      <w:marTop w:val="0"/>
      <w:marBottom w:val="0"/>
      <w:divBdr>
        <w:top w:val="none" w:sz="0" w:space="0" w:color="auto"/>
        <w:left w:val="none" w:sz="0" w:space="0" w:color="auto"/>
        <w:bottom w:val="none" w:sz="0" w:space="0" w:color="auto"/>
        <w:right w:val="none" w:sz="0" w:space="0" w:color="auto"/>
      </w:divBdr>
    </w:div>
    <w:div w:id="1756317947">
      <w:bodyDiv w:val="1"/>
      <w:marLeft w:val="0"/>
      <w:marRight w:val="0"/>
      <w:marTop w:val="0"/>
      <w:marBottom w:val="0"/>
      <w:divBdr>
        <w:top w:val="none" w:sz="0" w:space="0" w:color="auto"/>
        <w:left w:val="none" w:sz="0" w:space="0" w:color="auto"/>
        <w:bottom w:val="none" w:sz="0" w:space="0" w:color="auto"/>
        <w:right w:val="none" w:sz="0" w:space="0" w:color="auto"/>
      </w:divBdr>
    </w:div>
    <w:div w:id="1845239326">
      <w:bodyDiv w:val="1"/>
      <w:marLeft w:val="0"/>
      <w:marRight w:val="0"/>
      <w:marTop w:val="0"/>
      <w:marBottom w:val="0"/>
      <w:divBdr>
        <w:top w:val="none" w:sz="0" w:space="0" w:color="auto"/>
        <w:left w:val="none" w:sz="0" w:space="0" w:color="auto"/>
        <w:bottom w:val="none" w:sz="0" w:space="0" w:color="auto"/>
        <w:right w:val="none" w:sz="0" w:space="0" w:color="auto"/>
      </w:divBdr>
    </w:div>
    <w:div w:id="1898396183">
      <w:bodyDiv w:val="1"/>
      <w:marLeft w:val="0"/>
      <w:marRight w:val="0"/>
      <w:marTop w:val="0"/>
      <w:marBottom w:val="0"/>
      <w:divBdr>
        <w:top w:val="none" w:sz="0" w:space="0" w:color="auto"/>
        <w:left w:val="none" w:sz="0" w:space="0" w:color="auto"/>
        <w:bottom w:val="none" w:sz="0" w:space="0" w:color="auto"/>
        <w:right w:val="none" w:sz="0" w:space="0" w:color="auto"/>
      </w:divBdr>
    </w:div>
    <w:div w:id="2122526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lexis.com/research/buttonTFLink?_m=cee2a51c1ef02863f87a6d58aa92ea26&amp;_xfercite=%3ccite%20cc%3d%22USA%22%3e%3c%21%5bCDATA%5b556%20Pa.%20199%5d%5d%3e%3c%2fcite%3e&amp;_butType=4&amp;_butStat=0&amp;_butNum=45&amp;_butInline=1&amp;_butinfo=52%20PA%20CODE%2056.72&amp;_fmtstr=FULL&amp;docnum=1&amp;_startdoc=1&amp;wchp=dGLbVzt-zSkAz&amp;_md5=5083a68348abec80f490d42ca84dad6e"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file://C:\research\buttonTFLink?_m=69761b6202cb4178e2a6e6fe02f5751b&amp;_xfercite=%3ccite%20cc=%22USA%22%3e%3c!%5bCDATA%5b2000%20Pa.%20PUC%20LEXIS%2067%20%5d%5d%3e%3c\cite%3e&amp;_butType=3&amp;_butStat=242&amp;_butNum=6&amp;_butInline=1&amp;_butinfo=%3ccite%20cc=%22USA%22%3e%3c!%5bCDATA%5b485%20A.2d%201217%5d%5d%3e%3c\cite%3e&amp;_fmtstr=FULL&amp;docnum=5&amp;_startdoc=1&amp;_startchk=1&amp;wchp=dGLSzS-lSlbz&amp;_md5=9b1cc8319afd12440738bb82d74455ef" TargetMode="External"/><Relationship Id="rId4" Type="http://schemas.microsoft.com/office/2007/relationships/stylesWithEffects" Target="stylesWithEffects.xml"/><Relationship Id="rId9" Type="http://schemas.openxmlformats.org/officeDocument/2006/relationships/hyperlink" Target="file://C:\research\buttonTFLink?_m=69761b6202cb4178e2a6e6fe02f5751b&amp;_xfercite=%3ccite%20cc=%22USA%22%3e%3c!%5bCDATA%5b2000%20Pa.%20PUC%20LEXIS%2067%20%5d%5d%3e%3c\cite%3e&amp;_butType=3&amp;_butStat=242&amp;_butNum=5&amp;_butInline=1&amp;_butinfo=%3ccite%20cc=%22USA%22%3e%3c!%5bCDATA%5b625%20A.2d%20741%5d%5d%3e%3c\cite%3e&amp;_fmtstr=FULL&amp;docnum=5&amp;_startdoc=1&amp;_startchk=1&amp;wchp=dGLSzS-lSlbz&amp;_md5=ad2b02d95c2a9216e83b92a3570d4785"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1DBEE3-0F59-48DF-AB84-43FEF5299A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7</Pages>
  <Words>1930</Words>
  <Characters>11006</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12911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ALJ14</dc:creator>
  <cp:lastModifiedBy>Farner, Joyce</cp:lastModifiedBy>
  <cp:revision>13</cp:revision>
  <cp:lastPrinted>2012-12-07T18:55:00Z</cp:lastPrinted>
  <dcterms:created xsi:type="dcterms:W3CDTF">2012-12-05T20:33:00Z</dcterms:created>
  <dcterms:modified xsi:type="dcterms:W3CDTF">2012-12-07T18:55:00Z</dcterms:modified>
</cp:coreProperties>
</file>