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76" w:rsidRPr="00E22703" w:rsidRDefault="00E35676" w:rsidP="00E35676">
      <w:pPr>
        <w:jc w:val="center"/>
        <w:rPr>
          <w:b/>
          <w:bCs/>
        </w:rPr>
      </w:pPr>
      <w:bookmarkStart w:id="0" w:name="_GoBack"/>
      <w:bookmarkEnd w:id="0"/>
      <w:r w:rsidRPr="00E22703">
        <w:rPr>
          <w:b/>
          <w:bCs/>
        </w:rPr>
        <w:t>BEFORE THE</w:t>
      </w:r>
    </w:p>
    <w:p w:rsidR="00E35676" w:rsidRDefault="00E35676" w:rsidP="00E35676">
      <w:pPr>
        <w:jc w:val="center"/>
        <w:rPr>
          <w:b/>
          <w:bCs/>
        </w:rPr>
      </w:pPr>
      <w:r w:rsidRPr="00E22703">
        <w:rPr>
          <w:b/>
          <w:bCs/>
        </w:rPr>
        <w:t>PENNSYLVANIA PUBLIC UTILITY COMMISSION</w:t>
      </w:r>
    </w:p>
    <w:p w:rsidR="00E35676" w:rsidRPr="00555AB2" w:rsidRDefault="00E35676" w:rsidP="00E35676">
      <w:pPr>
        <w:rPr>
          <w:bCs/>
        </w:rPr>
      </w:pPr>
    </w:p>
    <w:p w:rsidR="00E35676" w:rsidRPr="00555AB2" w:rsidRDefault="00E35676" w:rsidP="00E35676">
      <w:pPr>
        <w:rPr>
          <w:bCs/>
        </w:rPr>
      </w:pPr>
    </w:p>
    <w:p w:rsidR="00E35676" w:rsidRPr="00555AB2" w:rsidRDefault="00E35676" w:rsidP="00E35676">
      <w:pPr>
        <w:rPr>
          <w:bCs/>
        </w:rPr>
      </w:pPr>
    </w:p>
    <w:p w:rsidR="00E35676" w:rsidRDefault="00E35676" w:rsidP="00E35676">
      <w:r>
        <w:t>Joint Petition for Generic Investigation or</w:t>
      </w:r>
      <w:r>
        <w:tab/>
      </w:r>
      <w:r>
        <w:tab/>
        <w:t>:</w:t>
      </w:r>
    </w:p>
    <w:p w:rsidR="00E35676" w:rsidRDefault="00E35676" w:rsidP="00E35676">
      <w:r>
        <w:t>Rulemaking Regarding “Gas-On-Gas” Competition</w:t>
      </w:r>
      <w:r>
        <w:tab/>
        <w:t>:</w:t>
      </w:r>
      <w:r>
        <w:tab/>
        <w:t>P-2011-2277868</w:t>
      </w:r>
    </w:p>
    <w:p w:rsidR="00E35676" w:rsidRDefault="00E35676" w:rsidP="00E35676">
      <w:r>
        <w:t>Between Jurisdictional Natural Gas Distribution</w:t>
      </w:r>
      <w:r>
        <w:tab/>
        <w:t>:</w:t>
      </w:r>
    </w:p>
    <w:p w:rsidR="00E35676" w:rsidRDefault="00E35676" w:rsidP="00E35676">
      <w:r>
        <w:t>Companies</w:t>
      </w:r>
      <w:r>
        <w:tab/>
      </w:r>
      <w:r>
        <w:tab/>
      </w:r>
      <w:r>
        <w:tab/>
      </w:r>
      <w:r>
        <w:tab/>
      </w:r>
      <w:r>
        <w:tab/>
      </w:r>
      <w:r>
        <w:tab/>
        <w:t>:</w:t>
      </w:r>
    </w:p>
    <w:p w:rsidR="00E35676" w:rsidRDefault="00E35676" w:rsidP="00E35676">
      <w:r>
        <w:tab/>
      </w:r>
      <w:r>
        <w:tab/>
      </w:r>
      <w:r>
        <w:tab/>
      </w:r>
      <w:r>
        <w:tab/>
      </w:r>
      <w:r>
        <w:tab/>
      </w:r>
      <w:r>
        <w:tab/>
      </w:r>
      <w:r>
        <w:tab/>
        <w:t>:</w:t>
      </w:r>
    </w:p>
    <w:p w:rsidR="00E35676" w:rsidRDefault="00E35676" w:rsidP="00E35676">
      <w:r>
        <w:t xml:space="preserve">Generic Investigation Regarding Gas-On-Gas </w:t>
      </w:r>
      <w:r>
        <w:tab/>
        <w:t>:</w:t>
      </w:r>
    </w:p>
    <w:p w:rsidR="00E35676" w:rsidRDefault="00E35676" w:rsidP="00E35676">
      <w:r>
        <w:t>Competition Between Jurisdictional Natural</w:t>
      </w:r>
      <w:r>
        <w:tab/>
      </w:r>
      <w:r>
        <w:tab/>
        <w:t>:</w:t>
      </w:r>
      <w:r>
        <w:tab/>
        <w:t>I-2012-</w:t>
      </w:r>
      <w:r w:rsidR="00F76B8A">
        <w:t>2320323</w:t>
      </w:r>
    </w:p>
    <w:p w:rsidR="00E35676" w:rsidRDefault="00E35676" w:rsidP="00E35676">
      <w:r>
        <w:t>Gas Distribution Companies</w:t>
      </w:r>
      <w:r>
        <w:tab/>
      </w:r>
      <w:r>
        <w:tab/>
      </w:r>
      <w:r>
        <w:tab/>
      </w:r>
      <w:r>
        <w:tab/>
        <w:t>:</w:t>
      </w:r>
    </w:p>
    <w:p w:rsidR="00223FA2" w:rsidRDefault="00223FA2" w:rsidP="00DC69E8"/>
    <w:p w:rsidR="00223FA2" w:rsidRDefault="00223FA2" w:rsidP="00DC69E8"/>
    <w:p w:rsidR="00E22703" w:rsidRPr="00E22703" w:rsidRDefault="00E22703"/>
    <w:p w:rsidR="00922597" w:rsidRDefault="00E21F02" w:rsidP="00922597">
      <w:pPr>
        <w:tabs>
          <w:tab w:val="center" w:pos="4680"/>
        </w:tabs>
        <w:suppressAutoHyphens/>
        <w:jc w:val="center"/>
        <w:rPr>
          <w:b/>
          <w:spacing w:val="-3"/>
          <w:u w:val="single"/>
        </w:rPr>
      </w:pPr>
      <w:r>
        <w:rPr>
          <w:b/>
          <w:spacing w:val="-3"/>
          <w:u w:val="single"/>
        </w:rPr>
        <w:t>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DC69E8" w:rsidRDefault="00C5657B">
      <w:pPr>
        <w:spacing w:line="360" w:lineRule="auto"/>
        <w:ind w:firstLine="1440"/>
      </w:pPr>
      <w:r>
        <w:t xml:space="preserve">On </w:t>
      </w:r>
      <w:r w:rsidR="00DC69E8">
        <w:t>December 8, 2011, the Bureau of Investigation and Enforcement (BI&amp;E), the Office of Consumer Advocate (OCA), Office of Small Business Advocate (OSBA), Peoples TWP LLC (TWP) and Peoples Natural Gas Company (Peoples)(together “Joint Petitioners”) jointly filed a petition in which they requested the Commission institute an investigation or rulemaking proceeding to address distribution base rate discounting  among natural gas distribution companies (NGDCs) with overlapping service territories, often referred to as “gas-on-gas” competition.</w:t>
      </w:r>
    </w:p>
    <w:p w:rsidR="00DC69E8" w:rsidRDefault="00DC69E8">
      <w:pPr>
        <w:spacing w:line="360" w:lineRule="auto"/>
        <w:ind w:firstLine="1440"/>
      </w:pPr>
    </w:p>
    <w:p w:rsidR="00DC69E8" w:rsidRDefault="00DC69E8">
      <w:pPr>
        <w:spacing w:line="360" w:lineRule="auto"/>
        <w:ind w:firstLine="1440"/>
      </w:pPr>
      <w:r>
        <w:t xml:space="preserve">On July 25, 2012, the Commission issued a Secretarial Letter </w:t>
      </w:r>
      <w:r w:rsidR="004A75EF">
        <w:t xml:space="preserve">essentially granting the petition and </w:t>
      </w:r>
      <w:r>
        <w:t>assigning this matter to the Office of Administrative Law Judge (OALJ) for a generic investigation</w:t>
      </w:r>
      <w:r w:rsidR="004A75EF">
        <w:t>.  The Commission invited</w:t>
      </w:r>
      <w:r>
        <w:t xml:space="preserve"> other parties to file interventions in order to participate in these proceedings.  </w:t>
      </w:r>
    </w:p>
    <w:p w:rsidR="00DC69E8" w:rsidRDefault="00DC69E8">
      <w:pPr>
        <w:spacing w:line="360" w:lineRule="auto"/>
        <w:ind w:firstLine="1440"/>
      </w:pPr>
    </w:p>
    <w:p w:rsidR="00BF0733" w:rsidRDefault="00BF0733" w:rsidP="00BF0733">
      <w:pPr>
        <w:spacing w:line="360" w:lineRule="auto"/>
        <w:ind w:firstLine="1440"/>
      </w:pPr>
      <w:r>
        <w:t xml:space="preserve">I issued a Prehearing Conference Order on August 23, 2012.  On August 31, 2012, at the Initial Prehearing Conference, I noted the appearance of William H. Roberts, III, Esquire on behalf of Peoples Natural Gas Company LLC; Allison C. Kastor, Esquire on behalf of the Bureau of Investigation &amp; Enforcement (I&amp;E); James Mullins, Esquire on behalf of the Office of Consumer Advocate (OCA); Elizabeth Rose Triscari, </w:t>
      </w:r>
      <w:r>
        <w:lastRenderedPageBreak/>
        <w:t xml:space="preserve">Esquire on behalf of the Office of Small Business Advocate (OSBA); Theodore Gallagher, Esquire on behalf of Columbia Gas of PA; William E. Lehman, Esquire on behalf of the Pennsylvania State University (PSU); Charles E. Thomas, Jr., Esquire and Thomas T. Niesen, Esquire on behalf of Equitable Gas Company LLC; Teresa Schmittberger, Esquire on behalf of Industrial Energy Consumers of Pennsylvania (IECPA); Mark C. Morrow, Esquire on behalf of UGI Distribution; Amy W. Neufeld, Esquire on behalf of PECO Energy Company; Donna M.J. Clark, Esquire on behalf of Energy Association of Pennsylvania (EAP).  Maureen Geary Krowicki, Esquire on behalf of National Fuel Gas Company, participated via telephone at the prehearing conference. </w:t>
      </w:r>
    </w:p>
    <w:p w:rsidR="00BF0733" w:rsidRDefault="00BF0733" w:rsidP="00BF0733">
      <w:pPr>
        <w:spacing w:line="360" w:lineRule="auto"/>
        <w:ind w:firstLine="1440"/>
      </w:pPr>
    </w:p>
    <w:p w:rsidR="00BF0733" w:rsidRDefault="00BF0733" w:rsidP="00BF0733">
      <w:r>
        <w:tab/>
      </w:r>
      <w:r>
        <w:tab/>
        <w:t xml:space="preserve">The following parties were granted Intervenor status. </w:t>
      </w:r>
    </w:p>
    <w:p w:rsidR="00BF0733" w:rsidRDefault="00BF0733" w:rsidP="00BF0733"/>
    <w:p w:rsidR="00BF0733" w:rsidRDefault="00BF0733" w:rsidP="00BF0733"/>
    <w:p w:rsidR="00BF0733" w:rsidRDefault="00BF0733" w:rsidP="00BF0733">
      <w:r>
        <w:t>The Pennsylvania State University</w:t>
      </w:r>
    </w:p>
    <w:p w:rsidR="00BF0733" w:rsidRDefault="00BF0733" w:rsidP="00BF0733">
      <w:r>
        <w:t>National Fuel Gas Distribution Corporation</w:t>
      </w:r>
    </w:p>
    <w:p w:rsidR="00BF0733" w:rsidRDefault="00BF0733" w:rsidP="00BF0733">
      <w:r>
        <w:t>The Industrial Energy Consumers of Pennsylvania (IECPA)</w:t>
      </w:r>
    </w:p>
    <w:p w:rsidR="00BF0733" w:rsidRDefault="00BF0733" w:rsidP="00BF0733">
      <w:r>
        <w:t>Columbia Gas of Pennsylvania, Inc.</w:t>
      </w:r>
    </w:p>
    <w:p w:rsidR="00BF0733" w:rsidRDefault="00BF0733" w:rsidP="00BF0733">
      <w:r>
        <w:t>PECO Energy Company</w:t>
      </w:r>
    </w:p>
    <w:p w:rsidR="00BF0733" w:rsidRDefault="00BF0733" w:rsidP="00BF0733">
      <w:r>
        <w:t>UGI Distribution Companies</w:t>
      </w:r>
    </w:p>
    <w:p w:rsidR="00BF0733" w:rsidRDefault="00BF0733" w:rsidP="00BF0733">
      <w:r>
        <w:t>Equitable Gas Company LLC</w:t>
      </w:r>
    </w:p>
    <w:p w:rsidR="00BF0733" w:rsidRDefault="00BF0733" w:rsidP="00BF0733"/>
    <w:p w:rsidR="00BF0733" w:rsidRDefault="00BF0733" w:rsidP="00BF0733">
      <w:pPr>
        <w:spacing w:line="360" w:lineRule="auto"/>
      </w:pPr>
    </w:p>
    <w:p w:rsidR="00BF0733" w:rsidRDefault="00BF0733" w:rsidP="00BF0733">
      <w:pPr>
        <w:spacing w:line="360" w:lineRule="auto"/>
      </w:pPr>
      <w:r>
        <w:tab/>
      </w:r>
      <w:r>
        <w:tab/>
        <w:t>In accordance with 52 Pa.Code § 5.71, OCA and OSBA are authorized by statute to participate in this proceeding.</w:t>
      </w:r>
    </w:p>
    <w:p w:rsidR="00BF0733" w:rsidRDefault="00BF0733" w:rsidP="00BF0733">
      <w:pPr>
        <w:spacing w:line="360" w:lineRule="auto"/>
      </w:pPr>
    </w:p>
    <w:p w:rsidR="00BF0733" w:rsidRDefault="00BF0733" w:rsidP="00BF0733">
      <w:pPr>
        <w:spacing w:line="360" w:lineRule="auto"/>
      </w:pPr>
      <w:r>
        <w:tab/>
      </w:r>
      <w:r w:rsidR="00836488">
        <w:tab/>
      </w:r>
      <w:r>
        <w:t>On November 30, 2012, the Pennsylvania Independent Oil and Gas Association petitioned to intervene.  This petition will be addressed at a second prehearing conference</w:t>
      </w:r>
      <w:r w:rsidR="00035964">
        <w:t xml:space="preserve"> to be held on January 24, 2013</w:t>
      </w:r>
      <w:r>
        <w:t>.</w:t>
      </w:r>
    </w:p>
    <w:p w:rsidR="00BF0733" w:rsidRDefault="00BF0733" w:rsidP="00BF0733">
      <w:pPr>
        <w:spacing w:line="360" w:lineRule="auto"/>
        <w:rPr>
          <w:u w:val="single"/>
        </w:rPr>
      </w:pPr>
    </w:p>
    <w:p w:rsidR="00BF0733" w:rsidRDefault="00BF0733" w:rsidP="00BF0733">
      <w:pPr>
        <w:spacing w:line="360" w:lineRule="auto"/>
      </w:pPr>
      <w:r>
        <w:rPr>
          <w:u w:val="single"/>
        </w:rPr>
        <w:t>Scope of the generic investigation</w:t>
      </w:r>
    </w:p>
    <w:p w:rsidR="00BF0733" w:rsidRDefault="00BF0733" w:rsidP="00BF0733">
      <w:pPr>
        <w:spacing w:line="360" w:lineRule="auto"/>
      </w:pPr>
      <w:r>
        <w:tab/>
      </w:r>
    </w:p>
    <w:p w:rsidR="00BF0733" w:rsidRDefault="00BF0733" w:rsidP="00BF0733">
      <w:pPr>
        <w:spacing w:line="360" w:lineRule="auto"/>
      </w:pPr>
      <w:r>
        <w:tab/>
      </w:r>
      <w:r>
        <w:tab/>
        <w:t xml:space="preserve">The Commission issued a Secretarial Letter dated July 25, 2012, essentially initiating the generic investigation and stating specifically, “the issues related to a NGDC’s flexing of distribution rates to meet the ratemaking proceedings should be resolved through a generic investigation.” At the prehearing conference, the parties were </w:t>
      </w:r>
      <w:r>
        <w:lastRenderedPageBreak/>
        <w:t>split in their interpretations of the Secretarial Letter.  OSBA and OCA argued that the Joint Petition should be referenced for determining the scope of issues in conjunction with the Secretarial Letter and argued there are more issues to be explored in an evidentiary hearing including the following:</w:t>
      </w:r>
    </w:p>
    <w:p w:rsidR="00BF0733" w:rsidRDefault="00BF0733" w:rsidP="00BF0733">
      <w:pPr>
        <w:spacing w:line="360" w:lineRule="auto"/>
      </w:pPr>
      <w:r>
        <w:tab/>
        <w:t>1.</w:t>
      </w:r>
      <w:r>
        <w:tab/>
        <w:t xml:space="preserve">The current extent and nature of gas-on-gas rate discounting, in terms of </w:t>
      </w:r>
      <w:r>
        <w:tab/>
      </w:r>
      <w:r>
        <w:tab/>
      </w:r>
      <w:r>
        <w:tab/>
        <w:t xml:space="preserve">number of customers and load by rate class, geographical regions affected, </w:t>
      </w:r>
      <w:r>
        <w:tab/>
      </w:r>
      <w:r>
        <w:tab/>
        <w:t xml:space="preserve">NGDCs involved, etc.; </w:t>
      </w:r>
    </w:p>
    <w:p w:rsidR="00BF0733" w:rsidRDefault="00BF0733" w:rsidP="00BF0733">
      <w:pPr>
        <w:spacing w:line="360" w:lineRule="auto"/>
      </w:pPr>
      <w:r>
        <w:tab/>
        <w:t>2.</w:t>
      </w:r>
      <w:r>
        <w:tab/>
        <w:t xml:space="preserve">Whether discounting rates for certain customers to meet competition from </w:t>
      </w:r>
      <w:r>
        <w:tab/>
      </w:r>
      <w:r>
        <w:tab/>
      </w:r>
      <w:r>
        <w:tab/>
        <w:t>other NGDCs is appropriate;</w:t>
      </w:r>
    </w:p>
    <w:p w:rsidR="00BF0733" w:rsidRDefault="00BF0733" w:rsidP="00BF0733">
      <w:pPr>
        <w:spacing w:line="360" w:lineRule="auto"/>
      </w:pPr>
      <w:r>
        <w:tab/>
        <w:t>3.</w:t>
      </w:r>
      <w:r>
        <w:tab/>
        <w:t>If the Commission determines that discounting rates is appropriate:</w:t>
      </w:r>
    </w:p>
    <w:p w:rsidR="00BF0733" w:rsidRDefault="00BF0733" w:rsidP="00BF0733">
      <w:pPr>
        <w:spacing w:line="360" w:lineRule="auto"/>
      </w:pPr>
      <w:r>
        <w:tab/>
      </w:r>
      <w:r>
        <w:tab/>
        <w:t>a.</w:t>
      </w:r>
      <w:r>
        <w:tab/>
        <w:t xml:space="preserve">What types of rate discounting should be permitted and under what </w:t>
      </w:r>
      <w:r>
        <w:tab/>
      </w:r>
      <w:r>
        <w:tab/>
      </w:r>
      <w:r>
        <w:tab/>
        <w:t>circumstances;</w:t>
      </w:r>
    </w:p>
    <w:p w:rsidR="00BF0733" w:rsidRDefault="00BF0733" w:rsidP="00BF0733">
      <w:pPr>
        <w:spacing w:line="360" w:lineRule="auto"/>
      </w:pPr>
      <w:r>
        <w:tab/>
      </w:r>
      <w:r>
        <w:tab/>
        <w:t>b.</w:t>
      </w:r>
      <w:r>
        <w:tab/>
        <w:t>How the cost of the discounts should be absorbed and/or allocated;</w:t>
      </w:r>
    </w:p>
    <w:p w:rsidR="00BF0733" w:rsidRDefault="00BF0733" w:rsidP="00BF0733">
      <w:pPr>
        <w:spacing w:line="360" w:lineRule="auto"/>
      </w:pPr>
      <w:r>
        <w:tab/>
        <w:t>4.</w:t>
      </w:r>
      <w:r>
        <w:tab/>
        <w:t xml:space="preserve">If the Commission determines that discounting rates is not appropriate, </w:t>
      </w:r>
      <w:r>
        <w:tab/>
      </w:r>
      <w:r>
        <w:tab/>
      </w:r>
      <w:r>
        <w:tab/>
        <w:t xml:space="preserve">how the existing discounting policies and practices should be phased out </w:t>
      </w:r>
      <w:r>
        <w:tab/>
      </w:r>
      <w:r>
        <w:tab/>
      </w:r>
      <w:r>
        <w:tab/>
        <w:t>or eliminated.</w:t>
      </w:r>
    </w:p>
    <w:p w:rsidR="00BF0733" w:rsidRDefault="00BF0733" w:rsidP="00BF0733">
      <w:pPr>
        <w:spacing w:line="360" w:lineRule="auto"/>
      </w:pPr>
    </w:p>
    <w:p w:rsidR="00BF0733" w:rsidRDefault="00BF0733" w:rsidP="00BF0733">
      <w:pPr>
        <w:spacing w:line="360" w:lineRule="auto"/>
      </w:pPr>
      <w:r>
        <w:tab/>
      </w:r>
      <w:r>
        <w:tab/>
        <w:t xml:space="preserve">Conversely, some of the NGDCs (including UGI and Equitable Gas Company) argued that the issue of the proceeding is limited to only what was expressly stated in the July 25, 2012 Secretarial Letter, “NGDC’s flexing of distribution rates to meet the lower rates from other NGDCs and the treatment of flexed revenues for ratemaking purposes in future ratemaking proceedings.”  Equitable Gas specifically stated that testimony and discovery related to such other issues would involve highly sensitive information that would likely have been developed on a confidential basis in each NGDC’s prior ratemaking proceeding.  Accordingly, depending on the scope of this proceeding, Equitable argued that a hearing and discovery may not be necessary.  </w:t>
      </w:r>
    </w:p>
    <w:p w:rsidR="00BF0733" w:rsidRDefault="00BF0733" w:rsidP="00BF0733">
      <w:pPr>
        <w:spacing w:line="360" w:lineRule="auto"/>
      </w:pPr>
    </w:p>
    <w:p w:rsidR="00BF0733" w:rsidRDefault="00BF0733" w:rsidP="00BF0733">
      <w:pPr>
        <w:spacing w:line="360" w:lineRule="auto"/>
      </w:pPr>
      <w:r>
        <w:tab/>
      </w:r>
      <w:r>
        <w:tab/>
        <w:t xml:space="preserve">I directed the parties to file formal comments regarding what the scope of the generic investigation should be and to specify the exact issues to be involved in a generic investigation in the case by October 1, 2012.  Comments were received from OSBA, BI&amp;E, National Fuel Gas, OCA, Columbia Gas, Equitable Gas, Penn State </w:t>
      </w:r>
      <w:r>
        <w:lastRenderedPageBreak/>
        <w:t>University (PSU) and Peoples Gas.  PECO Energy Company filed a letter stating that it would not be filing comments.</w:t>
      </w:r>
    </w:p>
    <w:p w:rsidR="00BF0733" w:rsidRDefault="00BF0733" w:rsidP="00BF0733">
      <w:pPr>
        <w:spacing w:line="360" w:lineRule="auto"/>
      </w:pPr>
    </w:p>
    <w:p w:rsidR="00836488" w:rsidRDefault="00BF0733" w:rsidP="00BF0733">
      <w:pPr>
        <w:spacing w:line="360" w:lineRule="auto"/>
      </w:pPr>
      <w:r>
        <w:tab/>
      </w:r>
      <w:r>
        <w:tab/>
      </w:r>
      <w:r w:rsidR="00E80AFA">
        <w:t xml:space="preserve">Upon review of the parties’ comments, </w:t>
      </w:r>
      <w:r>
        <w:t xml:space="preserve">I </w:t>
      </w:r>
      <w:r w:rsidR="00E80AFA">
        <w:t>agree with BI&amp;E, OCA and OSBA that the intention of the Secretarial Letter was to initiate a fully litigated proceeding, specifically to determine the full impact of flexing distribution rates</w:t>
      </w:r>
      <w:r w:rsidR="00DE0B87">
        <w:t>, t</w:t>
      </w:r>
      <w:r w:rsidR="00E80AFA">
        <w:t>o address if this competition should be allowed to continue, and if so, how that should be fairly applied</w:t>
      </w:r>
      <w:r w:rsidR="00DE0B87">
        <w:t xml:space="preserve"> as outlined in the Joint Petition for Settlement, page 4</w:t>
      </w:r>
      <w:r w:rsidR="00E80AFA">
        <w:t>.</w:t>
      </w:r>
      <w:r w:rsidR="00DE0B87">
        <w:t xml:space="preserve">  The merits of gas-on-gas competition shall be a part of the scope of this proceeding. </w:t>
      </w:r>
      <w:r w:rsidR="00E80AFA">
        <w:t xml:space="preserve">  The Secretarial Letter states, “It is problematic to resolve the issues related to gas-on-gas competition in the NGDC’s individual base rate case.”  Thus, I believe from th</w:t>
      </w:r>
      <w:r w:rsidR="00836488">
        <w:t>is</w:t>
      </w:r>
      <w:r w:rsidR="00E80AFA">
        <w:t xml:space="preserve"> statement, the Commission intended for the investigation to be broad rather than narrow in scope. </w:t>
      </w:r>
      <w:r w:rsidR="00DE0B87">
        <w:t xml:space="preserve"> </w:t>
      </w:r>
      <w:r w:rsidR="00836488">
        <w:t xml:space="preserve"> A more in-depth procedure than just a comment period </w:t>
      </w:r>
      <w:r w:rsidR="00CA45A1">
        <w:t>will be</w:t>
      </w:r>
      <w:r w:rsidR="00836488">
        <w:t xml:space="preserve"> required and discovery will be allowed such that the parties will have time to evaluate the scope of the issues so that potential remedies can be evaluated. </w:t>
      </w:r>
      <w:r w:rsidR="00CA45A1">
        <w:t xml:space="preserve"> Thus, I infer from the Secretarial Letter dated July 25, 2012, that the Commission intended for the generic investigation to address the entire set of issues raised by the Joint Petitioners in their Joint Petition.  </w:t>
      </w:r>
    </w:p>
    <w:p w:rsidR="00CA45A1" w:rsidRDefault="00CA45A1" w:rsidP="00BF0733">
      <w:pPr>
        <w:spacing w:line="360" w:lineRule="auto"/>
      </w:pPr>
    </w:p>
    <w:p w:rsidR="00BF0733" w:rsidRDefault="00836488" w:rsidP="00BF0733">
      <w:pPr>
        <w:spacing w:line="360" w:lineRule="auto"/>
      </w:pPr>
      <w:r>
        <w:tab/>
      </w:r>
      <w:r>
        <w:tab/>
      </w:r>
      <w:r w:rsidR="00DE0B87">
        <w:t xml:space="preserve">Accordingly, a second prehearing conference shall be </w:t>
      </w:r>
      <w:r w:rsidR="00CA45A1">
        <w:t>held</w:t>
      </w:r>
      <w:r w:rsidR="00DE0B87">
        <w:t xml:space="preserve"> </w:t>
      </w:r>
      <w:r w:rsidR="00CA45A1">
        <w:t xml:space="preserve">on </w:t>
      </w:r>
      <w:r w:rsidR="00DE0B87">
        <w:t>January 24, 2013, at which time any unaddressed petitions to intervene and a procedural schedule and discovery issues shall be addressed.</w:t>
      </w:r>
    </w:p>
    <w:p w:rsidR="00E80AFA" w:rsidRDefault="00E80AFA" w:rsidP="00BF0733">
      <w:pPr>
        <w:spacing w:line="360" w:lineRule="auto"/>
      </w:pPr>
    </w:p>
    <w:p w:rsidR="00BF0733" w:rsidRDefault="00BF0733" w:rsidP="00BF0733">
      <w:pPr>
        <w:spacing w:line="360" w:lineRule="auto"/>
      </w:pPr>
      <w:r>
        <w:rPr>
          <w:u w:val="single"/>
        </w:rPr>
        <w:t>Protective Order</w:t>
      </w:r>
    </w:p>
    <w:p w:rsidR="00BF0733" w:rsidRDefault="00BF0733" w:rsidP="00BF0733">
      <w:pPr>
        <w:spacing w:line="360" w:lineRule="auto"/>
      </w:pPr>
    </w:p>
    <w:p w:rsidR="00BF0733" w:rsidRDefault="00BF0733" w:rsidP="00BF0733">
      <w:pPr>
        <w:spacing w:line="360" w:lineRule="auto"/>
      </w:pPr>
      <w:r>
        <w:tab/>
      </w:r>
      <w:r>
        <w:tab/>
        <w:t xml:space="preserve">If any of the parties should want a protective order regarding sensitive information at a future date, they should prepare a proposed protective order and circulate it among the parties for their approval before filing it with the Secretary’s Bureau and giving me an electronic copy of the proposed protective order in Word format.  The parties will then have twenty days from the date the draft order is filed to respond.   </w:t>
      </w:r>
    </w:p>
    <w:p w:rsidR="00BF0733" w:rsidRDefault="00BF0733" w:rsidP="00BF0733">
      <w:pPr>
        <w:spacing w:line="360" w:lineRule="auto"/>
      </w:pPr>
    </w:p>
    <w:p w:rsidR="00BF0733" w:rsidRDefault="00BF0733" w:rsidP="00BF0733">
      <w:pPr>
        <w:spacing w:line="360" w:lineRule="auto"/>
        <w:rPr>
          <w:bCs/>
        </w:rPr>
      </w:pPr>
      <w:r>
        <w:t xml:space="preserve"> </w:t>
      </w:r>
      <w:r>
        <w:tab/>
      </w:r>
      <w:r>
        <w:tab/>
      </w:r>
      <w:r>
        <w:rPr>
          <w:bCs/>
        </w:rPr>
        <w:t>THEREFORE,</w:t>
      </w:r>
    </w:p>
    <w:p w:rsidR="00BF0733" w:rsidRDefault="00BF0733" w:rsidP="00BF0733">
      <w:pPr>
        <w:spacing w:line="360" w:lineRule="auto"/>
        <w:ind w:firstLine="1440"/>
      </w:pPr>
    </w:p>
    <w:p w:rsidR="00BF0733" w:rsidRDefault="00BF0733" w:rsidP="00BF0733">
      <w:pPr>
        <w:spacing w:line="360" w:lineRule="auto"/>
        <w:ind w:firstLine="1440"/>
        <w:rPr>
          <w:bCs/>
        </w:rPr>
      </w:pPr>
      <w:r>
        <w:rPr>
          <w:bCs/>
        </w:rPr>
        <w:t>IT IS ORDERED:</w:t>
      </w:r>
    </w:p>
    <w:p w:rsidR="00BF0733" w:rsidRDefault="00BF0733" w:rsidP="00BF0733">
      <w:pPr>
        <w:spacing w:line="360" w:lineRule="auto"/>
        <w:ind w:firstLine="1440"/>
        <w:rPr>
          <w:bCs/>
        </w:rPr>
      </w:pPr>
    </w:p>
    <w:p w:rsidR="00DE0B87" w:rsidRPr="00D7167B" w:rsidRDefault="00DE0B87" w:rsidP="00DE0B87">
      <w:pPr>
        <w:numPr>
          <w:ilvl w:val="0"/>
          <w:numId w:val="4"/>
        </w:numPr>
        <w:spacing w:line="360" w:lineRule="auto"/>
        <w:ind w:left="0" w:firstLine="1440"/>
        <w:rPr>
          <w:bCs/>
        </w:rPr>
      </w:pPr>
      <w:r>
        <w:t>That an Initial Prehearing Conference shall be held at 10:00 a.m. on Thursday, January 24, 2013, in Hearing Room #</w:t>
      </w:r>
      <w:r w:rsidR="00836488">
        <w:t>2</w:t>
      </w:r>
      <w:r>
        <w:t>, Commonwealth Keystone Building, 400 North Street, Harrisburg, PA.</w:t>
      </w:r>
    </w:p>
    <w:p w:rsidR="00DE0B87" w:rsidRPr="005F5D43" w:rsidRDefault="00DE0B87" w:rsidP="00DE0B87">
      <w:pPr>
        <w:spacing w:line="360" w:lineRule="auto"/>
        <w:ind w:left="1440"/>
        <w:rPr>
          <w:bCs/>
        </w:rPr>
      </w:pPr>
    </w:p>
    <w:p w:rsidR="00DE0B87" w:rsidRPr="00CF18EB" w:rsidRDefault="00DE0B87" w:rsidP="00DE0B87">
      <w:pPr>
        <w:numPr>
          <w:ilvl w:val="0"/>
          <w:numId w:val="4"/>
        </w:numPr>
        <w:spacing w:line="360" w:lineRule="auto"/>
        <w:ind w:left="0" w:firstLine="1440"/>
        <w:rPr>
          <w:bCs/>
        </w:rPr>
      </w:pPr>
      <w:r>
        <w:t>That the parties shall be limited to those persons or entities who attend the Initial Prehearing Conference and, thereafter, to those persons or entities granted party status upon Petition to Intervene under the Pennsylvania Utility Commission Regulations contained in 52 Pa. Code §§ 5.71-5.76.</w:t>
      </w:r>
    </w:p>
    <w:p w:rsidR="00DE0B87" w:rsidRPr="00CF18EB" w:rsidRDefault="00DE0B87" w:rsidP="00DE0B87">
      <w:pPr>
        <w:spacing w:line="360" w:lineRule="auto"/>
        <w:ind w:left="1440"/>
        <w:rPr>
          <w:bCs/>
        </w:rPr>
      </w:pPr>
    </w:p>
    <w:p w:rsidR="00DE0B87" w:rsidRPr="00D7167B" w:rsidRDefault="00DE0B87" w:rsidP="00DE0B87">
      <w:pPr>
        <w:numPr>
          <w:ilvl w:val="0"/>
          <w:numId w:val="4"/>
        </w:numPr>
        <w:spacing w:line="360" w:lineRule="auto"/>
        <w:ind w:left="0" w:firstLine="1440"/>
        <w:rPr>
          <w:bCs/>
        </w:rPr>
      </w:pPr>
      <w: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DE0B87" w:rsidRPr="005F5D43" w:rsidRDefault="00DE0B87" w:rsidP="00DE0B87">
      <w:pPr>
        <w:spacing w:line="360" w:lineRule="auto"/>
        <w:ind w:left="1440"/>
        <w:rPr>
          <w:bCs/>
        </w:rPr>
      </w:pPr>
    </w:p>
    <w:p w:rsidR="00DE0B87" w:rsidRPr="00D7167B" w:rsidRDefault="00DE0B87" w:rsidP="00DE0B87">
      <w:pPr>
        <w:numPr>
          <w:ilvl w:val="0"/>
          <w:numId w:val="4"/>
        </w:numPr>
        <w:spacing w:line="360" w:lineRule="auto"/>
        <w:ind w:left="0" w:firstLine="1440"/>
        <w:rPr>
          <w:bCs/>
        </w:rPr>
      </w:pPr>
      <w:r>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DE0B87" w:rsidRPr="006F0FF6" w:rsidRDefault="00DE0B87" w:rsidP="00DE0B87">
      <w:pPr>
        <w:spacing w:line="360" w:lineRule="auto"/>
        <w:ind w:left="1440"/>
        <w:rPr>
          <w:bCs/>
        </w:rPr>
      </w:pPr>
    </w:p>
    <w:p w:rsidR="00DE0B87" w:rsidRPr="00A07A16" w:rsidRDefault="00DE0B87" w:rsidP="00DE0B87">
      <w:pPr>
        <w:numPr>
          <w:ilvl w:val="0"/>
          <w:numId w:val="4"/>
        </w:numPr>
        <w:spacing w:line="360" w:lineRule="auto"/>
        <w:ind w:left="0" w:firstLine="1440"/>
        <w:rPr>
          <w:bCs/>
        </w:rPr>
      </w:pPr>
      <w:r>
        <w:t xml:space="preserve">That pursuant to 52 Pa. Code §§1.21 – 1.23, you may represent yourself, if you are an individual, or you may have an attorney licensed to practice law in the Commonwealth of Pennsylvania, or admitted </w:t>
      </w:r>
      <w:r w:rsidRPr="006F0FF6">
        <w:rPr>
          <w:i/>
        </w:rPr>
        <w:t>pro hac vice</w:t>
      </w:r>
      <w:r>
        <w:t xml:space="preserve">, represent you.  However, if you are a partnership, corporation, trust, association, or governmental agency or subdivision, you must have an attorney licensed to practice law in the Commonwealth of Pennsylvania, or admitted </w:t>
      </w:r>
      <w:r w:rsidRPr="00D7167B">
        <w:rPr>
          <w:i/>
        </w:rPr>
        <w:t>pro hac vice</w:t>
      </w:r>
      <w:r>
        <w:t xml:space="preserve">, represent you in this proceeding.  Unless you are </w:t>
      </w:r>
      <w:r>
        <w:lastRenderedPageBreak/>
        <w:t>an attorney, you may not represent someone else.  Attorneys shall insure that their appearance is entered in accordance with the provisions of 52 Pa.Code § 1.24(b).</w:t>
      </w:r>
    </w:p>
    <w:p w:rsidR="00DE0B87" w:rsidRPr="00D7167B" w:rsidRDefault="00DE0B87" w:rsidP="00DE0B87">
      <w:pPr>
        <w:spacing w:line="360" w:lineRule="auto"/>
        <w:ind w:left="1440"/>
        <w:rPr>
          <w:bCs/>
        </w:rPr>
      </w:pPr>
    </w:p>
    <w:p w:rsidR="00DE0B87" w:rsidRPr="00A74AF3" w:rsidRDefault="00DE0B87" w:rsidP="00DE0B87">
      <w:pPr>
        <w:numPr>
          <w:ilvl w:val="0"/>
          <w:numId w:val="4"/>
        </w:numPr>
        <w:spacing w:line="360" w:lineRule="auto"/>
        <w:ind w:left="0" w:firstLine="1440"/>
        <w:rPr>
          <w:bCs/>
        </w:rPr>
      </w:pPr>
      <w:r>
        <w:t>That you must serve me directly with a copy of any document that you file in this proceeding.  If you send me any correspondence or document, you must send a copy to all other parties.  For your convenience, a copy of the Commission’s current service list of the parties to this proceeding is enclosed with this Order.   My Address is: Administrative Law Judge Elizabeth H. Barnes, P.O. Box 3265, Harrisburg, PA  17105-3265.</w:t>
      </w:r>
    </w:p>
    <w:p w:rsidR="00DE0B87" w:rsidRPr="00D7167B" w:rsidRDefault="00DE0B87" w:rsidP="00DE0B87">
      <w:pPr>
        <w:spacing w:line="360" w:lineRule="auto"/>
        <w:ind w:left="1440"/>
        <w:rPr>
          <w:bCs/>
        </w:rPr>
      </w:pPr>
    </w:p>
    <w:p w:rsidR="00DE0B87" w:rsidRPr="00A74AF3" w:rsidRDefault="00DE0B87" w:rsidP="00DE0B87">
      <w:pPr>
        <w:numPr>
          <w:ilvl w:val="0"/>
          <w:numId w:val="4"/>
        </w:numPr>
        <w:spacing w:line="360" w:lineRule="auto"/>
        <w:ind w:left="0" w:firstLine="1440"/>
        <w:rPr>
          <w:bCs/>
        </w:rPr>
      </w:pPr>
      <w:r>
        <w:t>That the parties shall review the regulation pertaining to prehearing conferences, 52 Pa. Code § 5.222, and in particular, subsection (d) which provides, in part:</w:t>
      </w:r>
    </w:p>
    <w:p w:rsidR="00DE0B87" w:rsidRDefault="00DE0B87" w:rsidP="00DE0B87">
      <w:pPr>
        <w:ind w:left="720" w:right="720"/>
      </w:pPr>
      <w:r>
        <w:t>(d)</w:t>
      </w:r>
      <w:r>
        <w:tab/>
        <w:t>Parties and counsel will be expected to attend the conference fully prepared for useful discussion of all problems involved in the proceeding, both procedural and substantive, and fully authorized to make commitments with respect thereto.</w:t>
      </w:r>
    </w:p>
    <w:p w:rsidR="00DE0B87" w:rsidRDefault="00DE0B87" w:rsidP="00DE0B87">
      <w:pPr>
        <w:spacing w:line="360" w:lineRule="auto"/>
      </w:pPr>
    </w:p>
    <w:p w:rsidR="00DE0B87" w:rsidRPr="00B428B5" w:rsidRDefault="00DE0B87" w:rsidP="00DE0B87">
      <w:pPr>
        <w:spacing w:line="360" w:lineRule="auto"/>
        <w:rPr>
          <w:bCs/>
        </w:rPr>
      </w:pPr>
      <w:r>
        <w:t xml:space="preserve"> </w:t>
      </w:r>
    </w:p>
    <w:p w:rsidR="00DE0B87" w:rsidRPr="006E3B8A" w:rsidRDefault="00DE0B87" w:rsidP="00DE0B87">
      <w:pPr>
        <w:numPr>
          <w:ilvl w:val="0"/>
          <w:numId w:val="4"/>
        </w:numPr>
        <w:spacing w:line="360" w:lineRule="auto"/>
        <w:ind w:left="0" w:firstLine="1440"/>
        <w:rPr>
          <w:bCs/>
        </w:rPr>
      </w:pPr>
      <w:r>
        <w:t>That all of the following matters shall be considered at the prehearing conference:</w:t>
      </w:r>
    </w:p>
    <w:p w:rsidR="00DE0B87" w:rsidRDefault="00DE0B87" w:rsidP="00DE0B87">
      <w:pPr>
        <w:pStyle w:val="ListParagraph"/>
        <w:numPr>
          <w:ilvl w:val="0"/>
          <w:numId w:val="7"/>
        </w:numPr>
        <w:spacing w:line="360" w:lineRule="auto"/>
      </w:pPr>
      <w:r>
        <w:t>Petitions to Intervene.</w:t>
      </w:r>
    </w:p>
    <w:p w:rsidR="00DE0B87" w:rsidRDefault="00DE0B87" w:rsidP="00DE0B87">
      <w:pPr>
        <w:pStyle w:val="ListParagraph"/>
        <w:numPr>
          <w:ilvl w:val="0"/>
          <w:numId w:val="7"/>
        </w:numPr>
        <w:spacing w:line="360" w:lineRule="auto"/>
      </w:pPr>
      <w:r>
        <w:t>The establishment of a parties’ service list and e-mail distribution list.</w:t>
      </w:r>
    </w:p>
    <w:p w:rsidR="00DE0B87" w:rsidRDefault="00DE0B87" w:rsidP="00DE0B87">
      <w:pPr>
        <w:pStyle w:val="ListParagraph"/>
        <w:numPr>
          <w:ilvl w:val="0"/>
          <w:numId w:val="7"/>
        </w:numPr>
        <w:spacing w:line="360" w:lineRule="auto"/>
      </w:pPr>
      <w:r>
        <w:t>Protective order.</w:t>
      </w:r>
    </w:p>
    <w:p w:rsidR="00DE0B87" w:rsidRDefault="00DE0B87" w:rsidP="00DE0B87">
      <w:pPr>
        <w:pStyle w:val="ListParagraph"/>
        <w:numPr>
          <w:ilvl w:val="0"/>
          <w:numId w:val="7"/>
        </w:numPr>
        <w:spacing w:line="360" w:lineRule="auto"/>
      </w:pPr>
      <w:r>
        <w:t>Procedural schedule.</w:t>
      </w:r>
    </w:p>
    <w:p w:rsidR="00DE0B87" w:rsidRDefault="00DE0B87" w:rsidP="00DE0B87">
      <w:pPr>
        <w:spacing w:line="360" w:lineRule="auto"/>
        <w:ind w:left="1800"/>
      </w:pPr>
      <w:r>
        <w:t>(f)</w:t>
      </w:r>
      <w:r>
        <w:tab/>
        <w:t>Arrangements for the submission of direct testimony of witnesses in writing in advance of any hearing to the extent practicable, and for the submission in advance of hearing of written requests for information which a party contemplates asking another party to present at hearing.</w:t>
      </w:r>
    </w:p>
    <w:p w:rsidR="00DE0B87" w:rsidRDefault="00DE0B87" w:rsidP="00DE0B87">
      <w:pPr>
        <w:spacing w:line="360" w:lineRule="auto"/>
        <w:ind w:left="1800"/>
      </w:pPr>
      <w:r>
        <w:lastRenderedPageBreak/>
        <w:t>(h)  Other matters that may aid in expediting the orderly conduct and disposition of the proceeding and the furtherance of justice, including, but not limited to the following:</w:t>
      </w:r>
    </w:p>
    <w:p w:rsidR="00DE0B87" w:rsidRDefault="00DE0B87" w:rsidP="00DE0B87">
      <w:pPr>
        <w:spacing w:line="360" w:lineRule="auto"/>
        <w:ind w:left="1800"/>
      </w:pPr>
      <w:r>
        <w:tab/>
        <w:t>(i)</w:t>
      </w:r>
      <w:r>
        <w:tab/>
        <w:t>The exchange and acceptance of exhibits proposed to be offered into evidence.</w:t>
      </w:r>
    </w:p>
    <w:p w:rsidR="00DE0B87" w:rsidRDefault="00DE0B87" w:rsidP="00DE0B87">
      <w:pPr>
        <w:spacing w:line="360" w:lineRule="auto"/>
        <w:ind w:left="1800"/>
      </w:pPr>
      <w:r>
        <w:tab/>
        <w:t>(ii)</w:t>
      </w:r>
      <w:r>
        <w:tab/>
        <w:t>The obtaining of admissions as to, or stipulations of, facts not remaining in dispute, or the authenticity of documents which might properly shorten a generic investigation.</w:t>
      </w:r>
    </w:p>
    <w:p w:rsidR="00DE0B87" w:rsidRDefault="00DE0B87" w:rsidP="00DE0B87">
      <w:pPr>
        <w:spacing w:line="360" w:lineRule="auto"/>
        <w:ind w:left="1800"/>
      </w:pPr>
      <w:r>
        <w:tab/>
        <w:t xml:space="preserve">(iii) </w:t>
      </w:r>
      <w:r>
        <w:tab/>
        <w:t>The limitation of the number of witnesses.</w:t>
      </w:r>
    </w:p>
    <w:p w:rsidR="00DE0B87" w:rsidRDefault="00DE0B87" w:rsidP="00DE0B87">
      <w:pPr>
        <w:spacing w:line="360" w:lineRule="auto"/>
        <w:ind w:left="1800"/>
      </w:pPr>
      <w:r>
        <w:tab/>
      </w:r>
    </w:p>
    <w:p w:rsidR="00DE0B87" w:rsidRDefault="00DE0B87" w:rsidP="00DE0B87"/>
    <w:p w:rsidR="00DE0B87" w:rsidRDefault="00DE0B87" w:rsidP="00DE0B87"/>
    <w:p w:rsidR="00DE0B87" w:rsidRDefault="00DE0B87" w:rsidP="00DE0B87"/>
    <w:p w:rsidR="00DE0B87" w:rsidRPr="00774975" w:rsidRDefault="00DE0B87" w:rsidP="00DE0B87">
      <w:pPr>
        <w:rPr>
          <w:u w:val="single"/>
        </w:rPr>
      </w:pPr>
      <w:r w:rsidRPr="00E22703">
        <w:t xml:space="preserve">Date: </w:t>
      </w:r>
      <w:r>
        <w:rPr>
          <w:u w:val="single"/>
        </w:rPr>
        <w:t>December 1</w:t>
      </w:r>
      <w:r w:rsidR="00CA45A1">
        <w:rPr>
          <w:u w:val="single"/>
        </w:rPr>
        <w:t>1</w:t>
      </w:r>
      <w:r>
        <w:rPr>
          <w:u w:val="single"/>
        </w:rPr>
        <w:t>, 2012</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DE0B87" w:rsidRPr="00E22703" w:rsidRDefault="00DE0B87" w:rsidP="00DE0B87">
      <w:r w:rsidRPr="00E22703">
        <w:tab/>
      </w:r>
      <w:r w:rsidRPr="00E22703">
        <w:tab/>
      </w:r>
      <w:r w:rsidRPr="00E22703">
        <w:tab/>
      </w:r>
      <w:r w:rsidRPr="00E22703">
        <w:tab/>
      </w:r>
      <w:r w:rsidRPr="00E22703">
        <w:tab/>
      </w:r>
      <w:r>
        <w:t>Elizabeth H. Barnes</w:t>
      </w:r>
    </w:p>
    <w:p w:rsidR="00DE0B87" w:rsidRDefault="00DE0B87" w:rsidP="00DE0B87">
      <w:r w:rsidRPr="00E22703">
        <w:tab/>
      </w:r>
      <w:r w:rsidRPr="00E22703">
        <w:tab/>
      </w:r>
      <w:r w:rsidRPr="00E22703">
        <w:tab/>
      </w:r>
      <w:r w:rsidRPr="00E22703">
        <w:tab/>
      </w:r>
      <w:r w:rsidRPr="00E22703">
        <w:tab/>
        <w:t>Administrative Law Judge</w:t>
      </w:r>
    </w:p>
    <w:p w:rsidR="00DE0B87" w:rsidRDefault="00DE0B87" w:rsidP="00DE0B87"/>
    <w:p w:rsidR="00DE0B87" w:rsidRDefault="00DE0B87" w:rsidP="00DE0B87">
      <w:r>
        <w:tab/>
      </w:r>
      <w:r>
        <w:tab/>
      </w:r>
      <w:r>
        <w:tab/>
      </w:r>
      <w:r>
        <w:tab/>
      </w:r>
      <w:r>
        <w:tab/>
      </w:r>
    </w:p>
    <w:p w:rsidR="00333A41" w:rsidRPr="00E22703" w:rsidRDefault="00DE0B87" w:rsidP="00DE0B87">
      <w:pPr>
        <w:spacing w:line="360" w:lineRule="auto"/>
        <w:rPr>
          <w:u w:val="single"/>
        </w:rPr>
      </w:pPr>
      <w:r>
        <w:tab/>
      </w:r>
      <w:r w:rsidR="00BF0733">
        <w:t xml:space="preserve"> </w:t>
      </w:r>
    </w:p>
    <w:sectPr w:rsidR="00333A41" w:rsidRPr="00E22703" w:rsidSect="00DE0B87">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03D" w:rsidRDefault="0005303D">
      <w:r>
        <w:separator/>
      </w:r>
    </w:p>
  </w:endnote>
  <w:endnote w:type="continuationSeparator" w:id="0">
    <w:p w:rsidR="0005303D" w:rsidRDefault="0005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4C7E52">
      <w:rPr>
        <w:rStyle w:val="PageNumber"/>
        <w:noProof/>
        <w:sz w:val="23"/>
        <w:szCs w:val="23"/>
      </w:rPr>
      <w:t>1</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03D" w:rsidRDefault="0005303D">
      <w:r>
        <w:separator/>
      </w:r>
    </w:p>
  </w:footnote>
  <w:footnote w:type="continuationSeparator" w:id="0">
    <w:p w:rsidR="0005303D" w:rsidRDefault="00053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5964"/>
    <w:rsid w:val="00037E8B"/>
    <w:rsid w:val="00040542"/>
    <w:rsid w:val="000447F9"/>
    <w:rsid w:val="00050489"/>
    <w:rsid w:val="00050AF1"/>
    <w:rsid w:val="0005303D"/>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41F1"/>
    <w:rsid w:val="001E755C"/>
    <w:rsid w:val="001F3D60"/>
    <w:rsid w:val="001F59C0"/>
    <w:rsid w:val="002026C5"/>
    <w:rsid w:val="002069A1"/>
    <w:rsid w:val="00210131"/>
    <w:rsid w:val="00212459"/>
    <w:rsid w:val="0022121D"/>
    <w:rsid w:val="00223FA2"/>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E2B8A"/>
    <w:rsid w:val="002E4F5F"/>
    <w:rsid w:val="002E76DB"/>
    <w:rsid w:val="002F61D3"/>
    <w:rsid w:val="003038D5"/>
    <w:rsid w:val="00312F22"/>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78D"/>
    <w:rsid w:val="00444026"/>
    <w:rsid w:val="00446AEA"/>
    <w:rsid w:val="004509B5"/>
    <w:rsid w:val="004677A9"/>
    <w:rsid w:val="0046782D"/>
    <w:rsid w:val="00472DD1"/>
    <w:rsid w:val="00476814"/>
    <w:rsid w:val="0048022D"/>
    <w:rsid w:val="00484CA9"/>
    <w:rsid w:val="00487C67"/>
    <w:rsid w:val="00491200"/>
    <w:rsid w:val="004A44C7"/>
    <w:rsid w:val="004A6217"/>
    <w:rsid w:val="004A75EF"/>
    <w:rsid w:val="004B12AD"/>
    <w:rsid w:val="004B3128"/>
    <w:rsid w:val="004B73DA"/>
    <w:rsid w:val="004C0C8D"/>
    <w:rsid w:val="004C19EA"/>
    <w:rsid w:val="004C54A1"/>
    <w:rsid w:val="004C5959"/>
    <w:rsid w:val="004C7E52"/>
    <w:rsid w:val="004D5EDA"/>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4F90"/>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94014"/>
    <w:rsid w:val="00694651"/>
    <w:rsid w:val="006954B5"/>
    <w:rsid w:val="0069608E"/>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6EC7"/>
    <w:rsid w:val="007508D5"/>
    <w:rsid w:val="00752614"/>
    <w:rsid w:val="00761AAA"/>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36488"/>
    <w:rsid w:val="008413F8"/>
    <w:rsid w:val="008438CF"/>
    <w:rsid w:val="00845A5B"/>
    <w:rsid w:val="00847F9D"/>
    <w:rsid w:val="00854EC8"/>
    <w:rsid w:val="00865D3F"/>
    <w:rsid w:val="008733C7"/>
    <w:rsid w:val="00874F41"/>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34B8"/>
    <w:rsid w:val="008E6D84"/>
    <w:rsid w:val="008F755E"/>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2407"/>
    <w:rsid w:val="00A93FB7"/>
    <w:rsid w:val="00AA23BA"/>
    <w:rsid w:val="00AA3B44"/>
    <w:rsid w:val="00AB48F9"/>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0733"/>
    <w:rsid w:val="00BF341D"/>
    <w:rsid w:val="00BF3473"/>
    <w:rsid w:val="00BF718F"/>
    <w:rsid w:val="00C0065E"/>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45A1"/>
    <w:rsid w:val="00CA73E2"/>
    <w:rsid w:val="00CB18E0"/>
    <w:rsid w:val="00CB4DB1"/>
    <w:rsid w:val="00CC3542"/>
    <w:rsid w:val="00CD68CE"/>
    <w:rsid w:val="00CE08CE"/>
    <w:rsid w:val="00CE20E9"/>
    <w:rsid w:val="00CE3773"/>
    <w:rsid w:val="00CE4837"/>
    <w:rsid w:val="00CE6FC5"/>
    <w:rsid w:val="00CE701C"/>
    <w:rsid w:val="00CF0E33"/>
    <w:rsid w:val="00CF18EB"/>
    <w:rsid w:val="00CF4490"/>
    <w:rsid w:val="00CF5A8F"/>
    <w:rsid w:val="00D00379"/>
    <w:rsid w:val="00D10467"/>
    <w:rsid w:val="00D10652"/>
    <w:rsid w:val="00D13DB2"/>
    <w:rsid w:val="00D209B6"/>
    <w:rsid w:val="00D2255F"/>
    <w:rsid w:val="00D24620"/>
    <w:rsid w:val="00D262BA"/>
    <w:rsid w:val="00D3123C"/>
    <w:rsid w:val="00D44B05"/>
    <w:rsid w:val="00D51B5E"/>
    <w:rsid w:val="00D55377"/>
    <w:rsid w:val="00D557D5"/>
    <w:rsid w:val="00D56547"/>
    <w:rsid w:val="00D57E4B"/>
    <w:rsid w:val="00D64F50"/>
    <w:rsid w:val="00D7167B"/>
    <w:rsid w:val="00D73519"/>
    <w:rsid w:val="00D73E83"/>
    <w:rsid w:val="00D80A3E"/>
    <w:rsid w:val="00D84B3D"/>
    <w:rsid w:val="00D92151"/>
    <w:rsid w:val="00D92334"/>
    <w:rsid w:val="00DA0323"/>
    <w:rsid w:val="00DA3FF9"/>
    <w:rsid w:val="00DB13BD"/>
    <w:rsid w:val="00DB1971"/>
    <w:rsid w:val="00DC451E"/>
    <w:rsid w:val="00DC5FA1"/>
    <w:rsid w:val="00DC69E8"/>
    <w:rsid w:val="00DC7C98"/>
    <w:rsid w:val="00DD0CE4"/>
    <w:rsid w:val="00DE0B87"/>
    <w:rsid w:val="00DE3721"/>
    <w:rsid w:val="00DF17AB"/>
    <w:rsid w:val="00DF2742"/>
    <w:rsid w:val="00DF448C"/>
    <w:rsid w:val="00E061D8"/>
    <w:rsid w:val="00E07EE4"/>
    <w:rsid w:val="00E14245"/>
    <w:rsid w:val="00E21F02"/>
    <w:rsid w:val="00E22703"/>
    <w:rsid w:val="00E24228"/>
    <w:rsid w:val="00E27B5F"/>
    <w:rsid w:val="00E35676"/>
    <w:rsid w:val="00E445D8"/>
    <w:rsid w:val="00E46ACA"/>
    <w:rsid w:val="00E526F5"/>
    <w:rsid w:val="00E53275"/>
    <w:rsid w:val="00E5528B"/>
    <w:rsid w:val="00E5593B"/>
    <w:rsid w:val="00E63F24"/>
    <w:rsid w:val="00E70A61"/>
    <w:rsid w:val="00E77251"/>
    <w:rsid w:val="00E80AFA"/>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F00D62"/>
    <w:rsid w:val="00F0305C"/>
    <w:rsid w:val="00F1692D"/>
    <w:rsid w:val="00F23018"/>
    <w:rsid w:val="00F33096"/>
    <w:rsid w:val="00F40D25"/>
    <w:rsid w:val="00F5660C"/>
    <w:rsid w:val="00F63836"/>
    <w:rsid w:val="00F76819"/>
    <w:rsid w:val="00F76B8A"/>
    <w:rsid w:val="00F9081A"/>
    <w:rsid w:val="00F90A9D"/>
    <w:rsid w:val="00FA0E84"/>
    <w:rsid w:val="00FA2D0F"/>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character" w:styleId="Hyperlink">
    <w:name w:val="Hyperlink"/>
    <w:basedOn w:val="DefaultParagraphFont"/>
    <w:unhideWhenUsed/>
    <w:rsid w:val="00BF07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character" w:styleId="Hyperlink">
    <w:name w:val="Hyperlink"/>
    <w:basedOn w:val="DefaultParagraphFont"/>
    <w:unhideWhenUsed/>
    <w:rsid w:val="00BF07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37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251E5-EC5D-464D-8369-545A919D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2</cp:revision>
  <cp:lastPrinted>2012-08-23T15:29:00Z</cp:lastPrinted>
  <dcterms:created xsi:type="dcterms:W3CDTF">2012-12-14T13:36:00Z</dcterms:created>
  <dcterms:modified xsi:type="dcterms:W3CDTF">2012-12-14T13:36:00Z</dcterms:modified>
</cp:coreProperties>
</file>