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430"/>
        <w:gridCol w:w="90"/>
        <w:gridCol w:w="720"/>
        <w:gridCol w:w="990"/>
        <w:gridCol w:w="2790"/>
      </w:tblGrid>
      <w:tr w:rsidR="00B065FE" w:rsidRPr="00620D6E" w:rsidTr="00542312">
        <w:tc>
          <w:tcPr>
            <w:tcW w:w="2448" w:type="dxa"/>
          </w:tcPr>
          <w:p w:rsidR="00B065FE" w:rsidRPr="00620D6E" w:rsidRDefault="00B065FE">
            <w:pPr>
              <w:pStyle w:val="Header"/>
              <w:tabs>
                <w:tab w:val="clear" w:pos="4320"/>
                <w:tab w:val="clear" w:pos="8640"/>
              </w:tabs>
              <w:rPr>
                <w:color w:val="auto"/>
                <w:sz w:val="26"/>
                <w:szCs w:val="26"/>
              </w:rPr>
            </w:pPr>
          </w:p>
        </w:tc>
        <w:tc>
          <w:tcPr>
            <w:tcW w:w="4230" w:type="dxa"/>
            <w:gridSpan w:val="4"/>
          </w:tcPr>
          <w:p w:rsidR="00B065FE" w:rsidRPr="00620D6E" w:rsidRDefault="00B065FE">
            <w:pPr>
              <w:jc w:val="center"/>
              <w:rPr>
                <w:b/>
                <w:color w:val="auto"/>
                <w:sz w:val="26"/>
                <w:szCs w:val="26"/>
              </w:rPr>
            </w:pPr>
            <w:smartTag w:uri="urn:schemas-microsoft-com:office:smarttags" w:element="State">
              <w:smartTag w:uri="urn:schemas-microsoft-com:office:smarttags" w:element="place">
                <w:r w:rsidRPr="00620D6E">
                  <w:rPr>
                    <w:b/>
                    <w:color w:val="auto"/>
                    <w:sz w:val="26"/>
                    <w:szCs w:val="26"/>
                  </w:rPr>
                  <w:t>PENNSYLVANIA</w:t>
                </w:r>
              </w:smartTag>
            </w:smartTag>
          </w:p>
          <w:p w:rsidR="00B065FE" w:rsidRPr="00620D6E" w:rsidRDefault="00B065FE">
            <w:pPr>
              <w:jc w:val="center"/>
              <w:rPr>
                <w:b/>
                <w:color w:val="auto"/>
                <w:sz w:val="26"/>
                <w:szCs w:val="26"/>
              </w:rPr>
            </w:pPr>
            <w:r w:rsidRPr="00620D6E">
              <w:rPr>
                <w:b/>
                <w:color w:val="auto"/>
                <w:sz w:val="26"/>
                <w:szCs w:val="26"/>
              </w:rPr>
              <w:t>PUBLIC UTILITY COMMISSION</w:t>
            </w:r>
          </w:p>
          <w:p w:rsidR="00B065FE" w:rsidRPr="00620D6E" w:rsidRDefault="00B065FE">
            <w:pPr>
              <w:jc w:val="center"/>
              <w:rPr>
                <w:color w:val="auto"/>
                <w:sz w:val="26"/>
                <w:szCs w:val="26"/>
              </w:rPr>
            </w:pPr>
            <w:smartTag w:uri="urn:schemas-microsoft-com:office:smarttags" w:element="place">
              <w:smartTag w:uri="urn:schemas-microsoft-com:office:smarttags" w:element="City">
                <w:r w:rsidRPr="00620D6E">
                  <w:rPr>
                    <w:b/>
                    <w:color w:val="auto"/>
                    <w:sz w:val="26"/>
                    <w:szCs w:val="26"/>
                  </w:rPr>
                  <w:t>Harrisburg</w:t>
                </w:r>
              </w:smartTag>
              <w:r w:rsidRPr="00620D6E">
                <w:rPr>
                  <w:b/>
                  <w:color w:val="auto"/>
                  <w:sz w:val="26"/>
                  <w:szCs w:val="26"/>
                </w:rPr>
                <w:t xml:space="preserve">, </w:t>
              </w:r>
              <w:smartTag w:uri="urn:schemas-microsoft-com:office:smarttags" w:element="State">
                <w:r w:rsidRPr="00620D6E">
                  <w:rPr>
                    <w:b/>
                    <w:color w:val="auto"/>
                    <w:sz w:val="26"/>
                    <w:szCs w:val="26"/>
                  </w:rPr>
                  <w:t>PA</w:t>
                </w:r>
              </w:smartTag>
              <w:r w:rsidR="006A433E" w:rsidRPr="00620D6E">
                <w:rPr>
                  <w:b/>
                  <w:color w:val="auto"/>
                  <w:sz w:val="26"/>
                  <w:szCs w:val="26"/>
                </w:rPr>
                <w:t xml:space="preserve">  </w:t>
              </w:r>
              <w:smartTag w:uri="urn:schemas-microsoft-com:office:smarttags" w:element="PostalCode">
                <w:r w:rsidRPr="00620D6E">
                  <w:rPr>
                    <w:b/>
                    <w:color w:val="auto"/>
                    <w:sz w:val="26"/>
                    <w:szCs w:val="26"/>
                  </w:rPr>
                  <w:t>17105-3265</w:t>
                </w:r>
              </w:smartTag>
            </w:smartTag>
          </w:p>
        </w:tc>
        <w:tc>
          <w:tcPr>
            <w:tcW w:w="2790" w:type="dxa"/>
          </w:tcPr>
          <w:p w:rsidR="00B065FE" w:rsidRPr="00620D6E" w:rsidRDefault="00B065FE">
            <w:pPr>
              <w:jc w:val="center"/>
              <w:rPr>
                <w:color w:val="auto"/>
                <w:sz w:val="26"/>
                <w:szCs w:val="26"/>
              </w:rPr>
            </w:pPr>
          </w:p>
        </w:tc>
      </w:tr>
      <w:tr w:rsidR="00B065FE" w:rsidRPr="00620D6E" w:rsidTr="00542312">
        <w:tc>
          <w:tcPr>
            <w:tcW w:w="2448" w:type="dxa"/>
          </w:tcPr>
          <w:p w:rsidR="00B065FE" w:rsidRPr="00620D6E" w:rsidRDefault="00B065FE">
            <w:pPr>
              <w:rPr>
                <w:color w:val="auto"/>
                <w:sz w:val="26"/>
                <w:szCs w:val="26"/>
              </w:rPr>
            </w:pPr>
          </w:p>
        </w:tc>
        <w:tc>
          <w:tcPr>
            <w:tcW w:w="4230" w:type="dxa"/>
            <w:gridSpan w:val="4"/>
          </w:tcPr>
          <w:p w:rsidR="00B065FE" w:rsidRPr="00620D6E" w:rsidRDefault="00B065FE">
            <w:pPr>
              <w:rPr>
                <w:color w:val="auto"/>
                <w:sz w:val="26"/>
                <w:szCs w:val="26"/>
              </w:rPr>
            </w:pPr>
          </w:p>
        </w:tc>
        <w:tc>
          <w:tcPr>
            <w:tcW w:w="2790" w:type="dxa"/>
          </w:tcPr>
          <w:p w:rsidR="00B065FE" w:rsidRPr="00620D6E" w:rsidRDefault="00B065FE">
            <w:pPr>
              <w:rPr>
                <w:color w:val="auto"/>
                <w:sz w:val="26"/>
                <w:szCs w:val="26"/>
              </w:rPr>
            </w:pPr>
          </w:p>
        </w:tc>
      </w:tr>
      <w:tr w:rsidR="00CD03C5" w:rsidRPr="00620D6E" w:rsidTr="00542312">
        <w:tc>
          <w:tcPr>
            <w:tcW w:w="2448" w:type="dxa"/>
          </w:tcPr>
          <w:p w:rsidR="00CD03C5" w:rsidRPr="00620D6E" w:rsidRDefault="00CD03C5">
            <w:pPr>
              <w:rPr>
                <w:color w:val="auto"/>
                <w:sz w:val="26"/>
                <w:szCs w:val="26"/>
              </w:rPr>
            </w:pPr>
          </w:p>
        </w:tc>
        <w:tc>
          <w:tcPr>
            <w:tcW w:w="4230" w:type="dxa"/>
            <w:gridSpan w:val="4"/>
          </w:tcPr>
          <w:p w:rsidR="00CD03C5" w:rsidRPr="00620D6E" w:rsidRDefault="00CD03C5">
            <w:pPr>
              <w:rPr>
                <w:color w:val="auto"/>
                <w:sz w:val="26"/>
                <w:szCs w:val="26"/>
              </w:rPr>
            </w:pPr>
          </w:p>
        </w:tc>
        <w:tc>
          <w:tcPr>
            <w:tcW w:w="2790" w:type="dxa"/>
          </w:tcPr>
          <w:p w:rsidR="00CD03C5" w:rsidRPr="00620D6E" w:rsidRDefault="00CD03C5">
            <w:pPr>
              <w:rPr>
                <w:color w:val="auto"/>
                <w:sz w:val="26"/>
                <w:szCs w:val="26"/>
              </w:rPr>
            </w:pPr>
          </w:p>
        </w:tc>
      </w:tr>
      <w:tr w:rsidR="00B065FE" w:rsidRPr="00620D6E" w:rsidTr="00542312">
        <w:tc>
          <w:tcPr>
            <w:tcW w:w="4878" w:type="dxa"/>
            <w:gridSpan w:val="2"/>
          </w:tcPr>
          <w:p w:rsidR="00B065FE" w:rsidRPr="00F81A20" w:rsidRDefault="00B065FE">
            <w:pPr>
              <w:rPr>
                <w:color w:val="000000"/>
                <w:sz w:val="26"/>
                <w:szCs w:val="26"/>
              </w:rPr>
            </w:pPr>
          </w:p>
        </w:tc>
        <w:tc>
          <w:tcPr>
            <w:tcW w:w="4590" w:type="dxa"/>
            <w:gridSpan w:val="4"/>
          </w:tcPr>
          <w:p w:rsidR="00B065FE" w:rsidRPr="00F81A20" w:rsidRDefault="00B065FE" w:rsidP="006A72D6">
            <w:pPr>
              <w:rPr>
                <w:color w:val="000000"/>
                <w:sz w:val="26"/>
                <w:szCs w:val="26"/>
              </w:rPr>
            </w:pPr>
            <w:r w:rsidRPr="00F81A20">
              <w:rPr>
                <w:color w:val="000000"/>
                <w:sz w:val="26"/>
                <w:szCs w:val="26"/>
              </w:rPr>
              <w:t>Public Meeting held</w:t>
            </w:r>
            <w:r w:rsidR="00E93202" w:rsidRPr="00F81A20">
              <w:rPr>
                <w:color w:val="000000"/>
                <w:sz w:val="26"/>
                <w:szCs w:val="26"/>
              </w:rPr>
              <w:t xml:space="preserve"> </w:t>
            </w:r>
            <w:r w:rsidR="003257FA">
              <w:rPr>
                <w:color w:val="000000"/>
                <w:sz w:val="26"/>
                <w:szCs w:val="26"/>
              </w:rPr>
              <w:t xml:space="preserve">December </w:t>
            </w:r>
            <w:r w:rsidR="006A72D6">
              <w:rPr>
                <w:color w:val="000000"/>
                <w:sz w:val="26"/>
                <w:szCs w:val="26"/>
              </w:rPr>
              <w:t>2</w:t>
            </w:r>
            <w:r w:rsidR="003257FA">
              <w:rPr>
                <w:color w:val="000000"/>
                <w:sz w:val="26"/>
                <w:szCs w:val="26"/>
              </w:rPr>
              <w:t>0</w:t>
            </w:r>
            <w:r w:rsidR="00F81A20" w:rsidRPr="00F81A20">
              <w:rPr>
                <w:color w:val="000000"/>
                <w:sz w:val="26"/>
                <w:szCs w:val="26"/>
              </w:rPr>
              <w:t>, 201</w:t>
            </w:r>
            <w:r w:rsidR="003257FA">
              <w:rPr>
                <w:color w:val="000000"/>
                <w:sz w:val="26"/>
                <w:szCs w:val="26"/>
              </w:rPr>
              <w:t>2</w:t>
            </w:r>
          </w:p>
        </w:tc>
      </w:tr>
      <w:tr w:rsidR="00B065FE" w:rsidRPr="00620D6E" w:rsidTr="00542312">
        <w:tc>
          <w:tcPr>
            <w:tcW w:w="4968" w:type="dxa"/>
            <w:gridSpan w:val="3"/>
          </w:tcPr>
          <w:p w:rsidR="00B065FE" w:rsidRPr="00F81A20" w:rsidRDefault="00B065FE">
            <w:pPr>
              <w:rPr>
                <w:color w:val="000000"/>
                <w:sz w:val="26"/>
                <w:szCs w:val="26"/>
              </w:rPr>
            </w:pPr>
            <w:r w:rsidRPr="00F81A20">
              <w:rPr>
                <w:color w:val="000000"/>
                <w:sz w:val="26"/>
                <w:szCs w:val="26"/>
              </w:rPr>
              <w:t>Commissioners Present:</w:t>
            </w:r>
          </w:p>
        </w:tc>
        <w:tc>
          <w:tcPr>
            <w:tcW w:w="4500" w:type="dxa"/>
            <w:gridSpan w:val="3"/>
          </w:tcPr>
          <w:p w:rsidR="00B065FE" w:rsidRPr="00F81A20" w:rsidRDefault="00B065FE">
            <w:pPr>
              <w:rPr>
                <w:color w:val="000000"/>
                <w:sz w:val="26"/>
                <w:szCs w:val="26"/>
              </w:rPr>
            </w:pPr>
          </w:p>
        </w:tc>
      </w:tr>
      <w:tr w:rsidR="00542312" w:rsidRPr="00620D6E" w:rsidTr="00542312">
        <w:tc>
          <w:tcPr>
            <w:tcW w:w="9468" w:type="dxa"/>
            <w:gridSpan w:val="6"/>
          </w:tcPr>
          <w:p w:rsidR="00542312" w:rsidRPr="00F81A20" w:rsidRDefault="00542312">
            <w:pPr>
              <w:rPr>
                <w:color w:val="000000"/>
                <w:sz w:val="26"/>
                <w:szCs w:val="26"/>
              </w:rPr>
            </w:pPr>
          </w:p>
        </w:tc>
      </w:tr>
      <w:tr w:rsidR="00195A2F" w:rsidRPr="00620D6E" w:rsidTr="00542312">
        <w:trPr>
          <w:trHeight w:val="1546"/>
        </w:trPr>
        <w:tc>
          <w:tcPr>
            <w:tcW w:w="9468" w:type="dxa"/>
            <w:gridSpan w:val="6"/>
          </w:tcPr>
          <w:tbl>
            <w:tblPr>
              <w:tblW w:w="0" w:type="auto"/>
              <w:tblLayout w:type="fixed"/>
              <w:tblLook w:val="0000" w:firstRow="0" w:lastRow="0" w:firstColumn="0" w:lastColumn="0" w:noHBand="0" w:noVBand="0"/>
            </w:tblPr>
            <w:tblGrid>
              <w:gridCol w:w="9468"/>
            </w:tblGrid>
            <w:tr w:rsidR="003257FA" w:rsidRPr="006C2834" w:rsidTr="003257FA">
              <w:tc>
                <w:tcPr>
                  <w:tcW w:w="9468" w:type="dxa"/>
                </w:tcPr>
                <w:p w:rsidR="003257FA" w:rsidRPr="006C2834" w:rsidRDefault="003257FA" w:rsidP="003257FA">
                  <w:pPr>
                    <w:rPr>
                      <w:color w:val="auto"/>
                      <w:sz w:val="26"/>
                      <w:szCs w:val="26"/>
                    </w:rPr>
                  </w:pPr>
                  <w:r w:rsidRPr="006C2834">
                    <w:rPr>
                      <w:color w:val="auto"/>
                      <w:sz w:val="26"/>
                      <w:szCs w:val="26"/>
                    </w:rPr>
                    <w:tab/>
                    <w:t>Robert F. Powelson, Chairman</w:t>
                  </w:r>
                </w:p>
              </w:tc>
            </w:tr>
            <w:tr w:rsidR="003257FA" w:rsidRPr="006C2834" w:rsidTr="003257FA">
              <w:tc>
                <w:tcPr>
                  <w:tcW w:w="9468" w:type="dxa"/>
                </w:tcPr>
                <w:p w:rsidR="003257FA" w:rsidRPr="006C2834" w:rsidRDefault="003257FA" w:rsidP="003257FA">
                  <w:pPr>
                    <w:rPr>
                      <w:color w:val="auto"/>
                      <w:sz w:val="26"/>
                      <w:szCs w:val="26"/>
                    </w:rPr>
                  </w:pPr>
                  <w:r w:rsidRPr="006C2834">
                    <w:rPr>
                      <w:color w:val="auto"/>
                      <w:sz w:val="26"/>
                      <w:szCs w:val="26"/>
                    </w:rPr>
                    <w:tab/>
                    <w:t xml:space="preserve">John F. Coleman, Jr., Vice Chairman      </w:t>
                  </w:r>
                  <w:r>
                    <w:rPr>
                      <w:color w:val="auto"/>
                      <w:sz w:val="26"/>
                      <w:szCs w:val="26"/>
                    </w:rPr>
                    <w:t xml:space="preserve">                  </w:t>
                  </w:r>
                </w:p>
                <w:p w:rsidR="003257FA" w:rsidRPr="006C2834" w:rsidRDefault="003257FA" w:rsidP="003257FA">
                  <w:pPr>
                    <w:rPr>
                      <w:color w:val="auto"/>
                      <w:sz w:val="26"/>
                      <w:szCs w:val="26"/>
                    </w:rPr>
                  </w:pPr>
                  <w:r w:rsidRPr="006C2834">
                    <w:rPr>
                      <w:color w:val="auto"/>
                      <w:sz w:val="26"/>
                      <w:szCs w:val="26"/>
                    </w:rPr>
                    <w:t xml:space="preserve">           Wayne E. Gardner                                                      </w:t>
                  </w:r>
                </w:p>
                <w:p w:rsidR="003257FA" w:rsidRPr="006C2834" w:rsidRDefault="003257FA" w:rsidP="003257FA">
                  <w:pPr>
                    <w:rPr>
                      <w:color w:val="auto"/>
                      <w:sz w:val="26"/>
                      <w:szCs w:val="26"/>
                    </w:rPr>
                  </w:pPr>
                  <w:r w:rsidRPr="006C2834">
                    <w:rPr>
                      <w:color w:val="auto"/>
                      <w:sz w:val="26"/>
                      <w:szCs w:val="26"/>
                    </w:rPr>
                    <w:t xml:space="preserve">           James H. Cawley</w:t>
                  </w:r>
                </w:p>
              </w:tc>
            </w:tr>
            <w:tr w:rsidR="003257FA" w:rsidRPr="006C2834" w:rsidTr="003257FA">
              <w:tc>
                <w:tcPr>
                  <w:tcW w:w="9468" w:type="dxa"/>
                </w:tcPr>
                <w:p w:rsidR="003257FA" w:rsidRPr="006C2834" w:rsidRDefault="003257FA" w:rsidP="003257FA">
                  <w:pPr>
                    <w:rPr>
                      <w:color w:val="auto"/>
                      <w:sz w:val="26"/>
                    </w:rPr>
                  </w:pPr>
                  <w:r w:rsidRPr="006C2834">
                    <w:rPr>
                      <w:color w:val="auto"/>
                      <w:sz w:val="26"/>
                    </w:rPr>
                    <w:t xml:space="preserve">           Pamela A. Witmer</w:t>
                  </w:r>
                </w:p>
              </w:tc>
            </w:tr>
          </w:tbl>
          <w:p w:rsidR="00195A2F" w:rsidRPr="00F81A20" w:rsidRDefault="00195A2F" w:rsidP="00195A2F">
            <w:pPr>
              <w:pStyle w:val="p5"/>
              <w:ind w:left="720"/>
              <w:rPr>
                <w:color w:val="000000"/>
                <w:sz w:val="26"/>
                <w:szCs w:val="26"/>
              </w:rPr>
            </w:pPr>
          </w:p>
        </w:tc>
      </w:tr>
      <w:tr w:rsidR="00A3124C" w:rsidRPr="00620D6E" w:rsidTr="00542312">
        <w:tc>
          <w:tcPr>
            <w:tcW w:w="9468" w:type="dxa"/>
            <w:gridSpan w:val="6"/>
          </w:tcPr>
          <w:p w:rsidR="00A3124C" w:rsidRPr="00F81A20" w:rsidRDefault="00A3124C" w:rsidP="00861628">
            <w:pPr>
              <w:pStyle w:val="p5"/>
              <w:rPr>
                <w:color w:val="000000"/>
                <w:sz w:val="26"/>
                <w:szCs w:val="26"/>
              </w:rPr>
            </w:pPr>
          </w:p>
        </w:tc>
      </w:tr>
      <w:tr w:rsidR="000535E4" w:rsidRPr="00620D6E" w:rsidTr="00542312">
        <w:tc>
          <w:tcPr>
            <w:tcW w:w="9468" w:type="dxa"/>
            <w:gridSpan w:val="6"/>
          </w:tcPr>
          <w:p w:rsidR="000535E4" w:rsidRPr="00F81A20" w:rsidRDefault="000535E4" w:rsidP="00861628">
            <w:pPr>
              <w:pStyle w:val="p5"/>
              <w:rPr>
                <w:color w:val="000000"/>
                <w:sz w:val="26"/>
                <w:szCs w:val="26"/>
              </w:rPr>
            </w:pPr>
          </w:p>
        </w:tc>
      </w:tr>
      <w:tr w:rsidR="00B065FE" w:rsidRPr="00620D6E" w:rsidTr="00542312">
        <w:tc>
          <w:tcPr>
            <w:tcW w:w="5688" w:type="dxa"/>
            <w:gridSpan w:val="4"/>
          </w:tcPr>
          <w:p w:rsidR="00B065FE" w:rsidRPr="00F81A20" w:rsidRDefault="003257FA" w:rsidP="003257FA">
            <w:pPr>
              <w:rPr>
                <w:color w:val="000000"/>
                <w:sz w:val="26"/>
                <w:szCs w:val="26"/>
              </w:rPr>
            </w:pPr>
            <w:r>
              <w:rPr>
                <w:color w:val="000000"/>
                <w:sz w:val="26"/>
                <w:szCs w:val="26"/>
              </w:rPr>
              <w:t>Application</w:t>
            </w:r>
            <w:r w:rsidR="00B065FE" w:rsidRPr="00F81A20">
              <w:rPr>
                <w:color w:val="000000"/>
                <w:sz w:val="26"/>
                <w:szCs w:val="26"/>
              </w:rPr>
              <w:t xml:space="preserve"> of </w:t>
            </w:r>
            <w:r>
              <w:rPr>
                <w:color w:val="000000"/>
                <w:sz w:val="26"/>
                <w:szCs w:val="26"/>
              </w:rPr>
              <w:t>XOOM Energy Pennsylvania</w:t>
            </w:r>
            <w:r w:rsidR="0016409E">
              <w:rPr>
                <w:color w:val="000000"/>
                <w:sz w:val="26"/>
                <w:szCs w:val="26"/>
              </w:rPr>
              <w:t xml:space="preserve">, LLC to </w:t>
            </w:r>
            <w:r>
              <w:rPr>
                <w:color w:val="000000"/>
                <w:sz w:val="26"/>
                <w:szCs w:val="26"/>
              </w:rPr>
              <w:t>become a licensed supplier of natural gas services.</w:t>
            </w:r>
          </w:p>
        </w:tc>
        <w:tc>
          <w:tcPr>
            <w:tcW w:w="3780" w:type="dxa"/>
            <w:gridSpan w:val="2"/>
          </w:tcPr>
          <w:p w:rsidR="00B065FE" w:rsidRPr="00F81A20" w:rsidRDefault="00F81A20" w:rsidP="00846409">
            <w:pPr>
              <w:ind w:firstLine="1332"/>
              <w:rPr>
                <w:color w:val="000000"/>
                <w:sz w:val="26"/>
                <w:szCs w:val="26"/>
              </w:rPr>
            </w:pPr>
            <w:r w:rsidRPr="00F81A20">
              <w:rPr>
                <w:color w:val="000000"/>
                <w:sz w:val="26"/>
                <w:szCs w:val="26"/>
              </w:rPr>
              <w:t>A-</w:t>
            </w:r>
            <w:r w:rsidR="003257FA">
              <w:rPr>
                <w:color w:val="000000"/>
                <w:sz w:val="26"/>
                <w:szCs w:val="26"/>
              </w:rPr>
              <w:t>2012-2283967</w:t>
            </w:r>
          </w:p>
        </w:tc>
      </w:tr>
      <w:tr w:rsidR="00CD03C5" w:rsidRPr="00620D6E" w:rsidTr="00542312">
        <w:tc>
          <w:tcPr>
            <w:tcW w:w="5688" w:type="dxa"/>
            <w:gridSpan w:val="4"/>
          </w:tcPr>
          <w:p w:rsidR="00CD03C5" w:rsidRPr="00620D6E" w:rsidRDefault="00CD03C5" w:rsidP="00894584">
            <w:pPr>
              <w:spacing w:line="360" w:lineRule="auto"/>
              <w:rPr>
                <w:color w:val="auto"/>
                <w:sz w:val="26"/>
                <w:szCs w:val="26"/>
              </w:rPr>
            </w:pPr>
          </w:p>
        </w:tc>
        <w:tc>
          <w:tcPr>
            <w:tcW w:w="3780" w:type="dxa"/>
            <w:gridSpan w:val="2"/>
            <w:vAlign w:val="center"/>
          </w:tcPr>
          <w:p w:rsidR="00CD03C5" w:rsidRPr="00620D6E" w:rsidRDefault="00CD03C5" w:rsidP="00CD03C5">
            <w:pPr>
              <w:jc w:val="center"/>
              <w:rPr>
                <w:color w:val="auto"/>
                <w:sz w:val="26"/>
                <w:szCs w:val="26"/>
              </w:rPr>
            </w:pPr>
          </w:p>
        </w:tc>
      </w:tr>
    </w:tbl>
    <w:p w:rsidR="00B065FE" w:rsidRPr="00620D6E" w:rsidRDefault="004009C7" w:rsidP="00894584">
      <w:pPr>
        <w:spacing w:line="360" w:lineRule="auto"/>
        <w:jc w:val="center"/>
        <w:rPr>
          <w:color w:val="auto"/>
          <w:sz w:val="26"/>
          <w:szCs w:val="26"/>
        </w:rPr>
      </w:pPr>
      <w:r>
        <w:rPr>
          <w:b/>
          <w:color w:val="auto"/>
          <w:sz w:val="26"/>
          <w:szCs w:val="26"/>
        </w:rPr>
        <w:t xml:space="preserve">FINAL </w:t>
      </w:r>
      <w:r w:rsidR="00B065FE" w:rsidRPr="00620D6E">
        <w:rPr>
          <w:b/>
          <w:color w:val="auto"/>
          <w:sz w:val="26"/>
          <w:szCs w:val="26"/>
        </w:rPr>
        <w:t>ORDER</w:t>
      </w:r>
    </w:p>
    <w:p w:rsidR="00B065FE" w:rsidRPr="00620D6E" w:rsidRDefault="00B065FE">
      <w:pPr>
        <w:rPr>
          <w:b/>
          <w:color w:val="auto"/>
          <w:sz w:val="26"/>
          <w:szCs w:val="26"/>
        </w:rPr>
      </w:pPr>
    </w:p>
    <w:p w:rsidR="00B065FE" w:rsidRDefault="00B065FE">
      <w:pPr>
        <w:rPr>
          <w:b/>
          <w:color w:val="auto"/>
          <w:sz w:val="26"/>
          <w:szCs w:val="26"/>
        </w:rPr>
      </w:pPr>
      <w:r w:rsidRPr="00620D6E">
        <w:rPr>
          <w:b/>
          <w:color w:val="auto"/>
          <w:sz w:val="26"/>
          <w:szCs w:val="26"/>
        </w:rPr>
        <w:t>BY THE COMMISSION:</w:t>
      </w:r>
    </w:p>
    <w:p w:rsidR="000034CB" w:rsidRPr="00620D6E" w:rsidRDefault="000034CB" w:rsidP="00894584">
      <w:pPr>
        <w:spacing w:line="360" w:lineRule="auto"/>
        <w:contextualSpacing/>
        <w:rPr>
          <w:b/>
          <w:color w:val="auto"/>
          <w:sz w:val="26"/>
          <w:szCs w:val="26"/>
        </w:rPr>
      </w:pPr>
    </w:p>
    <w:p w:rsidR="00747EDA" w:rsidRDefault="003257FA" w:rsidP="004618D8">
      <w:pPr>
        <w:tabs>
          <w:tab w:val="left" w:pos="-1440"/>
          <w:tab w:val="left" w:pos="-720"/>
        </w:tabs>
        <w:suppressAutoHyphens/>
        <w:spacing w:line="360" w:lineRule="auto"/>
        <w:ind w:firstLine="1440"/>
        <w:rPr>
          <w:color w:val="000000" w:themeColor="text1"/>
          <w:sz w:val="26"/>
          <w:szCs w:val="26"/>
        </w:rPr>
      </w:pPr>
      <w:r w:rsidRPr="006C2834">
        <w:rPr>
          <w:color w:val="auto"/>
          <w:kern w:val="1"/>
          <w:sz w:val="26"/>
          <w:szCs w:val="26"/>
        </w:rPr>
        <w:t xml:space="preserve">On December 16, 2011, </w:t>
      </w:r>
      <w:r>
        <w:rPr>
          <w:color w:val="auto"/>
          <w:kern w:val="1"/>
          <w:sz w:val="26"/>
          <w:szCs w:val="26"/>
        </w:rPr>
        <w:t>XOOM</w:t>
      </w:r>
      <w:r w:rsidRPr="006C2834">
        <w:rPr>
          <w:color w:val="auto"/>
          <w:kern w:val="1"/>
          <w:sz w:val="26"/>
          <w:szCs w:val="26"/>
        </w:rPr>
        <w:t xml:space="preserve"> Energy Pennsylvania, LLC (</w:t>
      </w:r>
      <w:r>
        <w:rPr>
          <w:color w:val="auto"/>
          <w:kern w:val="1"/>
          <w:sz w:val="26"/>
          <w:szCs w:val="26"/>
        </w:rPr>
        <w:t>XOOM</w:t>
      </w:r>
      <w:r w:rsidRPr="006C2834">
        <w:rPr>
          <w:color w:val="auto"/>
          <w:kern w:val="1"/>
          <w:sz w:val="26"/>
          <w:szCs w:val="26"/>
        </w:rPr>
        <w:t xml:space="preserve">) filed a License Application to operate as a supplier and broker/marketer engaged in the business of supplying natural gas services in the service </w:t>
      </w:r>
      <w:r>
        <w:rPr>
          <w:color w:val="auto"/>
          <w:kern w:val="1"/>
          <w:sz w:val="26"/>
          <w:szCs w:val="26"/>
        </w:rPr>
        <w:t>territories of National</w:t>
      </w:r>
      <w:r w:rsidRPr="006C2834">
        <w:rPr>
          <w:color w:val="auto"/>
          <w:kern w:val="1"/>
          <w:sz w:val="26"/>
          <w:szCs w:val="26"/>
        </w:rPr>
        <w:t xml:space="preserve"> Fuel Ga</w:t>
      </w:r>
      <w:r>
        <w:rPr>
          <w:color w:val="auto"/>
          <w:kern w:val="1"/>
          <w:sz w:val="26"/>
          <w:szCs w:val="26"/>
        </w:rPr>
        <w:t xml:space="preserve">s Distribution Corporation, </w:t>
      </w:r>
      <w:r w:rsidRPr="006C2834">
        <w:rPr>
          <w:color w:val="auto"/>
          <w:kern w:val="1"/>
          <w:sz w:val="26"/>
          <w:szCs w:val="26"/>
        </w:rPr>
        <w:t>Peoples Natural Gas Corporation, Columbia Gas of Pennsylvania, Inc., PECO</w:t>
      </w:r>
      <w:r w:rsidR="0042264D">
        <w:rPr>
          <w:color w:val="auto"/>
          <w:kern w:val="1"/>
          <w:sz w:val="26"/>
          <w:szCs w:val="26"/>
        </w:rPr>
        <w:t xml:space="preserve"> Gas</w:t>
      </w:r>
      <w:r w:rsidRPr="006C2834">
        <w:rPr>
          <w:color w:val="auto"/>
          <w:kern w:val="1"/>
          <w:sz w:val="26"/>
          <w:szCs w:val="26"/>
        </w:rPr>
        <w:t>, UGI and UGI Central Penn Gas, within the Commonwealth of Pennsylvania.</w:t>
      </w:r>
    </w:p>
    <w:p w:rsidR="00747EDA" w:rsidRPr="00223884" w:rsidRDefault="00747EDA" w:rsidP="004618D8">
      <w:pPr>
        <w:tabs>
          <w:tab w:val="left" w:pos="-1440"/>
          <w:tab w:val="left" w:pos="-720"/>
        </w:tabs>
        <w:suppressAutoHyphens/>
        <w:spacing w:line="360" w:lineRule="auto"/>
        <w:ind w:firstLine="1440"/>
        <w:rPr>
          <w:color w:val="000000" w:themeColor="text1"/>
          <w:sz w:val="26"/>
          <w:szCs w:val="26"/>
        </w:rPr>
      </w:pPr>
    </w:p>
    <w:p w:rsidR="006730C0" w:rsidRDefault="00217B15" w:rsidP="006730C0">
      <w:pPr>
        <w:tabs>
          <w:tab w:val="left" w:pos="0"/>
        </w:tabs>
        <w:suppressAutoHyphens/>
        <w:spacing w:line="360" w:lineRule="auto"/>
        <w:ind w:firstLine="1440"/>
        <w:rPr>
          <w:color w:val="auto"/>
          <w:sz w:val="26"/>
          <w:szCs w:val="26"/>
        </w:rPr>
      </w:pPr>
      <w:r>
        <w:rPr>
          <w:color w:val="000000"/>
          <w:sz w:val="26"/>
          <w:szCs w:val="26"/>
        </w:rPr>
        <w:t xml:space="preserve">The Commission issued an order approving </w:t>
      </w:r>
      <w:proofErr w:type="spellStart"/>
      <w:r>
        <w:rPr>
          <w:color w:val="000000"/>
          <w:sz w:val="26"/>
          <w:szCs w:val="26"/>
        </w:rPr>
        <w:t>Xoom’s</w:t>
      </w:r>
      <w:proofErr w:type="spellEnd"/>
      <w:r>
        <w:rPr>
          <w:color w:val="000000"/>
          <w:sz w:val="26"/>
          <w:szCs w:val="26"/>
        </w:rPr>
        <w:t xml:space="preserve"> Application on July 20, 2012.  After the order was entered and upon </w:t>
      </w:r>
      <w:r w:rsidR="007C7A91">
        <w:rPr>
          <w:color w:val="auto"/>
          <w:spacing w:val="-3"/>
          <w:kern w:val="1"/>
          <w:sz w:val="26"/>
          <w:szCs w:val="26"/>
        </w:rPr>
        <w:t>additional review,</w:t>
      </w:r>
      <w:r>
        <w:rPr>
          <w:color w:val="auto"/>
          <w:spacing w:val="-3"/>
          <w:kern w:val="1"/>
          <w:sz w:val="26"/>
          <w:szCs w:val="26"/>
        </w:rPr>
        <w:t xml:space="preserve"> Commission Staff noted that </w:t>
      </w:r>
      <w:r w:rsidR="006730C0">
        <w:rPr>
          <w:color w:val="auto"/>
          <w:spacing w:val="-3"/>
          <w:kern w:val="1"/>
          <w:sz w:val="26"/>
          <w:szCs w:val="26"/>
        </w:rPr>
        <w:t xml:space="preserve">XOOM </w:t>
      </w:r>
      <w:r>
        <w:rPr>
          <w:color w:val="auto"/>
          <w:spacing w:val="-3"/>
          <w:kern w:val="1"/>
          <w:sz w:val="26"/>
          <w:szCs w:val="26"/>
        </w:rPr>
        <w:t>had</w:t>
      </w:r>
      <w:r w:rsidR="006730C0">
        <w:rPr>
          <w:color w:val="auto"/>
          <w:spacing w:val="-3"/>
          <w:kern w:val="1"/>
          <w:sz w:val="26"/>
          <w:szCs w:val="26"/>
        </w:rPr>
        <w:t xml:space="preserve"> not</w:t>
      </w:r>
      <w:r w:rsidR="006730C0" w:rsidRPr="006C2834">
        <w:rPr>
          <w:color w:val="auto"/>
          <w:spacing w:val="-3"/>
          <w:kern w:val="1"/>
          <w:sz w:val="26"/>
          <w:szCs w:val="26"/>
        </w:rPr>
        <w:t xml:space="preserve"> </w:t>
      </w:r>
      <w:r w:rsidR="006730C0">
        <w:rPr>
          <w:color w:val="auto"/>
          <w:sz w:val="26"/>
          <w:szCs w:val="26"/>
        </w:rPr>
        <w:t>furnish</w:t>
      </w:r>
      <w:r>
        <w:rPr>
          <w:color w:val="auto"/>
          <w:sz w:val="26"/>
          <w:szCs w:val="26"/>
        </w:rPr>
        <w:t>ed</w:t>
      </w:r>
      <w:r w:rsidR="006730C0">
        <w:rPr>
          <w:color w:val="auto"/>
          <w:sz w:val="26"/>
          <w:szCs w:val="26"/>
        </w:rPr>
        <w:t xml:space="preserve"> the</w:t>
      </w:r>
      <w:r w:rsidR="006730C0" w:rsidRPr="006C2834">
        <w:rPr>
          <w:color w:val="auto"/>
          <w:sz w:val="26"/>
          <w:szCs w:val="26"/>
        </w:rPr>
        <w:t xml:space="preserve"> documentation</w:t>
      </w:r>
      <w:r w:rsidR="006730C0">
        <w:rPr>
          <w:color w:val="auto"/>
          <w:sz w:val="26"/>
          <w:szCs w:val="26"/>
        </w:rPr>
        <w:t xml:space="preserve"> required</w:t>
      </w:r>
      <w:r w:rsidR="006730C0" w:rsidRPr="006C2834">
        <w:rPr>
          <w:color w:val="auto"/>
          <w:sz w:val="26"/>
          <w:szCs w:val="26"/>
        </w:rPr>
        <w:t xml:space="preserve"> to evidence its compliance with the Section 2208(c) bondi</w:t>
      </w:r>
      <w:r w:rsidR="006730C0">
        <w:rPr>
          <w:color w:val="auto"/>
          <w:sz w:val="26"/>
          <w:szCs w:val="26"/>
        </w:rPr>
        <w:t>ng requirement for the</w:t>
      </w:r>
      <w:r w:rsidR="006730C0" w:rsidRPr="006C2834">
        <w:rPr>
          <w:color w:val="auto"/>
          <w:sz w:val="26"/>
          <w:szCs w:val="26"/>
        </w:rPr>
        <w:t xml:space="preserve"> natural gas distribu</w:t>
      </w:r>
      <w:r w:rsidR="006730C0">
        <w:rPr>
          <w:color w:val="auto"/>
          <w:sz w:val="26"/>
          <w:szCs w:val="26"/>
        </w:rPr>
        <w:t>tion company service territory of PECO Gas in which they are applying for authority to operate.</w:t>
      </w:r>
    </w:p>
    <w:p w:rsidR="006730C0" w:rsidRDefault="006730C0" w:rsidP="006730C0">
      <w:pPr>
        <w:tabs>
          <w:tab w:val="left" w:pos="0"/>
        </w:tabs>
        <w:suppressAutoHyphens/>
        <w:spacing w:line="360" w:lineRule="auto"/>
        <w:ind w:firstLine="1440"/>
        <w:rPr>
          <w:color w:val="auto"/>
          <w:spacing w:val="-3"/>
          <w:sz w:val="26"/>
          <w:szCs w:val="26"/>
        </w:rPr>
      </w:pPr>
    </w:p>
    <w:p w:rsidR="00AE3375" w:rsidRDefault="006730C0" w:rsidP="006730C0">
      <w:pPr>
        <w:tabs>
          <w:tab w:val="left" w:pos="-1440"/>
          <w:tab w:val="left" w:pos="-720"/>
        </w:tabs>
        <w:suppressAutoHyphens/>
        <w:spacing w:line="360" w:lineRule="auto"/>
        <w:ind w:firstLine="1440"/>
        <w:rPr>
          <w:color w:val="auto"/>
          <w:kern w:val="1"/>
          <w:sz w:val="26"/>
          <w:szCs w:val="26"/>
        </w:rPr>
      </w:pPr>
      <w:r>
        <w:rPr>
          <w:color w:val="auto"/>
          <w:spacing w:val="-3"/>
          <w:kern w:val="1"/>
          <w:sz w:val="26"/>
          <w:szCs w:val="26"/>
        </w:rPr>
        <w:t xml:space="preserve">Section 2208(c)(1), </w:t>
      </w:r>
      <w:r w:rsidRPr="006C2834">
        <w:rPr>
          <w:color w:val="auto"/>
          <w:spacing w:val="-3"/>
          <w:kern w:val="1"/>
          <w:sz w:val="26"/>
          <w:szCs w:val="26"/>
        </w:rPr>
        <w:t>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w:t>
      </w:r>
      <w:r>
        <w:rPr>
          <w:color w:val="auto"/>
          <w:spacing w:val="-3"/>
          <w:kern w:val="1"/>
          <w:sz w:val="26"/>
          <w:szCs w:val="26"/>
        </w:rPr>
        <w:t>a app</w:t>
      </w:r>
      <w:r w:rsidR="00FB7E08">
        <w:rPr>
          <w:color w:val="auto"/>
          <w:spacing w:val="-3"/>
          <w:kern w:val="1"/>
          <w:sz w:val="26"/>
          <w:szCs w:val="26"/>
        </w:rPr>
        <w:t>roved by the Commission.” It had</w:t>
      </w:r>
      <w:r>
        <w:rPr>
          <w:color w:val="auto"/>
          <w:spacing w:val="-3"/>
          <w:kern w:val="1"/>
          <w:sz w:val="26"/>
          <w:szCs w:val="26"/>
        </w:rPr>
        <w:t xml:space="preserve"> been determined that XOOM</w:t>
      </w:r>
      <w:r w:rsidR="00FB7E08">
        <w:rPr>
          <w:color w:val="auto"/>
          <w:spacing w:val="-3"/>
          <w:kern w:val="1"/>
          <w:sz w:val="26"/>
          <w:szCs w:val="26"/>
        </w:rPr>
        <w:t xml:space="preserve"> did</w:t>
      </w:r>
      <w:r>
        <w:rPr>
          <w:color w:val="auto"/>
          <w:spacing w:val="-3"/>
          <w:kern w:val="1"/>
          <w:sz w:val="26"/>
          <w:szCs w:val="26"/>
        </w:rPr>
        <w:t xml:space="preserve"> not</w:t>
      </w:r>
      <w:r w:rsidRPr="006C2834">
        <w:rPr>
          <w:color w:val="auto"/>
          <w:spacing w:val="-3"/>
          <w:kern w:val="1"/>
          <w:sz w:val="26"/>
          <w:szCs w:val="26"/>
        </w:rPr>
        <w:t xml:space="preserve"> </w:t>
      </w:r>
      <w:r>
        <w:rPr>
          <w:color w:val="auto"/>
          <w:sz w:val="26"/>
          <w:szCs w:val="26"/>
        </w:rPr>
        <w:t>provide the</w:t>
      </w:r>
      <w:r w:rsidRPr="006C2834">
        <w:rPr>
          <w:color w:val="auto"/>
          <w:sz w:val="26"/>
          <w:szCs w:val="26"/>
        </w:rPr>
        <w:t xml:space="preserve"> documentation to evidence its compliance with the Section 2208(c) bonding requirement for the following natural gas distribu</w:t>
      </w:r>
      <w:r>
        <w:rPr>
          <w:color w:val="auto"/>
          <w:sz w:val="26"/>
          <w:szCs w:val="26"/>
        </w:rPr>
        <w:t>tion company service territory</w:t>
      </w:r>
      <w:r w:rsidRPr="006C2834">
        <w:rPr>
          <w:color w:val="auto"/>
          <w:sz w:val="26"/>
          <w:szCs w:val="26"/>
        </w:rPr>
        <w:t xml:space="preserve">: </w:t>
      </w:r>
      <w:r w:rsidRPr="006C2834">
        <w:rPr>
          <w:color w:val="auto"/>
          <w:kern w:val="1"/>
          <w:sz w:val="26"/>
          <w:szCs w:val="26"/>
        </w:rPr>
        <w:t>PECO</w:t>
      </w:r>
      <w:r>
        <w:rPr>
          <w:color w:val="auto"/>
          <w:kern w:val="1"/>
          <w:sz w:val="26"/>
          <w:szCs w:val="26"/>
        </w:rPr>
        <w:t xml:space="preserve"> Gas.</w:t>
      </w:r>
    </w:p>
    <w:p w:rsidR="006730C0" w:rsidRDefault="006730C0" w:rsidP="006730C0">
      <w:pPr>
        <w:tabs>
          <w:tab w:val="left" w:pos="-1440"/>
          <w:tab w:val="left" w:pos="-720"/>
        </w:tabs>
        <w:suppressAutoHyphens/>
        <w:spacing w:line="360" w:lineRule="auto"/>
        <w:ind w:firstLine="1440"/>
        <w:rPr>
          <w:sz w:val="26"/>
          <w:szCs w:val="26"/>
        </w:rPr>
      </w:pPr>
    </w:p>
    <w:p w:rsidR="006730C0" w:rsidRDefault="006730C0" w:rsidP="006730C0">
      <w:pPr>
        <w:tabs>
          <w:tab w:val="left" w:pos="-1440"/>
          <w:tab w:val="left" w:pos="-720"/>
        </w:tabs>
        <w:suppressAutoHyphens/>
        <w:spacing w:line="360" w:lineRule="auto"/>
        <w:ind w:firstLine="1440"/>
        <w:rPr>
          <w:color w:val="auto"/>
          <w:spacing w:val="-3"/>
          <w:kern w:val="1"/>
          <w:sz w:val="26"/>
          <w:szCs w:val="26"/>
        </w:rPr>
      </w:pPr>
      <w:r>
        <w:rPr>
          <w:color w:val="auto"/>
          <w:sz w:val="26"/>
          <w:szCs w:val="26"/>
        </w:rPr>
        <w:t>The Commission</w:t>
      </w:r>
      <w:r w:rsidR="004009C7">
        <w:rPr>
          <w:color w:val="auto"/>
          <w:sz w:val="26"/>
          <w:szCs w:val="26"/>
        </w:rPr>
        <w:t xml:space="preserve"> issued a 703(G) Order Entered September 13, 2012 that </w:t>
      </w:r>
      <w:r w:rsidR="004009C7" w:rsidRPr="006730C0">
        <w:rPr>
          <w:color w:val="auto"/>
          <w:sz w:val="26"/>
          <w:szCs w:val="26"/>
        </w:rPr>
        <w:t>tentatively</w:t>
      </w:r>
      <w:r w:rsidRPr="006730C0">
        <w:rPr>
          <w:color w:val="auto"/>
          <w:sz w:val="26"/>
          <w:szCs w:val="26"/>
        </w:rPr>
        <w:t xml:space="preserve"> rescind</w:t>
      </w:r>
      <w:r>
        <w:rPr>
          <w:color w:val="auto"/>
          <w:sz w:val="26"/>
          <w:szCs w:val="26"/>
        </w:rPr>
        <w:t>ed</w:t>
      </w:r>
      <w:r w:rsidRPr="006730C0">
        <w:rPr>
          <w:color w:val="auto"/>
          <w:sz w:val="26"/>
          <w:szCs w:val="26"/>
        </w:rPr>
        <w:t xml:space="preserve"> its Order Entered July 20, 2012 at Docket No. A-2012-2283967 that approved the NGS license of XOOM Energy Pennsylvania, LLC regarding authority to operate in the natural gas distribution company service territory of PECO Gas</w:t>
      </w:r>
      <w:r w:rsidR="007C7A91">
        <w:rPr>
          <w:color w:val="auto"/>
          <w:sz w:val="26"/>
          <w:szCs w:val="26"/>
        </w:rPr>
        <w:t xml:space="preserve"> because of non-compliance with Section 2208(c)</w:t>
      </w:r>
      <w:r w:rsidRPr="006730C0">
        <w:rPr>
          <w:color w:val="auto"/>
          <w:sz w:val="26"/>
          <w:szCs w:val="26"/>
        </w:rPr>
        <w:t>.  X</w:t>
      </w:r>
      <w:r>
        <w:rPr>
          <w:color w:val="auto"/>
          <w:sz w:val="26"/>
          <w:szCs w:val="26"/>
        </w:rPr>
        <w:t>OOM was therefore</w:t>
      </w:r>
      <w:r w:rsidRPr="006730C0">
        <w:rPr>
          <w:color w:val="auto"/>
          <w:sz w:val="26"/>
          <w:szCs w:val="26"/>
        </w:rPr>
        <w:t xml:space="preserve"> afforded an opportunity to evidence its compliance with </w:t>
      </w:r>
      <w:r w:rsidRPr="006730C0">
        <w:rPr>
          <w:color w:val="auto"/>
          <w:spacing w:val="-3"/>
          <w:kern w:val="1"/>
          <w:sz w:val="26"/>
          <w:szCs w:val="26"/>
        </w:rPr>
        <w:t>66 Pa. C.S. §2208(c) to the Commission by providing the necessary documentation.  The Bureau of</w:t>
      </w:r>
      <w:r>
        <w:rPr>
          <w:color w:val="auto"/>
          <w:spacing w:val="-3"/>
          <w:kern w:val="1"/>
          <w:sz w:val="26"/>
          <w:szCs w:val="26"/>
        </w:rPr>
        <w:t xml:space="preserve"> Technical Utility Services was</w:t>
      </w:r>
      <w:r w:rsidRPr="006730C0">
        <w:rPr>
          <w:color w:val="auto"/>
          <w:spacing w:val="-3"/>
          <w:kern w:val="1"/>
          <w:sz w:val="26"/>
          <w:szCs w:val="26"/>
        </w:rPr>
        <w:t xml:space="preserve"> then </w:t>
      </w:r>
      <w:r>
        <w:rPr>
          <w:color w:val="auto"/>
          <w:spacing w:val="-3"/>
          <w:kern w:val="1"/>
          <w:sz w:val="26"/>
          <w:szCs w:val="26"/>
        </w:rPr>
        <w:t xml:space="preserve">to </w:t>
      </w:r>
      <w:r w:rsidRPr="006730C0">
        <w:rPr>
          <w:color w:val="auto"/>
          <w:spacing w:val="-3"/>
          <w:kern w:val="1"/>
          <w:sz w:val="26"/>
          <w:szCs w:val="26"/>
        </w:rPr>
        <w:t>review the NGS application of XOOM for accuracy and completeness.  Upon complete review and approval of the application,</w:t>
      </w:r>
      <w:r>
        <w:rPr>
          <w:color w:val="auto"/>
          <w:spacing w:val="-3"/>
          <w:kern w:val="1"/>
          <w:sz w:val="26"/>
          <w:szCs w:val="26"/>
        </w:rPr>
        <w:t xml:space="preserve"> the Commission would</w:t>
      </w:r>
      <w:r w:rsidRPr="006730C0">
        <w:rPr>
          <w:color w:val="auto"/>
          <w:spacing w:val="-3"/>
          <w:kern w:val="1"/>
          <w:sz w:val="26"/>
          <w:szCs w:val="26"/>
        </w:rPr>
        <w:t xml:space="preserve"> issue a Final Order.</w:t>
      </w:r>
    </w:p>
    <w:p w:rsidR="006730C0" w:rsidRDefault="006730C0" w:rsidP="006730C0">
      <w:pPr>
        <w:tabs>
          <w:tab w:val="left" w:pos="-1440"/>
          <w:tab w:val="left" w:pos="-720"/>
        </w:tabs>
        <w:suppressAutoHyphens/>
        <w:spacing w:line="360" w:lineRule="auto"/>
        <w:ind w:firstLine="1440"/>
        <w:rPr>
          <w:color w:val="auto"/>
          <w:spacing w:val="-3"/>
          <w:kern w:val="1"/>
          <w:sz w:val="26"/>
          <w:szCs w:val="26"/>
        </w:rPr>
      </w:pPr>
    </w:p>
    <w:p w:rsidR="006730C0" w:rsidRPr="006730C0" w:rsidRDefault="006730C0" w:rsidP="006730C0">
      <w:pPr>
        <w:tabs>
          <w:tab w:val="left" w:pos="-1440"/>
          <w:tab w:val="left" w:pos="-720"/>
        </w:tabs>
        <w:suppressAutoHyphens/>
        <w:spacing w:line="360" w:lineRule="auto"/>
        <w:ind w:firstLine="1440"/>
        <w:rPr>
          <w:color w:val="auto"/>
          <w:kern w:val="1"/>
          <w:sz w:val="26"/>
          <w:szCs w:val="26"/>
        </w:rPr>
      </w:pPr>
      <w:r>
        <w:rPr>
          <w:color w:val="auto"/>
          <w:spacing w:val="-3"/>
          <w:kern w:val="1"/>
          <w:sz w:val="26"/>
          <w:szCs w:val="26"/>
        </w:rPr>
        <w:t xml:space="preserve">On November 14, 2012 </w:t>
      </w:r>
      <w:r w:rsidR="00FB7E08">
        <w:rPr>
          <w:color w:val="000000" w:themeColor="text1"/>
          <w:spacing w:val="-3"/>
          <w:kern w:val="1"/>
          <w:sz w:val="26"/>
          <w:szCs w:val="26"/>
        </w:rPr>
        <w:t xml:space="preserve">XOOM </w:t>
      </w:r>
      <w:r w:rsidR="00FB7E08" w:rsidRPr="00705620">
        <w:rPr>
          <w:color w:val="000000" w:themeColor="text1"/>
          <w:spacing w:val="-3"/>
          <w:kern w:val="1"/>
          <w:sz w:val="26"/>
          <w:szCs w:val="26"/>
        </w:rPr>
        <w:t>provided</w:t>
      </w:r>
      <w:r w:rsidR="00FB7E08" w:rsidRPr="00705620">
        <w:rPr>
          <w:color w:val="000000" w:themeColor="text1"/>
          <w:sz w:val="26"/>
          <w:szCs w:val="26"/>
        </w:rPr>
        <w:t xml:space="preserve"> documentation to evidence its compliance with the Section 2208(c) bonding requirement for </w:t>
      </w:r>
      <w:r w:rsidR="00FB7E08">
        <w:rPr>
          <w:color w:val="000000" w:themeColor="text1"/>
          <w:sz w:val="26"/>
          <w:szCs w:val="26"/>
        </w:rPr>
        <w:t>the NGDC territory of PECO</w:t>
      </w:r>
      <w:r w:rsidR="0042264D">
        <w:rPr>
          <w:color w:val="000000" w:themeColor="text1"/>
          <w:sz w:val="26"/>
          <w:szCs w:val="26"/>
        </w:rPr>
        <w:t xml:space="preserve"> Gas</w:t>
      </w:r>
      <w:r w:rsidR="00FB7E08">
        <w:rPr>
          <w:color w:val="000000" w:themeColor="text1"/>
          <w:sz w:val="26"/>
          <w:szCs w:val="26"/>
        </w:rPr>
        <w:t>.</w:t>
      </w:r>
      <w:r w:rsidR="00FB7E08" w:rsidRPr="00705620">
        <w:rPr>
          <w:color w:val="000000" w:themeColor="text1"/>
          <w:sz w:val="26"/>
          <w:szCs w:val="26"/>
        </w:rPr>
        <w:t xml:space="preserve"> </w:t>
      </w:r>
    </w:p>
    <w:p w:rsidR="00AE3375" w:rsidRPr="00147D25" w:rsidRDefault="00AE3375" w:rsidP="001E0F83">
      <w:pPr>
        <w:tabs>
          <w:tab w:val="left" w:pos="0"/>
        </w:tabs>
        <w:suppressAutoHyphens/>
        <w:spacing w:line="360" w:lineRule="auto"/>
        <w:rPr>
          <w:color w:val="auto"/>
          <w:kern w:val="1"/>
          <w:sz w:val="26"/>
          <w:szCs w:val="26"/>
        </w:rPr>
      </w:pPr>
    </w:p>
    <w:p w:rsidR="00B065FE" w:rsidRPr="00705620" w:rsidRDefault="00B065FE" w:rsidP="00E17D5D">
      <w:pPr>
        <w:tabs>
          <w:tab w:val="left" w:pos="0"/>
        </w:tabs>
        <w:suppressAutoHyphens/>
        <w:spacing w:line="360" w:lineRule="auto"/>
        <w:ind w:firstLine="1440"/>
        <w:jc w:val="both"/>
        <w:rPr>
          <w:color w:val="000000" w:themeColor="text1"/>
          <w:spacing w:val="-3"/>
          <w:kern w:val="1"/>
          <w:sz w:val="26"/>
          <w:szCs w:val="26"/>
        </w:rPr>
      </w:pPr>
      <w:r w:rsidRPr="00705620">
        <w:rPr>
          <w:color w:val="000000" w:themeColor="text1"/>
          <w:spacing w:val="-3"/>
          <w:kern w:val="1"/>
          <w:sz w:val="26"/>
          <w:szCs w:val="26"/>
        </w:rPr>
        <w:t xml:space="preserve">As of </w:t>
      </w:r>
      <w:r w:rsidR="00FB7E08">
        <w:rPr>
          <w:color w:val="000000" w:themeColor="text1"/>
          <w:spacing w:val="-3"/>
          <w:kern w:val="1"/>
          <w:sz w:val="26"/>
          <w:szCs w:val="26"/>
        </w:rPr>
        <w:t xml:space="preserve">December </w:t>
      </w:r>
      <w:r w:rsidR="007C7A91">
        <w:rPr>
          <w:color w:val="000000" w:themeColor="text1"/>
          <w:spacing w:val="-3"/>
          <w:kern w:val="1"/>
          <w:sz w:val="26"/>
          <w:szCs w:val="26"/>
        </w:rPr>
        <w:t>11</w:t>
      </w:r>
      <w:r w:rsidR="00705620" w:rsidRPr="00705620">
        <w:rPr>
          <w:color w:val="000000" w:themeColor="text1"/>
          <w:spacing w:val="-3"/>
          <w:kern w:val="1"/>
          <w:sz w:val="26"/>
          <w:szCs w:val="26"/>
        </w:rPr>
        <w:t>, 201</w:t>
      </w:r>
      <w:r w:rsidR="00FB7E08">
        <w:rPr>
          <w:color w:val="000000" w:themeColor="text1"/>
          <w:spacing w:val="-3"/>
          <w:kern w:val="1"/>
          <w:sz w:val="26"/>
          <w:szCs w:val="26"/>
        </w:rPr>
        <w:t>2</w:t>
      </w:r>
      <w:r w:rsidR="00705620" w:rsidRPr="00705620">
        <w:rPr>
          <w:color w:val="000000" w:themeColor="text1"/>
          <w:spacing w:val="-3"/>
          <w:kern w:val="1"/>
          <w:sz w:val="26"/>
          <w:szCs w:val="26"/>
        </w:rPr>
        <w:t xml:space="preserve">, </w:t>
      </w:r>
      <w:r w:rsidRPr="00705620">
        <w:rPr>
          <w:color w:val="000000" w:themeColor="text1"/>
          <w:spacing w:val="-3"/>
          <w:kern w:val="1"/>
          <w:sz w:val="26"/>
          <w:szCs w:val="26"/>
        </w:rPr>
        <w:t>no protests have been filed.</w:t>
      </w:r>
    </w:p>
    <w:p w:rsidR="00AE3375" w:rsidRDefault="00AE3375" w:rsidP="00E17D5D">
      <w:pPr>
        <w:tabs>
          <w:tab w:val="left" w:pos="0"/>
        </w:tabs>
        <w:suppressAutoHyphens/>
        <w:spacing w:line="360" w:lineRule="auto"/>
        <w:ind w:firstLine="1440"/>
        <w:rPr>
          <w:color w:val="auto"/>
          <w:spacing w:val="-3"/>
          <w:kern w:val="1"/>
          <w:sz w:val="26"/>
          <w:szCs w:val="26"/>
        </w:rPr>
      </w:pPr>
    </w:p>
    <w:p w:rsidR="00B065FE" w:rsidRPr="00620D6E" w:rsidRDefault="00AE3375"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lastRenderedPageBreak/>
        <w:t>Upon full consideration of all matters of reco</w:t>
      </w:r>
      <w:r>
        <w:rPr>
          <w:color w:val="auto"/>
          <w:spacing w:val="-3"/>
          <w:kern w:val="1"/>
          <w:sz w:val="26"/>
          <w:szCs w:val="26"/>
        </w:rPr>
        <w:t>rd</w:t>
      </w:r>
      <w:r w:rsidR="00FB7E08">
        <w:rPr>
          <w:color w:val="auto"/>
          <w:spacing w:val="-3"/>
          <w:kern w:val="1"/>
          <w:sz w:val="26"/>
          <w:szCs w:val="26"/>
        </w:rPr>
        <w:t>, we find that approval of this</w:t>
      </w:r>
      <w:r w:rsidRPr="00DB2A91">
        <w:rPr>
          <w:color w:val="auto"/>
          <w:spacing w:val="-3"/>
          <w:kern w:val="1"/>
          <w:sz w:val="26"/>
          <w:szCs w:val="26"/>
        </w:rPr>
        <w:t xml:space="preserve"> </w:t>
      </w:r>
      <w:r w:rsidR="00FB7E08">
        <w:rPr>
          <w:color w:val="auto"/>
          <w:spacing w:val="-3"/>
          <w:kern w:val="1"/>
          <w:sz w:val="26"/>
          <w:szCs w:val="26"/>
        </w:rPr>
        <w:t xml:space="preserve">application </w:t>
      </w:r>
      <w:r>
        <w:rPr>
          <w:color w:val="auto"/>
          <w:spacing w:val="-3"/>
          <w:kern w:val="1"/>
          <w:sz w:val="26"/>
          <w:szCs w:val="26"/>
        </w:rPr>
        <w:t>is</w:t>
      </w:r>
      <w:r w:rsidRPr="00DB2A91">
        <w:rPr>
          <w:color w:val="auto"/>
          <w:spacing w:val="-3"/>
          <w:kern w:val="1"/>
          <w:sz w:val="26"/>
          <w:szCs w:val="26"/>
        </w:rPr>
        <w:t xml:space="preserve"> necessary and proper for the service, accommodation and convenience of the public</w:t>
      </w:r>
      <w:r w:rsidR="00B065FE" w:rsidRPr="00620D6E">
        <w:rPr>
          <w:color w:val="auto"/>
          <w:spacing w:val="-3"/>
          <w:kern w:val="1"/>
          <w:sz w:val="26"/>
          <w:szCs w:val="26"/>
        </w:rPr>
        <w:t xml:space="preserve">; </w:t>
      </w:r>
      <w:r w:rsidR="00B065FE" w:rsidRPr="00620D6E">
        <w:rPr>
          <w:b/>
          <w:color w:val="auto"/>
          <w:spacing w:val="-3"/>
          <w:kern w:val="1"/>
          <w:sz w:val="26"/>
          <w:szCs w:val="26"/>
        </w:rPr>
        <w:t>THEREFORE,</w:t>
      </w:r>
    </w:p>
    <w:p w:rsidR="0055073A" w:rsidRPr="00620D6E" w:rsidRDefault="0055073A">
      <w:pPr>
        <w:tabs>
          <w:tab w:val="left" w:pos="0"/>
        </w:tabs>
        <w:suppressAutoHyphens/>
        <w:spacing w:line="360" w:lineRule="auto"/>
        <w:rPr>
          <w:b/>
          <w:color w:val="auto"/>
          <w:spacing w:val="-3"/>
          <w:kern w:val="1"/>
          <w:sz w:val="26"/>
          <w:szCs w:val="26"/>
        </w:rPr>
      </w:pPr>
    </w:p>
    <w:p w:rsidR="00B065FE" w:rsidRPr="00620D6E"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620D6E">
        <w:rPr>
          <w:b/>
          <w:color w:val="auto"/>
          <w:spacing w:val="-3"/>
          <w:kern w:val="1"/>
          <w:sz w:val="26"/>
          <w:szCs w:val="26"/>
        </w:rPr>
        <w:t>IT IS ORDERED:</w:t>
      </w:r>
    </w:p>
    <w:p w:rsidR="00B065FE" w:rsidRPr="00620D6E" w:rsidRDefault="00B065FE">
      <w:pPr>
        <w:tabs>
          <w:tab w:val="left" w:pos="0"/>
        </w:tabs>
        <w:suppressAutoHyphens/>
        <w:spacing w:line="360" w:lineRule="auto"/>
        <w:jc w:val="both"/>
        <w:rPr>
          <w:color w:val="auto"/>
          <w:spacing w:val="-3"/>
          <w:kern w:val="1"/>
          <w:sz w:val="26"/>
          <w:szCs w:val="26"/>
        </w:rPr>
      </w:pPr>
    </w:p>
    <w:p w:rsidR="00894584" w:rsidRPr="00620D6E" w:rsidRDefault="00B065FE" w:rsidP="00E17D5D">
      <w:pPr>
        <w:tabs>
          <w:tab w:val="left" w:pos="0"/>
        </w:tabs>
        <w:suppressAutoHyphens/>
        <w:spacing w:line="360" w:lineRule="auto"/>
        <w:ind w:firstLine="1440"/>
        <w:rPr>
          <w:color w:val="auto"/>
          <w:spacing w:val="-3"/>
          <w:kern w:val="1"/>
          <w:sz w:val="26"/>
          <w:szCs w:val="26"/>
        </w:rPr>
      </w:pPr>
      <w:r w:rsidRPr="00620D6E">
        <w:rPr>
          <w:color w:val="auto"/>
          <w:spacing w:val="-3"/>
          <w:kern w:val="1"/>
          <w:sz w:val="26"/>
          <w:szCs w:val="26"/>
        </w:rPr>
        <w:t>1.</w:t>
      </w:r>
      <w:r w:rsidR="00E17D5D" w:rsidRPr="00CB2F64">
        <w:rPr>
          <w:color w:val="000000" w:themeColor="text1"/>
          <w:spacing w:val="-3"/>
          <w:kern w:val="1"/>
          <w:sz w:val="26"/>
          <w:szCs w:val="26"/>
        </w:rPr>
        <w:tab/>
      </w:r>
      <w:r w:rsidRPr="00CB2F64">
        <w:rPr>
          <w:color w:val="000000" w:themeColor="text1"/>
          <w:spacing w:val="-3"/>
          <w:kern w:val="1"/>
          <w:sz w:val="26"/>
          <w:szCs w:val="26"/>
        </w:rPr>
        <w:t xml:space="preserve">That the application of </w:t>
      </w:r>
      <w:r w:rsidR="00FB7E08">
        <w:rPr>
          <w:color w:val="auto"/>
          <w:kern w:val="1"/>
          <w:sz w:val="26"/>
          <w:szCs w:val="26"/>
        </w:rPr>
        <w:t>XOOM</w:t>
      </w:r>
      <w:r w:rsidR="00FB7E08" w:rsidRPr="006C2834">
        <w:rPr>
          <w:color w:val="auto"/>
          <w:kern w:val="1"/>
          <w:sz w:val="26"/>
          <w:szCs w:val="26"/>
        </w:rPr>
        <w:t xml:space="preserve"> Energy Pennsylvania, LLC</w:t>
      </w:r>
      <w:r w:rsidR="00FB7E08">
        <w:rPr>
          <w:color w:val="000000" w:themeColor="text1"/>
          <w:spacing w:val="-3"/>
          <w:kern w:val="1"/>
          <w:sz w:val="26"/>
          <w:szCs w:val="26"/>
        </w:rPr>
        <w:t xml:space="preserve"> is</w:t>
      </w:r>
      <w:r w:rsidRPr="00CB2F64">
        <w:rPr>
          <w:color w:val="000000" w:themeColor="text1"/>
          <w:spacing w:val="-3"/>
          <w:kern w:val="1"/>
          <w:sz w:val="26"/>
          <w:szCs w:val="26"/>
        </w:rPr>
        <w:t xml:space="preserve"> hereby approved, consistent with this Order.</w:t>
      </w:r>
    </w:p>
    <w:p w:rsidR="007F4449" w:rsidRPr="00620D6E" w:rsidRDefault="007F4449" w:rsidP="004E2E63">
      <w:pPr>
        <w:tabs>
          <w:tab w:val="left" w:pos="0"/>
        </w:tabs>
        <w:suppressAutoHyphens/>
        <w:spacing w:line="360" w:lineRule="auto"/>
        <w:rPr>
          <w:color w:val="auto"/>
          <w:spacing w:val="-3"/>
          <w:kern w:val="1"/>
          <w:sz w:val="26"/>
          <w:szCs w:val="26"/>
        </w:rPr>
      </w:pPr>
    </w:p>
    <w:p w:rsidR="00894584" w:rsidRDefault="001E0F83" w:rsidP="00E17D5D">
      <w:pPr>
        <w:tabs>
          <w:tab w:val="left" w:pos="0"/>
        </w:tabs>
        <w:suppressAutoHyphens/>
        <w:spacing w:line="360" w:lineRule="auto"/>
        <w:ind w:firstLine="1440"/>
        <w:rPr>
          <w:color w:val="auto"/>
          <w:spacing w:val="-3"/>
          <w:kern w:val="1"/>
          <w:sz w:val="26"/>
          <w:szCs w:val="26"/>
        </w:rPr>
      </w:pPr>
      <w:r w:rsidRPr="006C2834">
        <w:rPr>
          <w:color w:val="auto"/>
          <w:spacing w:val="-3"/>
          <w:kern w:val="1"/>
          <w:sz w:val="26"/>
          <w:szCs w:val="26"/>
        </w:rPr>
        <w:t>2.</w:t>
      </w:r>
      <w:r w:rsidRPr="006C2834">
        <w:rPr>
          <w:color w:val="auto"/>
          <w:spacing w:val="-3"/>
          <w:kern w:val="1"/>
          <w:sz w:val="26"/>
          <w:szCs w:val="26"/>
        </w:rPr>
        <w:tab/>
        <w:t xml:space="preserve">That a license be issued authorizing </w:t>
      </w:r>
      <w:r>
        <w:rPr>
          <w:color w:val="auto"/>
          <w:sz w:val="26"/>
          <w:szCs w:val="26"/>
        </w:rPr>
        <w:t>XOOM</w:t>
      </w:r>
      <w:r w:rsidRPr="006C2834">
        <w:rPr>
          <w:color w:val="auto"/>
          <w:sz w:val="26"/>
          <w:szCs w:val="26"/>
        </w:rPr>
        <w:t xml:space="preserve"> Energy Pennsylvania, LLC</w:t>
      </w:r>
      <w:r w:rsidRPr="006C2834">
        <w:rPr>
          <w:color w:val="auto"/>
          <w:spacing w:val="-3"/>
          <w:kern w:val="1"/>
          <w:sz w:val="26"/>
          <w:szCs w:val="26"/>
        </w:rPr>
        <w:t xml:space="preserve"> the right to begin to offer, render, furnish or supply natural gas supply services</w:t>
      </w:r>
      <w:r>
        <w:rPr>
          <w:color w:val="auto"/>
          <w:spacing w:val="-3"/>
          <w:kern w:val="1"/>
          <w:sz w:val="26"/>
          <w:szCs w:val="26"/>
        </w:rPr>
        <w:t xml:space="preserve"> as a supplier and broker/marketer</w:t>
      </w:r>
      <w:r w:rsidRPr="006C2834">
        <w:rPr>
          <w:color w:val="auto"/>
          <w:spacing w:val="-3"/>
          <w:kern w:val="1"/>
          <w:sz w:val="26"/>
          <w:szCs w:val="26"/>
        </w:rPr>
        <w:t xml:space="preserve"> to the public, limited to residential, small commercial (under 6,000 MCF annually</w:t>
      </w:r>
      <w:r>
        <w:rPr>
          <w:color w:val="auto"/>
          <w:spacing w:val="-3"/>
          <w:kern w:val="1"/>
          <w:sz w:val="26"/>
          <w:szCs w:val="26"/>
        </w:rPr>
        <w:t>)</w:t>
      </w:r>
      <w:r w:rsidRPr="006C2834">
        <w:rPr>
          <w:color w:val="auto"/>
          <w:spacing w:val="-3"/>
          <w:kern w:val="1"/>
          <w:sz w:val="26"/>
          <w:szCs w:val="26"/>
        </w:rPr>
        <w:t xml:space="preserve">, large commercial (6,000 MCF or more annually), and industrial customers in the local </w:t>
      </w:r>
      <w:r w:rsidR="004009C7">
        <w:rPr>
          <w:color w:val="auto"/>
          <w:spacing w:val="-3"/>
          <w:kern w:val="1"/>
          <w:sz w:val="26"/>
          <w:szCs w:val="26"/>
        </w:rPr>
        <w:t xml:space="preserve">natural gas </w:t>
      </w:r>
      <w:r w:rsidRPr="006C2834">
        <w:rPr>
          <w:color w:val="auto"/>
          <w:spacing w:val="-3"/>
          <w:kern w:val="1"/>
          <w:sz w:val="26"/>
          <w:szCs w:val="26"/>
        </w:rPr>
        <w:t xml:space="preserve">distribution company service territories </w:t>
      </w:r>
      <w:r w:rsidR="00E2252C">
        <w:rPr>
          <w:color w:val="auto"/>
          <w:spacing w:val="-3"/>
          <w:kern w:val="1"/>
          <w:sz w:val="26"/>
          <w:szCs w:val="26"/>
        </w:rPr>
        <w:t>of</w:t>
      </w:r>
      <w:r w:rsidRPr="006C2834">
        <w:rPr>
          <w:color w:val="auto"/>
          <w:spacing w:val="-3"/>
          <w:sz w:val="26"/>
          <w:szCs w:val="26"/>
        </w:rPr>
        <w:t xml:space="preserve"> </w:t>
      </w:r>
      <w:r>
        <w:rPr>
          <w:color w:val="auto"/>
          <w:kern w:val="1"/>
          <w:sz w:val="26"/>
          <w:szCs w:val="26"/>
        </w:rPr>
        <w:t>National</w:t>
      </w:r>
      <w:r w:rsidRPr="006C2834">
        <w:rPr>
          <w:color w:val="auto"/>
          <w:kern w:val="1"/>
          <w:sz w:val="26"/>
          <w:szCs w:val="26"/>
        </w:rPr>
        <w:t xml:space="preserve"> Fuel Gas Distribution Corporation, Peoples Natural Gas Corporation, Columbia Gas of Pennsylvania, Inc., PECO</w:t>
      </w:r>
      <w:r w:rsidR="0042264D">
        <w:rPr>
          <w:color w:val="auto"/>
          <w:kern w:val="1"/>
          <w:sz w:val="26"/>
          <w:szCs w:val="26"/>
        </w:rPr>
        <w:t xml:space="preserve"> Gas</w:t>
      </w:r>
      <w:r w:rsidRPr="006C2834">
        <w:rPr>
          <w:color w:val="auto"/>
          <w:kern w:val="1"/>
          <w:sz w:val="26"/>
          <w:szCs w:val="26"/>
        </w:rPr>
        <w:t>, UGI</w:t>
      </w:r>
      <w:r w:rsidR="004009C7">
        <w:rPr>
          <w:color w:val="auto"/>
          <w:kern w:val="1"/>
          <w:sz w:val="26"/>
          <w:szCs w:val="26"/>
        </w:rPr>
        <w:t xml:space="preserve"> Utilities</w:t>
      </w:r>
      <w:r w:rsidRPr="006C2834">
        <w:rPr>
          <w:color w:val="auto"/>
          <w:kern w:val="1"/>
          <w:sz w:val="26"/>
          <w:szCs w:val="26"/>
        </w:rPr>
        <w:t xml:space="preserve"> and UGI Central Penn Gas</w:t>
      </w:r>
      <w:r w:rsidR="00E2252C">
        <w:rPr>
          <w:color w:val="auto"/>
          <w:kern w:val="1"/>
          <w:sz w:val="26"/>
          <w:szCs w:val="26"/>
        </w:rPr>
        <w:t>, within the Commonwealth of Pennsylvania</w:t>
      </w:r>
      <w:r w:rsidRPr="006C2834">
        <w:rPr>
          <w:color w:val="auto"/>
          <w:kern w:val="1"/>
          <w:sz w:val="26"/>
          <w:szCs w:val="26"/>
        </w:rPr>
        <w:t>.</w:t>
      </w:r>
    </w:p>
    <w:p w:rsidR="00E17D5D" w:rsidRPr="00620D6E" w:rsidRDefault="00E17D5D">
      <w:pPr>
        <w:tabs>
          <w:tab w:val="left" w:pos="0"/>
        </w:tabs>
        <w:suppressAutoHyphens/>
        <w:spacing w:line="360" w:lineRule="auto"/>
        <w:rPr>
          <w:color w:val="auto"/>
          <w:spacing w:val="-3"/>
          <w:sz w:val="26"/>
          <w:szCs w:val="26"/>
        </w:rPr>
      </w:pPr>
    </w:p>
    <w:p w:rsidR="00B065FE" w:rsidRPr="00620D6E" w:rsidRDefault="000F300D" w:rsidP="00E17D5D">
      <w:pPr>
        <w:tabs>
          <w:tab w:val="left" w:pos="0"/>
        </w:tabs>
        <w:suppressAutoHyphens/>
        <w:spacing w:line="360" w:lineRule="auto"/>
        <w:ind w:firstLine="1440"/>
        <w:rPr>
          <w:color w:val="auto"/>
          <w:spacing w:val="-3"/>
          <w:sz w:val="26"/>
          <w:szCs w:val="26"/>
        </w:rPr>
      </w:pPr>
      <w:r>
        <w:rPr>
          <w:color w:val="auto"/>
          <w:spacing w:val="-3"/>
          <w:sz w:val="26"/>
          <w:szCs w:val="26"/>
        </w:rPr>
        <w:t>3</w:t>
      </w:r>
      <w:r w:rsidR="00B065FE" w:rsidRPr="00620D6E">
        <w:rPr>
          <w:color w:val="auto"/>
          <w:spacing w:val="-3"/>
          <w:sz w:val="26"/>
          <w:szCs w:val="26"/>
        </w:rPr>
        <w:t>.</w:t>
      </w:r>
      <w:r w:rsidR="00E17D5D" w:rsidRPr="00620D6E">
        <w:rPr>
          <w:color w:val="auto"/>
          <w:spacing w:val="-3"/>
          <w:sz w:val="26"/>
          <w:szCs w:val="26"/>
        </w:rPr>
        <w:tab/>
      </w:r>
      <w:r w:rsidR="00672081">
        <w:rPr>
          <w:color w:val="auto"/>
          <w:spacing w:val="-3"/>
          <w:sz w:val="26"/>
          <w:szCs w:val="26"/>
        </w:rPr>
        <w:t>That this proceeding</w:t>
      </w:r>
      <w:r w:rsidR="00B065FE" w:rsidRPr="00620D6E">
        <w:rPr>
          <w:color w:val="auto"/>
          <w:spacing w:val="-3"/>
          <w:sz w:val="26"/>
          <w:szCs w:val="26"/>
        </w:rPr>
        <w:t xml:space="preserve"> at Docket No</w:t>
      </w:r>
      <w:r w:rsidR="000B6F4C">
        <w:rPr>
          <w:color w:val="auto"/>
          <w:spacing w:val="-3"/>
          <w:sz w:val="26"/>
          <w:szCs w:val="26"/>
        </w:rPr>
        <w:t xml:space="preserve">. </w:t>
      </w:r>
      <w:r w:rsidR="001E0F83" w:rsidRPr="00F81A20">
        <w:rPr>
          <w:color w:val="000000"/>
          <w:sz w:val="26"/>
          <w:szCs w:val="26"/>
        </w:rPr>
        <w:t>A-</w:t>
      </w:r>
      <w:r w:rsidR="001E0F83">
        <w:rPr>
          <w:color w:val="000000"/>
          <w:sz w:val="26"/>
          <w:szCs w:val="26"/>
        </w:rPr>
        <w:t xml:space="preserve">2012-2283967 </w:t>
      </w:r>
      <w:r w:rsidR="00B065FE" w:rsidRPr="00620D6E">
        <w:rPr>
          <w:color w:val="auto"/>
          <w:spacing w:val="-3"/>
          <w:sz w:val="26"/>
          <w:szCs w:val="26"/>
        </w:rPr>
        <w:t>be closed.</w:t>
      </w:r>
    </w:p>
    <w:p w:rsidR="00B065FE" w:rsidRPr="00620D6E" w:rsidRDefault="00B065FE">
      <w:pPr>
        <w:tabs>
          <w:tab w:val="left" w:pos="0"/>
        </w:tabs>
        <w:suppressAutoHyphens/>
        <w:spacing w:line="360" w:lineRule="auto"/>
        <w:jc w:val="both"/>
        <w:rPr>
          <w:color w:val="auto"/>
          <w:spacing w:val="-3"/>
          <w:kern w:val="1"/>
          <w:sz w:val="26"/>
          <w:szCs w:val="26"/>
        </w:rPr>
      </w:pPr>
    </w:p>
    <w:p w:rsidR="00B065FE" w:rsidRPr="00620D6E" w:rsidRDefault="00AA49DB"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136D9515" wp14:editId="6DFD0138">
            <wp:simplePos x="0" y="0"/>
            <wp:positionH relativeFrom="column">
              <wp:posOffset>2622550</wp:posOffset>
            </wp:positionH>
            <wp:positionV relativeFrom="paragraph">
              <wp:posOffset>13335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5FE" w:rsidRPr="00620D6E">
        <w:rPr>
          <w:color w:val="auto"/>
          <w:sz w:val="26"/>
          <w:szCs w:val="26"/>
        </w:rPr>
        <w:tab/>
      </w:r>
      <w:r w:rsidR="00B065FE" w:rsidRPr="00620D6E">
        <w:rPr>
          <w:b/>
          <w:color w:val="auto"/>
          <w:sz w:val="26"/>
          <w:szCs w:val="26"/>
        </w:rPr>
        <w:t>BY THE COMMISSION,</w:t>
      </w:r>
    </w:p>
    <w:p w:rsidR="00EF4784" w:rsidRPr="00620D6E" w:rsidRDefault="00EF4784" w:rsidP="00A544A4">
      <w:pPr>
        <w:tabs>
          <w:tab w:val="left" w:pos="4320"/>
        </w:tabs>
        <w:rPr>
          <w:b/>
          <w:color w:val="auto"/>
          <w:sz w:val="26"/>
          <w:szCs w:val="26"/>
        </w:rPr>
      </w:pPr>
    </w:p>
    <w:p w:rsidR="00EF4784" w:rsidRPr="00620D6E" w:rsidRDefault="00EF4784" w:rsidP="00A544A4">
      <w:pPr>
        <w:tabs>
          <w:tab w:val="left" w:pos="4320"/>
        </w:tabs>
        <w:rPr>
          <w:b/>
          <w:color w:val="auto"/>
          <w:sz w:val="26"/>
          <w:szCs w:val="26"/>
        </w:rPr>
      </w:pPr>
    </w:p>
    <w:p w:rsidR="00EF4784" w:rsidRDefault="00EF4784" w:rsidP="00A544A4">
      <w:pPr>
        <w:tabs>
          <w:tab w:val="left" w:pos="4320"/>
        </w:tabs>
        <w:rPr>
          <w:b/>
          <w:color w:val="auto"/>
          <w:sz w:val="26"/>
          <w:szCs w:val="26"/>
        </w:rPr>
      </w:pPr>
    </w:p>
    <w:p w:rsidR="00B95B6F" w:rsidRPr="00620D6E" w:rsidRDefault="00B95B6F" w:rsidP="00A544A4">
      <w:pPr>
        <w:tabs>
          <w:tab w:val="left" w:pos="4320"/>
        </w:tabs>
        <w:rPr>
          <w:b/>
          <w:color w:val="auto"/>
          <w:sz w:val="26"/>
          <w:szCs w:val="26"/>
        </w:rPr>
      </w:pPr>
    </w:p>
    <w:p w:rsidR="00B065FE" w:rsidRPr="00620D6E" w:rsidRDefault="00BD2334" w:rsidP="00A544A4">
      <w:pPr>
        <w:tabs>
          <w:tab w:val="left" w:pos="4320"/>
        </w:tabs>
        <w:rPr>
          <w:color w:val="auto"/>
          <w:sz w:val="26"/>
          <w:szCs w:val="26"/>
        </w:rPr>
      </w:pPr>
      <w:r>
        <w:rPr>
          <w:color w:val="auto"/>
          <w:sz w:val="26"/>
          <w:szCs w:val="26"/>
        </w:rPr>
        <w:tab/>
        <w:t>Rosemary Chiavetta</w:t>
      </w:r>
    </w:p>
    <w:p w:rsidR="00B065FE" w:rsidRPr="00620D6E" w:rsidRDefault="00B065FE" w:rsidP="00A544A4">
      <w:pPr>
        <w:tabs>
          <w:tab w:val="left" w:pos="4320"/>
        </w:tabs>
        <w:rPr>
          <w:color w:val="auto"/>
          <w:sz w:val="26"/>
          <w:szCs w:val="26"/>
        </w:rPr>
      </w:pPr>
      <w:r w:rsidRPr="00620D6E">
        <w:rPr>
          <w:color w:val="auto"/>
          <w:sz w:val="26"/>
          <w:szCs w:val="26"/>
        </w:rPr>
        <w:tab/>
        <w:t>Secretary</w:t>
      </w:r>
    </w:p>
    <w:p w:rsidR="00A544A4" w:rsidRPr="00620D6E" w:rsidRDefault="00A544A4" w:rsidP="00A544A4">
      <w:pPr>
        <w:tabs>
          <w:tab w:val="left" w:pos="4320"/>
        </w:tabs>
        <w:rPr>
          <w:color w:val="auto"/>
          <w:sz w:val="26"/>
          <w:szCs w:val="26"/>
        </w:rPr>
      </w:pPr>
    </w:p>
    <w:p w:rsidR="00B065FE" w:rsidRPr="00620D6E" w:rsidRDefault="00B065FE" w:rsidP="00A544A4">
      <w:pPr>
        <w:tabs>
          <w:tab w:val="left" w:pos="4320"/>
        </w:tabs>
        <w:rPr>
          <w:color w:val="auto"/>
          <w:sz w:val="26"/>
          <w:szCs w:val="26"/>
        </w:rPr>
      </w:pPr>
      <w:r w:rsidRPr="00620D6E">
        <w:rPr>
          <w:color w:val="auto"/>
          <w:sz w:val="26"/>
          <w:szCs w:val="26"/>
        </w:rPr>
        <w:t>(SEAL)</w:t>
      </w:r>
    </w:p>
    <w:p w:rsidR="00EF4784" w:rsidRPr="00620D6E" w:rsidRDefault="00EF4784" w:rsidP="00A544A4">
      <w:pPr>
        <w:tabs>
          <w:tab w:val="left" w:pos="4320"/>
        </w:tabs>
        <w:rPr>
          <w:color w:val="auto"/>
          <w:sz w:val="26"/>
          <w:szCs w:val="26"/>
        </w:rPr>
      </w:pPr>
    </w:p>
    <w:p w:rsidR="00A544A4" w:rsidRPr="00620D6E" w:rsidRDefault="00A544A4" w:rsidP="00A544A4">
      <w:pPr>
        <w:tabs>
          <w:tab w:val="left" w:pos="4320"/>
        </w:tabs>
        <w:rPr>
          <w:color w:val="auto"/>
          <w:sz w:val="26"/>
          <w:szCs w:val="26"/>
        </w:rPr>
      </w:pPr>
    </w:p>
    <w:p w:rsidR="00B065FE" w:rsidRPr="00620D6E" w:rsidRDefault="00B065FE" w:rsidP="00A544A4">
      <w:pPr>
        <w:tabs>
          <w:tab w:val="left" w:pos="4320"/>
        </w:tabs>
        <w:rPr>
          <w:color w:val="auto"/>
          <w:sz w:val="26"/>
          <w:szCs w:val="26"/>
        </w:rPr>
      </w:pPr>
      <w:r w:rsidRPr="00620D6E">
        <w:rPr>
          <w:color w:val="auto"/>
          <w:sz w:val="26"/>
          <w:szCs w:val="26"/>
        </w:rPr>
        <w:t xml:space="preserve">ORDER ADOPTED: </w:t>
      </w:r>
      <w:r w:rsidR="00512E37" w:rsidRPr="00620D6E">
        <w:rPr>
          <w:color w:val="auto"/>
          <w:sz w:val="26"/>
          <w:szCs w:val="26"/>
        </w:rPr>
        <w:t xml:space="preserve"> </w:t>
      </w:r>
      <w:r w:rsidR="007C7A91">
        <w:rPr>
          <w:color w:val="auto"/>
          <w:sz w:val="26"/>
          <w:szCs w:val="26"/>
        </w:rPr>
        <w:t>December 20, 2012</w:t>
      </w:r>
    </w:p>
    <w:p w:rsidR="00A544A4" w:rsidRPr="00620D6E" w:rsidRDefault="00A544A4" w:rsidP="00A544A4">
      <w:pPr>
        <w:tabs>
          <w:tab w:val="left" w:pos="4320"/>
        </w:tabs>
        <w:rPr>
          <w:color w:val="auto"/>
          <w:sz w:val="26"/>
          <w:szCs w:val="26"/>
        </w:rPr>
      </w:pPr>
    </w:p>
    <w:p w:rsidR="00A544A4" w:rsidRPr="00CD03C5" w:rsidRDefault="00B065FE" w:rsidP="0042264D">
      <w:pPr>
        <w:tabs>
          <w:tab w:val="left" w:pos="4320"/>
        </w:tabs>
        <w:rPr>
          <w:sz w:val="26"/>
          <w:szCs w:val="26"/>
        </w:rPr>
      </w:pPr>
      <w:r w:rsidRPr="00620D6E">
        <w:rPr>
          <w:color w:val="auto"/>
          <w:sz w:val="26"/>
          <w:szCs w:val="26"/>
        </w:rPr>
        <w:t xml:space="preserve">ORDER ENTERED:  </w:t>
      </w:r>
      <w:r w:rsidR="00AA49DB">
        <w:rPr>
          <w:color w:val="auto"/>
          <w:sz w:val="26"/>
          <w:szCs w:val="26"/>
        </w:rPr>
        <w:t>December 20, 2012</w:t>
      </w:r>
      <w:bookmarkStart w:id="0" w:name="_GoBack"/>
      <w:bookmarkEnd w:id="0"/>
    </w:p>
    <w:sectPr w:rsidR="00A544A4" w:rsidRPr="00CD03C5" w:rsidSect="0042264D">
      <w:footerReference w:type="even" r:id="rId10"/>
      <w:footerReference w:type="default" r:id="rId11"/>
      <w:pgSz w:w="12240" w:h="15840" w:code="1"/>
      <w:pgMar w:top="117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984" w:rsidRDefault="00C61984">
      <w:r>
        <w:separator/>
      </w:r>
    </w:p>
  </w:endnote>
  <w:endnote w:type="continuationSeparator" w:id="0">
    <w:p w:rsidR="00C61984" w:rsidRDefault="00C6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83" w:rsidRDefault="001E0F8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0F83" w:rsidRDefault="001E0F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83" w:rsidRPr="005650C6" w:rsidRDefault="001E0F83" w:rsidP="009B1C5C">
    <w:pPr>
      <w:pStyle w:val="Footer"/>
      <w:framePr w:wrap="around" w:vAnchor="text" w:hAnchor="margin" w:xAlign="center" w:y="1"/>
      <w:rPr>
        <w:rStyle w:val="PageNumber"/>
        <w:color w:val="000000" w:themeColor="text1"/>
      </w:rPr>
    </w:pPr>
    <w:r w:rsidRPr="005650C6">
      <w:rPr>
        <w:rStyle w:val="PageNumber"/>
        <w:color w:val="000000" w:themeColor="text1"/>
      </w:rPr>
      <w:fldChar w:fldCharType="begin"/>
    </w:r>
    <w:r w:rsidRPr="005650C6">
      <w:rPr>
        <w:rStyle w:val="PageNumber"/>
        <w:color w:val="000000" w:themeColor="text1"/>
      </w:rPr>
      <w:instrText xml:space="preserve">PAGE  </w:instrText>
    </w:r>
    <w:r w:rsidRPr="005650C6">
      <w:rPr>
        <w:rStyle w:val="PageNumber"/>
        <w:color w:val="000000" w:themeColor="text1"/>
      </w:rPr>
      <w:fldChar w:fldCharType="separate"/>
    </w:r>
    <w:r w:rsidR="00AA49DB">
      <w:rPr>
        <w:rStyle w:val="PageNumber"/>
        <w:noProof/>
        <w:color w:val="000000" w:themeColor="text1"/>
      </w:rPr>
      <w:t>3</w:t>
    </w:r>
    <w:r w:rsidRPr="005650C6">
      <w:rPr>
        <w:rStyle w:val="PageNumber"/>
        <w:color w:val="000000" w:themeColor="text1"/>
      </w:rPr>
      <w:fldChar w:fldCharType="end"/>
    </w:r>
  </w:p>
  <w:p w:rsidR="001E0F83" w:rsidRDefault="001E0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984" w:rsidRPr="00AE098E" w:rsidRDefault="00C61984">
      <w:pPr>
        <w:rPr>
          <w:color w:val="auto"/>
        </w:rPr>
      </w:pPr>
      <w:r w:rsidRPr="00AE098E">
        <w:rPr>
          <w:color w:val="auto"/>
        </w:rPr>
        <w:separator/>
      </w:r>
    </w:p>
  </w:footnote>
  <w:footnote w:type="continuationSeparator" w:id="0">
    <w:p w:rsidR="00C61984" w:rsidRDefault="00C61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1F2326C2"/>
    <w:multiLevelType w:val="hybridMultilevel"/>
    <w:tmpl w:val="15363A16"/>
    <w:lvl w:ilvl="0" w:tplc="AC1C4BDE">
      <w:start w:val="2"/>
      <w:numFmt w:val="lowerLetter"/>
      <w:lvlText w:val="(%1)"/>
      <w:lvlJc w:val="left"/>
      <w:pPr>
        <w:tabs>
          <w:tab w:val="num" w:pos="450"/>
        </w:tabs>
        <w:ind w:left="450" w:hanging="360"/>
      </w:pPr>
      <w:rPr>
        <w:rFonts w:ascii="Times New Roman" w:hAnsi="Times New Roman" w:hint="default"/>
        <w:sz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4">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34CB"/>
    <w:rsid w:val="000120B5"/>
    <w:rsid w:val="00016AF8"/>
    <w:rsid w:val="00043790"/>
    <w:rsid w:val="0004622B"/>
    <w:rsid w:val="0005050F"/>
    <w:rsid w:val="000535E4"/>
    <w:rsid w:val="00056AE6"/>
    <w:rsid w:val="00056D0B"/>
    <w:rsid w:val="00060D1D"/>
    <w:rsid w:val="000712D6"/>
    <w:rsid w:val="00096425"/>
    <w:rsid w:val="000968C9"/>
    <w:rsid w:val="000A246D"/>
    <w:rsid w:val="000A6198"/>
    <w:rsid w:val="000B6F4C"/>
    <w:rsid w:val="000C5D46"/>
    <w:rsid w:val="000D67E4"/>
    <w:rsid w:val="000F300D"/>
    <w:rsid w:val="000F48D9"/>
    <w:rsid w:val="001013B4"/>
    <w:rsid w:val="00102D1E"/>
    <w:rsid w:val="00117DBF"/>
    <w:rsid w:val="0012153B"/>
    <w:rsid w:val="0013441D"/>
    <w:rsid w:val="00145521"/>
    <w:rsid w:val="0016409E"/>
    <w:rsid w:val="00172E30"/>
    <w:rsid w:val="0019021F"/>
    <w:rsid w:val="00195A2F"/>
    <w:rsid w:val="001B3AF0"/>
    <w:rsid w:val="001B5D02"/>
    <w:rsid w:val="001C5BB3"/>
    <w:rsid w:val="001E0F83"/>
    <w:rsid w:val="001F03C7"/>
    <w:rsid w:val="0020470D"/>
    <w:rsid w:val="0020567E"/>
    <w:rsid w:val="0021203A"/>
    <w:rsid w:val="00217B15"/>
    <w:rsid w:val="00217F9B"/>
    <w:rsid w:val="00223884"/>
    <w:rsid w:val="002359B6"/>
    <w:rsid w:val="00263578"/>
    <w:rsid w:val="002857F7"/>
    <w:rsid w:val="002860F1"/>
    <w:rsid w:val="002A79E7"/>
    <w:rsid w:val="002B2A14"/>
    <w:rsid w:val="002C3BC4"/>
    <w:rsid w:val="002C7616"/>
    <w:rsid w:val="002E0720"/>
    <w:rsid w:val="002F645D"/>
    <w:rsid w:val="003039C7"/>
    <w:rsid w:val="00303B97"/>
    <w:rsid w:val="003054D5"/>
    <w:rsid w:val="003257FA"/>
    <w:rsid w:val="00326E09"/>
    <w:rsid w:val="003441D9"/>
    <w:rsid w:val="003530BE"/>
    <w:rsid w:val="00362E95"/>
    <w:rsid w:val="0036392C"/>
    <w:rsid w:val="00372086"/>
    <w:rsid w:val="00373CB2"/>
    <w:rsid w:val="00376AAE"/>
    <w:rsid w:val="00381CCB"/>
    <w:rsid w:val="00383930"/>
    <w:rsid w:val="003926B3"/>
    <w:rsid w:val="00392A69"/>
    <w:rsid w:val="00394A9B"/>
    <w:rsid w:val="003A692F"/>
    <w:rsid w:val="003C346E"/>
    <w:rsid w:val="003C3A68"/>
    <w:rsid w:val="003C5AA7"/>
    <w:rsid w:val="003D3688"/>
    <w:rsid w:val="004009C7"/>
    <w:rsid w:val="004047C7"/>
    <w:rsid w:val="00411EC4"/>
    <w:rsid w:val="004128A8"/>
    <w:rsid w:val="00416829"/>
    <w:rsid w:val="0042113A"/>
    <w:rsid w:val="00421492"/>
    <w:rsid w:val="0042264D"/>
    <w:rsid w:val="004335F0"/>
    <w:rsid w:val="0044319F"/>
    <w:rsid w:val="00447815"/>
    <w:rsid w:val="00457AB1"/>
    <w:rsid w:val="004610B9"/>
    <w:rsid w:val="004618D8"/>
    <w:rsid w:val="004858D7"/>
    <w:rsid w:val="00497E52"/>
    <w:rsid w:val="004E2E63"/>
    <w:rsid w:val="005107C9"/>
    <w:rsid w:val="00512E37"/>
    <w:rsid w:val="00542312"/>
    <w:rsid w:val="0054264D"/>
    <w:rsid w:val="0055073A"/>
    <w:rsid w:val="005531FE"/>
    <w:rsid w:val="00560CF3"/>
    <w:rsid w:val="005650C6"/>
    <w:rsid w:val="00575938"/>
    <w:rsid w:val="00587A50"/>
    <w:rsid w:val="00590909"/>
    <w:rsid w:val="00591AC2"/>
    <w:rsid w:val="005A16E1"/>
    <w:rsid w:val="005A39F9"/>
    <w:rsid w:val="005B621E"/>
    <w:rsid w:val="005B68C8"/>
    <w:rsid w:val="005D79AD"/>
    <w:rsid w:val="005F74C2"/>
    <w:rsid w:val="005F7F34"/>
    <w:rsid w:val="005F7FD8"/>
    <w:rsid w:val="00614374"/>
    <w:rsid w:val="00616A3A"/>
    <w:rsid w:val="00620D6E"/>
    <w:rsid w:val="00632E42"/>
    <w:rsid w:val="00634598"/>
    <w:rsid w:val="0064755A"/>
    <w:rsid w:val="006546C1"/>
    <w:rsid w:val="006602B5"/>
    <w:rsid w:val="006656F2"/>
    <w:rsid w:val="00672081"/>
    <w:rsid w:val="006730C0"/>
    <w:rsid w:val="0067741B"/>
    <w:rsid w:val="00692267"/>
    <w:rsid w:val="00697832"/>
    <w:rsid w:val="006A2BC5"/>
    <w:rsid w:val="006A433E"/>
    <w:rsid w:val="006A72D6"/>
    <w:rsid w:val="006C68DF"/>
    <w:rsid w:val="006C6E7F"/>
    <w:rsid w:val="006F3032"/>
    <w:rsid w:val="007007DD"/>
    <w:rsid w:val="00705620"/>
    <w:rsid w:val="00705B66"/>
    <w:rsid w:val="00706E97"/>
    <w:rsid w:val="007119BF"/>
    <w:rsid w:val="007130A5"/>
    <w:rsid w:val="00715193"/>
    <w:rsid w:val="007349CE"/>
    <w:rsid w:val="007421CE"/>
    <w:rsid w:val="00747EDA"/>
    <w:rsid w:val="00750759"/>
    <w:rsid w:val="007906EC"/>
    <w:rsid w:val="0079110F"/>
    <w:rsid w:val="007A5B5F"/>
    <w:rsid w:val="007B09E2"/>
    <w:rsid w:val="007B4245"/>
    <w:rsid w:val="007B5B41"/>
    <w:rsid w:val="007C494F"/>
    <w:rsid w:val="007C7A91"/>
    <w:rsid w:val="007E430E"/>
    <w:rsid w:val="007F12BF"/>
    <w:rsid w:val="007F148F"/>
    <w:rsid w:val="007F4449"/>
    <w:rsid w:val="00800447"/>
    <w:rsid w:val="00806657"/>
    <w:rsid w:val="0081293F"/>
    <w:rsid w:val="0081379F"/>
    <w:rsid w:val="00815F57"/>
    <w:rsid w:val="00816A58"/>
    <w:rsid w:val="008252DA"/>
    <w:rsid w:val="00843204"/>
    <w:rsid w:val="00844F48"/>
    <w:rsid w:val="00845FFF"/>
    <w:rsid w:val="00846409"/>
    <w:rsid w:val="008504E3"/>
    <w:rsid w:val="00861628"/>
    <w:rsid w:val="008633F9"/>
    <w:rsid w:val="00863519"/>
    <w:rsid w:val="00875306"/>
    <w:rsid w:val="00894584"/>
    <w:rsid w:val="008964D9"/>
    <w:rsid w:val="008C66C4"/>
    <w:rsid w:val="008D0D95"/>
    <w:rsid w:val="008E0471"/>
    <w:rsid w:val="008E3EC1"/>
    <w:rsid w:val="008F0A9D"/>
    <w:rsid w:val="00906E98"/>
    <w:rsid w:val="00921517"/>
    <w:rsid w:val="00941E2A"/>
    <w:rsid w:val="00943BB4"/>
    <w:rsid w:val="00950B0E"/>
    <w:rsid w:val="00954309"/>
    <w:rsid w:val="0095591B"/>
    <w:rsid w:val="0095742D"/>
    <w:rsid w:val="00957931"/>
    <w:rsid w:val="00961EC1"/>
    <w:rsid w:val="00987D3E"/>
    <w:rsid w:val="0099376D"/>
    <w:rsid w:val="009B1C5C"/>
    <w:rsid w:val="009C087A"/>
    <w:rsid w:val="009C3C7C"/>
    <w:rsid w:val="009C70CC"/>
    <w:rsid w:val="009D4583"/>
    <w:rsid w:val="00A0199D"/>
    <w:rsid w:val="00A020D4"/>
    <w:rsid w:val="00A04453"/>
    <w:rsid w:val="00A17F28"/>
    <w:rsid w:val="00A2326B"/>
    <w:rsid w:val="00A24D94"/>
    <w:rsid w:val="00A3124C"/>
    <w:rsid w:val="00A404E7"/>
    <w:rsid w:val="00A42AC2"/>
    <w:rsid w:val="00A53F87"/>
    <w:rsid w:val="00A544A4"/>
    <w:rsid w:val="00A96F3F"/>
    <w:rsid w:val="00AA49DB"/>
    <w:rsid w:val="00AA6902"/>
    <w:rsid w:val="00AB14A4"/>
    <w:rsid w:val="00AB3D44"/>
    <w:rsid w:val="00AB63C2"/>
    <w:rsid w:val="00AB7A76"/>
    <w:rsid w:val="00AC2642"/>
    <w:rsid w:val="00AC5217"/>
    <w:rsid w:val="00AE098E"/>
    <w:rsid w:val="00AE3375"/>
    <w:rsid w:val="00AF0CD1"/>
    <w:rsid w:val="00AF7B81"/>
    <w:rsid w:val="00B01676"/>
    <w:rsid w:val="00B065FE"/>
    <w:rsid w:val="00B12B18"/>
    <w:rsid w:val="00B12CD4"/>
    <w:rsid w:val="00B137B2"/>
    <w:rsid w:val="00B2568B"/>
    <w:rsid w:val="00B5655A"/>
    <w:rsid w:val="00B622AA"/>
    <w:rsid w:val="00B62F03"/>
    <w:rsid w:val="00B724C7"/>
    <w:rsid w:val="00B95B6F"/>
    <w:rsid w:val="00BA67C2"/>
    <w:rsid w:val="00BA7E22"/>
    <w:rsid w:val="00BB7C50"/>
    <w:rsid w:val="00BC64FD"/>
    <w:rsid w:val="00BD2334"/>
    <w:rsid w:val="00BE1AA9"/>
    <w:rsid w:val="00BF31D9"/>
    <w:rsid w:val="00BF740C"/>
    <w:rsid w:val="00C00A02"/>
    <w:rsid w:val="00C05EBB"/>
    <w:rsid w:val="00C06C35"/>
    <w:rsid w:val="00C108E9"/>
    <w:rsid w:val="00C10A53"/>
    <w:rsid w:val="00C14F1D"/>
    <w:rsid w:val="00C2257A"/>
    <w:rsid w:val="00C31471"/>
    <w:rsid w:val="00C40973"/>
    <w:rsid w:val="00C61984"/>
    <w:rsid w:val="00C6258D"/>
    <w:rsid w:val="00C659B9"/>
    <w:rsid w:val="00C72542"/>
    <w:rsid w:val="00C76E99"/>
    <w:rsid w:val="00C83F8B"/>
    <w:rsid w:val="00C921D9"/>
    <w:rsid w:val="00C94888"/>
    <w:rsid w:val="00CA2822"/>
    <w:rsid w:val="00CA54FD"/>
    <w:rsid w:val="00CB2F64"/>
    <w:rsid w:val="00CB4930"/>
    <w:rsid w:val="00CD03C5"/>
    <w:rsid w:val="00CD0D95"/>
    <w:rsid w:val="00CD126B"/>
    <w:rsid w:val="00CF5945"/>
    <w:rsid w:val="00D03128"/>
    <w:rsid w:val="00D24952"/>
    <w:rsid w:val="00D3301F"/>
    <w:rsid w:val="00D37628"/>
    <w:rsid w:val="00D405F0"/>
    <w:rsid w:val="00D42C3C"/>
    <w:rsid w:val="00D5178F"/>
    <w:rsid w:val="00D529F5"/>
    <w:rsid w:val="00D535F1"/>
    <w:rsid w:val="00D5737B"/>
    <w:rsid w:val="00D6313D"/>
    <w:rsid w:val="00D65120"/>
    <w:rsid w:val="00D75923"/>
    <w:rsid w:val="00D90F20"/>
    <w:rsid w:val="00DB0EAA"/>
    <w:rsid w:val="00DB4977"/>
    <w:rsid w:val="00DB52A6"/>
    <w:rsid w:val="00DB5691"/>
    <w:rsid w:val="00DB6E46"/>
    <w:rsid w:val="00DC1349"/>
    <w:rsid w:val="00DD271D"/>
    <w:rsid w:val="00DF6614"/>
    <w:rsid w:val="00E0589D"/>
    <w:rsid w:val="00E10026"/>
    <w:rsid w:val="00E14464"/>
    <w:rsid w:val="00E17C2E"/>
    <w:rsid w:val="00E17D5D"/>
    <w:rsid w:val="00E2252C"/>
    <w:rsid w:val="00E22643"/>
    <w:rsid w:val="00E25C4C"/>
    <w:rsid w:val="00E32908"/>
    <w:rsid w:val="00E5698F"/>
    <w:rsid w:val="00E60FAF"/>
    <w:rsid w:val="00E75706"/>
    <w:rsid w:val="00E872EA"/>
    <w:rsid w:val="00E914D9"/>
    <w:rsid w:val="00E93202"/>
    <w:rsid w:val="00E968AE"/>
    <w:rsid w:val="00EA3719"/>
    <w:rsid w:val="00EB6FE4"/>
    <w:rsid w:val="00EC5066"/>
    <w:rsid w:val="00ED3634"/>
    <w:rsid w:val="00ED59C4"/>
    <w:rsid w:val="00EF42A9"/>
    <w:rsid w:val="00EF4784"/>
    <w:rsid w:val="00F25C2D"/>
    <w:rsid w:val="00F26582"/>
    <w:rsid w:val="00F30C00"/>
    <w:rsid w:val="00F35580"/>
    <w:rsid w:val="00F42D9E"/>
    <w:rsid w:val="00F450E1"/>
    <w:rsid w:val="00F510F4"/>
    <w:rsid w:val="00F536C3"/>
    <w:rsid w:val="00F55C41"/>
    <w:rsid w:val="00F66F07"/>
    <w:rsid w:val="00F75D85"/>
    <w:rsid w:val="00F81A20"/>
    <w:rsid w:val="00F9514D"/>
    <w:rsid w:val="00FB7E08"/>
    <w:rsid w:val="00FC1746"/>
    <w:rsid w:val="00FC1B12"/>
    <w:rsid w:val="00FC26AA"/>
    <w:rsid w:val="00FC51BD"/>
    <w:rsid w:val="00FE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F1D55-46D7-484B-BFC3-2F90A91B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8</cp:revision>
  <cp:lastPrinted>2012-12-20T12:34:00Z</cp:lastPrinted>
  <dcterms:created xsi:type="dcterms:W3CDTF">2012-12-03T19:07:00Z</dcterms:created>
  <dcterms:modified xsi:type="dcterms:W3CDTF">2012-12-20T12:34:00Z</dcterms:modified>
</cp:coreProperties>
</file>