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2448"/>
        <w:gridCol w:w="1890"/>
        <w:gridCol w:w="810"/>
        <w:gridCol w:w="1530"/>
        <w:gridCol w:w="2790"/>
      </w:tblGrid>
      <w:tr w:rsidR="00B065FE" w:rsidRPr="00620D6E">
        <w:tc>
          <w:tcPr>
            <w:tcW w:w="2448" w:type="dxa"/>
          </w:tcPr>
          <w:p w:rsidR="00B065FE" w:rsidRPr="00620D6E" w:rsidRDefault="00B065FE">
            <w:pPr>
              <w:pStyle w:val="Header"/>
              <w:tabs>
                <w:tab w:val="clear" w:pos="4320"/>
                <w:tab w:val="clear" w:pos="8640"/>
              </w:tabs>
              <w:rPr>
                <w:color w:val="auto"/>
                <w:sz w:val="26"/>
                <w:szCs w:val="26"/>
              </w:rPr>
            </w:pPr>
          </w:p>
        </w:tc>
        <w:tc>
          <w:tcPr>
            <w:tcW w:w="4230" w:type="dxa"/>
            <w:gridSpan w:val="3"/>
          </w:tcPr>
          <w:p w:rsidR="00B065FE" w:rsidRPr="00620D6E" w:rsidRDefault="00B065FE">
            <w:pPr>
              <w:jc w:val="center"/>
              <w:rPr>
                <w:b/>
                <w:color w:val="auto"/>
                <w:sz w:val="26"/>
                <w:szCs w:val="26"/>
              </w:rPr>
            </w:pPr>
            <w:smartTag w:uri="urn:schemas-microsoft-com:office:smarttags" w:element="State">
              <w:smartTag w:uri="urn:schemas-microsoft-com:office:smarttags" w:element="place">
                <w:r w:rsidRPr="00620D6E">
                  <w:rPr>
                    <w:b/>
                    <w:color w:val="auto"/>
                    <w:sz w:val="26"/>
                    <w:szCs w:val="26"/>
                  </w:rPr>
                  <w:t>PENNSYLVANIA</w:t>
                </w:r>
              </w:smartTag>
            </w:smartTag>
          </w:p>
          <w:p w:rsidR="00B065FE" w:rsidRPr="00620D6E" w:rsidRDefault="00B065FE">
            <w:pPr>
              <w:jc w:val="center"/>
              <w:rPr>
                <w:b/>
                <w:color w:val="auto"/>
                <w:sz w:val="26"/>
                <w:szCs w:val="26"/>
              </w:rPr>
            </w:pPr>
            <w:r w:rsidRPr="00620D6E">
              <w:rPr>
                <w:b/>
                <w:color w:val="auto"/>
                <w:sz w:val="26"/>
                <w:szCs w:val="26"/>
              </w:rPr>
              <w:t>PUBLIC UTILITY COMMISSION</w:t>
            </w:r>
          </w:p>
          <w:p w:rsidR="00B065FE" w:rsidRPr="00620D6E" w:rsidRDefault="00B065FE">
            <w:pPr>
              <w:jc w:val="center"/>
              <w:rPr>
                <w:color w:val="auto"/>
                <w:sz w:val="26"/>
                <w:szCs w:val="26"/>
              </w:rPr>
            </w:pPr>
            <w:smartTag w:uri="urn:schemas-microsoft-com:office:smarttags" w:element="place">
              <w:smartTag w:uri="urn:schemas-microsoft-com:office:smarttags" w:element="City">
                <w:r w:rsidRPr="00620D6E">
                  <w:rPr>
                    <w:b/>
                    <w:color w:val="auto"/>
                    <w:sz w:val="26"/>
                    <w:szCs w:val="26"/>
                  </w:rPr>
                  <w:t>Harrisburg</w:t>
                </w:r>
              </w:smartTag>
              <w:r w:rsidRPr="00620D6E">
                <w:rPr>
                  <w:b/>
                  <w:color w:val="auto"/>
                  <w:sz w:val="26"/>
                  <w:szCs w:val="26"/>
                </w:rPr>
                <w:t xml:space="preserve">, </w:t>
              </w:r>
              <w:smartTag w:uri="urn:schemas-microsoft-com:office:smarttags" w:element="State">
                <w:r w:rsidRPr="00620D6E">
                  <w:rPr>
                    <w:b/>
                    <w:color w:val="auto"/>
                    <w:sz w:val="26"/>
                    <w:szCs w:val="26"/>
                  </w:rPr>
                  <w:t>PA</w:t>
                </w:r>
              </w:smartTag>
              <w:r w:rsidR="006A433E" w:rsidRPr="00620D6E">
                <w:rPr>
                  <w:b/>
                  <w:color w:val="auto"/>
                  <w:sz w:val="26"/>
                  <w:szCs w:val="26"/>
                </w:rPr>
                <w:t xml:space="preserve">  </w:t>
              </w:r>
              <w:smartTag w:uri="urn:schemas-microsoft-com:office:smarttags" w:element="PostalCode">
                <w:r w:rsidRPr="00620D6E">
                  <w:rPr>
                    <w:b/>
                    <w:color w:val="auto"/>
                    <w:sz w:val="26"/>
                    <w:szCs w:val="26"/>
                  </w:rPr>
                  <w:t>17105-3265</w:t>
                </w:r>
              </w:smartTag>
            </w:smartTag>
          </w:p>
        </w:tc>
        <w:tc>
          <w:tcPr>
            <w:tcW w:w="2790" w:type="dxa"/>
          </w:tcPr>
          <w:p w:rsidR="00B065FE" w:rsidRPr="00620D6E" w:rsidRDefault="00B065FE">
            <w:pPr>
              <w:jc w:val="center"/>
              <w:rPr>
                <w:color w:val="auto"/>
                <w:sz w:val="26"/>
                <w:szCs w:val="26"/>
              </w:rPr>
            </w:pPr>
          </w:p>
        </w:tc>
      </w:tr>
      <w:tr w:rsidR="00B065FE" w:rsidRPr="00620D6E">
        <w:tc>
          <w:tcPr>
            <w:tcW w:w="2448" w:type="dxa"/>
          </w:tcPr>
          <w:p w:rsidR="00B065FE" w:rsidRPr="00620D6E" w:rsidRDefault="00B065FE">
            <w:pPr>
              <w:rPr>
                <w:color w:val="auto"/>
                <w:sz w:val="26"/>
                <w:szCs w:val="26"/>
              </w:rPr>
            </w:pPr>
          </w:p>
        </w:tc>
        <w:tc>
          <w:tcPr>
            <w:tcW w:w="4230" w:type="dxa"/>
            <w:gridSpan w:val="3"/>
          </w:tcPr>
          <w:p w:rsidR="00B065FE" w:rsidRPr="00620D6E" w:rsidRDefault="00B065FE">
            <w:pPr>
              <w:rPr>
                <w:color w:val="auto"/>
                <w:sz w:val="26"/>
                <w:szCs w:val="26"/>
              </w:rPr>
            </w:pPr>
          </w:p>
        </w:tc>
        <w:tc>
          <w:tcPr>
            <w:tcW w:w="2790" w:type="dxa"/>
          </w:tcPr>
          <w:p w:rsidR="00B065FE" w:rsidRPr="00620D6E" w:rsidRDefault="00B065FE">
            <w:pPr>
              <w:rPr>
                <w:color w:val="auto"/>
                <w:sz w:val="26"/>
                <w:szCs w:val="26"/>
              </w:rPr>
            </w:pPr>
          </w:p>
        </w:tc>
      </w:tr>
      <w:tr w:rsidR="00CD03C5" w:rsidRPr="00620D6E">
        <w:tc>
          <w:tcPr>
            <w:tcW w:w="2448" w:type="dxa"/>
          </w:tcPr>
          <w:p w:rsidR="00CD03C5" w:rsidRPr="00620D6E" w:rsidRDefault="00CD03C5">
            <w:pPr>
              <w:rPr>
                <w:color w:val="auto"/>
                <w:sz w:val="26"/>
                <w:szCs w:val="26"/>
              </w:rPr>
            </w:pPr>
          </w:p>
        </w:tc>
        <w:tc>
          <w:tcPr>
            <w:tcW w:w="4230" w:type="dxa"/>
            <w:gridSpan w:val="3"/>
          </w:tcPr>
          <w:p w:rsidR="00CD03C5" w:rsidRPr="00620D6E" w:rsidRDefault="00CD03C5">
            <w:pPr>
              <w:rPr>
                <w:color w:val="auto"/>
                <w:sz w:val="26"/>
                <w:szCs w:val="26"/>
              </w:rPr>
            </w:pPr>
          </w:p>
        </w:tc>
        <w:tc>
          <w:tcPr>
            <w:tcW w:w="2790" w:type="dxa"/>
          </w:tcPr>
          <w:p w:rsidR="00CD03C5" w:rsidRPr="00620D6E" w:rsidRDefault="00CD03C5">
            <w:pPr>
              <w:rPr>
                <w:color w:val="auto"/>
                <w:sz w:val="26"/>
                <w:szCs w:val="26"/>
              </w:rPr>
            </w:pPr>
          </w:p>
        </w:tc>
      </w:tr>
      <w:tr w:rsidR="00B065FE" w:rsidRPr="00620D6E">
        <w:tc>
          <w:tcPr>
            <w:tcW w:w="4338" w:type="dxa"/>
            <w:gridSpan w:val="2"/>
          </w:tcPr>
          <w:p w:rsidR="00B065FE" w:rsidRPr="00620D6E" w:rsidRDefault="00B065FE">
            <w:pPr>
              <w:rPr>
                <w:color w:val="auto"/>
                <w:sz w:val="26"/>
                <w:szCs w:val="26"/>
              </w:rPr>
            </w:pPr>
          </w:p>
        </w:tc>
        <w:tc>
          <w:tcPr>
            <w:tcW w:w="5130" w:type="dxa"/>
            <w:gridSpan w:val="3"/>
          </w:tcPr>
          <w:p w:rsidR="00B065FE" w:rsidRPr="00620D6E" w:rsidRDefault="00B065FE" w:rsidP="00532FBE">
            <w:pPr>
              <w:rPr>
                <w:color w:val="auto"/>
                <w:sz w:val="26"/>
                <w:szCs w:val="26"/>
              </w:rPr>
            </w:pPr>
            <w:r w:rsidRPr="00620D6E">
              <w:rPr>
                <w:color w:val="auto"/>
                <w:sz w:val="26"/>
                <w:szCs w:val="26"/>
              </w:rPr>
              <w:t>Public Meeting held</w:t>
            </w:r>
            <w:r w:rsidR="00E93202" w:rsidRPr="00620D6E">
              <w:rPr>
                <w:color w:val="auto"/>
                <w:sz w:val="26"/>
                <w:szCs w:val="26"/>
              </w:rPr>
              <w:t xml:space="preserve"> </w:t>
            </w:r>
            <w:r w:rsidR="00532FBE">
              <w:rPr>
                <w:color w:val="auto"/>
                <w:sz w:val="26"/>
                <w:szCs w:val="26"/>
              </w:rPr>
              <w:t>December 20</w:t>
            </w:r>
            <w:r w:rsidR="00DB176E" w:rsidRPr="00DB176E">
              <w:rPr>
                <w:color w:val="auto"/>
                <w:sz w:val="26"/>
                <w:szCs w:val="26"/>
              </w:rPr>
              <w:t>, 2012</w:t>
            </w:r>
          </w:p>
        </w:tc>
      </w:tr>
      <w:tr w:rsidR="00CD03C5" w:rsidRPr="00620D6E">
        <w:tc>
          <w:tcPr>
            <w:tcW w:w="5148" w:type="dxa"/>
            <w:gridSpan w:val="3"/>
          </w:tcPr>
          <w:p w:rsidR="00CD03C5" w:rsidRPr="00620D6E" w:rsidRDefault="00CD03C5">
            <w:pPr>
              <w:rPr>
                <w:color w:val="auto"/>
                <w:sz w:val="26"/>
                <w:szCs w:val="26"/>
              </w:rPr>
            </w:pPr>
          </w:p>
        </w:tc>
        <w:tc>
          <w:tcPr>
            <w:tcW w:w="4320" w:type="dxa"/>
            <w:gridSpan w:val="2"/>
          </w:tcPr>
          <w:p w:rsidR="00CD03C5" w:rsidRPr="00620D6E" w:rsidRDefault="00CD03C5">
            <w:pPr>
              <w:rPr>
                <w:color w:val="auto"/>
                <w:sz w:val="26"/>
                <w:szCs w:val="26"/>
              </w:rPr>
            </w:pPr>
          </w:p>
        </w:tc>
      </w:tr>
      <w:tr w:rsidR="00B065FE" w:rsidRPr="00620D6E">
        <w:tc>
          <w:tcPr>
            <w:tcW w:w="5148" w:type="dxa"/>
            <w:gridSpan w:val="3"/>
          </w:tcPr>
          <w:p w:rsidR="00B065FE" w:rsidRPr="00620D6E" w:rsidRDefault="00B065FE">
            <w:pPr>
              <w:rPr>
                <w:color w:val="auto"/>
                <w:sz w:val="26"/>
                <w:szCs w:val="26"/>
              </w:rPr>
            </w:pPr>
            <w:r w:rsidRPr="00620D6E">
              <w:rPr>
                <w:color w:val="auto"/>
                <w:sz w:val="26"/>
                <w:szCs w:val="26"/>
              </w:rPr>
              <w:t>Commissioners Present:</w:t>
            </w:r>
          </w:p>
        </w:tc>
        <w:tc>
          <w:tcPr>
            <w:tcW w:w="4320" w:type="dxa"/>
            <w:gridSpan w:val="2"/>
          </w:tcPr>
          <w:p w:rsidR="00B065FE" w:rsidRPr="00620D6E" w:rsidRDefault="00B065FE">
            <w:pPr>
              <w:rPr>
                <w:color w:val="auto"/>
                <w:sz w:val="26"/>
                <w:szCs w:val="26"/>
              </w:rPr>
            </w:pPr>
          </w:p>
        </w:tc>
      </w:tr>
      <w:tr w:rsidR="00CD03C5" w:rsidRPr="00620D6E">
        <w:tc>
          <w:tcPr>
            <w:tcW w:w="5148" w:type="dxa"/>
            <w:gridSpan w:val="3"/>
          </w:tcPr>
          <w:p w:rsidR="00CD03C5" w:rsidRPr="00620D6E" w:rsidRDefault="00CD03C5">
            <w:pPr>
              <w:rPr>
                <w:color w:val="auto"/>
                <w:sz w:val="26"/>
                <w:szCs w:val="26"/>
              </w:rPr>
            </w:pPr>
          </w:p>
        </w:tc>
        <w:tc>
          <w:tcPr>
            <w:tcW w:w="4320" w:type="dxa"/>
            <w:gridSpan w:val="2"/>
          </w:tcPr>
          <w:p w:rsidR="00CD03C5" w:rsidRPr="00620D6E" w:rsidRDefault="00CD03C5">
            <w:pPr>
              <w:rPr>
                <w:color w:val="auto"/>
                <w:sz w:val="26"/>
                <w:szCs w:val="26"/>
              </w:rPr>
            </w:pPr>
          </w:p>
        </w:tc>
      </w:tr>
      <w:tr w:rsidR="000535E4" w:rsidRPr="00620D6E">
        <w:tc>
          <w:tcPr>
            <w:tcW w:w="9468" w:type="dxa"/>
            <w:gridSpan w:val="5"/>
          </w:tcPr>
          <w:p w:rsidR="00B71965" w:rsidRDefault="00B71965" w:rsidP="007007DD">
            <w:pPr>
              <w:pStyle w:val="p5"/>
              <w:rPr>
                <w:sz w:val="26"/>
                <w:szCs w:val="26"/>
              </w:rPr>
            </w:pPr>
            <w:r w:rsidRPr="00620D6E">
              <w:rPr>
                <w:sz w:val="26"/>
                <w:szCs w:val="26"/>
              </w:rPr>
              <w:t>Robert F. Powelson</w:t>
            </w:r>
            <w:r>
              <w:rPr>
                <w:sz w:val="26"/>
                <w:szCs w:val="26"/>
              </w:rPr>
              <w:t xml:space="preserve">, </w:t>
            </w:r>
            <w:r w:rsidRPr="00620D6E">
              <w:rPr>
                <w:sz w:val="26"/>
                <w:szCs w:val="26"/>
              </w:rPr>
              <w:t>Chairman</w:t>
            </w:r>
          </w:p>
          <w:p w:rsidR="00B71965" w:rsidRDefault="00B71965" w:rsidP="007007DD">
            <w:pPr>
              <w:pStyle w:val="p5"/>
              <w:rPr>
                <w:sz w:val="26"/>
                <w:szCs w:val="26"/>
              </w:rPr>
            </w:pPr>
            <w:r>
              <w:rPr>
                <w:sz w:val="26"/>
                <w:szCs w:val="26"/>
              </w:rPr>
              <w:t>John F. Coleman, Jr., Vice Chairman</w:t>
            </w:r>
          </w:p>
          <w:p w:rsidR="000535E4" w:rsidRPr="00620D6E" w:rsidRDefault="00B71965" w:rsidP="00B71965">
            <w:pPr>
              <w:pStyle w:val="p5"/>
              <w:rPr>
                <w:sz w:val="26"/>
                <w:szCs w:val="26"/>
              </w:rPr>
            </w:pPr>
            <w:r w:rsidRPr="00620D6E">
              <w:rPr>
                <w:sz w:val="26"/>
                <w:szCs w:val="26"/>
              </w:rPr>
              <w:t>Wayne E. Gardner</w:t>
            </w:r>
          </w:p>
        </w:tc>
      </w:tr>
      <w:tr w:rsidR="000535E4" w:rsidRPr="00620D6E">
        <w:tc>
          <w:tcPr>
            <w:tcW w:w="9468" w:type="dxa"/>
            <w:gridSpan w:val="5"/>
          </w:tcPr>
          <w:p w:rsidR="000535E4" w:rsidRPr="00620D6E" w:rsidRDefault="00F104CB" w:rsidP="00861628">
            <w:pPr>
              <w:pStyle w:val="p5"/>
              <w:rPr>
                <w:sz w:val="26"/>
                <w:szCs w:val="26"/>
              </w:rPr>
            </w:pPr>
            <w:r>
              <w:rPr>
                <w:sz w:val="26"/>
                <w:szCs w:val="26"/>
              </w:rPr>
              <w:t>James H. Cawley</w:t>
            </w:r>
          </w:p>
        </w:tc>
      </w:tr>
      <w:tr w:rsidR="000535E4" w:rsidRPr="00620D6E">
        <w:tc>
          <w:tcPr>
            <w:tcW w:w="9468" w:type="dxa"/>
            <w:gridSpan w:val="5"/>
          </w:tcPr>
          <w:p w:rsidR="000535E4" w:rsidRPr="00620D6E" w:rsidRDefault="00FB24C8" w:rsidP="00861628">
            <w:pPr>
              <w:pStyle w:val="p5"/>
              <w:rPr>
                <w:sz w:val="26"/>
                <w:szCs w:val="26"/>
              </w:rPr>
            </w:pPr>
            <w:r>
              <w:rPr>
                <w:sz w:val="26"/>
                <w:szCs w:val="26"/>
              </w:rPr>
              <w:t>Pamela A. Witmer</w:t>
            </w:r>
          </w:p>
        </w:tc>
      </w:tr>
      <w:tr w:rsidR="000535E4" w:rsidRPr="00620D6E">
        <w:tc>
          <w:tcPr>
            <w:tcW w:w="9468" w:type="dxa"/>
            <w:gridSpan w:val="5"/>
          </w:tcPr>
          <w:p w:rsidR="000535E4" w:rsidRPr="00620D6E" w:rsidRDefault="000535E4" w:rsidP="000535E4">
            <w:pPr>
              <w:pStyle w:val="p5"/>
              <w:rPr>
                <w:sz w:val="26"/>
                <w:szCs w:val="26"/>
              </w:rPr>
            </w:pPr>
          </w:p>
        </w:tc>
      </w:tr>
      <w:tr w:rsidR="00E14464" w:rsidRPr="00620D6E">
        <w:tc>
          <w:tcPr>
            <w:tcW w:w="9468" w:type="dxa"/>
            <w:gridSpan w:val="5"/>
          </w:tcPr>
          <w:p w:rsidR="00E14464" w:rsidRPr="00620D6E" w:rsidRDefault="00E14464" w:rsidP="007007DD">
            <w:pPr>
              <w:pStyle w:val="p5"/>
              <w:ind w:left="0"/>
              <w:rPr>
                <w:sz w:val="26"/>
                <w:szCs w:val="26"/>
              </w:rPr>
            </w:pPr>
          </w:p>
        </w:tc>
      </w:tr>
      <w:tr w:rsidR="00B065FE" w:rsidRPr="00620D6E">
        <w:tc>
          <w:tcPr>
            <w:tcW w:w="5148" w:type="dxa"/>
            <w:gridSpan w:val="3"/>
          </w:tcPr>
          <w:p w:rsidR="00B065FE" w:rsidRPr="00620D6E" w:rsidRDefault="00CD03C5">
            <w:pPr>
              <w:rPr>
                <w:color w:val="auto"/>
                <w:sz w:val="26"/>
                <w:szCs w:val="26"/>
              </w:rPr>
            </w:pPr>
            <w:r w:rsidRPr="00620D6E">
              <w:rPr>
                <w:color w:val="auto"/>
                <w:sz w:val="26"/>
                <w:szCs w:val="26"/>
              </w:rPr>
              <w:t>A</w:t>
            </w:r>
            <w:r w:rsidR="00B065FE" w:rsidRPr="00620D6E">
              <w:rPr>
                <w:color w:val="auto"/>
                <w:sz w:val="26"/>
                <w:szCs w:val="26"/>
              </w:rPr>
              <w:t>pplication</w:t>
            </w:r>
            <w:r w:rsidR="00B065FE" w:rsidRPr="00381055">
              <w:rPr>
                <w:color w:val="auto"/>
                <w:sz w:val="26"/>
                <w:szCs w:val="26"/>
              </w:rPr>
              <w:t xml:space="preserve"> of </w:t>
            </w:r>
            <w:r w:rsidR="00381055" w:rsidRPr="00381055">
              <w:rPr>
                <w:color w:val="auto"/>
                <w:sz w:val="26"/>
                <w:szCs w:val="26"/>
              </w:rPr>
              <w:t>HealthTrust Purchasing Group, L.P.</w:t>
            </w:r>
            <w:r w:rsidR="00381055">
              <w:rPr>
                <w:color w:val="auto"/>
                <w:sz w:val="26"/>
                <w:szCs w:val="26"/>
              </w:rPr>
              <w:t xml:space="preserve"> </w:t>
            </w:r>
            <w:r w:rsidR="007A5B5F" w:rsidRPr="00620D6E">
              <w:rPr>
                <w:color w:val="auto"/>
                <w:sz w:val="26"/>
                <w:szCs w:val="26"/>
              </w:rPr>
              <w:t xml:space="preserve">to become a licensed supplier </w:t>
            </w:r>
            <w:r w:rsidR="00B065FE" w:rsidRPr="00620D6E">
              <w:rPr>
                <w:color w:val="auto"/>
                <w:sz w:val="26"/>
                <w:szCs w:val="26"/>
              </w:rPr>
              <w:t>of natural gas services</w:t>
            </w:r>
            <w:r w:rsidR="00155C9C">
              <w:rPr>
                <w:color w:val="auto"/>
                <w:sz w:val="26"/>
                <w:szCs w:val="26"/>
              </w:rPr>
              <w:t xml:space="preserve"> as a broker/marketer</w:t>
            </w:r>
          </w:p>
        </w:tc>
        <w:tc>
          <w:tcPr>
            <w:tcW w:w="4320" w:type="dxa"/>
            <w:gridSpan w:val="2"/>
            <w:vAlign w:val="center"/>
          </w:tcPr>
          <w:p w:rsidR="000535E4" w:rsidRPr="00620D6E" w:rsidRDefault="000535E4" w:rsidP="000535E4">
            <w:pPr>
              <w:ind w:firstLine="1332"/>
              <w:rPr>
                <w:color w:val="auto"/>
                <w:sz w:val="26"/>
                <w:szCs w:val="26"/>
              </w:rPr>
            </w:pPr>
            <w:r w:rsidRPr="00620D6E">
              <w:rPr>
                <w:color w:val="auto"/>
                <w:sz w:val="26"/>
                <w:szCs w:val="26"/>
              </w:rPr>
              <w:t>Docket Number:</w:t>
            </w:r>
          </w:p>
          <w:p w:rsidR="00B065FE" w:rsidRPr="00C659B9" w:rsidRDefault="00381055" w:rsidP="000535E4">
            <w:pPr>
              <w:ind w:firstLine="1332"/>
              <w:rPr>
                <w:color w:val="FF0000"/>
                <w:sz w:val="26"/>
                <w:szCs w:val="26"/>
              </w:rPr>
            </w:pPr>
            <w:r w:rsidRPr="00381055">
              <w:rPr>
                <w:color w:val="auto"/>
                <w:sz w:val="26"/>
                <w:szCs w:val="26"/>
              </w:rPr>
              <w:t>A-2012-2327971</w:t>
            </w:r>
          </w:p>
        </w:tc>
      </w:tr>
      <w:tr w:rsidR="00CD03C5" w:rsidRPr="00620D6E">
        <w:tc>
          <w:tcPr>
            <w:tcW w:w="5148" w:type="dxa"/>
            <w:gridSpan w:val="3"/>
          </w:tcPr>
          <w:p w:rsidR="00CD03C5" w:rsidRPr="00620D6E" w:rsidRDefault="00CD03C5">
            <w:pPr>
              <w:rPr>
                <w:color w:val="auto"/>
                <w:sz w:val="26"/>
                <w:szCs w:val="26"/>
              </w:rPr>
            </w:pPr>
          </w:p>
        </w:tc>
        <w:tc>
          <w:tcPr>
            <w:tcW w:w="4320" w:type="dxa"/>
            <w:gridSpan w:val="2"/>
            <w:vAlign w:val="center"/>
          </w:tcPr>
          <w:p w:rsidR="00CD03C5" w:rsidRPr="00620D6E" w:rsidRDefault="00CD03C5" w:rsidP="00CD03C5">
            <w:pPr>
              <w:jc w:val="center"/>
              <w:rPr>
                <w:color w:val="auto"/>
                <w:sz w:val="26"/>
                <w:szCs w:val="26"/>
              </w:rPr>
            </w:pPr>
          </w:p>
        </w:tc>
      </w:tr>
      <w:tr w:rsidR="00CD03C5" w:rsidRPr="00620D6E">
        <w:tc>
          <w:tcPr>
            <w:tcW w:w="5148" w:type="dxa"/>
            <w:gridSpan w:val="3"/>
          </w:tcPr>
          <w:p w:rsidR="00CD03C5" w:rsidRPr="00620D6E" w:rsidRDefault="00CD03C5">
            <w:pPr>
              <w:rPr>
                <w:color w:val="auto"/>
                <w:sz w:val="26"/>
                <w:szCs w:val="26"/>
              </w:rPr>
            </w:pPr>
          </w:p>
        </w:tc>
        <w:tc>
          <w:tcPr>
            <w:tcW w:w="4320" w:type="dxa"/>
            <w:gridSpan w:val="2"/>
            <w:vAlign w:val="center"/>
          </w:tcPr>
          <w:p w:rsidR="00CD03C5" w:rsidRPr="00620D6E" w:rsidRDefault="00CD03C5" w:rsidP="00CD03C5">
            <w:pPr>
              <w:jc w:val="center"/>
              <w:rPr>
                <w:color w:val="auto"/>
                <w:sz w:val="26"/>
                <w:szCs w:val="26"/>
              </w:rPr>
            </w:pPr>
          </w:p>
        </w:tc>
      </w:tr>
    </w:tbl>
    <w:p w:rsidR="00B065FE" w:rsidRPr="00620D6E" w:rsidRDefault="00B065FE">
      <w:pPr>
        <w:jc w:val="center"/>
        <w:rPr>
          <w:color w:val="auto"/>
          <w:sz w:val="26"/>
          <w:szCs w:val="26"/>
        </w:rPr>
      </w:pPr>
      <w:r w:rsidRPr="00620D6E">
        <w:rPr>
          <w:b/>
          <w:color w:val="auto"/>
          <w:sz w:val="26"/>
          <w:szCs w:val="26"/>
        </w:rPr>
        <w:t>ORDER</w:t>
      </w:r>
    </w:p>
    <w:p w:rsidR="00B065FE" w:rsidRPr="00620D6E" w:rsidRDefault="00B065FE">
      <w:pPr>
        <w:rPr>
          <w:b/>
          <w:color w:val="auto"/>
          <w:sz w:val="26"/>
          <w:szCs w:val="26"/>
        </w:rPr>
      </w:pPr>
    </w:p>
    <w:p w:rsidR="00B065FE" w:rsidRPr="00620D6E" w:rsidRDefault="00B065FE">
      <w:pPr>
        <w:rPr>
          <w:b/>
          <w:color w:val="auto"/>
          <w:sz w:val="26"/>
          <w:szCs w:val="26"/>
        </w:rPr>
      </w:pPr>
      <w:r w:rsidRPr="00620D6E">
        <w:rPr>
          <w:b/>
          <w:color w:val="auto"/>
          <w:sz w:val="26"/>
          <w:szCs w:val="26"/>
        </w:rPr>
        <w:t>BY THE COMMISSION:</w:t>
      </w:r>
    </w:p>
    <w:p w:rsidR="00B065FE" w:rsidRPr="00620D6E" w:rsidRDefault="00B065FE">
      <w:pPr>
        <w:rPr>
          <w:b/>
          <w:color w:val="auto"/>
          <w:sz w:val="26"/>
          <w:szCs w:val="26"/>
        </w:rPr>
      </w:pPr>
    </w:p>
    <w:p w:rsidR="00B065FE" w:rsidRPr="00620D6E" w:rsidRDefault="00B065FE" w:rsidP="0099376D">
      <w:pPr>
        <w:tabs>
          <w:tab w:val="left" w:pos="-720"/>
        </w:tabs>
        <w:suppressAutoHyphens/>
        <w:spacing w:line="360" w:lineRule="auto"/>
        <w:ind w:firstLine="1440"/>
        <w:rPr>
          <w:color w:val="auto"/>
          <w:kern w:val="1"/>
          <w:sz w:val="26"/>
          <w:szCs w:val="26"/>
        </w:rPr>
      </w:pPr>
      <w:r w:rsidRPr="00620D6E">
        <w:rPr>
          <w:color w:val="auto"/>
          <w:kern w:val="1"/>
          <w:sz w:val="26"/>
          <w:szCs w:val="26"/>
        </w:rPr>
        <w:t xml:space="preserve">On </w:t>
      </w:r>
      <w:r w:rsidR="00DB176E" w:rsidRPr="00DB176E">
        <w:rPr>
          <w:color w:val="auto"/>
          <w:kern w:val="1"/>
          <w:sz w:val="26"/>
          <w:szCs w:val="26"/>
        </w:rPr>
        <w:t>October 1, 2012</w:t>
      </w:r>
      <w:r w:rsidR="00AF0CD1" w:rsidRPr="00DB176E">
        <w:rPr>
          <w:color w:val="auto"/>
          <w:kern w:val="1"/>
          <w:sz w:val="26"/>
          <w:szCs w:val="26"/>
        </w:rPr>
        <w:t>,</w:t>
      </w:r>
      <w:r w:rsidR="00381055" w:rsidRPr="00DB176E">
        <w:rPr>
          <w:color w:val="auto"/>
          <w:sz w:val="26"/>
          <w:szCs w:val="26"/>
        </w:rPr>
        <w:t xml:space="preserve"> </w:t>
      </w:r>
      <w:r w:rsidR="00381055" w:rsidRPr="00381055">
        <w:rPr>
          <w:color w:val="auto"/>
          <w:sz w:val="26"/>
          <w:szCs w:val="26"/>
        </w:rPr>
        <w:t>HealthTrust Purchasing Group, L.P.</w:t>
      </w:r>
      <w:r w:rsidR="00381055">
        <w:rPr>
          <w:color w:val="auto"/>
          <w:sz w:val="26"/>
          <w:szCs w:val="26"/>
        </w:rPr>
        <w:t xml:space="preserve"> (HPG)</w:t>
      </w:r>
      <w:r w:rsidR="00381055">
        <w:rPr>
          <w:color w:val="FF0000"/>
          <w:kern w:val="1"/>
          <w:sz w:val="26"/>
          <w:szCs w:val="26"/>
        </w:rPr>
        <w:t xml:space="preserve"> </w:t>
      </w:r>
      <w:r w:rsidRPr="00620D6E">
        <w:rPr>
          <w:color w:val="auto"/>
          <w:kern w:val="1"/>
          <w:sz w:val="26"/>
          <w:szCs w:val="26"/>
        </w:rPr>
        <w:t>filed a Lice</w:t>
      </w:r>
      <w:r w:rsidR="00155C9C">
        <w:rPr>
          <w:color w:val="auto"/>
          <w:kern w:val="1"/>
          <w:sz w:val="26"/>
          <w:szCs w:val="26"/>
        </w:rPr>
        <w:t xml:space="preserve">nse Application to operate as </w:t>
      </w:r>
      <w:r w:rsidR="00DB52A6" w:rsidRPr="00620D6E">
        <w:rPr>
          <w:color w:val="auto"/>
          <w:kern w:val="1"/>
          <w:sz w:val="26"/>
          <w:szCs w:val="26"/>
        </w:rPr>
        <w:t xml:space="preserve">a broker/marketer engaged in the business of supplying natural gas services </w:t>
      </w:r>
      <w:r w:rsidR="00303B97" w:rsidRPr="00620D6E">
        <w:rPr>
          <w:color w:val="auto"/>
          <w:kern w:val="1"/>
          <w:sz w:val="26"/>
          <w:szCs w:val="26"/>
        </w:rPr>
        <w:t xml:space="preserve">in the </w:t>
      </w:r>
      <w:r w:rsidR="00C659B9">
        <w:rPr>
          <w:color w:val="auto"/>
          <w:kern w:val="1"/>
          <w:sz w:val="26"/>
          <w:szCs w:val="26"/>
        </w:rPr>
        <w:t>service territory of</w:t>
      </w:r>
      <w:r w:rsidR="006F7A57">
        <w:rPr>
          <w:color w:val="auto"/>
          <w:kern w:val="1"/>
          <w:sz w:val="26"/>
          <w:szCs w:val="26"/>
        </w:rPr>
        <w:t xml:space="preserve"> </w:t>
      </w:r>
      <w:r w:rsidR="006F7A57">
        <w:rPr>
          <w:color w:val="auto"/>
          <w:spacing w:val="-3"/>
          <w:sz w:val="26"/>
          <w:szCs w:val="26"/>
        </w:rPr>
        <w:t xml:space="preserve">Columbia Gas of Pennsylvania, Inc., Equitable Gas Company, National Fuel Gas Distribution Corp, PECO Energy, Peoples Natural Gas Company, Peoples TWP LLC, Philadelphia Gas Works, UGI Central Penn, UGI Penn Natural, UGI Utilities Inc., </w:t>
      </w:r>
      <w:r w:rsidR="00155C9C">
        <w:rPr>
          <w:color w:val="auto"/>
          <w:spacing w:val="-3"/>
          <w:sz w:val="26"/>
          <w:szCs w:val="26"/>
        </w:rPr>
        <w:t xml:space="preserve">and </w:t>
      </w:r>
      <w:r w:rsidR="006F7A57">
        <w:rPr>
          <w:color w:val="auto"/>
          <w:spacing w:val="-3"/>
          <w:sz w:val="26"/>
          <w:szCs w:val="26"/>
        </w:rPr>
        <w:t>Valley Energy Inc.</w:t>
      </w:r>
      <w:r w:rsidR="00155C9C">
        <w:rPr>
          <w:color w:val="auto"/>
          <w:spacing w:val="-3"/>
          <w:sz w:val="26"/>
          <w:szCs w:val="26"/>
        </w:rPr>
        <w:t xml:space="preserve"> </w:t>
      </w:r>
      <w:r w:rsidR="00EA3719" w:rsidRPr="00620D6E">
        <w:rPr>
          <w:color w:val="auto"/>
          <w:kern w:val="1"/>
          <w:sz w:val="26"/>
          <w:szCs w:val="26"/>
        </w:rPr>
        <w:t xml:space="preserve">within the </w:t>
      </w:r>
      <w:r w:rsidR="003A692F" w:rsidRPr="00620D6E">
        <w:rPr>
          <w:color w:val="auto"/>
          <w:kern w:val="1"/>
          <w:sz w:val="26"/>
          <w:szCs w:val="26"/>
        </w:rPr>
        <w:t>Commonwealth of Pennsylvania</w:t>
      </w:r>
      <w:r w:rsidR="00692267" w:rsidRPr="00620D6E">
        <w:rPr>
          <w:color w:val="auto"/>
          <w:kern w:val="1"/>
          <w:sz w:val="26"/>
          <w:szCs w:val="26"/>
        </w:rPr>
        <w:t xml:space="preserve">.  </w:t>
      </w:r>
      <w:r w:rsidRPr="00620D6E">
        <w:rPr>
          <w:color w:val="auto"/>
          <w:kern w:val="1"/>
          <w:sz w:val="26"/>
          <w:szCs w:val="26"/>
        </w:rPr>
        <w:t>This application was filed pursuant to section 2208 of the Natural Gas Choice and Competition Act (Act) and Title 52</w:t>
      </w:r>
      <w:r w:rsidR="00E872EA">
        <w:rPr>
          <w:color w:val="auto"/>
          <w:kern w:val="1"/>
          <w:sz w:val="26"/>
          <w:szCs w:val="26"/>
        </w:rPr>
        <w:t xml:space="preserve"> of the Pennsylvania Code</w:t>
      </w:r>
      <w:r w:rsidRPr="00620D6E">
        <w:rPr>
          <w:color w:val="auto"/>
          <w:kern w:val="1"/>
          <w:sz w:val="26"/>
          <w:szCs w:val="26"/>
        </w:rPr>
        <w:t>, Chapter 62, Subchapter</w:t>
      </w:r>
      <w:r w:rsidR="00E14464" w:rsidRPr="00620D6E">
        <w:rPr>
          <w:color w:val="auto"/>
          <w:kern w:val="1"/>
          <w:sz w:val="26"/>
          <w:szCs w:val="26"/>
        </w:rPr>
        <w:t> </w:t>
      </w:r>
      <w:r w:rsidRPr="00620D6E">
        <w:rPr>
          <w:color w:val="auto"/>
          <w:kern w:val="1"/>
          <w:sz w:val="26"/>
          <w:szCs w:val="26"/>
        </w:rPr>
        <w:t>D.</w:t>
      </w:r>
    </w:p>
    <w:p w:rsidR="00991B6A" w:rsidRDefault="00991B6A">
      <w:pPr>
        <w:rPr>
          <w:color w:val="auto"/>
          <w:spacing w:val="-3"/>
          <w:kern w:val="1"/>
          <w:sz w:val="26"/>
          <w:szCs w:val="26"/>
        </w:rPr>
      </w:pPr>
      <w:r>
        <w:rPr>
          <w:color w:val="auto"/>
          <w:spacing w:val="-3"/>
          <w:kern w:val="1"/>
          <w:sz w:val="26"/>
          <w:szCs w:val="26"/>
        </w:rPr>
        <w:br w:type="page"/>
      </w:r>
    </w:p>
    <w:p w:rsidR="00B065FE" w:rsidRPr="00620D6E" w:rsidRDefault="00B065FE" w:rsidP="0099376D">
      <w:pPr>
        <w:tabs>
          <w:tab w:val="left" w:pos="-720"/>
          <w:tab w:val="left" w:pos="0"/>
        </w:tabs>
        <w:suppressAutoHyphens/>
        <w:spacing w:line="480" w:lineRule="auto"/>
        <w:ind w:firstLine="1440"/>
        <w:rPr>
          <w:color w:val="auto"/>
          <w:spacing w:val="-3"/>
          <w:kern w:val="1"/>
          <w:sz w:val="26"/>
          <w:szCs w:val="26"/>
        </w:rPr>
      </w:pPr>
      <w:r w:rsidRPr="00620D6E">
        <w:rPr>
          <w:color w:val="auto"/>
          <w:spacing w:val="-3"/>
          <w:kern w:val="1"/>
          <w:sz w:val="26"/>
          <w:szCs w:val="26"/>
        </w:rPr>
        <w:lastRenderedPageBreak/>
        <w:t>§2208 provides in pertinent part that:</w:t>
      </w:r>
    </w:p>
    <w:p w:rsidR="00B065FE" w:rsidRPr="00620D6E" w:rsidRDefault="00B065FE" w:rsidP="00CD03C5">
      <w:pPr>
        <w:tabs>
          <w:tab w:val="left" w:pos="0"/>
        </w:tabs>
        <w:suppressAutoHyphens/>
        <w:ind w:left="720" w:right="720" w:firstLine="720"/>
        <w:rPr>
          <w:color w:val="auto"/>
          <w:spacing w:val="-3"/>
          <w:kern w:val="1"/>
          <w:sz w:val="26"/>
          <w:szCs w:val="26"/>
        </w:rPr>
      </w:pPr>
      <w:r w:rsidRPr="00620D6E">
        <w:rPr>
          <w:color w:val="auto"/>
          <w:spacing w:val="-3"/>
          <w:kern w:val="1"/>
          <w:sz w:val="26"/>
          <w:szCs w:val="26"/>
        </w:rPr>
        <w:t>Requirements for Natural Gas Suppliers.--No entity shall engage in the business of a natural gas supplier unless it</w:t>
      </w:r>
      <w:r w:rsidR="00D75923" w:rsidRPr="00620D6E">
        <w:rPr>
          <w:color w:val="auto"/>
          <w:spacing w:val="-3"/>
          <w:kern w:val="1"/>
          <w:sz w:val="26"/>
          <w:szCs w:val="26"/>
        </w:rPr>
        <w:t xml:space="preserve"> </w:t>
      </w:r>
      <w:r w:rsidRPr="00620D6E">
        <w:rPr>
          <w:color w:val="auto"/>
          <w:spacing w:val="-3"/>
          <w:kern w:val="1"/>
          <w:sz w:val="26"/>
          <w:szCs w:val="26"/>
        </w:rPr>
        <w:t>holds a license issued by the Commission.  To the extent that a natural gas distribution company provides natural gas supply service outside of its chartered or certificated territory, it also must hold a license.  A license shall not be required for customers who make de minimis incidental sales or resales to themselves, an affiliate or to other nonresidential retail gas customers.</w:t>
      </w:r>
    </w:p>
    <w:p w:rsidR="00E14464" w:rsidRPr="00620D6E" w:rsidRDefault="00E14464">
      <w:pPr>
        <w:tabs>
          <w:tab w:val="left" w:pos="0"/>
        </w:tabs>
        <w:suppressAutoHyphens/>
        <w:ind w:right="720"/>
        <w:jc w:val="both"/>
        <w:rPr>
          <w:color w:val="auto"/>
          <w:spacing w:val="-3"/>
          <w:kern w:val="1"/>
          <w:sz w:val="26"/>
          <w:szCs w:val="26"/>
        </w:rPr>
      </w:pPr>
    </w:p>
    <w:p w:rsidR="00B065FE" w:rsidRPr="00620D6E" w:rsidRDefault="00CD03C5">
      <w:pPr>
        <w:tabs>
          <w:tab w:val="left" w:pos="0"/>
        </w:tabs>
        <w:suppressAutoHyphens/>
        <w:ind w:right="720"/>
        <w:jc w:val="both"/>
        <w:rPr>
          <w:color w:val="auto"/>
          <w:spacing w:val="-3"/>
          <w:kern w:val="1"/>
          <w:sz w:val="26"/>
          <w:szCs w:val="26"/>
        </w:rPr>
      </w:pPr>
      <w:r w:rsidRPr="00620D6E">
        <w:rPr>
          <w:color w:val="auto"/>
          <w:spacing w:val="-3"/>
          <w:kern w:val="1"/>
          <w:sz w:val="26"/>
          <w:szCs w:val="26"/>
        </w:rPr>
        <w:t>66 Pa. C.S. §2208.</w:t>
      </w:r>
    </w:p>
    <w:p w:rsidR="00B065FE" w:rsidRPr="00620D6E" w:rsidRDefault="00B065FE">
      <w:pPr>
        <w:tabs>
          <w:tab w:val="left" w:pos="0"/>
        </w:tabs>
        <w:suppressAutoHyphens/>
        <w:ind w:right="720"/>
        <w:jc w:val="both"/>
        <w:rPr>
          <w:color w:val="auto"/>
          <w:spacing w:val="-3"/>
          <w:kern w:val="1"/>
          <w:sz w:val="26"/>
          <w:szCs w:val="26"/>
        </w:rPr>
      </w:pPr>
    </w:p>
    <w:p w:rsidR="00B065FE" w:rsidRPr="00620D6E" w:rsidRDefault="00B065FE">
      <w:pPr>
        <w:tabs>
          <w:tab w:val="left" w:pos="0"/>
        </w:tabs>
        <w:suppressAutoHyphens/>
        <w:jc w:val="both"/>
        <w:rPr>
          <w:color w:val="auto"/>
          <w:spacing w:val="-3"/>
          <w:kern w:val="1"/>
          <w:sz w:val="26"/>
          <w:szCs w:val="26"/>
        </w:rPr>
      </w:pPr>
      <w:r w:rsidRPr="00620D6E">
        <w:rPr>
          <w:color w:val="auto"/>
          <w:spacing w:val="-3"/>
          <w:kern w:val="1"/>
          <w:sz w:val="26"/>
          <w:szCs w:val="26"/>
        </w:rPr>
        <w:t>A natural gas supplier is defined as:</w:t>
      </w:r>
    </w:p>
    <w:p w:rsidR="00B065FE" w:rsidRPr="00620D6E" w:rsidRDefault="00B065FE">
      <w:pPr>
        <w:tabs>
          <w:tab w:val="left" w:pos="0"/>
        </w:tabs>
        <w:suppressAutoHyphens/>
        <w:ind w:left="720" w:hanging="720"/>
        <w:jc w:val="both"/>
        <w:rPr>
          <w:color w:val="auto"/>
          <w:spacing w:val="-3"/>
          <w:kern w:val="1"/>
          <w:sz w:val="26"/>
          <w:szCs w:val="26"/>
        </w:rPr>
      </w:pPr>
    </w:p>
    <w:p w:rsidR="00B065FE" w:rsidRPr="00620D6E" w:rsidRDefault="00B065FE" w:rsidP="00CD03C5">
      <w:pPr>
        <w:pStyle w:val="BodyTextIndent2"/>
        <w:ind w:firstLine="1440"/>
        <w:rPr>
          <w:color w:val="auto"/>
          <w:szCs w:val="26"/>
        </w:rPr>
      </w:pPr>
      <w:r w:rsidRPr="00620D6E">
        <w:rPr>
          <w:color w:val="auto"/>
          <w:szCs w:val="26"/>
        </w:rPr>
        <w:t>An entity other than a natural gas distribution company, but including natural gas distribution company marketing affiliates, which provides natural gas supply services to retail gas customers utilizing the jurisdictional facilities of a natural gas distribution company.  The term includes a natural gas distribution company that provides natural gas supply services outside its certificated service territories.  The term includes a municipal corporation, its affiliates or any joint venture, to the extent that it chooses to provide natural gas supply services to retail customers located outside of its corporate or municipal limits, as applicable, other than:</w:t>
      </w:r>
    </w:p>
    <w:p w:rsidR="00B065FE" w:rsidRPr="00620D6E" w:rsidRDefault="00B065FE" w:rsidP="0099376D">
      <w:pPr>
        <w:ind w:right="720"/>
        <w:jc w:val="both"/>
        <w:rPr>
          <w:color w:val="auto"/>
          <w:sz w:val="26"/>
          <w:szCs w:val="26"/>
        </w:rPr>
      </w:pPr>
    </w:p>
    <w:p w:rsidR="00B065FE" w:rsidRPr="00620D6E" w:rsidRDefault="00B065FE">
      <w:pPr>
        <w:ind w:left="1800" w:right="720" w:hanging="360"/>
        <w:rPr>
          <w:color w:val="auto"/>
          <w:sz w:val="26"/>
          <w:szCs w:val="26"/>
        </w:rPr>
      </w:pPr>
      <w:r w:rsidRPr="00620D6E">
        <w:rPr>
          <w:color w:val="auto"/>
          <w:sz w:val="26"/>
          <w:szCs w:val="26"/>
        </w:rPr>
        <w:t>(i)</w:t>
      </w:r>
      <w:r w:rsidR="00CD03C5" w:rsidRPr="00620D6E">
        <w:rPr>
          <w:color w:val="auto"/>
          <w:sz w:val="26"/>
          <w:szCs w:val="26"/>
        </w:rPr>
        <w:t xml:space="preserve">  </w:t>
      </w:r>
      <w:r w:rsidRPr="00620D6E">
        <w:rPr>
          <w:color w:val="auto"/>
          <w:sz w:val="26"/>
          <w:szCs w:val="26"/>
        </w:rPr>
        <w:t>as provided prior to the effective date of this chapter, pursuant to a certificate of public convenience if required under this title;</w:t>
      </w:r>
    </w:p>
    <w:p w:rsidR="00B065FE" w:rsidRPr="00620D6E" w:rsidRDefault="00B065FE" w:rsidP="0099376D">
      <w:pPr>
        <w:ind w:right="720"/>
        <w:rPr>
          <w:color w:val="auto"/>
          <w:sz w:val="26"/>
          <w:szCs w:val="26"/>
        </w:rPr>
      </w:pPr>
    </w:p>
    <w:p w:rsidR="00B065FE" w:rsidRPr="00620D6E" w:rsidRDefault="00B065FE">
      <w:pPr>
        <w:ind w:left="1440" w:right="720"/>
        <w:rPr>
          <w:color w:val="auto"/>
          <w:sz w:val="26"/>
          <w:szCs w:val="26"/>
        </w:rPr>
      </w:pPr>
      <w:r w:rsidRPr="00620D6E">
        <w:rPr>
          <w:color w:val="auto"/>
          <w:sz w:val="26"/>
          <w:szCs w:val="26"/>
        </w:rPr>
        <w:t>(ii)  total natural gas supply services in de minimis amounts;</w:t>
      </w:r>
    </w:p>
    <w:p w:rsidR="00B065FE" w:rsidRPr="00620D6E" w:rsidRDefault="00B065FE" w:rsidP="0099376D">
      <w:pPr>
        <w:ind w:right="720"/>
        <w:rPr>
          <w:color w:val="auto"/>
          <w:sz w:val="26"/>
          <w:szCs w:val="26"/>
        </w:rPr>
      </w:pPr>
    </w:p>
    <w:p w:rsidR="00B065FE" w:rsidRPr="00620D6E" w:rsidRDefault="00B065FE">
      <w:pPr>
        <w:pStyle w:val="BlockText"/>
        <w:ind w:left="1800" w:hanging="450"/>
        <w:rPr>
          <w:color w:val="auto"/>
          <w:szCs w:val="26"/>
        </w:rPr>
      </w:pPr>
      <w:r w:rsidRPr="00620D6E">
        <w:rPr>
          <w:color w:val="auto"/>
          <w:szCs w:val="26"/>
        </w:rPr>
        <w:t>(iii)  natural gas supply services requested by, or provided with the consent of, the public utility in whose certificated territory the services are provided; or</w:t>
      </w:r>
    </w:p>
    <w:p w:rsidR="00B065FE" w:rsidRPr="00620D6E" w:rsidRDefault="00B065FE">
      <w:pPr>
        <w:pStyle w:val="BlockText"/>
        <w:ind w:left="0"/>
        <w:rPr>
          <w:color w:val="auto"/>
          <w:szCs w:val="26"/>
        </w:rPr>
      </w:pPr>
    </w:p>
    <w:p w:rsidR="009C3C7C" w:rsidRPr="00620D6E" w:rsidRDefault="00B065FE">
      <w:pPr>
        <w:pStyle w:val="BlockText"/>
        <w:ind w:left="1800" w:hanging="450"/>
        <w:rPr>
          <w:color w:val="auto"/>
          <w:szCs w:val="26"/>
        </w:rPr>
      </w:pPr>
      <w:r w:rsidRPr="00620D6E">
        <w:rPr>
          <w:color w:val="auto"/>
          <w:szCs w:val="26"/>
        </w:rPr>
        <w:t xml:space="preserve">(iv)  natural gas supply services provided to the municipal corporation itself or its tenants on land it owns or leases, or is subject to an agreement of sale or pending condemnation, as of </w:t>
      </w:r>
    </w:p>
    <w:p w:rsidR="00B065FE" w:rsidRPr="00620D6E" w:rsidRDefault="009C3C7C">
      <w:pPr>
        <w:pStyle w:val="BlockText"/>
        <w:ind w:left="1800" w:hanging="450"/>
        <w:rPr>
          <w:color w:val="auto"/>
          <w:szCs w:val="26"/>
        </w:rPr>
      </w:pPr>
      <w:r w:rsidRPr="00620D6E">
        <w:rPr>
          <w:color w:val="auto"/>
          <w:szCs w:val="26"/>
        </w:rPr>
        <w:tab/>
      </w:r>
      <w:r w:rsidR="00B065FE" w:rsidRPr="00620D6E">
        <w:rPr>
          <w:color w:val="auto"/>
          <w:szCs w:val="26"/>
        </w:rPr>
        <w:t>September 1, 1999, to the extent permitted by applicable law independent of this chapter.</w:t>
      </w:r>
    </w:p>
    <w:p w:rsidR="00B065FE" w:rsidRPr="00620D6E" w:rsidRDefault="00B065FE" w:rsidP="0099376D">
      <w:pPr>
        <w:pStyle w:val="BlockText"/>
        <w:ind w:left="0"/>
        <w:rPr>
          <w:color w:val="auto"/>
          <w:szCs w:val="26"/>
        </w:rPr>
      </w:pPr>
    </w:p>
    <w:p w:rsidR="00B065FE" w:rsidRDefault="00B065FE" w:rsidP="007B09E2">
      <w:pPr>
        <w:pStyle w:val="BlockText"/>
        <w:ind w:left="0"/>
        <w:rPr>
          <w:color w:val="auto"/>
          <w:szCs w:val="26"/>
        </w:rPr>
      </w:pPr>
      <w:r w:rsidRPr="00620D6E">
        <w:rPr>
          <w:color w:val="auto"/>
          <w:szCs w:val="26"/>
        </w:rPr>
        <w:t xml:space="preserve">The term excludes an entity to the extent that it provides free gas to end-users under the terms of an oil or gas lease.  Notwithstanding any other provision of this title, a natural gas supplier that is not a natural gas distribution company is not a public utility as defined in section 102 (relating to definitions) to the extent that </w:t>
      </w:r>
      <w:r w:rsidRPr="00620D6E">
        <w:rPr>
          <w:color w:val="auto"/>
          <w:szCs w:val="26"/>
        </w:rPr>
        <w:lastRenderedPageBreak/>
        <w:t>the natural gas supplier is utilizing the jurisdictional distribution facilities of a natural gas distribution company or is providing other services authorized by the Commission.</w:t>
      </w:r>
    </w:p>
    <w:p w:rsidR="007B09E2" w:rsidRPr="00620D6E" w:rsidRDefault="007B09E2" w:rsidP="007B09E2">
      <w:pPr>
        <w:pStyle w:val="BlockText"/>
        <w:ind w:left="0"/>
        <w:rPr>
          <w:color w:val="auto"/>
          <w:szCs w:val="26"/>
        </w:rPr>
      </w:pPr>
    </w:p>
    <w:p w:rsidR="00B065FE" w:rsidRPr="00620D6E" w:rsidRDefault="00B065FE">
      <w:pPr>
        <w:spacing w:line="360" w:lineRule="auto"/>
        <w:rPr>
          <w:color w:val="auto"/>
          <w:sz w:val="26"/>
          <w:szCs w:val="26"/>
        </w:rPr>
      </w:pPr>
      <w:r w:rsidRPr="00620D6E">
        <w:rPr>
          <w:color w:val="auto"/>
          <w:sz w:val="26"/>
          <w:szCs w:val="26"/>
        </w:rPr>
        <w:t>66 Pa. C.S. § 2202.</w:t>
      </w:r>
    </w:p>
    <w:p w:rsidR="0055073A" w:rsidRPr="00620D6E" w:rsidRDefault="00B065FE" w:rsidP="001F03C7">
      <w:pPr>
        <w:ind w:firstLine="1440"/>
        <w:rPr>
          <w:color w:val="auto"/>
          <w:sz w:val="26"/>
          <w:szCs w:val="26"/>
        </w:rPr>
      </w:pPr>
      <w:r w:rsidRPr="00620D6E">
        <w:rPr>
          <w:color w:val="auto"/>
          <w:sz w:val="26"/>
          <w:szCs w:val="26"/>
        </w:rPr>
        <w:t>As used in the above definition of a natural gas supplier, the term natural gas supply services includes</w:t>
      </w:r>
      <w:r w:rsidR="00CD03C5" w:rsidRPr="00620D6E">
        <w:rPr>
          <w:color w:val="auto"/>
          <w:sz w:val="26"/>
          <w:szCs w:val="26"/>
        </w:rPr>
        <w:t xml:space="preserve">: </w:t>
      </w:r>
      <w:r w:rsidRPr="00620D6E">
        <w:rPr>
          <w:color w:val="auto"/>
          <w:sz w:val="26"/>
          <w:szCs w:val="26"/>
        </w:rPr>
        <w:t xml:space="preserve"> (i) the sale or arrangement of the sale of natural gas to retail customers; and (ii) services that may be unbundled by the Commission under section</w:t>
      </w:r>
      <w:r w:rsidR="00D75923" w:rsidRPr="00620D6E">
        <w:rPr>
          <w:color w:val="auto"/>
          <w:sz w:val="26"/>
          <w:szCs w:val="26"/>
        </w:rPr>
        <w:t> </w:t>
      </w:r>
      <w:r w:rsidRPr="00620D6E">
        <w:rPr>
          <w:color w:val="auto"/>
          <w:sz w:val="26"/>
          <w:szCs w:val="26"/>
        </w:rPr>
        <w:t>2203(3) of the Act (relating to standards for restructuring of the natural gas utility industry).  Natural gas supply service does not include distribution service.</w:t>
      </w:r>
    </w:p>
    <w:p w:rsidR="00B065FE" w:rsidRPr="00620D6E" w:rsidRDefault="00B065FE">
      <w:pPr>
        <w:spacing w:line="360" w:lineRule="auto"/>
        <w:rPr>
          <w:color w:val="auto"/>
          <w:sz w:val="26"/>
          <w:szCs w:val="26"/>
        </w:rPr>
      </w:pPr>
      <w:r w:rsidRPr="00620D6E">
        <w:rPr>
          <w:color w:val="auto"/>
          <w:sz w:val="26"/>
          <w:szCs w:val="26"/>
        </w:rPr>
        <w:t>66 Pa. C.S.</w:t>
      </w:r>
      <w:r w:rsidR="0055073A" w:rsidRPr="00620D6E">
        <w:rPr>
          <w:color w:val="auto"/>
          <w:sz w:val="26"/>
          <w:szCs w:val="26"/>
        </w:rPr>
        <w:t xml:space="preserve"> </w:t>
      </w:r>
      <w:r w:rsidRPr="00620D6E">
        <w:rPr>
          <w:color w:val="auto"/>
          <w:sz w:val="26"/>
          <w:szCs w:val="26"/>
        </w:rPr>
        <w:t>§ 2202.</w:t>
      </w:r>
    </w:p>
    <w:p w:rsidR="00D37628" w:rsidRPr="00381055" w:rsidRDefault="00D37628">
      <w:pPr>
        <w:tabs>
          <w:tab w:val="left" w:pos="0"/>
        </w:tabs>
        <w:suppressAutoHyphens/>
        <w:spacing w:line="360" w:lineRule="auto"/>
        <w:rPr>
          <w:color w:val="auto"/>
          <w:spacing w:val="-3"/>
          <w:kern w:val="1"/>
          <w:sz w:val="26"/>
          <w:szCs w:val="26"/>
        </w:rPr>
      </w:pPr>
    </w:p>
    <w:p w:rsidR="00B065FE" w:rsidRPr="00E968AE" w:rsidRDefault="00381055" w:rsidP="00DF749F">
      <w:pPr>
        <w:suppressAutoHyphens/>
        <w:spacing w:line="360" w:lineRule="auto"/>
        <w:ind w:firstLine="1440"/>
        <w:rPr>
          <w:color w:val="auto"/>
          <w:spacing w:val="-3"/>
          <w:sz w:val="26"/>
          <w:szCs w:val="26"/>
        </w:rPr>
      </w:pPr>
      <w:r w:rsidRPr="00381055">
        <w:rPr>
          <w:color w:val="auto"/>
          <w:spacing w:val="-3"/>
          <w:kern w:val="1"/>
          <w:sz w:val="26"/>
          <w:szCs w:val="26"/>
        </w:rPr>
        <w:t>HPG</w:t>
      </w:r>
      <w:r w:rsidR="00C6258D" w:rsidRPr="00381055">
        <w:rPr>
          <w:color w:val="auto"/>
          <w:spacing w:val="-3"/>
          <w:kern w:val="1"/>
          <w:sz w:val="26"/>
          <w:szCs w:val="26"/>
        </w:rPr>
        <w:t xml:space="preserve"> </w:t>
      </w:r>
      <w:r w:rsidR="00B065FE" w:rsidRPr="00620D6E">
        <w:rPr>
          <w:color w:val="auto"/>
          <w:spacing w:val="-3"/>
          <w:sz w:val="26"/>
          <w:szCs w:val="26"/>
        </w:rPr>
        <w:t>has stated that upon the approval of this Application, it proposes to provide natural gas supply services</w:t>
      </w:r>
      <w:r w:rsidR="00DB52A6" w:rsidRPr="00620D6E">
        <w:rPr>
          <w:color w:val="auto"/>
          <w:spacing w:val="-3"/>
          <w:sz w:val="26"/>
          <w:szCs w:val="26"/>
        </w:rPr>
        <w:t xml:space="preserve"> to</w:t>
      </w:r>
      <w:r w:rsidR="001B3AF0">
        <w:rPr>
          <w:color w:val="auto"/>
          <w:spacing w:val="-3"/>
          <w:sz w:val="26"/>
          <w:szCs w:val="26"/>
        </w:rPr>
        <w:t xml:space="preserve"> </w:t>
      </w:r>
      <w:r w:rsidR="008964D9" w:rsidRPr="00DF749F">
        <w:rPr>
          <w:color w:val="auto"/>
          <w:spacing w:val="-3"/>
          <w:sz w:val="26"/>
          <w:szCs w:val="26"/>
        </w:rPr>
        <w:t xml:space="preserve">small </w:t>
      </w:r>
      <w:r w:rsidR="00DB52A6" w:rsidRPr="00DF749F">
        <w:rPr>
          <w:color w:val="auto"/>
          <w:spacing w:val="-3"/>
          <w:sz w:val="26"/>
          <w:szCs w:val="26"/>
        </w:rPr>
        <w:t>comm</w:t>
      </w:r>
      <w:r w:rsidR="00A42AC2" w:rsidRPr="00DF749F">
        <w:rPr>
          <w:color w:val="auto"/>
          <w:spacing w:val="-3"/>
          <w:sz w:val="26"/>
          <w:szCs w:val="26"/>
        </w:rPr>
        <w:t>ercial</w:t>
      </w:r>
      <w:r w:rsidR="008964D9" w:rsidRPr="00DF749F">
        <w:rPr>
          <w:color w:val="auto"/>
          <w:spacing w:val="-3"/>
          <w:sz w:val="26"/>
          <w:szCs w:val="26"/>
        </w:rPr>
        <w:t xml:space="preserve"> (less than 6,000 MCF annually)</w:t>
      </w:r>
      <w:r w:rsidR="001B3AF0" w:rsidRPr="00DF749F">
        <w:rPr>
          <w:color w:val="auto"/>
          <w:spacing w:val="-3"/>
          <w:sz w:val="26"/>
          <w:szCs w:val="26"/>
        </w:rPr>
        <w:t xml:space="preserve">, </w:t>
      </w:r>
      <w:r w:rsidR="008964D9" w:rsidRPr="00DF749F">
        <w:rPr>
          <w:color w:val="auto"/>
          <w:spacing w:val="-3"/>
          <w:sz w:val="26"/>
          <w:szCs w:val="26"/>
        </w:rPr>
        <w:t>large commercial (6,000 MCF</w:t>
      </w:r>
      <w:r w:rsidR="0020470D" w:rsidRPr="00DF749F">
        <w:rPr>
          <w:color w:val="auto"/>
          <w:spacing w:val="-3"/>
          <w:sz w:val="26"/>
          <w:szCs w:val="26"/>
        </w:rPr>
        <w:t xml:space="preserve"> or more</w:t>
      </w:r>
      <w:r w:rsidR="008964D9" w:rsidRPr="00DF749F">
        <w:rPr>
          <w:color w:val="auto"/>
          <w:spacing w:val="-3"/>
          <w:sz w:val="26"/>
          <w:szCs w:val="26"/>
        </w:rPr>
        <w:t xml:space="preserve"> annually),</w:t>
      </w:r>
      <w:r w:rsidR="00DF749F" w:rsidRPr="00DF749F">
        <w:rPr>
          <w:color w:val="auto"/>
          <w:spacing w:val="-3"/>
          <w:sz w:val="26"/>
          <w:szCs w:val="26"/>
        </w:rPr>
        <w:t xml:space="preserve"> and</w:t>
      </w:r>
      <w:r w:rsidR="008964D9" w:rsidRPr="00DF749F">
        <w:rPr>
          <w:color w:val="auto"/>
          <w:spacing w:val="-3"/>
          <w:sz w:val="26"/>
          <w:szCs w:val="26"/>
        </w:rPr>
        <w:t xml:space="preserve"> </w:t>
      </w:r>
      <w:r w:rsidR="001B3AF0" w:rsidRPr="00DF749F">
        <w:rPr>
          <w:color w:val="auto"/>
          <w:spacing w:val="-3"/>
          <w:sz w:val="26"/>
          <w:szCs w:val="26"/>
        </w:rPr>
        <w:t xml:space="preserve">industrial </w:t>
      </w:r>
      <w:r w:rsidR="00B065FE" w:rsidRPr="00620D6E">
        <w:rPr>
          <w:color w:val="auto"/>
          <w:spacing w:val="-3"/>
          <w:sz w:val="26"/>
          <w:szCs w:val="26"/>
        </w:rPr>
        <w:t>customer</w:t>
      </w:r>
      <w:r w:rsidR="00145521" w:rsidRPr="00620D6E">
        <w:rPr>
          <w:color w:val="auto"/>
          <w:spacing w:val="-3"/>
          <w:sz w:val="26"/>
          <w:szCs w:val="26"/>
        </w:rPr>
        <w:t xml:space="preserve">s </w:t>
      </w:r>
      <w:r w:rsidR="00155C9C">
        <w:rPr>
          <w:color w:val="auto"/>
          <w:spacing w:val="-3"/>
          <w:sz w:val="26"/>
          <w:szCs w:val="26"/>
        </w:rPr>
        <w:t>as a broker/marketer</w:t>
      </w:r>
      <w:r w:rsidR="00DB4217">
        <w:rPr>
          <w:color w:val="auto"/>
          <w:spacing w:val="-3"/>
          <w:sz w:val="26"/>
          <w:szCs w:val="26"/>
        </w:rPr>
        <w:t xml:space="preserve">.  </w:t>
      </w:r>
      <w:r w:rsidR="00DF749F">
        <w:rPr>
          <w:color w:val="auto"/>
          <w:spacing w:val="-3"/>
          <w:sz w:val="26"/>
          <w:szCs w:val="26"/>
        </w:rPr>
        <w:t xml:space="preserve">HPG is a group purchasing organization that, as a service to its members, assists them in obtaining natural gas for their facilities.  </w:t>
      </w:r>
      <w:r w:rsidRPr="00381055">
        <w:rPr>
          <w:color w:val="auto"/>
          <w:spacing w:val="-3"/>
          <w:sz w:val="26"/>
          <w:szCs w:val="26"/>
        </w:rPr>
        <w:t>HPG</w:t>
      </w:r>
      <w:r w:rsidR="00E968AE">
        <w:rPr>
          <w:color w:val="auto"/>
          <w:spacing w:val="-3"/>
          <w:sz w:val="26"/>
          <w:szCs w:val="26"/>
        </w:rPr>
        <w:t xml:space="preserve"> is advised that if it wishes to serve additional classes of customers in the future, it must</w:t>
      </w:r>
      <w:r w:rsidR="00302317">
        <w:rPr>
          <w:color w:val="auto"/>
          <w:spacing w:val="-3"/>
          <w:sz w:val="26"/>
          <w:szCs w:val="26"/>
        </w:rPr>
        <w:t xml:space="preserve"> not</w:t>
      </w:r>
      <w:r w:rsidR="00DF749F">
        <w:rPr>
          <w:color w:val="auto"/>
          <w:spacing w:val="-3"/>
          <w:sz w:val="26"/>
          <w:szCs w:val="26"/>
        </w:rPr>
        <w:t xml:space="preserve">ify the Commission Secretary by </w:t>
      </w:r>
      <w:r w:rsidR="00302317">
        <w:rPr>
          <w:color w:val="auto"/>
          <w:spacing w:val="-3"/>
          <w:sz w:val="26"/>
          <w:szCs w:val="26"/>
        </w:rPr>
        <w:t xml:space="preserve">letter immediately </w:t>
      </w:r>
      <w:r w:rsidR="00E968AE">
        <w:rPr>
          <w:color w:val="auto"/>
          <w:spacing w:val="-3"/>
          <w:sz w:val="26"/>
          <w:szCs w:val="26"/>
        </w:rPr>
        <w:t>to amend its license accordingly.</w:t>
      </w:r>
    </w:p>
    <w:p w:rsidR="007421CE" w:rsidRDefault="00C40973" w:rsidP="003171D8">
      <w:pPr>
        <w:tabs>
          <w:tab w:val="left" w:pos="0"/>
        </w:tabs>
        <w:suppressAutoHyphens/>
        <w:spacing w:line="360" w:lineRule="auto"/>
        <w:ind w:firstLine="1440"/>
        <w:rPr>
          <w:color w:val="auto"/>
          <w:spacing w:val="-3"/>
          <w:sz w:val="26"/>
          <w:szCs w:val="26"/>
        </w:rPr>
      </w:pPr>
      <w:r>
        <w:rPr>
          <w:color w:val="FF0000"/>
          <w:spacing w:val="-3"/>
          <w:sz w:val="26"/>
          <w:szCs w:val="26"/>
        </w:rPr>
        <w:tab/>
      </w:r>
    </w:p>
    <w:p w:rsidR="0095742D" w:rsidRPr="003171D8" w:rsidRDefault="00E17C2E" w:rsidP="00C40973">
      <w:pPr>
        <w:tabs>
          <w:tab w:val="left" w:pos="0"/>
        </w:tabs>
        <w:suppressAutoHyphens/>
        <w:spacing w:line="360" w:lineRule="auto"/>
        <w:rPr>
          <w:color w:val="auto"/>
          <w:kern w:val="1"/>
          <w:sz w:val="26"/>
          <w:szCs w:val="26"/>
        </w:rPr>
      </w:pPr>
      <w:r w:rsidRPr="003171D8">
        <w:rPr>
          <w:color w:val="auto"/>
          <w:spacing w:val="-3"/>
          <w:sz w:val="26"/>
          <w:szCs w:val="26"/>
        </w:rPr>
        <w:tab/>
      </w:r>
      <w:r w:rsidR="00C40973" w:rsidRPr="003171D8">
        <w:rPr>
          <w:color w:val="auto"/>
          <w:spacing w:val="-3"/>
          <w:sz w:val="26"/>
          <w:szCs w:val="26"/>
        </w:rPr>
        <w:tab/>
        <w:t>R</w:t>
      </w:r>
      <w:r w:rsidR="00B065FE" w:rsidRPr="003171D8">
        <w:rPr>
          <w:color w:val="auto"/>
          <w:kern w:val="1"/>
          <w:sz w:val="26"/>
          <w:szCs w:val="26"/>
        </w:rPr>
        <w:t>egarding the financial and technical fitness requirements of the license application</w:t>
      </w:r>
      <w:r w:rsidR="00284935" w:rsidRPr="003171D8">
        <w:rPr>
          <w:color w:val="auto"/>
          <w:sz w:val="26"/>
          <w:szCs w:val="26"/>
        </w:rPr>
        <w:t xml:space="preserve"> HPG </w:t>
      </w:r>
      <w:r w:rsidR="00B065FE" w:rsidRPr="003171D8">
        <w:rPr>
          <w:color w:val="auto"/>
          <w:kern w:val="1"/>
          <w:sz w:val="26"/>
          <w:szCs w:val="26"/>
        </w:rPr>
        <w:t>has submitted</w:t>
      </w:r>
      <w:r w:rsidR="00303B97" w:rsidRPr="003171D8">
        <w:rPr>
          <w:color w:val="auto"/>
          <w:kern w:val="1"/>
          <w:sz w:val="26"/>
          <w:szCs w:val="26"/>
        </w:rPr>
        <w:t xml:space="preserve"> </w:t>
      </w:r>
      <w:r w:rsidR="00F510F4" w:rsidRPr="003171D8">
        <w:rPr>
          <w:color w:val="auto"/>
          <w:kern w:val="1"/>
          <w:sz w:val="26"/>
          <w:szCs w:val="26"/>
        </w:rPr>
        <w:t xml:space="preserve">financial statements </w:t>
      </w:r>
      <w:r w:rsidR="002B3DBD" w:rsidRPr="003171D8">
        <w:rPr>
          <w:color w:val="auto"/>
          <w:kern w:val="1"/>
          <w:sz w:val="26"/>
          <w:szCs w:val="26"/>
        </w:rPr>
        <w:t>for the year ended 2010 and a 2011 Dunn and Bradstreet Supplier Qualifier Report.  The applicant</w:t>
      </w:r>
      <w:r w:rsidR="000F6818" w:rsidRPr="003171D8">
        <w:rPr>
          <w:color w:val="auto"/>
          <w:kern w:val="1"/>
          <w:sz w:val="26"/>
          <w:szCs w:val="26"/>
        </w:rPr>
        <w:t xml:space="preserve"> also provided </w:t>
      </w:r>
      <w:r w:rsidR="00400732" w:rsidRPr="003171D8">
        <w:rPr>
          <w:color w:val="auto"/>
          <w:kern w:val="1"/>
          <w:sz w:val="26"/>
          <w:szCs w:val="26"/>
        </w:rPr>
        <w:t xml:space="preserve">Form </w:t>
      </w:r>
      <w:r w:rsidR="002B3DBD" w:rsidRPr="003171D8">
        <w:rPr>
          <w:color w:val="auto"/>
          <w:kern w:val="1"/>
          <w:sz w:val="26"/>
          <w:szCs w:val="26"/>
        </w:rPr>
        <w:t>10-Q for the date ended March 31, 2012</w:t>
      </w:r>
      <w:r w:rsidR="00991B6A">
        <w:rPr>
          <w:color w:val="auto"/>
          <w:kern w:val="1"/>
          <w:sz w:val="26"/>
          <w:szCs w:val="26"/>
        </w:rPr>
        <w:t>,</w:t>
      </w:r>
      <w:r w:rsidR="002B3DBD" w:rsidRPr="003171D8">
        <w:rPr>
          <w:color w:val="auto"/>
          <w:kern w:val="1"/>
          <w:sz w:val="26"/>
          <w:szCs w:val="26"/>
        </w:rPr>
        <w:t xml:space="preserve"> and</w:t>
      </w:r>
      <w:r w:rsidR="000F6818" w:rsidRPr="003171D8">
        <w:rPr>
          <w:color w:val="auto"/>
          <w:kern w:val="1"/>
          <w:sz w:val="26"/>
          <w:szCs w:val="26"/>
        </w:rPr>
        <w:t xml:space="preserve"> </w:t>
      </w:r>
      <w:r w:rsidR="00400732" w:rsidRPr="003171D8">
        <w:rPr>
          <w:color w:val="auto"/>
          <w:kern w:val="1"/>
          <w:sz w:val="26"/>
          <w:szCs w:val="26"/>
        </w:rPr>
        <w:t xml:space="preserve">Form </w:t>
      </w:r>
      <w:r w:rsidR="000F6818" w:rsidRPr="003171D8">
        <w:rPr>
          <w:color w:val="auto"/>
          <w:kern w:val="1"/>
          <w:sz w:val="26"/>
          <w:szCs w:val="26"/>
        </w:rPr>
        <w:t>10-K for the year ended December 31, 2011</w:t>
      </w:r>
      <w:r w:rsidR="00991B6A">
        <w:rPr>
          <w:color w:val="auto"/>
          <w:kern w:val="1"/>
          <w:sz w:val="26"/>
          <w:szCs w:val="26"/>
        </w:rPr>
        <w:t>,</w:t>
      </w:r>
      <w:r w:rsidR="002B3DBD" w:rsidRPr="003171D8">
        <w:rPr>
          <w:color w:val="auto"/>
          <w:kern w:val="1"/>
          <w:sz w:val="26"/>
          <w:szCs w:val="26"/>
        </w:rPr>
        <w:t xml:space="preserve"> </w:t>
      </w:r>
      <w:r w:rsidR="000F6818" w:rsidRPr="003171D8">
        <w:rPr>
          <w:color w:val="auto"/>
          <w:kern w:val="1"/>
          <w:sz w:val="26"/>
          <w:szCs w:val="26"/>
        </w:rPr>
        <w:t>for their</w:t>
      </w:r>
      <w:r w:rsidR="002B3DBD" w:rsidRPr="003171D8">
        <w:rPr>
          <w:color w:val="auto"/>
          <w:kern w:val="1"/>
          <w:sz w:val="26"/>
          <w:szCs w:val="26"/>
        </w:rPr>
        <w:t xml:space="preserve"> </w:t>
      </w:r>
      <w:r w:rsidR="000F6818" w:rsidRPr="003171D8">
        <w:rPr>
          <w:color w:val="auto"/>
          <w:kern w:val="1"/>
          <w:sz w:val="26"/>
          <w:szCs w:val="26"/>
        </w:rPr>
        <w:t>parent company, HCA Holdings, Inc.</w:t>
      </w:r>
      <w:r w:rsidR="005E79F9" w:rsidRPr="003171D8">
        <w:rPr>
          <w:color w:val="auto"/>
          <w:kern w:val="1"/>
          <w:sz w:val="26"/>
          <w:szCs w:val="26"/>
        </w:rPr>
        <w:t xml:space="preserve">  HPG, when originally organized, was a wholly o</w:t>
      </w:r>
      <w:r w:rsidR="00B8162F" w:rsidRPr="003171D8">
        <w:rPr>
          <w:color w:val="auto"/>
          <w:kern w:val="1"/>
          <w:sz w:val="26"/>
          <w:szCs w:val="26"/>
        </w:rPr>
        <w:t>wned subsidiary of HCA Holdings,</w:t>
      </w:r>
      <w:r w:rsidR="005E79F9" w:rsidRPr="003171D8">
        <w:rPr>
          <w:color w:val="auto"/>
          <w:kern w:val="1"/>
          <w:sz w:val="26"/>
          <w:szCs w:val="26"/>
        </w:rPr>
        <w:t xml:space="preserve"> Inc.  Although HPG has added additional partners, HCA Holdings, Inc</w:t>
      </w:r>
      <w:r w:rsidR="00B8162F" w:rsidRPr="003171D8">
        <w:rPr>
          <w:color w:val="auto"/>
          <w:kern w:val="1"/>
          <w:sz w:val="26"/>
          <w:szCs w:val="26"/>
        </w:rPr>
        <w:t>.</w:t>
      </w:r>
      <w:r w:rsidR="005E79F9" w:rsidRPr="003171D8">
        <w:rPr>
          <w:color w:val="auto"/>
          <w:kern w:val="1"/>
          <w:sz w:val="26"/>
          <w:szCs w:val="26"/>
        </w:rPr>
        <w:t xml:space="preserve"> and its subsidiaries have combined ownership interest in excess of 51 percent.</w:t>
      </w:r>
      <w:r w:rsidR="0044319F" w:rsidRPr="003171D8">
        <w:rPr>
          <w:color w:val="auto"/>
          <w:kern w:val="1"/>
          <w:sz w:val="26"/>
          <w:szCs w:val="26"/>
        </w:rPr>
        <w:t xml:space="preserve">  The financial statements were audited by independent auditors in accordance with auditing standards generally accepted in the United States of America and the standards applicable to financial audits contained in </w:t>
      </w:r>
      <w:r w:rsidR="0044319F" w:rsidRPr="003171D8">
        <w:rPr>
          <w:i/>
          <w:color w:val="auto"/>
          <w:kern w:val="1"/>
          <w:sz w:val="26"/>
          <w:szCs w:val="26"/>
        </w:rPr>
        <w:t>Government Auditing Standards</w:t>
      </w:r>
      <w:r w:rsidR="0044319F" w:rsidRPr="003171D8">
        <w:rPr>
          <w:color w:val="auto"/>
          <w:kern w:val="1"/>
          <w:sz w:val="26"/>
          <w:szCs w:val="26"/>
        </w:rPr>
        <w:t>, issued by the Comptroller General of the United States.</w:t>
      </w:r>
      <w:r w:rsidR="00497E52" w:rsidRPr="003171D8">
        <w:rPr>
          <w:color w:val="auto"/>
          <w:kern w:val="1"/>
          <w:sz w:val="26"/>
          <w:szCs w:val="26"/>
        </w:rPr>
        <w:t xml:space="preserve">  </w:t>
      </w:r>
    </w:p>
    <w:p w:rsidR="00B5655A" w:rsidRPr="003171D8" w:rsidRDefault="00B5655A" w:rsidP="00E14464">
      <w:pPr>
        <w:tabs>
          <w:tab w:val="left" w:pos="-720"/>
        </w:tabs>
        <w:suppressAutoHyphens/>
        <w:spacing w:line="360" w:lineRule="auto"/>
        <w:rPr>
          <w:color w:val="auto"/>
          <w:kern w:val="1"/>
          <w:sz w:val="26"/>
          <w:szCs w:val="26"/>
        </w:rPr>
      </w:pPr>
    </w:p>
    <w:p w:rsidR="00A42AC2" w:rsidRPr="003171D8" w:rsidRDefault="001D3397" w:rsidP="0099376D">
      <w:pPr>
        <w:tabs>
          <w:tab w:val="left" w:pos="-720"/>
        </w:tabs>
        <w:suppressAutoHyphens/>
        <w:spacing w:line="360" w:lineRule="auto"/>
        <w:ind w:firstLine="1440"/>
        <w:rPr>
          <w:color w:val="auto"/>
          <w:kern w:val="1"/>
          <w:sz w:val="26"/>
          <w:szCs w:val="26"/>
        </w:rPr>
      </w:pPr>
      <w:r w:rsidRPr="003171D8">
        <w:rPr>
          <w:color w:val="auto"/>
          <w:kern w:val="1"/>
          <w:sz w:val="26"/>
          <w:szCs w:val="26"/>
        </w:rPr>
        <w:lastRenderedPageBreak/>
        <w:t xml:space="preserve">HPG </w:t>
      </w:r>
      <w:r w:rsidR="00CA54FD" w:rsidRPr="003171D8">
        <w:rPr>
          <w:color w:val="auto"/>
          <w:kern w:val="1"/>
          <w:sz w:val="26"/>
          <w:szCs w:val="26"/>
        </w:rPr>
        <w:t xml:space="preserve">was incorporated in </w:t>
      </w:r>
      <w:r w:rsidRPr="003171D8">
        <w:rPr>
          <w:color w:val="auto"/>
          <w:kern w:val="1"/>
          <w:sz w:val="26"/>
          <w:szCs w:val="26"/>
        </w:rPr>
        <w:t xml:space="preserve">Delaware </w:t>
      </w:r>
      <w:r w:rsidR="00CA54FD" w:rsidRPr="003171D8">
        <w:rPr>
          <w:color w:val="auto"/>
          <w:kern w:val="1"/>
          <w:sz w:val="26"/>
          <w:szCs w:val="26"/>
        </w:rPr>
        <w:t xml:space="preserve">in </w:t>
      </w:r>
      <w:r w:rsidRPr="003171D8">
        <w:rPr>
          <w:color w:val="auto"/>
          <w:kern w:val="1"/>
          <w:sz w:val="26"/>
          <w:szCs w:val="26"/>
        </w:rPr>
        <w:t>April</w:t>
      </w:r>
      <w:r w:rsidR="00CA54FD" w:rsidRPr="003171D8">
        <w:rPr>
          <w:color w:val="auto"/>
          <w:kern w:val="1"/>
          <w:sz w:val="26"/>
          <w:szCs w:val="26"/>
        </w:rPr>
        <w:t xml:space="preserve"> </w:t>
      </w:r>
      <w:r w:rsidRPr="003171D8">
        <w:rPr>
          <w:color w:val="auto"/>
          <w:kern w:val="1"/>
          <w:sz w:val="26"/>
          <w:szCs w:val="26"/>
        </w:rPr>
        <w:t>1999</w:t>
      </w:r>
      <w:r w:rsidR="00CA54FD" w:rsidRPr="003171D8">
        <w:rPr>
          <w:color w:val="auto"/>
          <w:kern w:val="1"/>
          <w:sz w:val="26"/>
          <w:szCs w:val="26"/>
        </w:rPr>
        <w:t xml:space="preserve">.  </w:t>
      </w:r>
      <w:r w:rsidR="00806C85" w:rsidRPr="003171D8">
        <w:rPr>
          <w:color w:val="auto"/>
          <w:kern w:val="1"/>
          <w:sz w:val="26"/>
          <w:szCs w:val="26"/>
        </w:rPr>
        <w:t xml:space="preserve">HPG has supported its affiliate member hospitals in Pennsylvania since 2004 and currently </w:t>
      </w:r>
      <w:r w:rsidR="00B8162F" w:rsidRPr="003171D8">
        <w:rPr>
          <w:color w:val="auto"/>
          <w:kern w:val="1"/>
          <w:sz w:val="26"/>
          <w:szCs w:val="26"/>
        </w:rPr>
        <w:t xml:space="preserve">has </w:t>
      </w:r>
      <w:r w:rsidR="00806C85" w:rsidRPr="003171D8">
        <w:rPr>
          <w:color w:val="auto"/>
          <w:kern w:val="1"/>
          <w:sz w:val="26"/>
          <w:szCs w:val="26"/>
        </w:rPr>
        <w:t xml:space="preserve">25 member facilities </w:t>
      </w:r>
      <w:r w:rsidR="00B8162F" w:rsidRPr="003171D8">
        <w:rPr>
          <w:color w:val="auto"/>
          <w:kern w:val="1"/>
          <w:sz w:val="26"/>
          <w:szCs w:val="26"/>
        </w:rPr>
        <w:t xml:space="preserve">that </w:t>
      </w:r>
      <w:r w:rsidR="00806C85" w:rsidRPr="003171D8">
        <w:rPr>
          <w:color w:val="auto"/>
          <w:kern w:val="1"/>
          <w:sz w:val="26"/>
          <w:szCs w:val="26"/>
        </w:rPr>
        <w:t xml:space="preserve">use HPG </w:t>
      </w:r>
      <w:r w:rsidR="0077281B">
        <w:rPr>
          <w:color w:val="auto"/>
          <w:kern w:val="1"/>
          <w:sz w:val="26"/>
          <w:szCs w:val="26"/>
        </w:rPr>
        <w:t xml:space="preserve">natural gas </w:t>
      </w:r>
      <w:r w:rsidR="00806C85" w:rsidRPr="003171D8">
        <w:rPr>
          <w:color w:val="auto"/>
          <w:kern w:val="1"/>
          <w:sz w:val="26"/>
          <w:szCs w:val="26"/>
        </w:rPr>
        <w:t>cont</w:t>
      </w:r>
      <w:r w:rsidR="0077281B">
        <w:rPr>
          <w:color w:val="auto"/>
          <w:kern w:val="1"/>
          <w:sz w:val="26"/>
          <w:szCs w:val="26"/>
        </w:rPr>
        <w:t>r</w:t>
      </w:r>
      <w:r w:rsidR="00806C85" w:rsidRPr="003171D8">
        <w:rPr>
          <w:color w:val="auto"/>
          <w:kern w:val="1"/>
          <w:sz w:val="26"/>
          <w:szCs w:val="26"/>
        </w:rPr>
        <w:t xml:space="preserve">acts.  </w:t>
      </w:r>
      <w:r w:rsidR="00B5655A" w:rsidRPr="003171D8">
        <w:rPr>
          <w:color w:val="auto"/>
          <w:kern w:val="1"/>
          <w:sz w:val="26"/>
          <w:szCs w:val="26"/>
        </w:rPr>
        <w:t xml:space="preserve">Based on </w:t>
      </w:r>
      <w:r w:rsidR="005E79F9" w:rsidRPr="003171D8">
        <w:rPr>
          <w:color w:val="auto"/>
          <w:kern w:val="1"/>
          <w:sz w:val="26"/>
          <w:szCs w:val="26"/>
        </w:rPr>
        <w:t>HPG</w:t>
      </w:r>
      <w:r w:rsidR="00D5737B" w:rsidRPr="003171D8">
        <w:rPr>
          <w:color w:val="auto"/>
          <w:kern w:val="1"/>
          <w:sz w:val="26"/>
          <w:szCs w:val="26"/>
        </w:rPr>
        <w:t>’s</w:t>
      </w:r>
      <w:r w:rsidR="00B5655A" w:rsidRPr="003171D8">
        <w:rPr>
          <w:color w:val="auto"/>
          <w:kern w:val="1"/>
          <w:sz w:val="26"/>
          <w:szCs w:val="26"/>
        </w:rPr>
        <w:t xml:space="preserve"> </w:t>
      </w:r>
      <w:r w:rsidR="00D5737B" w:rsidRPr="003171D8">
        <w:rPr>
          <w:color w:val="auto"/>
          <w:kern w:val="1"/>
          <w:sz w:val="26"/>
          <w:szCs w:val="26"/>
        </w:rPr>
        <w:t>expertise and financial information</w:t>
      </w:r>
      <w:r w:rsidR="002C7616" w:rsidRPr="003171D8">
        <w:rPr>
          <w:color w:val="auto"/>
          <w:kern w:val="1"/>
          <w:sz w:val="26"/>
          <w:szCs w:val="26"/>
        </w:rPr>
        <w:t xml:space="preserve">, at this time it appears that </w:t>
      </w:r>
      <w:r w:rsidR="005E79F9" w:rsidRPr="003171D8">
        <w:rPr>
          <w:color w:val="auto"/>
          <w:kern w:val="1"/>
          <w:sz w:val="26"/>
          <w:szCs w:val="26"/>
        </w:rPr>
        <w:t>HPG</w:t>
      </w:r>
      <w:r w:rsidR="002C7616" w:rsidRPr="003171D8">
        <w:rPr>
          <w:color w:val="auto"/>
          <w:kern w:val="1"/>
          <w:sz w:val="26"/>
          <w:szCs w:val="26"/>
        </w:rPr>
        <w:t xml:space="preserve"> is </w:t>
      </w:r>
      <w:r w:rsidR="002C3BC4" w:rsidRPr="003171D8">
        <w:rPr>
          <w:color w:val="auto"/>
          <w:kern w:val="1"/>
          <w:sz w:val="26"/>
          <w:szCs w:val="26"/>
        </w:rPr>
        <w:t>qualified</w:t>
      </w:r>
      <w:r w:rsidR="002C7616" w:rsidRPr="003171D8">
        <w:rPr>
          <w:color w:val="auto"/>
          <w:kern w:val="1"/>
          <w:sz w:val="26"/>
          <w:szCs w:val="26"/>
        </w:rPr>
        <w:t xml:space="preserve"> to supply natural gas supply services</w:t>
      </w:r>
      <w:r w:rsidR="00155C9C">
        <w:rPr>
          <w:color w:val="auto"/>
          <w:kern w:val="1"/>
          <w:sz w:val="26"/>
          <w:szCs w:val="26"/>
        </w:rPr>
        <w:t xml:space="preserve"> as a broker/marketer</w:t>
      </w:r>
      <w:r w:rsidR="002C7616" w:rsidRPr="003171D8">
        <w:rPr>
          <w:color w:val="auto"/>
          <w:kern w:val="1"/>
          <w:sz w:val="26"/>
          <w:szCs w:val="26"/>
        </w:rPr>
        <w:t>.</w:t>
      </w:r>
    </w:p>
    <w:p w:rsidR="002C7616" w:rsidRPr="00620D6E" w:rsidRDefault="002C7616" w:rsidP="00E14464">
      <w:pPr>
        <w:tabs>
          <w:tab w:val="left" w:pos="-720"/>
        </w:tabs>
        <w:suppressAutoHyphens/>
        <w:spacing w:line="360" w:lineRule="auto"/>
        <w:rPr>
          <w:rFonts w:cs="Tahoma"/>
          <w:color w:val="auto"/>
          <w:sz w:val="26"/>
          <w:szCs w:val="26"/>
        </w:rPr>
      </w:pPr>
    </w:p>
    <w:p w:rsidR="0099376D" w:rsidRPr="00620D6E" w:rsidRDefault="00B065FE" w:rsidP="0099376D">
      <w:pPr>
        <w:tabs>
          <w:tab w:val="left" w:pos="0"/>
        </w:tabs>
        <w:suppressAutoHyphens/>
        <w:spacing w:line="360" w:lineRule="auto"/>
        <w:ind w:firstLine="1440"/>
        <w:rPr>
          <w:color w:val="auto"/>
          <w:spacing w:val="-3"/>
          <w:sz w:val="26"/>
          <w:szCs w:val="26"/>
        </w:rPr>
      </w:pPr>
      <w:r w:rsidRPr="00620D6E">
        <w:rPr>
          <w:color w:val="auto"/>
          <w:spacing w:val="-3"/>
          <w:kern w:val="1"/>
          <w:sz w:val="26"/>
          <w:szCs w:val="26"/>
        </w:rPr>
        <w:t xml:space="preserve">Section 2208(c)(1), 66 </w:t>
      </w:r>
      <w:smartTag w:uri="urn:schemas-microsoft-com:office:smarttags" w:element="place">
        <w:smartTag w:uri="urn:schemas-microsoft-com:office:smarttags" w:element="State">
          <w:r w:rsidRPr="00620D6E">
            <w:rPr>
              <w:color w:val="auto"/>
              <w:spacing w:val="-3"/>
              <w:kern w:val="1"/>
              <w:sz w:val="26"/>
              <w:szCs w:val="26"/>
            </w:rPr>
            <w:t>Pa.</w:t>
          </w:r>
        </w:smartTag>
      </w:smartTag>
      <w:r w:rsidRPr="00620D6E">
        <w:rPr>
          <w:color w:val="auto"/>
          <w:spacing w:val="-3"/>
          <w:kern w:val="1"/>
          <w:sz w:val="26"/>
          <w:szCs w:val="26"/>
        </w:rPr>
        <w:t xml:space="preserve"> C.S. §2208(c)(1), provides that a natural gas supplier license shall not be issued unless the applicant furnishes a bond or other security in a form and amount to ensure its financial responsibility.  The criteria used to establish the form and amount of the bond or other security is set forth in the natural gas distribution company’s tariff.  The amount and form of the bond or other security may also be mutually agreed to between the natural gas distribution company and the natural gas supplier.  Section 2208 also provides that should the parties fail to achieve an agreement, then the form and amount of bond or other financial security “shall be determined by criteria approved by the Commission.”  </w:t>
      </w:r>
      <w:r w:rsidR="00284935">
        <w:rPr>
          <w:color w:val="auto"/>
          <w:sz w:val="26"/>
          <w:szCs w:val="26"/>
        </w:rPr>
        <w:t xml:space="preserve">HPG </w:t>
      </w:r>
      <w:r w:rsidR="00D405F0" w:rsidRPr="00620D6E">
        <w:rPr>
          <w:color w:val="auto"/>
          <w:spacing w:val="-3"/>
          <w:kern w:val="1"/>
          <w:sz w:val="26"/>
          <w:szCs w:val="26"/>
        </w:rPr>
        <w:t xml:space="preserve">has </w:t>
      </w:r>
      <w:r w:rsidRPr="00620D6E">
        <w:rPr>
          <w:color w:val="auto"/>
          <w:sz w:val="26"/>
          <w:szCs w:val="26"/>
        </w:rPr>
        <w:t>provided documentation to evidence its compliance with the Section 2208(c) bonding requirement for the following natural gas distribution compan</w:t>
      </w:r>
      <w:r w:rsidR="00A96F3F" w:rsidRPr="00620D6E">
        <w:rPr>
          <w:color w:val="auto"/>
          <w:sz w:val="26"/>
          <w:szCs w:val="26"/>
        </w:rPr>
        <w:t>y</w:t>
      </w:r>
      <w:r w:rsidR="00AB7A76">
        <w:rPr>
          <w:color w:val="auto"/>
          <w:sz w:val="26"/>
          <w:szCs w:val="26"/>
        </w:rPr>
        <w:t xml:space="preserve"> service territor</w:t>
      </w:r>
      <w:r w:rsidR="0019021F">
        <w:rPr>
          <w:color w:val="auto"/>
          <w:sz w:val="26"/>
          <w:szCs w:val="26"/>
        </w:rPr>
        <w:t>y(s)</w:t>
      </w:r>
      <w:r w:rsidR="004128A8" w:rsidRPr="00620D6E">
        <w:rPr>
          <w:color w:val="auto"/>
          <w:sz w:val="26"/>
          <w:szCs w:val="26"/>
        </w:rPr>
        <w:t>:</w:t>
      </w:r>
      <w:r w:rsidRPr="00620D6E">
        <w:rPr>
          <w:color w:val="auto"/>
          <w:sz w:val="26"/>
          <w:szCs w:val="26"/>
        </w:rPr>
        <w:t xml:space="preserve"> </w:t>
      </w:r>
      <w:r w:rsidRPr="00620D6E">
        <w:rPr>
          <w:color w:val="auto"/>
          <w:spacing w:val="-3"/>
          <w:sz w:val="26"/>
          <w:szCs w:val="26"/>
        </w:rPr>
        <w:t xml:space="preserve"> </w:t>
      </w:r>
      <w:r w:rsidR="006F7A57">
        <w:rPr>
          <w:color w:val="auto"/>
          <w:spacing w:val="-3"/>
          <w:sz w:val="26"/>
          <w:szCs w:val="26"/>
        </w:rPr>
        <w:t>Columbia Gas of Pennsylvania, Inc., Equitable Gas Company, National Fuel Gas Distribution Corp, PECO Energy, Peoples Natural Gas Company, Peoples TWP LLC, Philadelphia Gas Works, UGI Central Penn, UGI Penn Natural, UGI Utilities Inc. and Valley Energy Inc.</w:t>
      </w:r>
    </w:p>
    <w:p w:rsidR="004E2E63" w:rsidRDefault="004E2E63">
      <w:pPr>
        <w:tabs>
          <w:tab w:val="left" w:pos="0"/>
        </w:tabs>
        <w:suppressAutoHyphens/>
        <w:spacing w:line="360" w:lineRule="auto"/>
        <w:rPr>
          <w:color w:val="auto"/>
          <w:spacing w:val="-3"/>
          <w:sz w:val="26"/>
          <w:szCs w:val="26"/>
        </w:rPr>
      </w:pPr>
    </w:p>
    <w:p w:rsidR="004858D7" w:rsidRDefault="004858D7" w:rsidP="004858D7">
      <w:pPr>
        <w:tabs>
          <w:tab w:val="left" w:pos="0"/>
        </w:tabs>
        <w:suppressAutoHyphens/>
        <w:spacing w:line="360" w:lineRule="auto"/>
        <w:ind w:firstLine="1440"/>
        <w:rPr>
          <w:color w:val="auto"/>
          <w:spacing w:val="-3"/>
          <w:kern w:val="1"/>
          <w:sz w:val="26"/>
          <w:szCs w:val="26"/>
        </w:rPr>
      </w:pPr>
      <w:r w:rsidRPr="00574128">
        <w:rPr>
          <w:color w:val="auto"/>
          <w:spacing w:val="-3"/>
          <w:kern w:val="1"/>
          <w:sz w:val="26"/>
          <w:szCs w:val="26"/>
        </w:rPr>
        <w:t xml:space="preserve">Additionally, we </w:t>
      </w:r>
      <w:r>
        <w:rPr>
          <w:color w:val="auto"/>
          <w:spacing w:val="-3"/>
          <w:kern w:val="1"/>
          <w:sz w:val="26"/>
          <w:szCs w:val="26"/>
        </w:rPr>
        <w:t>specifically note that</w:t>
      </w:r>
      <w:r w:rsidRPr="00574128">
        <w:rPr>
          <w:color w:val="auto"/>
          <w:spacing w:val="-3"/>
          <w:kern w:val="1"/>
          <w:sz w:val="26"/>
          <w:szCs w:val="26"/>
        </w:rPr>
        <w:t xml:space="preserve"> the licensee </w:t>
      </w:r>
      <w:r>
        <w:rPr>
          <w:color w:val="auto"/>
          <w:spacing w:val="-3"/>
          <w:kern w:val="1"/>
          <w:sz w:val="26"/>
          <w:szCs w:val="26"/>
        </w:rPr>
        <w:t xml:space="preserve">must comply with, and ensure </w:t>
      </w:r>
      <w:r w:rsidRPr="00574128">
        <w:rPr>
          <w:color w:val="auto"/>
          <w:spacing w:val="-3"/>
          <w:kern w:val="1"/>
          <w:sz w:val="26"/>
          <w:szCs w:val="26"/>
        </w:rPr>
        <w:t>that its employees</w:t>
      </w:r>
      <w:r>
        <w:rPr>
          <w:color w:val="auto"/>
          <w:spacing w:val="-3"/>
          <w:kern w:val="1"/>
          <w:sz w:val="26"/>
          <w:szCs w:val="26"/>
        </w:rPr>
        <w:t>, agents, representatives and independent contractors comply with the standards of conduct</w:t>
      </w:r>
      <w:r w:rsidRPr="00574128">
        <w:rPr>
          <w:color w:val="auto"/>
          <w:spacing w:val="-3"/>
          <w:kern w:val="1"/>
          <w:sz w:val="26"/>
          <w:szCs w:val="26"/>
        </w:rPr>
        <w:t xml:space="preserve"> </w:t>
      </w:r>
      <w:r>
        <w:rPr>
          <w:color w:val="auto"/>
          <w:spacing w:val="-3"/>
          <w:kern w:val="1"/>
          <w:sz w:val="26"/>
          <w:szCs w:val="26"/>
        </w:rPr>
        <w:t xml:space="preserve">and disclosure for licensees set out in Commission regulations at 52 Pa. Code § 62.114 that were enacted to protect consumers of this Commonwealth.  These standards include, </w:t>
      </w:r>
      <w:r w:rsidRPr="00AE440D">
        <w:rPr>
          <w:i/>
          <w:color w:val="auto"/>
          <w:spacing w:val="-3"/>
          <w:kern w:val="1"/>
          <w:sz w:val="26"/>
          <w:szCs w:val="26"/>
        </w:rPr>
        <w:t>inter alia</w:t>
      </w:r>
      <w:r>
        <w:rPr>
          <w:color w:val="auto"/>
          <w:spacing w:val="-3"/>
          <w:kern w:val="1"/>
          <w:sz w:val="26"/>
          <w:szCs w:val="26"/>
        </w:rPr>
        <w:t>, the provision of timely and accurate information</w:t>
      </w:r>
      <w:r w:rsidRPr="00574128">
        <w:rPr>
          <w:color w:val="auto"/>
          <w:spacing w:val="-3"/>
          <w:kern w:val="1"/>
          <w:sz w:val="26"/>
          <w:szCs w:val="26"/>
        </w:rPr>
        <w:t xml:space="preserve"> </w:t>
      </w:r>
      <w:r>
        <w:rPr>
          <w:color w:val="auto"/>
          <w:spacing w:val="-3"/>
          <w:kern w:val="1"/>
          <w:sz w:val="26"/>
          <w:szCs w:val="26"/>
        </w:rPr>
        <w:t xml:space="preserve">about the services offered by the licensee, the practice of nondiscrimination in service in regard to race, color, religion, national origin, marital status, etc., the safeguarding of a customer’s personal information, and compliance with applicable state and federal consumer protection </w:t>
      </w:r>
      <w:r>
        <w:rPr>
          <w:color w:val="auto"/>
          <w:spacing w:val="-3"/>
          <w:kern w:val="1"/>
          <w:sz w:val="26"/>
          <w:szCs w:val="26"/>
        </w:rPr>
        <w:lastRenderedPageBreak/>
        <w:t>laws.  Also, we take this opportunity to remind the licensee of its agreement to abide</w:t>
      </w:r>
      <w:r w:rsidRPr="00574128">
        <w:rPr>
          <w:color w:val="auto"/>
          <w:spacing w:val="-3"/>
          <w:kern w:val="1"/>
          <w:sz w:val="26"/>
          <w:szCs w:val="26"/>
        </w:rPr>
        <w:t xml:space="preserve"> by</w:t>
      </w:r>
      <w:r>
        <w:rPr>
          <w:color w:val="auto"/>
          <w:spacing w:val="-3"/>
          <w:kern w:val="1"/>
          <w:sz w:val="26"/>
          <w:szCs w:val="26"/>
        </w:rPr>
        <w:t>, and to ensure that its employees, representatives, agents and independent contractors abide by all applicable federal and state laws, and Commission regulations, procedures, and orders</w:t>
      </w:r>
      <w:r w:rsidRPr="00574128">
        <w:rPr>
          <w:color w:val="auto"/>
          <w:spacing w:val="-3"/>
          <w:kern w:val="1"/>
          <w:sz w:val="26"/>
          <w:szCs w:val="26"/>
        </w:rPr>
        <w:t>, including Emergency Orders</w:t>
      </w:r>
      <w:r>
        <w:rPr>
          <w:color w:val="auto"/>
          <w:spacing w:val="-3"/>
          <w:kern w:val="1"/>
          <w:sz w:val="26"/>
          <w:szCs w:val="26"/>
        </w:rPr>
        <w:t>,</w:t>
      </w:r>
      <w:r w:rsidRPr="00574128">
        <w:rPr>
          <w:color w:val="auto"/>
          <w:spacing w:val="-3"/>
          <w:kern w:val="1"/>
          <w:sz w:val="26"/>
          <w:szCs w:val="26"/>
        </w:rPr>
        <w:t xml:space="preserve"> which may be issued verbally or in writing during any emergency situations that may </w:t>
      </w:r>
      <w:r>
        <w:rPr>
          <w:color w:val="auto"/>
          <w:spacing w:val="-3"/>
          <w:kern w:val="1"/>
          <w:sz w:val="26"/>
          <w:szCs w:val="26"/>
        </w:rPr>
        <w:t xml:space="preserve">unexpectedly </w:t>
      </w:r>
      <w:r w:rsidRPr="00574128">
        <w:rPr>
          <w:color w:val="auto"/>
          <w:spacing w:val="-3"/>
          <w:kern w:val="1"/>
          <w:sz w:val="26"/>
          <w:szCs w:val="26"/>
        </w:rPr>
        <w:t>develop from time to time in the course of doing business.</w:t>
      </w:r>
    </w:p>
    <w:p w:rsidR="004335F0" w:rsidRPr="00620D6E" w:rsidRDefault="004335F0" w:rsidP="004858D7">
      <w:pPr>
        <w:tabs>
          <w:tab w:val="left" w:pos="0"/>
        </w:tabs>
        <w:suppressAutoHyphens/>
        <w:spacing w:line="360" w:lineRule="auto"/>
        <w:ind w:firstLine="1440"/>
        <w:rPr>
          <w:color w:val="auto"/>
          <w:spacing w:val="-3"/>
          <w:kern w:val="1"/>
          <w:sz w:val="26"/>
          <w:szCs w:val="26"/>
        </w:rPr>
      </w:pPr>
    </w:p>
    <w:p w:rsidR="004D5A0C" w:rsidRDefault="00FC1B12" w:rsidP="00FC1B12">
      <w:pPr>
        <w:tabs>
          <w:tab w:val="left" w:pos="0"/>
        </w:tabs>
        <w:suppressAutoHyphens/>
        <w:spacing w:line="360" w:lineRule="auto"/>
        <w:rPr>
          <w:color w:val="auto"/>
          <w:spacing w:val="-3"/>
          <w:sz w:val="26"/>
          <w:szCs w:val="26"/>
        </w:rPr>
      </w:pPr>
      <w:r>
        <w:rPr>
          <w:color w:val="FF0000"/>
          <w:spacing w:val="-3"/>
          <w:sz w:val="26"/>
          <w:szCs w:val="26"/>
        </w:rPr>
        <w:tab/>
      </w:r>
      <w:r>
        <w:rPr>
          <w:color w:val="FF0000"/>
          <w:spacing w:val="-3"/>
          <w:sz w:val="26"/>
          <w:szCs w:val="26"/>
        </w:rPr>
        <w:tab/>
      </w:r>
      <w:r w:rsidR="00284935">
        <w:rPr>
          <w:color w:val="auto"/>
          <w:sz w:val="26"/>
          <w:szCs w:val="26"/>
        </w:rPr>
        <w:t xml:space="preserve">HPG </w:t>
      </w:r>
      <w:r w:rsidRPr="00620D6E">
        <w:rPr>
          <w:color w:val="auto"/>
          <w:spacing w:val="-3"/>
          <w:sz w:val="26"/>
          <w:szCs w:val="26"/>
        </w:rPr>
        <w:t>has published notice of its application in the Pennsylvania newspaper</w:t>
      </w:r>
      <w:r w:rsidR="00924A15">
        <w:rPr>
          <w:color w:val="auto"/>
          <w:spacing w:val="-3"/>
          <w:sz w:val="26"/>
          <w:szCs w:val="26"/>
        </w:rPr>
        <w:t>s</w:t>
      </w:r>
      <w:r w:rsidR="00155C9C">
        <w:rPr>
          <w:color w:val="auto"/>
          <w:spacing w:val="-3"/>
          <w:sz w:val="26"/>
          <w:szCs w:val="26"/>
        </w:rPr>
        <w:t xml:space="preserve"> </w:t>
      </w:r>
      <w:r w:rsidR="001114AD">
        <w:rPr>
          <w:color w:val="auto"/>
          <w:spacing w:val="-3"/>
          <w:sz w:val="26"/>
          <w:szCs w:val="26"/>
        </w:rPr>
        <w:t xml:space="preserve">and </w:t>
      </w:r>
      <w:r w:rsidR="001114AD" w:rsidRPr="00267FA7">
        <w:rPr>
          <w:color w:val="auto"/>
          <w:kern w:val="1"/>
          <w:sz w:val="26"/>
          <w:szCs w:val="26"/>
        </w:rPr>
        <w:t>proofs of service to the interested parties as required by the Commission.</w:t>
      </w:r>
      <w:r w:rsidR="004D5A0C">
        <w:rPr>
          <w:color w:val="auto"/>
          <w:spacing w:val="-3"/>
          <w:sz w:val="26"/>
          <w:szCs w:val="26"/>
        </w:rPr>
        <w:tab/>
      </w:r>
      <w:r w:rsidR="004D5A0C">
        <w:rPr>
          <w:color w:val="auto"/>
          <w:spacing w:val="-3"/>
          <w:sz w:val="26"/>
          <w:szCs w:val="26"/>
        </w:rPr>
        <w:tab/>
      </w:r>
    </w:p>
    <w:p w:rsidR="00FC1B12" w:rsidRPr="00620D6E" w:rsidRDefault="00FC1B12">
      <w:pPr>
        <w:tabs>
          <w:tab w:val="left" w:pos="0"/>
        </w:tabs>
        <w:suppressAutoHyphens/>
        <w:spacing w:line="360" w:lineRule="auto"/>
        <w:rPr>
          <w:color w:val="auto"/>
          <w:spacing w:val="-3"/>
          <w:sz w:val="26"/>
          <w:szCs w:val="26"/>
        </w:rPr>
      </w:pPr>
    </w:p>
    <w:p w:rsidR="00B065FE" w:rsidRPr="00620D6E" w:rsidRDefault="00284935" w:rsidP="00E17D5D">
      <w:pPr>
        <w:tabs>
          <w:tab w:val="left" w:pos="0"/>
        </w:tabs>
        <w:suppressAutoHyphens/>
        <w:spacing w:line="360" w:lineRule="auto"/>
        <w:ind w:firstLine="1440"/>
        <w:rPr>
          <w:color w:val="auto"/>
          <w:spacing w:val="-3"/>
          <w:sz w:val="26"/>
          <w:szCs w:val="26"/>
        </w:rPr>
      </w:pPr>
      <w:r>
        <w:rPr>
          <w:color w:val="auto"/>
          <w:sz w:val="26"/>
          <w:szCs w:val="26"/>
        </w:rPr>
        <w:t xml:space="preserve">HPG </w:t>
      </w:r>
      <w:r w:rsidR="00B065FE" w:rsidRPr="00620D6E">
        <w:rPr>
          <w:color w:val="auto"/>
          <w:spacing w:val="-3"/>
          <w:sz w:val="26"/>
          <w:szCs w:val="26"/>
        </w:rPr>
        <w:t>has provided the required Pennsylvania Emergency Management Agency (“PEMA”) contact information.</w:t>
      </w:r>
    </w:p>
    <w:p w:rsidR="00B065FE" w:rsidRPr="00620D6E" w:rsidRDefault="00B065FE">
      <w:pPr>
        <w:tabs>
          <w:tab w:val="left" w:pos="0"/>
        </w:tabs>
        <w:suppressAutoHyphens/>
        <w:spacing w:line="360" w:lineRule="auto"/>
        <w:jc w:val="both"/>
        <w:rPr>
          <w:color w:val="auto"/>
          <w:spacing w:val="-3"/>
          <w:kern w:val="1"/>
          <w:sz w:val="26"/>
          <w:szCs w:val="26"/>
        </w:rPr>
      </w:pPr>
    </w:p>
    <w:p w:rsidR="00B065FE" w:rsidRPr="00620D6E" w:rsidRDefault="00B065FE" w:rsidP="00E17D5D">
      <w:pPr>
        <w:tabs>
          <w:tab w:val="left" w:pos="0"/>
        </w:tabs>
        <w:suppressAutoHyphens/>
        <w:spacing w:line="360" w:lineRule="auto"/>
        <w:ind w:firstLine="1440"/>
        <w:jc w:val="both"/>
        <w:rPr>
          <w:color w:val="auto"/>
          <w:spacing w:val="-3"/>
          <w:kern w:val="1"/>
          <w:sz w:val="26"/>
          <w:szCs w:val="26"/>
        </w:rPr>
      </w:pPr>
      <w:r w:rsidRPr="00620D6E">
        <w:rPr>
          <w:color w:val="auto"/>
          <w:spacing w:val="-3"/>
          <w:kern w:val="1"/>
          <w:sz w:val="26"/>
          <w:szCs w:val="26"/>
        </w:rPr>
        <w:t xml:space="preserve">As of </w:t>
      </w:r>
      <w:r w:rsidR="00532FBE">
        <w:rPr>
          <w:color w:val="auto"/>
          <w:spacing w:val="-3"/>
          <w:kern w:val="1"/>
          <w:sz w:val="26"/>
          <w:szCs w:val="26"/>
        </w:rPr>
        <w:t>December</w:t>
      </w:r>
      <w:r w:rsidR="00284935">
        <w:rPr>
          <w:color w:val="auto"/>
          <w:spacing w:val="-3"/>
          <w:kern w:val="1"/>
          <w:sz w:val="26"/>
          <w:szCs w:val="26"/>
        </w:rPr>
        <w:t xml:space="preserve"> </w:t>
      </w:r>
      <w:r w:rsidR="00532FBE">
        <w:rPr>
          <w:color w:val="auto"/>
          <w:spacing w:val="-3"/>
          <w:kern w:val="1"/>
          <w:sz w:val="26"/>
          <w:szCs w:val="26"/>
        </w:rPr>
        <w:t>11</w:t>
      </w:r>
      <w:r w:rsidR="00284935">
        <w:rPr>
          <w:color w:val="auto"/>
          <w:spacing w:val="-3"/>
          <w:kern w:val="1"/>
          <w:sz w:val="26"/>
          <w:szCs w:val="26"/>
        </w:rPr>
        <w:t xml:space="preserve">, 2012, </w:t>
      </w:r>
      <w:r w:rsidRPr="00620D6E">
        <w:rPr>
          <w:color w:val="auto"/>
          <w:spacing w:val="-3"/>
          <w:kern w:val="1"/>
          <w:sz w:val="26"/>
          <w:szCs w:val="26"/>
        </w:rPr>
        <w:t>no protests have been filed.</w:t>
      </w:r>
    </w:p>
    <w:p w:rsidR="00B065FE" w:rsidRPr="00620D6E" w:rsidRDefault="00B065FE">
      <w:pPr>
        <w:tabs>
          <w:tab w:val="left" w:pos="0"/>
        </w:tabs>
        <w:suppressAutoHyphens/>
        <w:spacing w:line="360" w:lineRule="auto"/>
        <w:jc w:val="both"/>
        <w:rPr>
          <w:color w:val="auto"/>
          <w:spacing w:val="-3"/>
          <w:kern w:val="1"/>
          <w:sz w:val="26"/>
          <w:szCs w:val="26"/>
        </w:rPr>
      </w:pPr>
    </w:p>
    <w:p w:rsidR="00B065FE" w:rsidRPr="00620D6E" w:rsidRDefault="00B065FE" w:rsidP="00E14464">
      <w:pPr>
        <w:tabs>
          <w:tab w:val="left" w:pos="0"/>
        </w:tabs>
        <w:suppressAutoHyphens/>
        <w:spacing w:line="360" w:lineRule="auto"/>
        <w:ind w:firstLine="1440"/>
        <w:rPr>
          <w:color w:val="auto"/>
          <w:spacing w:val="-3"/>
          <w:kern w:val="1"/>
          <w:sz w:val="26"/>
          <w:szCs w:val="26"/>
        </w:rPr>
      </w:pPr>
      <w:r w:rsidRPr="00620D6E">
        <w:rPr>
          <w:color w:val="auto"/>
          <w:spacing w:val="-3"/>
          <w:kern w:val="1"/>
          <w:sz w:val="26"/>
          <w:szCs w:val="26"/>
        </w:rPr>
        <w:t>We find that</w:t>
      </w:r>
      <w:r w:rsidR="00A42AC2" w:rsidRPr="00620D6E">
        <w:rPr>
          <w:color w:val="auto"/>
          <w:spacing w:val="-3"/>
          <w:kern w:val="1"/>
          <w:sz w:val="26"/>
          <w:szCs w:val="26"/>
        </w:rPr>
        <w:t xml:space="preserve"> </w:t>
      </w:r>
      <w:r w:rsidR="006F7A57" w:rsidRPr="00381055">
        <w:rPr>
          <w:color w:val="auto"/>
          <w:sz w:val="26"/>
          <w:szCs w:val="26"/>
        </w:rPr>
        <w:t>HealthTrust Purchasing Group, L.P.</w:t>
      </w:r>
      <w:r w:rsidR="006F7A57">
        <w:rPr>
          <w:color w:val="auto"/>
          <w:sz w:val="26"/>
          <w:szCs w:val="26"/>
        </w:rPr>
        <w:t>:</w:t>
      </w:r>
    </w:p>
    <w:p w:rsidR="00B065FE" w:rsidRPr="00620D6E" w:rsidRDefault="00B065FE">
      <w:pPr>
        <w:suppressAutoHyphens/>
        <w:spacing w:line="360" w:lineRule="auto"/>
        <w:ind w:left="1080" w:hanging="1080"/>
        <w:rPr>
          <w:color w:val="auto"/>
          <w:spacing w:val="-3"/>
          <w:kern w:val="1"/>
          <w:sz w:val="26"/>
          <w:szCs w:val="26"/>
        </w:rPr>
      </w:pPr>
    </w:p>
    <w:p w:rsidR="00B065FE" w:rsidRPr="00620D6E" w:rsidRDefault="00B065FE" w:rsidP="00AF7B81">
      <w:pPr>
        <w:pStyle w:val="BodyTextIndent"/>
        <w:ind w:left="0" w:firstLine="1440"/>
        <w:jc w:val="left"/>
        <w:rPr>
          <w:color w:val="auto"/>
          <w:szCs w:val="26"/>
        </w:rPr>
      </w:pPr>
      <w:r w:rsidRPr="00620D6E">
        <w:rPr>
          <w:color w:val="auto"/>
          <w:szCs w:val="26"/>
        </w:rPr>
        <w:t>1.</w:t>
      </w:r>
      <w:r w:rsidRPr="00620D6E">
        <w:rPr>
          <w:color w:val="auto"/>
          <w:szCs w:val="26"/>
        </w:rPr>
        <w:tab/>
        <w:t xml:space="preserve">Is fit, willing and able to properly </w:t>
      </w:r>
      <w:r w:rsidR="00AF7B81" w:rsidRPr="00620D6E">
        <w:rPr>
          <w:color w:val="auto"/>
          <w:szCs w:val="26"/>
        </w:rPr>
        <w:t xml:space="preserve">perform the service proposed in </w:t>
      </w:r>
      <w:r w:rsidRPr="00620D6E">
        <w:rPr>
          <w:color w:val="auto"/>
          <w:szCs w:val="26"/>
        </w:rPr>
        <w:t>conformance with applicable provisions of the Public Utility Code and the Commission orders and regulations, specifically including 52 Pa. Code Chapter 56 (relating to Standards and Billing Practices for Residential Utility Service).</w:t>
      </w:r>
    </w:p>
    <w:p w:rsidR="00B065FE" w:rsidRPr="00620D6E" w:rsidRDefault="00B065FE" w:rsidP="00E17D5D">
      <w:pPr>
        <w:suppressAutoHyphens/>
        <w:spacing w:line="360" w:lineRule="auto"/>
        <w:ind w:left="1080" w:hanging="1080"/>
        <w:rPr>
          <w:color w:val="auto"/>
          <w:spacing w:val="-3"/>
          <w:kern w:val="1"/>
          <w:sz w:val="26"/>
          <w:szCs w:val="26"/>
        </w:rPr>
      </w:pPr>
    </w:p>
    <w:p w:rsidR="00B065FE" w:rsidRPr="00620D6E" w:rsidRDefault="00B065FE" w:rsidP="00AF7B81">
      <w:pPr>
        <w:pStyle w:val="BodyTextIndent3"/>
        <w:ind w:left="0" w:firstLine="1440"/>
        <w:rPr>
          <w:color w:val="auto"/>
          <w:szCs w:val="26"/>
        </w:rPr>
      </w:pPr>
      <w:r w:rsidRPr="00620D6E">
        <w:rPr>
          <w:color w:val="auto"/>
          <w:szCs w:val="26"/>
        </w:rPr>
        <w:t>2.</w:t>
      </w:r>
      <w:r w:rsidRPr="00620D6E">
        <w:rPr>
          <w:color w:val="auto"/>
          <w:szCs w:val="26"/>
        </w:rPr>
        <w:tab/>
        <w:t>Has agreed to abide by all Commission regulations, procedures and orders, including Emergency Orders</w:t>
      </w:r>
      <w:r w:rsidR="00AF7B81" w:rsidRPr="00620D6E">
        <w:rPr>
          <w:color w:val="auto"/>
          <w:szCs w:val="26"/>
        </w:rPr>
        <w:t>,</w:t>
      </w:r>
      <w:r w:rsidRPr="00620D6E">
        <w:rPr>
          <w:color w:val="auto"/>
          <w:szCs w:val="26"/>
        </w:rPr>
        <w:t xml:space="preserve"> which may be issued verbally or in writing during any emergency situations that may develop from time</w:t>
      </w:r>
      <w:r w:rsidR="00CD03C5" w:rsidRPr="00620D6E">
        <w:rPr>
          <w:color w:val="auto"/>
          <w:szCs w:val="26"/>
        </w:rPr>
        <w:t xml:space="preserve"> </w:t>
      </w:r>
      <w:r w:rsidRPr="00620D6E">
        <w:rPr>
          <w:color w:val="auto"/>
          <w:szCs w:val="26"/>
        </w:rPr>
        <w:t>to</w:t>
      </w:r>
      <w:r w:rsidR="00CD03C5" w:rsidRPr="00620D6E">
        <w:rPr>
          <w:color w:val="auto"/>
          <w:szCs w:val="26"/>
        </w:rPr>
        <w:t xml:space="preserve"> </w:t>
      </w:r>
      <w:r w:rsidRPr="00620D6E">
        <w:rPr>
          <w:color w:val="auto"/>
          <w:szCs w:val="26"/>
        </w:rPr>
        <w:t xml:space="preserve">time in the course of doing business in </w:t>
      </w:r>
      <w:smartTag w:uri="urn:schemas-microsoft-com:office:smarttags" w:element="State">
        <w:smartTag w:uri="urn:schemas-microsoft-com:office:smarttags" w:element="place">
          <w:r w:rsidRPr="00620D6E">
            <w:rPr>
              <w:color w:val="auto"/>
              <w:szCs w:val="26"/>
            </w:rPr>
            <w:t>Pennsylvania</w:t>
          </w:r>
        </w:smartTag>
      </w:smartTag>
      <w:r w:rsidRPr="00620D6E">
        <w:rPr>
          <w:color w:val="auto"/>
          <w:szCs w:val="26"/>
        </w:rPr>
        <w:t>.</w:t>
      </w:r>
    </w:p>
    <w:p w:rsidR="00B065FE" w:rsidRPr="00620D6E" w:rsidRDefault="00B065FE">
      <w:pPr>
        <w:tabs>
          <w:tab w:val="left" w:pos="0"/>
          <w:tab w:val="left" w:pos="720"/>
          <w:tab w:val="left" w:pos="1080"/>
          <w:tab w:val="left" w:pos="1440"/>
        </w:tabs>
        <w:suppressAutoHyphens/>
        <w:spacing w:line="360" w:lineRule="auto"/>
        <w:ind w:left="1080" w:hanging="1080"/>
        <w:rPr>
          <w:color w:val="auto"/>
          <w:spacing w:val="-3"/>
          <w:kern w:val="1"/>
          <w:sz w:val="26"/>
          <w:szCs w:val="26"/>
        </w:rPr>
      </w:pPr>
    </w:p>
    <w:p w:rsidR="00B065FE" w:rsidRPr="00620D6E" w:rsidRDefault="00CD03C5" w:rsidP="00AF7B81">
      <w:pPr>
        <w:suppressAutoHyphens/>
        <w:spacing w:line="360" w:lineRule="auto"/>
        <w:ind w:firstLine="1440"/>
        <w:rPr>
          <w:color w:val="auto"/>
          <w:spacing w:val="-3"/>
          <w:kern w:val="1"/>
          <w:sz w:val="26"/>
          <w:szCs w:val="26"/>
        </w:rPr>
      </w:pPr>
      <w:r w:rsidRPr="00620D6E">
        <w:rPr>
          <w:color w:val="auto"/>
          <w:spacing w:val="-3"/>
          <w:kern w:val="1"/>
          <w:sz w:val="26"/>
          <w:szCs w:val="26"/>
        </w:rPr>
        <w:lastRenderedPageBreak/>
        <w:t>3.</w:t>
      </w:r>
      <w:r w:rsidRPr="00620D6E">
        <w:rPr>
          <w:color w:val="auto"/>
          <w:spacing w:val="-3"/>
          <w:kern w:val="1"/>
          <w:sz w:val="26"/>
          <w:szCs w:val="26"/>
        </w:rPr>
        <w:tab/>
      </w:r>
      <w:r w:rsidR="00B065FE" w:rsidRPr="00620D6E">
        <w:rPr>
          <w:color w:val="auto"/>
          <w:spacing w:val="-3"/>
          <w:kern w:val="1"/>
          <w:sz w:val="26"/>
          <w:szCs w:val="26"/>
        </w:rPr>
        <w:t>Has proposed to offer natural gas supply services which, to the extent authorized by the license, will be consistent with the public interest and the policy declared in the Natural Gas Choice and Competition Act.</w:t>
      </w:r>
    </w:p>
    <w:p w:rsidR="00B065FE" w:rsidRPr="00620D6E" w:rsidRDefault="00B065FE">
      <w:pPr>
        <w:tabs>
          <w:tab w:val="left" w:pos="0"/>
          <w:tab w:val="left" w:pos="720"/>
          <w:tab w:val="left" w:pos="1080"/>
          <w:tab w:val="left" w:pos="1440"/>
        </w:tabs>
        <w:suppressAutoHyphens/>
        <w:spacing w:line="360" w:lineRule="auto"/>
        <w:rPr>
          <w:color w:val="auto"/>
          <w:spacing w:val="-3"/>
          <w:kern w:val="1"/>
          <w:sz w:val="26"/>
          <w:szCs w:val="26"/>
        </w:rPr>
      </w:pPr>
    </w:p>
    <w:p w:rsidR="00B065FE" w:rsidRPr="00620D6E" w:rsidRDefault="00B065FE" w:rsidP="00E17D5D">
      <w:pPr>
        <w:tabs>
          <w:tab w:val="left" w:pos="0"/>
        </w:tabs>
        <w:suppressAutoHyphens/>
        <w:spacing w:line="360" w:lineRule="auto"/>
        <w:ind w:firstLine="1440"/>
        <w:rPr>
          <w:b/>
          <w:color w:val="auto"/>
          <w:spacing w:val="-3"/>
          <w:kern w:val="1"/>
          <w:sz w:val="26"/>
          <w:szCs w:val="26"/>
        </w:rPr>
      </w:pPr>
      <w:r w:rsidRPr="00620D6E">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620D6E">
        <w:rPr>
          <w:b/>
          <w:color w:val="auto"/>
          <w:spacing w:val="-3"/>
          <w:kern w:val="1"/>
          <w:sz w:val="26"/>
          <w:szCs w:val="26"/>
        </w:rPr>
        <w:t>THEREFORE,</w:t>
      </w:r>
    </w:p>
    <w:p w:rsidR="0055073A" w:rsidRPr="00620D6E" w:rsidRDefault="0055073A">
      <w:pPr>
        <w:tabs>
          <w:tab w:val="left" w:pos="0"/>
        </w:tabs>
        <w:suppressAutoHyphens/>
        <w:spacing w:line="360" w:lineRule="auto"/>
        <w:rPr>
          <w:b/>
          <w:color w:val="auto"/>
          <w:spacing w:val="-3"/>
          <w:kern w:val="1"/>
          <w:sz w:val="26"/>
          <w:szCs w:val="26"/>
        </w:rPr>
      </w:pPr>
    </w:p>
    <w:p w:rsidR="00B065FE" w:rsidRPr="00620D6E" w:rsidRDefault="00B065FE" w:rsidP="00E17D5D">
      <w:pPr>
        <w:keepNext/>
        <w:keepLines/>
        <w:tabs>
          <w:tab w:val="left" w:pos="0"/>
        </w:tabs>
        <w:suppressAutoHyphens/>
        <w:spacing w:line="360" w:lineRule="auto"/>
        <w:ind w:firstLine="1440"/>
        <w:jc w:val="both"/>
        <w:rPr>
          <w:b/>
          <w:color w:val="auto"/>
          <w:spacing w:val="-3"/>
          <w:kern w:val="1"/>
          <w:sz w:val="26"/>
          <w:szCs w:val="26"/>
        </w:rPr>
      </w:pPr>
      <w:r w:rsidRPr="00620D6E">
        <w:rPr>
          <w:b/>
          <w:color w:val="auto"/>
          <w:spacing w:val="-3"/>
          <w:kern w:val="1"/>
          <w:sz w:val="26"/>
          <w:szCs w:val="26"/>
        </w:rPr>
        <w:t>IT IS ORDERED:</w:t>
      </w:r>
    </w:p>
    <w:p w:rsidR="00B065FE" w:rsidRPr="00620D6E" w:rsidRDefault="00B065FE">
      <w:pPr>
        <w:tabs>
          <w:tab w:val="left" w:pos="0"/>
        </w:tabs>
        <w:suppressAutoHyphens/>
        <w:spacing w:line="360" w:lineRule="auto"/>
        <w:jc w:val="both"/>
        <w:rPr>
          <w:color w:val="auto"/>
          <w:spacing w:val="-3"/>
          <w:kern w:val="1"/>
          <w:sz w:val="26"/>
          <w:szCs w:val="26"/>
        </w:rPr>
      </w:pPr>
    </w:p>
    <w:p w:rsidR="00B065FE" w:rsidRPr="00620D6E" w:rsidRDefault="00B065FE" w:rsidP="00E17D5D">
      <w:pPr>
        <w:tabs>
          <w:tab w:val="left" w:pos="0"/>
        </w:tabs>
        <w:suppressAutoHyphens/>
        <w:spacing w:line="360" w:lineRule="auto"/>
        <w:ind w:firstLine="1440"/>
        <w:rPr>
          <w:color w:val="auto"/>
          <w:spacing w:val="-3"/>
          <w:kern w:val="1"/>
          <w:sz w:val="26"/>
          <w:szCs w:val="26"/>
        </w:rPr>
      </w:pPr>
      <w:r w:rsidRPr="00620D6E">
        <w:rPr>
          <w:color w:val="auto"/>
          <w:spacing w:val="-3"/>
          <w:kern w:val="1"/>
          <w:sz w:val="26"/>
          <w:szCs w:val="26"/>
        </w:rPr>
        <w:t>1.</w:t>
      </w:r>
      <w:r w:rsidR="00E17D5D" w:rsidRPr="00620D6E">
        <w:rPr>
          <w:color w:val="auto"/>
          <w:spacing w:val="-3"/>
          <w:kern w:val="1"/>
          <w:sz w:val="26"/>
          <w:szCs w:val="26"/>
        </w:rPr>
        <w:tab/>
      </w:r>
      <w:r w:rsidRPr="00620D6E">
        <w:rPr>
          <w:color w:val="auto"/>
          <w:spacing w:val="-3"/>
          <w:kern w:val="1"/>
          <w:sz w:val="26"/>
          <w:szCs w:val="26"/>
        </w:rPr>
        <w:t xml:space="preserve">That the application of </w:t>
      </w:r>
      <w:r w:rsidR="006F7A57" w:rsidRPr="00381055">
        <w:rPr>
          <w:color w:val="auto"/>
          <w:sz w:val="26"/>
          <w:szCs w:val="26"/>
        </w:rPr>
        <w:t>HealthTrust Purchasing Group, L.P.</w:t>
      </w:r>
      <w:r w:rsidR="006F7A57">
        <w:rPr>
          <w:color w:val="auto"/>
          <w:sz w:val="26"/>
          <w:szCs w:val="26"/>
        </w:rPr>
        <w:t xml:space="preserve"> </w:t>
      </w:r>
      <w:r w:rsidRPr="00620D6E">
        <w:rPr>
          <w:color w:val="auto"/>
          <w:spacing w:val="-3"/>
          <w:kern w:val="1"/>
          <w:sz w:val="26"/>
          <w:szCs w:val="26"/>
        </w:rPr>
        <w:t>is hereby approved, consistent with this Order.</w:t>
      </w:r>
    </w:p>
    <w:p w:rsidR="007F4449" w:rsidRPr="00620D6E" w:rsidRDefault="007F4449" w:rsidP="004E2E63">
      <w:pPr>
        <w:tabs>
          <w:tab w:val="left" w:pos="0"/>
        </w:tabs>
        <w:suppressAutoHyphens/>
        <w:spacing w:line="360" w:lineRule="auto"/>
        <w:rPr>
          <w:color w:val="auto"/>
          <w:spacing w:val="-3"/>
          <w:kern w:val="1"/>
          <w:sz w:val="26"/>
          <w:szCs w:val="26"/>
        </w:rPr>
      </w:pPr>
    </w:p>
    <w:p w:rsidR="00303B97" w:rsidRPr="00620D6E" w:rsidRDefault="00B065FE" w:rsidP="00E17D5D">
      <w:pPr>
        <w:tabs>
          <w:tab w:val="left" w:pos="0"/>
        </w:tabs>
        <w:suppressAutoHyphens/>
        <w:spacing w:line="360" w:lineRule="auto"/>
        <w:ind w:firstLine="1440"/>
        <w:rPr>
          <w:color w:val="auto"/>
          <w:spacing w:val="-3"/>
          <w:sz w:val="26"/>
          <w:szCs w:val="26"/>
        </w:rPr>
      </w:pPr>
      <w:r w:rsidRPr="00620D6E">
        <w:rPr>
          <w:color w:val="auto"/>
          <w:spacing w:val="-3"/>
          <w:kern w:val="1"/>
          <w:sz w:val="26"/>
          <w:szCs w:val="26"/>
        </w:rPr>
        <w:t>2.</w:t>
      </w:r>
      <w:r w:rsidR="00E17D5D" w:rsidRPr="00620D6E">
        <w:rPr>
          <w:color w:val="auto"/>
          <w:spacing w:val="-3"/>
          <w:kern w:val="1"/>
          <w:sz w:val="26"/>
          <w:szCs w:val="26"/>
        </w:rPr>
        <w:tab/>
      </w:r>
      <w:r w:rsidRPr="00620D6E">
        <w:rPr>
          <w:color w:val="auto"/>
          <w:spacing w:val="-3"/>
          <w:kern w:val="1"/>
          <w:sz w:val="26"/>
          <w:szCs w:val="26"/>
        </w:rPr>
        <w:t xml:space="preserve">That a license be issued </w:t>
      </w:r>
      <w:r w:rsidR="00AF0CD1" w:rsidRPr="00620D6E">
        <w:rPr>
          <w:color w:val="auto"/>
          <w:spacing w:val="-3"/>
          <w:kern w:val="1"/>
          <w:sz w:val="26"/>
          <w:szCs w:val="26"/>
        </w:rPr>
        <w:t xml:space="preserve">authorizing </w:t>
      </w:r>
      <w:r w:rsidR="006F7A57" w:rsidRPr="00381055">
        <w:rPr>
          <w:color w:val="auto"/>
          <w:sz w:val="26"/>
          <w:szCs w:val="26"/>
        </w:rPr>
        <w:t>HealthTrust Purchasing Group, L.P.</w:t>
      </w:r>
      <w:r w:rsidR="006F7A57">
        <w:rPr>
          <w:color w:val="auto"/>
          <w:sz w:val="26"/>
          <w:szCs w:val="26"/>
        </w:rPr>
        <w:t xml:space="preserve"> </w:t>
      </w:r>
      <w:r w:rsidRPr="00620D6E">
        <w:rPr>
          <w:color w:val="auto"/>
          <w:spacing w:val="-3"/>
          <w:kern w:val="1"/>
          <w:sz w:val="26"/>
          <w:szCs w:val="26"/>
        </w:rPr>
        <w:t>the right to begin to offer, render, furnish or supply natural gas supply services to the public</w:t>
      </w:r>
      <w:r w:rsidR="00155C9C">
        <w:rPr>
          <w:color w:val="auto"/>
          <w:spacing w:val="-3"/>
          <w:kern w:val="1"/>
          <w:sz w:val="26"/>
          <w:szCs w:val="26"/>
        </w:rPr>
        <w:t xml:space="preserve"> as a broker/marketer</w:t>
      </w:r>
      <w:r w:rsidR="00383930">
        <w:rPr>
          <w:color w:val="auto"/>
          <w:spacing w:val="-3"/>
          <w:kern w:val="1"/>
          <w:sz w:val="26"/>
          <w:szCs w:val="26"/>
        </w:rPr>
        <w:t xml:space="preserve">, limited to </w:t>
      </w:r>
      <w:r w:rsidR="000968C9" w:rsidRPr="006F7A57">
        <w:rPr>
          <w:color w:val="auto"/>
          <w:spacing w:val="-3"/>
          <w:kern w:val="1"/>
          <w:sz w:val="26"/>
          <w:szCs w:val="26"/>
        </w:rPr>
        <w:t xml:space="preserve">small </w:t>
      </w:r>
      <w:r w:rsidR="00383930" w:rsidRPr="006F7A57">
        <w:rPr>
          <w:color w:val="auto"/>
          <w:spacing w:val="-3"/>
          <w:kern w:val="1"/>
          <w:sz w:val="26"/>
          <w:szCs w:val="26"/>
        </w:rPr>
        <w:t>commercial</w:t>
      </w:r>
      <w:r w:rsidR="000968C9" w:rsidRPr="006F7A57">
        <w:rPr>
          <w:color w:val="auto"/>
          <w:spacing w:val="-3"/>
          <w:kern w:val="1"/>
          <w:sz w:val="26"/>
          <w:szCs w:val="26"/>
        </w:rPr>
        <w:t xml:space="preserve"> (under 6,000 MCF annually</w:t>
      </w:r>
      <w:r w:rsidR="006F7A57" w:rsidRPr="006F7A57">
        <w:rPr>
          <w:color w:val="auto"/>
          <w:spacing w:val="-3"/>
          <w:kern w:val="1"/>
          <w:sz w:val="26"/>
          <w:szCs w:val="26"/>
        </w:rPr>
        <w:t>)</w:t>
      </w:r>
      <w:r w:rsidR="000968C9" w:rsidRPr="006F7A57">
        <w:rPr>
          <w:color w:val="auto"/>
          <w:spacing w:val="-3"/>
          <w:kern w:val="1"/>
          <w:sz w:val="26"/>
          <w:szCs w:val="26"/>
        </w:rPr>
        <w:t>, large commercial (6,000 MCF</w:t>
      </w:r>
      <w:r w:rsidR="00BF31D9" w:rsidRPr="006F7A57">
        <w:rPr>
          <w:color w:val="auto"/>
          <w:spacing w:val="-3"/>
          <w:kern w:val="1"/>
          <w:sz w:val="26"/>
          <w:szCs w:val="26"/>
        </w:rPr>
        <w:t xml:space="preserve"> or more </w:t>
      </w:r>
      <w:r w:rsidR="000968C9" w:rsidRPr="006F7A57">
        <w:rPr>
          <w:color w:val="auto"/>
          <w:spacing w:val="-3"/>
          <w:kern w:val="1"/>
          <w:sz w:val="26"/>
          <w:szCs w:val="26"/>
        </w:rPr>
        <w:t>annuall</w:t>
      </w:r>
      <w:r w:rsidR="00BF31D9" w:rsidRPr="006F7A57">
        <w:rPr>
          <w:color w:val="auto"/>
          <w:spacing w:val="-3"/>
          <w:kern w:val="1"/>
          <w:sz w:val="26"/>
          <w:szCs w:val="26"/>
        </w:rPr>
        <w:t>y</w:t>
      </w:r>
      <w:r w:rsidR="006F7A57" w:rsidRPr="006F7A57">
        <w:rPr>
          <w:color w:val="auto"/>
          <w:spacing w:val="-3"/>
          <w:kern w:val="1"/>
          <w:sz w:val="26"/>
          <w:szCs w:val="26"/>
        </w:rPr>
        <w:t xml:space="preserve">) and industrial </w:t>
      </w:r>
      <w:r w:rsidRPr="00620D6E">
        <w:rPr>
          <w:color w:val="auto"/>
          <w:spacing w:val="-3"/>
          <w:kern w:val="1"/>
          <w:sz w:val="26"/>
          <w:szCs w:val="26"/>
        </w:rPr>
        <w:t>within the local distribution company service territor</w:t>
      </w:r>
      <w:r w:rsidR="00BA5DA3">
        <w:rPr>
          <w:color w:val="auto"/>
          <w:spacing w:val="-3"/>
          <w:kern w:val="1"/>
          <w:sz w:val="26"/>
          <w:szCs w:val="26"/>
        </w:rPr>
        <w:t>ies of</w:t>
      </w:r>
      <w:r w:rsidR="00243C8D">
        <w:rPr>
          <w:color w:val="auto"/>
          <w:spacing w:val="-3"/>
          <w:sz w:val="26"/>
          <w:szCs w:val="26"/>
        </w:rPr>
        <w:t xml:space="preserve"> Columbia Gas of Pennsylvania, Inc., Equitable Gas Company, National Fuel Gas Distribution Corp, PECO Energy, Peoples Natural Gas Company, Peoples TWP LLC, Philadelphia Gas Works, UGI Central Penn, UGI Penn Natural, UGI Util</w:t>
      </w:r>
      <w:r w:rsidR="00155C9C">
        <w:rPr>
          <w:color w:val="auto"/>
          <w:spacing w:val="-3"/>
          <w:sz w:val="26"/>
          <w:szCs w:val="26"/>
        </w:rPr>
        <w:t>ities Inc., and Valley Energy Inc.</w:t>
      </w:r>
    </w:p>
    <w:p w:rsidR="0058467E" w:rsidRDefault="0058467E">
      <w:pPr>
        <w:rPr>
          <w:color w:val="auto"/>
          <w:spacing w:val="-3"/>
          <w:sz w:val="26"/>
          <w:szCs w:val="26"/>
        </w:rPr>
      </w:pPr>
      <w:r>
        <w:rPr>
          <w:color w:val="auto"/>
          <w:spacing w:val="-3"/>
          <w:sz w:val="26"/>
          <w:szCs w:val="26"/>
        </w:rPr>
        <w:br w:type="page"/>
      </w:r>
    </w:p>
    <w:p w:rsidR="00B065FE" w:rsidRPr="00620D6E" w:rsidRDefault="00B065FE" w:rsidP="00E17D5D">
      <w:pPr>
        <w:tabs>
          <w:tab w:val="left" w:pos="0"/>
        </w:tabs>
        <w:suppressAutoHyphens/>
        <w:spacing w:line="360" w:lineRule="auto"/>
        <w:ind w:firstLine="1440"/>
        <w:rPr>
          <w:color w:val="auto"/>
          <w:spacing w:val="-3"/>
          <w:sz w:val="26"/>
          <w:szCs w:val="26"/>
        </w:rPr>
      </w:pPr>
      <w:r w:rsidRPr="00620D6E">
        <w:rPr>
          <w:color w:val="auto"/>
          <w:spacing w:val="-3"/>
          <w:sz w:val="26"/>
          <w:szCs w:val="26"/>
        </w:rPr>
        <w:lastRenderedPageBreak/>
        <w:t>3.</w:t>
      </w:r>
      <w:r w:rsidR="00E17D5D" w:rsidRPr="00620D6E">
        <w:rPr>
          <w:color w:val="auto"/>
          <w:spacing w:val="-3"/>
          <w:sz w:val="26"/>
          <w:szCs w:val="26"/>
        </w:rPr>
        <w:tab/>
      </w:r>
      <w:r w:rsidRPr="00620D6E">
        <w:rPr>
          <w:color w:val="auto"/>
          <w:spacing w:val="-3"/>
          <w:sz w:val="26"/>
          <w:szCs w:val="26"/>
        </w:rPr>
        <w:t>That this proceeding, at Docket No</w:t>
      </w:r>
      <w:r w:rsidRPr="00243C8D">
        <w:rPr>
          <w:color w:val="auto"/>
          <w:spacing w:val="-3"/>
          <w:sz w:val="26"/>
          <w:szCs w:val="26"/>
        </w:rPr>
        <w:t xml:space="preserve">. </w:t>
      </w:r>
      <w:r w:rsidR="00243C8D" w:rsidRPr="00243C8D">
        <w:rPr>
          <w:color w:val="auto"/>
          <w:spacing w:val="-3"/>
          <w:sz w:val="26"/>
          <w:szCs w:val="26"/>
        </w:rPr>
        <w:t>A-2012-2327971</w:t>
      </w:r>
      <w:r w:rsidRPr="00243C8D">
        <w:rPr>
          <w:color w:val="auto"/>
          <w:spacing w:val="-3"/>
          <w:sz w:val="26"/>
          <w:szCs w:val="26"/>
        </w:rPr>
        <w:t xml:space="preserve"> be </w:t>
      </w:r>
      <w:r w:rsidRPr="00620D6E">
        <w:rPr>
          <w:color w:val="auto"/>
          <w:spacing w:val="-3"/>
          <w:sz w:val="26"/>
          <w:szCs w:val="26"/>
        </w:rPr>
        <w:t>closed.</w:t>
      </w:r>
    </w:p>
    <w:p w:rsidR="00B065FE" w:rsidRPr="00620D6E" w:rsidRDefault="00365444">
      <w:pPr>
        <w:tabs>
          <w:tab w:val="left" w:pos="0"/>
        </w:tabs>
        <w:suppressAutoHyphens/>
        <w:spacing w:line="360" w:lineRule="auto"/>
        <w:jc w:val="both"/>
        <w:rPr>
          <w:color w:val="auto"/>
          <w:spacing w:val="-3"/>
          <w:kern w:val="1"/>
          <w:sz w:val="26"/>
          <w:szCs w:val="26"/>
        </w:rPr>
      </w:pPr>
      <w:r>
        <w:rPr>
          <w:noProof/>
        </w:rPr>
        <w:drawing>
          <wp:anchor distT="0" distB="0" distL="114300" distR="114300" simplePos="0" relativeHeight="251658240" behindDoc="1" locked="0" layoutInCell="1" allowOverlap="1" wp14:anchorId="2567D3FB" wp14:editId="1B3C0DD7">
            <wp:simplePos x="0" y="0"/>
            <wp:positionH relativeFrom="column">
              <wp:posOffset>2368550</wp:posOffset>
            </wp:positionH>
            <wp:positionV relativeFrom="paragraph">
              <wp:posOffset>248920</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B065FE" w:rsidRPr="00620D6E" w:rsidRDefault="00B065FE" w:rsidP="00A544A4">
      <w:pPr>
        <w:tabs>
          <w:tab w:val="left" w:pos="4320"/>
        </w:tabs>
        <w:rPr>
          <w:b/>
          <w:color w:val="auto"/>
          <w:sz w:val="26"/>
          <w:szCs w:val="26"/>
        </w:rPr>
      </w:pPr>
      <w:r w:rsidRPr="00620D6E">
        <w:rPr>
          <w:color w:val="auto"/>
          <w:sz w:val="26"/>
          <w:szCs w:val="26"/>
        </w:rPr>
        <w:tab/>
      </w:r>
      <w:r w:rsidRPr="00620D6E">
        <w:rPr>
          <w:b/>
          <w:color w:val="auto"/>
          <w:sz w:val="26"/>
          <w:szCs w:val="26"/>
        </w:rPr>
        <w:t>BY THE COMMISSION,</w:t>
      </w:r>
    </w:p>
    <w:p w:rsidR="00EF4784" w:rsidRPr="00620D6E" w:rsidRDefault="00EF4784" w:rsidP="00A544A4">
      <w:pPr>
        <w:tabs>
          <w:tab w:val="left" w:pos="4320"/>
        </w:tabs>
        <w:rPr>
          <w:b/>
          <w:color w:val="auto"/>
          <w:sz w:val="26"/>
          <w:szCs w:val="26"/>
        </w:rPr>
      </w:pPr>
    </w:p>
    <w:p w:rsidR="00EF4784" w:rsidRPr="00620D6E" w:rsidRDefault="00EF4784" w:rsidP="00A544A4">
      <w:pPr>
        <w:tabs>
          <w:tab w:val="left" w:pos="4320"/>
        </w:tabs>
        <w:rPr>
          <w:b/>
          <w:color w:val="auto"/>
          <w:sz w:val="26"/>
          <w:szCs w:val="26"/>
        </w:rPr>
      </w:pPr>
    </w:p>
    <w:p w:rsidR="00EF4784" w:rsidRPr="00620D6E" w:rsidRDefault="00EF4784" w:rsidP="00A544A4">
      <w:pPr>
        <w:tabs>
          <w:tab w:val="left" w:pos="4320"/>
        </w:tabs>
        <w:rPr>
          <w:b/>
          <w:color w:val="auto"/>
          <w:sz w:val="26"/>
          <w:szCs w:val="26"/>
        </w:rPr>
      </w:pPr>
    </w:p>
    <w:p w:rsidR="00B065FE" w:rsidRPr="00620D6E" w:rsidRDefault="00BD2334" w:rsidP="00A544A4">
      <w:pPr>
        <w:tabs>
          <w:tab w:val="left" w:pos="4320"/>
        </w:tabs>
        <w:rPr>
          <w:color w:val="auto"/>
          <w:sz w:val="26"/>
          <w:szCs w:val="26"/>
        </w:rPr>
      </w:pPr>
      <w:r>
        <w:rPr>
          <w:color w:val="auto"/>
          <w:sz w:val="26"/>
          <w:szCs w:val="26"/>
        </w:rPr>
        <w:tab/>
        <w:t>Rosemary Chiavetta</w:t>
      </w:r>
    </w:p>
    <w:p w:rsidR="00B065FE" w:rsidRPr="00620D6E" w:rsidRDefault="00B065FE" w:rsidP="00A544A4">
      <w:pPr>
        <w:tabs>
          <w:tab w:val="left" w:pos="4320"/>
        </w:tabs>
        <w:rPr>
          <w:color w:val="auto"/>
          <w:sz w:val="26"/>
          <w:szCs w:val="26"/>
        </w:rPr>
      </w:pPr>
      <w:r w:rsidRPr="00620D6E">
        <w:rPr>
          <w:color w:val="auto"/>
          <w:sz w:val="26"/>
          <w:szCs w:val="26"/>
        </w:rPr>
        <w:tab/>
        <w:t>Secretary</w:t>
      </w:r>
    </w:p>
    <w:p w:rsidR="00A544A4" w:rsidRPr="00620D6E" w:rsidRDefault="00A544A4" w:rsidP="00A544A4">
      <w:pPr>
        <w:tabs>
          <w:tab w:val="left" w:pos="4320"/>
        </w:tabs>
        <w:rPr>
          <w:color w:val="auto"/>
          <w:sz w:val="26"/>
          <w:szCs w:val="26"/>
        </w:rPr>
      </w:pPr>
    </w:p>
    <w:p w:rsidR="00B065FE" w:rsidRPr="00620D6E" w:rsidRDefault="00B065FE" w:rsidP="00A544A4">
      <w:pPr>
        <w:tabs>
          <w:tab w:val="left" w:pos="4320"/>
        </w:tabs>
        <w:rPr>
          <w:color w:val="auto"/>
          <w:sz w:val="26"/>
          <w:szCs w:val="26"/>
        </w:rPr>
      </w:pPr>
      <w:r w:rsidRPr="00620D6E">
        <w:rPr>
          <w:color w:val="auto"/>
          <w:sz w:val="26"/>
          <w:szCs w:val="26"/>
        </w:rPr>
        <w:t>(SEAL)</w:t>
      </w:r>
    </w:p>
    <w:p w:rsidR="00EF4784" w:rsidRPr="00620D6E" w:rsidRDefault="00EF4784" w:rsidP="00A544A4">
      <w:pPr>
        <w:tabs>
          <w:tab w:val="left" w:pos="4320"/>
        </w:tabs>
        <w:rPr>
          <w:color w:val="auto"/>
          <w:sz w:val="26"/>
          <w:szCs w:val="26"/>
        </w:rPr>
      </w:pPr>
    </w:p>
    <w:p w:rsidR="00A544A4" w:rsidRPr="003171D8" w:rsidRDefault="00A544A4" w:rsidP="00A544A4">
      <w:pPr>
        <w:tabs>
          <w:tab w:val="left" w:pos="4320"/>
        </w:tabs>
        <w:rPr>
          <w:color w:val="auto"/>
          <w:sz w:val="26"/>
          <w:szCs w:val="26"/>
        </w:rPr>
      </w:pPr>
    </w:p>
    <w:p w:rsidR="00B065FE" w:rsidRPr="003171D8" w:rsidRDefault="00B065FE" w:rsidP="00A544A4">
      <w:pPr>
        <w:tabs>
          <w:tab w:val="left" w:pos="4320"/>
        </w:tabs>
        <w:rPr>
          <w:color w:val="auto"/>
          <w:sz w:val="26"/>
          <w:szCs w:val="26"/>
        </w:rPr>
      </w:pPr>
      <w:r w:rsidRPr="003171D8">
        <w:rPr>
          <w:color w:val="auto"/>
          <w:sz w:val="26"/>
          <w:szCs w:val="26"/>
        </w:rPr>
        <w:t xml:space="preserve">ORDER ADOPTED: </w:t>
      </w:r>
      <w:r w:rsidR="00512E37" w:rsidRPr="003171D8">
        <w:rPr>
          <w:color w:val="auto"/>
          <w:sz w:val="26"/>
          <w:szCs w:val="26"/>
        </w:rPr>
        <w:t xml:space="preserve"> </w:t>
      </w:r>
      <w:r w:rsidR="00532FBE">
        <w:rPr>
          <w:color w:val="auto"/>
          <w:sz w:val="26"/>
          <w:szCs w:val="26"/>
        </w:rPr>
        <w:t>December</w:t>
      </w:r>
      <w:r w:rsidR="003171D8" w:rsidRPr="003171D8">
        <w:rPr>
          <w:color w:val="auto"/>
          <w:sz w:val="26"/>
          <w:szCs w:val="26"/>
        </w:rPr>
        <w:t xml:space="preserve"> </w:t>
      </w:r>
      <w:r w:rsidR="00532FBE">
        <w:rPr>
          <w:color w:val="auto"/>
          <w:sz w:val="26"/>
          <w:szCs w:val="26"/>
        </w:rPr>
        <w:t>20</w:t>
      </w:r>
      <w:r w:rsidR="003171D8" w:rsidRPr="003171D8">
        <w:rPr>
          <w:color w:val="auto"/>
          <w:sz w:val="26"/>
          <w:szCs w:val="26"/>
        </w:rPr>
        <w:t>, 2012</w:t>
      </w:r>
    </w:p>
    <w:p w:rsidR="00A544A4" w:rsidRPr="003171D8" w:rsidRDefault="00A544A4" w:rsidP="00A544A4">
      <w:pPr>
        <w:tabs>
          <w:tab w:val="left" w:pos="4320"/>
        </w:tabs>
        <w:rPr>
          <w:color w:val="auto"/>
          <w:sz w:val="26"/>
          <w:szCs w:val="26"/>
        </w:rPr>
      </w:pPr>
    </w:p>
    <w:p w:rsidR="00B065FE" w:rsidRPr="00CD03C5" w:rsidRDefault="00B065FE" w:rsidP="00A544A4">
      <w:pPr>
        <w:tabs>
          <w:tab w:val="left" w:pos="4320"/>
        </w:tabs>
        <w:rPr>
          <w:sz w:val="26"/>
          <w:szCs w:val="26"/>
        </w:rPr>
      </w:pPr>
      <w:r w:rsidRPr="00620D6E">
        <w:rPr>
          <w:color w:val="auto"/>
          <w:sz w:val="26"/>
          <w:szCs w:val="26"/>
        </w:rPr>
        <w:t xml:space="preserve">ORDER ENTERED:  </w:t>
      </w:r>
      <w:r w:rsidR="00365444">
        <w:rPr>
          <w:color w:val="auto"/>
          <w:sz w:val="26"/>
          <w:szCs w:val="26"/>
        </w:rPr>
        <w:t>December 20, 2012</w:t>
      </w:r>
      <w:bookmarkStart w:id="0" w:name="_GoBack"/>
      <w:bookmarkEnd w:id="0"/>
    </w:p>
    <w:p w:rsidR="00A544A4" w:rsidRPr="00CD03C5" w:rsidRDefault="00A544A4">
      <w:pPr>
        <w:rPr>
          <w:sz w:val="26"/>
          <w:szCs w:val="26"/>
        </w:rPr>
      </w:pPr>
    </w:p>
    <w:sectPr w:rsidR="00A544A4" w:rsidRPr="00CD03C5" w:rsidSect="00943BB4">
      <w:footerReference w:type="even" r:id="rId9"/>
      <w:footerReference w:type="default" r:id="rId10"/>
      <w:pgSz w:w="12240" w:h="15840" w:code="1"/>
      <w:pgMar w:top="1440" w:right="1440" w:bottom="1440" w:left="1440" w:header="144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2307" w:rsidRDefault="00992307">
      <w:r>
        <w:separator/>
      </w:r>
    </w:p>
  </w:endnote>
  <w:endnote w:type="continuationSeparator" w:id="0">
    <w:p w:rsidR="00992307" w:rsidRDefault="00992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055" w:rsidRDefault="00381055" w:rsidP="009B1C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81055" w:rsidRDefault="003810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055" w:rsidRDefault="00381055" w:rsidP="009B1C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65444">
      <w:rPr>
        <w:rStyle w:val="PageNumber"/>
        <w:noProof/>
      </w:rPr>
      <w:t>7</w:t>
    </w:r>
    <w:r>
      <w:rPr>
        <w:rStyle w:val="PageNumber"/>
      </w:rPr>
      <w:fldChar w:fldCharType="end"/>
    </w:r>
  </w:p>
  <w:p w:rsidR="00381055" w:rsidRDefault="003810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2307" w:rsidRDefault="00992307">
      <w:r>
        <w:separator/>
      </w:r>
    </w:p>
  </w:footnote>
  <w:footnote w:type="continuationSeparator" w:id="0">
    <w:p w:rsidR="00992307" w:rsidRDefault="009923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4C27"/>
    <w:multiLevelType w:val="singleLevel"/>
    <w:tmpl w:val="81AABEA6"/>
    <w:lvl w:ilvl="0">
      <w:start w:val="3"/>
      <w:numFmt w:val="lowerRoman"/>
      <w:lvlText w:val="(%1)"/>
      <w:lvlJc w:val="left"/>
      <w:pPr>
        <w:tabs>
          <w:tab w:val="num" w:pos="2160"/>
        </w:tabs>
        <w:ind w:left="2160" w:hanging="720"/>
      </w:pPr>
      <w:rPr>
        <w:rFonts w:hint="default"/>
      </w:rPr>
    </w:lvl>
  </w:abstractNum>
  <w:abstractNum w:abstractNumId="1">
    <w:nsid w:val="1D0A44D4"/>
    <w:multiLevelType w:val="singleLevel"/>
    <w:tmpl w:val="52E6CA8A"/>
    <w:lvl w:ilvl="0">
      <w:start w:val="3"/>
      <w:numFmt w:val="decimal"/>
      <w:lvlText w:val="%1."/>
      <w:lvlJc w:val="left"/>
      <w:pPr>
        <w:tabs>
          <w:tab w:val="num" w:pos="1440"/>
        </w:tabs>
        <w:ind w:left="1440" w:hanging="360"/>
      </w:pPr>
      <w:rPr>
        <w:rFonts w:hint="default"/>
      </w:rPr>
    </w:lvl>
  </w:abstractNum>
  <w:abstractNum w:abstractNumId="2">
    <w:nsid w:val="30AA216E"/>
    <w:multiLevelType w:val="singleLevel"/>
    <w:tmpl w:val="73840230"/>
    <w:lvl w:ilvl="0">
      <w:start w:val="3"/>
      <w:numFmt w:val="decimal"/>
      <w:lvlText w:val="%1."/>
      <w:lvlJc w:val="left"/>
      <w:pPr>
        <w:tabs>
          <w:tab w:val="num" w:pos="1440"/>
        </w:tabs>
        <w:ind w:left="1440" w:hanging="360"/>
      </w:pPr>
      <w:rPr>
        <w:rFonts w:hint="default"/>
      </w:rPr>
    </w:lvl>
  </w:abstractNum>
  <w:abstractNum w:abstractNumId="3">
    <w:nsid w:val="3B9F7F69"/>
    <w:multiLevelType w:val="singleLevel"/>
    <w:tmpl w:val="81AABEA6"/>
    <w:lvl w:ilvl="0">
      <w:start w:val="3"/>
      <w:numFmt w:val="lowerRoman"/>
      <w:lvlText w:val="(%1)"/>
      <w:lvlJc w:val="left"/>
      <w:pPr>
        <w:tabs>
          <w:tab w:val="num" w:pos="2160"/>
        </w:tabs>
        <w:ind w:left="2160" w:hanging="720"/>
      </w:pPr>
      <w:rPr>
        <w:rFonts w:hint="default"/>
      </w:rPr>
    </w:lvl>
  </w:abstractNum>
  <w:abstractNum w:abstractNumId="4">
    <w:nsid w:val="45A1005C"/>
    <w:multiLevelType w:val="singleLevel"/>
    <w:tmpl w:val="81AABEA6"/>
    <w:lvl w:ilvl="0">
      <w:start w:val="3"/>
      <w:numFmt w:val="lowerRoman"/>
      <w:lvlText w:val="(%1)"/>
      <w:lvlJc w:val="left"/>
      <w:pPr>
        <w:tabs>
          <w:tab w:val="num" w:pos="2160"/>
        </w:tabs>
        <w:ind w:left="2160" w:hanging="720"/>
      </w:pPr>
      <w:rPr>
        <w:rFont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rkCheckBox" w:val="FALSE"/>
    <w:docVar w:name="ShowPrintedCheckBox" w:val="FALSE"/>
    <w:docVar w:name="ShowScreenCheckBox" w:val="FALSE"/>
  </w:docVars>
  <w:rsids>
    <w:rsidRoot w:val="00B065FE"/>
    <w:rsid w:val="000120B5"/>
    <w:rsid w:val="00016AF8"/>
    <w:rsid w:val="00043790"/>
    <w:rsid w:val="000535E4"/>
    <w:rsid w:val="00056AE6"/>
    <w:rsid w:val="00056D0B"/>
    <w:rsid w:val="00060D1D"/>
    <w:rsid w:val="000968C9"/>
    <w:rsid w:val="000A246D"/>
    <w:rsid w:val="000A6198"/>
    <w:rsid w:val="000D67E4"/>
    <w:rsid w:val="000F48D9"/>
    <w:rsid w:val="000F6818"/>
    <w:rsid w:val="000F71EF"/>
    <w:rsid w:val="00102D1E"/>
    <w:rsid w:val="001114AD"/>
    <w:rsid w:val="00117DBF"/>
    <w:rsid w:val="0012153B"/>
    <w:rsid w:val="0013441D"/>
    <w:rsid w:val="00145521"/>
    <w:rsid w:val="00155C9C"/>
    <w:rsid w:val="00172E30"/>
    <w:rsid w:val="0019021F"/>
    <w:rsid w:val="001B3AF0"/>
    <w:rsid w:val="001C5BB3"/>
    <w:rsid w:val="001D3397"/>
    <w:rsid w:val="001F03C7"/>
    <w:rsid w:val="0020470D"/>
    <w:rsid w:val="0020567E"/>
    <w:rsid w:val="0021203A"/>
    <w:rsid w:val="002359B6"/>
    <w:rsid w:val="00243C8D"/>
    <w:rsid w:val="00263578"/>
    <w:rsid w:val="00284935"/>
    <w:rsid w:val="002857F7"/>
    <w:rsid w:val="002B2A14"/>
    <w:rsid w:val="002B3DBD"/>
    <w:rsid w:val="002C3BC4"/>
    <w:rsid w:val="002C7616"/>
    <w:rsid w:val="002E0720"/>
    <w:rsid w:val="002F645D"/>
    <w:rsid w:val="00302317"/>
    <w:rsid w:val="003039C7"/>
    <w:rsid w:val="00303B97"/>
    <w:rsid w:val="003054D5"/>
    <w:rsid w:val="003166CE"/>
    <w:rsid w:val="003171D8"/>
    <w:rsid w:val="003441D9"/>
    <w:rsid w:val="003530BE"/>
    <w:rsid w:val="0036392C"/>
    <w:rsid w:val="00365444"/>
    <w:rsid w:val="00372086"/>
    <w:rsid w:val="00373CB2"/>
    <w:rsid w:val="00376AAE"/>
    <w:rsid w:val="00381055"/>
    <w:rsid w:val="00381CCB"/>
    <w:rsid w:val="00383930"/>
    <w:rsid w:val="003926B3"/>
    <w:rsid w:val="00392A69"/>
    <w:rsid w:val="00394A9B"/>
    <w:rsid w:val="003A692F"/>
    <w:rsid w:val="003C5AA7"/>
    <w:rsid w:val="00400732"/>
    <w:rsid w:val="00411EC4"/>
    <w:rsid w:val="004128A8"/>
    <w:rsid w:val="0042113A"/>
    <w:rsid w:val="00421492"/>
    <w:rsid w:val="004335F0"/>
    <w:rsid w:val="0044319F"/>
    <w:rsid w:val="004610B9"/>
    <w:rsid w:val="00464C00"/>
    <w:rsid w:val="004858D7"/>
    <w:rsid w:val="00492BDE"/>
    <w:rsid w:val="00497E52"/>
    <w:rsid w:val="004D5A0C"/>
    <w:rsid w:val="004E2E63"/>
    <w:rsid w:val="00512E37"/>
    <w:rsid w:val="00532FBE"/>
    <w:rsid w:val="0054264D"/>
    <w:rsid w:val="0055073A"/>
    <w:rsid w:val="005531FE"/>
    <w:rsid w:val="00560CF3"/>
    <w:rsid w:val="00575938"/>
    <w:rsid w:val="0058467E"/>
    <w:rsid w:val="00590909"/>
    <w:rsid w:val="005A39F9"/>
    <w:rsid w:val="005B621E"/>
    <w:rsid w:val="005B68C8"/>
    <w:rsid w:val="005D79AD"/>
    <w:rsid w:val="005E79F9"/>
    <w:rsid w:val="005F74C2"/>
    <w:rsid w:val="005F7F34"/>
    <w:rsid w:val="00614374"/>
    <w:rsid w:val="00620D6E"/>
    <w:rsid w:val="00632E42"/>
    <w:rsid w:val="00634598"/>
    <w:rsid w:val="006546C1"/>
    <w:rsid w:val="006602B5"/>
    <w:rsid w:val="00692267"/>
    <w:rsid w:val="00697832"/>
    <w:rsid w:val="006A2BC5"/>
    <w:rsid w:val="006A433E"/>
    <w:rsid w:val="006C6E7F"/>
    <w:rsid w:val="006F3032"/>
    <w:rsid w:val="006F7A57"/>
    <w:rsid w:val="007007DD"/>
    <w:rsid w:val="007349CE"/>
    <w:rsid w:val="007421CE"/>
    <w:rsid w:val="00750759"/>
    <w:rsid w:val="0077281B"/>
    <w:rsid w:val="007906EC"/>
    <w:rsid w:val="0079110F"/>
    <w:rsid w:val="007A5B5F"/>
    <w:rsid w:val="007B09E2"/>
    <w:rsid w:val="007E430E"/>
    <w:rsid w:val="007F12BF"/>
    <w:rsid w:val="007F4449"/>
    <w:rsid w:val="00800447"/>
    <w:rsid w:val="00806657"/>
    <w:rsid w:val="00806C85"/>
    <w:rsid w:val="0081293F"/>
    <w:rsid w:val="0081379F"/>
    <w:rsid w:val="00816A58"/>
    <w:rsid w:val="008252DA"/>
    <w:rsid w:val="00843204"/>
    <w:rsid w:val="00844F48"/>
    <w:rsid w:val="008504E3"/>
    <w:rsid w:val="00861628"/>
    <w:rsid w:val="00875306"/>
    <w:rsid w:val="008964D9"/>
    <w:rsid w:val="008C66C4"/>
    <w:rsid w:val="008D0D95"/>
    <w:rsid w:val="008E3EC1"/>
    <w:rsid w:val="008F0A9D"/>
    <w:rsid w:val="00924A15"/>
    <w:rsid w:val="00941E2A"/>
    <w:rsid w:val="00943BB4"/>
    <w:rsid w:val="00950B0E"/>
    <w:rsid w:val="00951EAB"/>
    <w:rsid w:val="00954309"/>
    <w:rsid w:val="0095742D"/>
    <w:rsid w:val="00957931"/>
    <w:rsid w:val="00991B6A"/>
    <w:rsid w:val="00992307"/>
    <w:rsid w:val="0099376D"/>
    <w:rsid w:val="009B1C5C"/>
    <w:rsid w:val="009C3C7C"/>
    <w:rsid w:val="009C70CC"/>
    <w:rsid w:val="009D4583"/>
    <w:rsid w:val="009D46EE"/>
    <w:rsid w:val="00A04453"/>
    <w:rsid w:val="00A1325E"/>
    <w:rsid w:val="00A2326B"/>
    <w:rsid w:val="00A404E7"/>
    <w:rsid w:val="00A42AC2"/>
    <w:rsid w:val="00A53F87"/>
    <w:rsid w:val="00A544A4"/>
    <w:rsid w:val="00A96F3F"/>
    <w:rsid w:val="00AA6902"/>
    <w:rsid w:val="00AB14A4"/>
    <w:rsid w:val="00AB3D44"/>
    <w:rsid w:val="00AB63C2"/>
    <w:rsid w:val="00AB7A76"/>
    <w:rsid w:val="00AC2642"/>
    <w:rsid w:val="00AC5217"/>
    <w:rsid w:val="00AF0CD1"/>
    <w:rsid w:val="00AF7B81"/>
    <w:rsid w:val="00B01676"/>
    <w:rsid w:val="00B065FE"/>
    <w:rsid w:val="00B12CD4"/>
    <w:rsid w:val="00B2568B"/>
    <w:rsid w:val="00B5655A"/>
    <w:rsid w:val="00B622AA"/>
    <w:rsid w:val="00B62F03"/>
    <w:rsid w:val="00B71965"/>
    <w:rsid w:val="00B8162F"/>
    <w:rsid w:val="00B97957"/>
    <w:rsid w:val="00BA5DA3"/>
    <w:rsid w:val="00BA7E22"/>
    <w:rsid w:val="00BB7C50"/>
    <w:rsid w:val="00BD2334"/>
    <w:rsid w:val="00BF31D9"/>
    <w:rsid w:val="00C05EBB"/>
    <w:rsid w:val="00C10A53"/>
    <w:rsid w:val="00C14F1D"/>
    <w:rsid w:val="00C2257A"/>
    <w:rsid w:val="00C31471"/>
    <w:rsid w:val="00C40973"/>
    <w:rsid w:val="00C6258D"/>
    <w:rsid w:val="00C659B9"/>
    <w:rsid w:val="00C72542"/>
    <w:rsid w:val="00C76E99"/>
    <w:rsid w:val="00C83F8B"/>
    <w:rsid w:val="00C94888"/>
    <w:rsid w:val="00CA54FD"/>
    <w:rsid w:val="00CB4930"/>
    <w:rsid w:val="00CC68E5"/>
    <w:rsid w:val="00CD03C5"/>
    <w:rsid w:val="00CD0D95"/>
    <w:rsid w:val="00CF5945"/>
    <w:rsid w:val="00D03128"/>
    <w:rsid w:val="00D24952"/>
    <w:rsid w:val="00D3301F"/>
    <w:rsid w:val="00D37628"/>
    <w:rsid w:val="00D405F0"/>
    <w:rsid w:val="00D42C3C"/>
    <w:rsid w:val="00D5178F"/>
    <w:rsid w:val="00D529F5"/>
    <w:rsid w:val="00D53448"/>
    <w:rsid w:val="00D535F1"/>
    <w:rsid w:val="00D5737B"/>
    <w:rsid w:val="00D6313D"/>
    <w:rsid w:val="00D65120"/>
    <w:rsid w:val="00D75923"/>
    <w:rsid w:val="00DB0EAA"/>
    <w:rsid w:val="00DB176E"/>
    <w:rsid w:val="00DB4217"/>
    <w:rsid w:val="00DB52A6"/>
    <w:rsid w:val="00DB6E46"/>
    <w:rsid w:val="00DC1349"/>
    <w:rsid w:val="00DD271D"/>
    <w:rsid w:val="00DF6614"/>
    <w:rsid w:val="00DF749F"/>
    <w:rsid w:val="00E10026"/>
    <w:rsid w:val="00E14464"/>
    <w:rsid w:val="00E17C2E"/>
    <w:rsid w:val="00E17D5D"/>
    <w:rsid w:val="00E4111A"/>
    <w:rsid w:val="00E5698F"/>
    <w:rsid w:val="00E75706"/>
    <w:rsid w:val="00E872EA"/>
    <w:rsid w:val="00E914D9"/>
    <w:rsid w:val="00E93202"/>
    <w:rsid w:val="00E968AE"/>
    <w:rsid w:val="00EA3719"/>
    <w:rsid w:val="00EB6FE4"/>
    <w:rsid w:val="00EC5066"/>
    <w:rsid w:val="00ED0D84"/>
    <w:rsid w:val="00ED3634"/>
    <w:rsid w:val="00ED59C4"/>
    <w:rsid w:val="00EF42A9"/>
    <w:rsid w:val="00EF4784"/>
    <w:rsid w:val="00F104CB"/>
    <w:rsid w:val="00F25C2D"/>
    <w:rsid w:val="00F26582"/>
    <w:rsid w:val="00F42D9E"/>
    <w:rsid w:val="00F450E1"/>
    <w:rsid w:val="00F510F4"/>
    <w:rsid w:val="00F536C3"/>
    <w:rsid w:val="00F66F07"/>
    <w:rsid w:val="00F75D85"/>
    <w:rsid w:val="00F9514D"/>
    <w:rsid w:val="00FB24C8"/>
    <w:rsid w:val="00FC1746"/>
    <w:rsid w:val="00FC1B12"/>
    <w:rsid w:val="00FC5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lockText">
    <w:name w:val="Block Text"/>
    <w:basedOn w:val="Normal"/>
    <w:pPr>
      <w:ind w:left="1440" w:right="720"/>
    </w:pPr>
    <w:rPr>
      <w:sz w:val="26"/>
    </w:rPr>
  </w:style>
  <w:style w:type="paragraph" w:styleId="BodyTextIndent">
    <w:name w:val="Body Text Indent"/>
    <w:basedOn w:val="Normal"/>
    <w:pPr>
      <w:suppressAutoHyphens/>
      <w:spacing w:line="360" w:lineRule="auto"/>
      <w:ind w:left="900" w:hanging="1080"/>
      <w:jc w:val="both"/>
    </w:pPr>
    <w:rPr>
      <w:spacing w:val="-3"/>
      <w:kern w:val="1"/>
      <w:sz w:val="26"/>
    </w:rPr>
  </w:style>
  <w:style w:type="paragraph" w:styleId="BodyTextIndent2">
    <w:name w:val="Body Text Indent 2"/>
    <w:basedOn w:val="Normal"/>
    <w:pPr>
      <w:ind w:right="720" w:firstLine="180"/>
    </w:pPr>
    <w:rPr>
      <w:sz w:val="26"/>
    </w:rPr>
  </w:style>
  <w:style w:type="paragraph" w:styleId="BodyTextIndent3">
    <w:name w:val="Body Text Indent 3"/>
    <w:basedOn w:val="Normal"/>
    <w:pPr>
      <w:suppressAutoHyphens/>
      <w:spacing w:line="360" w:lineRule="auto"/>
      <w:ind w:left="1080"/>
    </w:pPr>
    <w:rPr>
      <w:spacing w:val="-3"/>
      <w:kern w:val="1"/>
      <w:sz w:val="26"/>
    </w:rPr>
  </w:style>
  <w:style w:type="paragraph" w:styleId="BalloonText">
    <w:name w:val="Balloon Text"/>
    <w:basedOn w:val="Normal"/>
    <w:semiHidden/>
    <w:rsid w:val="0081379F"/>
    <w:rPr>
      <w:rFonts w:ascii="Tahoma" w:hAnsi="Tahoma" w:cs="Tahoma"/>
      <w:sz w:val="16"/>
      <w:szCs w:val="16"/>
    </w:rPr>
  </w:style>
  <w:style w:type="paragraph" w:customStyle="1" w:styleId="p5">
    <w:name w:val="p5"/>
    <w:basedOn w:val="Normal"/>
    <w:rsid w:val="000535E4"/>
    <w:pPr>
      <w:widowControl w:val="0"/>
      <w:tabs>
        <w:tab w:val="left" w:pos="391"/>
      </w:tabs>
      <w:autoSpaceDE w:val="0"/>
      <w:autoSpaceDN w:val="0"/>
      <w:adjustRightInd w:val="0"/>
      <w:ind w:left="1049"/>
    </w:pPr>
    <w:rPr>
      <w:color w:val="auto"/>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lockText">
    <w:name w:val="Block Text"/>
    <w:basedOn w:val="Normal"/>
    <w:pPr>
      <w:ind w:left="1440" w:right="720"/>
    </w:pPr>
    <w:rPr>
      <w:sz w:val="26"/>
    </w:rPr>
  </w:style>
  <w:style w:type="paragraph" w:styleId="BodyTextIndent">
    <w:name w:val="Body Text Indent"/>
    <w:basedOn w:val="Normal"/>
    <w:pPr>
      <w:suppressAutoHyphens/>
      <w:spacing w:line="360" w:lineRule="auto"/>
      <w:ind w:left="900" w:hanging="1080"/>
      <w:jc w:val="both"/>
    </w:pPr>
    <w:rPr>
      <w:spacing w:val="-3"/>
      <w:kern w:val="1"/>
      <w:sz w:val="26"/>
    </w:rPr>
  </w:style>
  <w:style w:type="paragraph" w:styleId="BodyTextIndent2">
    <w:name w:val="Body Text Indent 2"/>
    <w:basedOn w:val="Normal"/>
    <w:pPr>
      <w:ind w:right="720" w:firstLine="180"/>
    </w:pPr>
    <w:rPr>
      <w:sz w:val="26"/>
    </w:rPr>
  </w:style>
  <w:style w:type="paragraph" w:styleId="BodyTextIndent3">
    <w:name w:val="Body Text Indent 3"/>
    <w:basedOn w:val="Normal"/>
    <w:pPr>
      <w:suppressAutoHyphens/>
      <w:spacing w:line="360" w:lineRule="auto"/>
      <w:ind w:left="1080"/>
    </w:pPr>
    <w:rPr>
      <w:spacing w:val="-3"/>
      <w:kern w:val="1"/>
      <w:sz w:val="26"/>
    </w:rPr>
  </w:style>
  <w:style w:type="paragraph" w:styleId="BalloonText">
    <w:name w:val="Balloon Text"/>
    <w:basedOn w:val="Normal"/>
    <w:semiHidden/>
    <w:rsid w:val="0081379F"/>
    <w:rPr>
      <w:rFonts w:ascii="Tahoma" w:hAnsi="Tahoma" w:cs="Tahoma"/>
      <w:sz w:val="16"/>
      <w:szCs w:val="16"/>
    </w:rPr>
  </w:style>
  <w:style w:type="paragraph" w:customStyle="1" w:styleId="p5">
    <w:name w:val="p5"/>
    <w:basedOn w:val="Normal"/>
    <w:rsid w:val="000535E4"/>
    <w:pPr>
      <w:widowControl w:val="0"/>
      <w:tabs>
        <w:tab w:val="left" w:pos="391"/>
      </w:tabs>
      <w:autoSpaceDE w:val="0"/>
      <w:autoSpaceDN w:val="0"/>
      <w:adjustRightInd w:val="0"/>
      <w:ind w:left="1049"/>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288</TotalTime>
  <Pages>7</Pages>
  <Words>1572</Words>
  <Characters>8966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FUS-    *; A-125047.O;VP Energy</vt:lpstr>
    </vt:vector>
  </TitlesOfParts>
  <Company>PA PUC</Company>
  <LinksUpToDate>false</LinksUpToDate>
  <CharactersWithSpaces>10517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    *; A-125047.O;VP Energy</dc:title>
  <dc:creator>OKORO</dc:creator>
  <cp:lastModifiedBy>Hinds, Margaret</cp:lastModifiedBy>
  <cp:revision>15</cp:revision>
  <cp:lastPrinted>2012-12-20T12:54:00Z</cp:lastPrinted>
  <dcterms:created xsi:type="dcterms:W3CDTF">2012-10-24T18:51:00Z</dcterms:created>
  <dcterms:modified xsi:type="dcterms:W3CDTF">2012-12-20T12:54:00Z</dcterms:modified>
</cp:coreProperties>
</file>