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8" w:type="dxa"/>
        <w:tblLayout w:type="fixed"/>
        <w:tblLook w:val="0000" w:firstRow="0" w:lastRow="0" w:firstColumn="0" w:lastColumn="0" w:noHBand="0" w:noVBand="0"/>
      </w:tblPr>
      <w:tblGrid>
        <w:gridCol w:w="2448"/>
        <w:gridCol w:w="4230"/>
        <w:gridCol w:w="3600"/>
      </w:tblGrid>
      <w:tr w:rsidR="006D57F5">
        <w:tc>
          <w:tcPr>
            <w:tcW w:w="2448" w:type="dxa"/>
          </w:tcPr>
          <w:p w:rsidR="006D57F5" w:rsidRDefault="006D57F5">
            <w:pPr>
              <w:rPr>
                <w:sz w:val="26"/>
              </w:rPr>
            </w:pPr>
            <w:bookmarkStart w:id="0" w:name="_GoBack"/>
            <w:bookmarkEnd w:id="0"/>
          </w:p>
        </w:tc>
        <w:tc>
          <w:tcPr>
            <w:tcW w:w="4230" w:type="dxa"/>
          </w:tcPr>
          <w:p w:rsidR="006D57F5" w:rsidRDefault="006D57F5">
            <w:pPr>
              <w:jc w:val="center"/>
              <w:rPr>
                <w:b/>
                <w:sz w:val="26"/>
              </w:rPr>
            </w:pPr>
            <w:smartTag w:uri="urn:schemas-microsoft-com:office:smarttags" w:element="State">
              <w:smartTag w:uri="urn:schemas-microsoft-com:office:smarttags" w:element="place">
                <w:r>
                  <w:rPr>
                    <w:b/>
                    <w:sz w:val="26"/>
                  </w:rPr>
                  <w:t>PENNSYLVANIA</w:t>
                </w:r>
              </w:smartTag>
            </w:smartTag>
          </w:p>
          <w:p w:rsidR="006D57F5" w:rsidRDefault="006D57F5">
            <w:pPr>
              <w:jc w:val="center"/>
              <w:rPr>
                <w:b/>
                <w:sz w:val="26"/>
              </w:rPr>
            </w:pPr>
            <w:r>
              <w:rPr>
                <w:b/>
                <w:sz w:val="26"/>
              </w:rPr>
              <w:t>PUBLIC UTILITY COMMISSION</w:t>
            </w:r>
          </w:p>
          <w:p w:rsidR="006D57F5" w:rsidRDefault="006D57F5">
            <w:pPr>
              <w:jc w:val="center"/>
              <w:rPr>
                <w:sz w:val="26"/>
              </w:rPr>
            </w:pPr>
            <w:smartTag w:uri="urn:schemas-microsoft-com:office:smarttags" w:element="place">
              <w:smartTag w:uri="urn:schemas-microsoft-com:office:smarttags" w:element="City">
                <w:r>
                  <w:rPr>
                    <w:b/>
                    <w:sz w:val="26"/>
                  </w:rPr>
                  <w:t>Harrisburg</w:t>
                </w:r>
              </w:smartTag>
              <w:r>
                <w:rPr>
                  <w:b/>
                  <w:sz w:val="26"/>
                </w:rPr>
                <w:t xml:space="preserve">, </w:t>
              </w:r>
              <w:smartTag w:uri="urn:schemas-microsoft-com:office:smarttags" w:element="State">
                <w:r>
                  <w:rPr>
                    <w:b/>
                    <w:sz w:val="26"/>
                  </w:rPr>
                  <w:t>PA.</w:t>
                </w:r>
              </w:smartTag>
            </w:smartTag>
            <w:r>
              <w:rPr>
                <w:b/>
                <w:sz w:val="26"/>
              </w:rPr>
              <w:t xml:space="preserve">  17105-3265</w:t>
            </w:r>
          </w:p>
        </w:tc>
        <w:tc>
          <w:tcPr>
            <w:tcW w:w="3600" w:type="dxa"/>
          </w:tcPr>
          <w:p w:rsidR="006D57F5" w:rsidRDefault="006D57F5">
            <w:pPr>
              <w:rPr>
                <w:sz w:val="26"/>
              </w:rPr>
            </w:pPr>
          </w:p>
        </w:tc>
      </w:tr>
    </w:tbl>
    <w:p w:rsidR="006D57F5" w:rsidRDefault="006D57F5">
      <w:pPr>
        <w:rPr>
          <w:sz w:val="26"/>
        </w:rPr>
      </w:pPr>
    </w:p>
    <w:tbl>
      <w:tblPr>
        <w:tblW w:w="0" w:type="auto"/>
        <w:tblLayout w:type="fixed"/>
        <w:tblLook w:val="0000" w:firstRow="0" w:lastRow="0" w:firstColumn="0" w:lastColumn="0" w:noHBand="0" w:noVBand="0"/>
      </w:tblPr>
      <w:tblGrid>
        <w:gridCol w:w="4428"/>
        <w:gridCol w:w="5130"/>
      </w:tblGrid>
      <w:tr w:rsidR="006D57F5">
        <w:tc>
          <w:tcPr>
            <w:tcW w:w="4428" w:type="dxa"/>
          </w:tcPr>
          <w:p w:rsidR="006D57F5" w:rsidRDefault="006D57F5">
            <w:pPr>
              <w:rPr>
                <w:sz w:val="26"/>
              </w:rPr>
            </w:pPr>
          </w:p>
        </w:tc>
        <w:tc>
          <w:tcPr>
            <w:tcW w:w="5130" w:type="dxa"/>
          </w:tcPr>
          <w:p w:rsidR="006D57F5" w:rsidRDefault="006D57F5">
            <w:pPr>
              <w:ind w:firstLine="612"/>
              <w:rPr>
                <w:color w:val="800080"/>
                <w:sz w:val="26"/>
              </w:rPr>
            </w:pPr>
            <w:r w:rsidRPr="006162AE">
              <w:rPr>
                <w:sz w:val="26"/>
              </w:rPr>
              <w:t>Public Meeting held</w:t>
            </w:r>
            <w:r w:rsidRPr="006162AE">
              <w:rPr>
                <w:color w:val="800080"/>
                <w:sz w:val="26"/>
              </w:rPr>
              <w:t xml:space="preserve"> </w:t>
            </w:r>
            <w:r w:rsidR="00A07576">
              <w:rPr>
                <w:sz w:val="26"/>
              </w:rPr>
              <w:t>December 20</w:t>
            </w:r>
            <w:r w:rsidRPr="006162AE">
              <w:rPr>
                <w:sz w:val="26"/>
              </w:rPr>
              <w:t>, 20</w:t>
            </w:r>
            <w:r w:rsidR="00A07576">
              <w:rPr>
                <w:sz w:val="26"/>
              </w:rPr>
              <w:t>12</w:t>
            </w:r>
          </w:p>
        </w:tc>
      </w:tr>
      <w:tr w:rsidR="006D57F5">
        <w:tc>
          <w:tcPr>
            <w:tcW w:w="4428" w:type="dxa"/>
          </w:tcPr>
          <w:p w:rsidR="006D57F5" w:rsidRDefault="006D57F5">
            <w:pPr>
              <w:rPr>
                <w:sz w:val="26"/>
              </w:rPr>
            </w:pPr>
            <w:r>
              <w:rPr>
                <w:sz w:val="26"/>
              </w:rPr>
              <w:t>Commissioners Present:</w:t>
            </w:r>
          </w:p>
        </w:tc>
        <w:tc>
          <w:tcPr>
            <w:tcW w:w="5130" w:type="dxa"/>
          </w:tcPr>
          <w:p w:rsidR="006D57F5" w:rsidRDefault="006D57F5">
            <w:pPr>
              <w:rPr>
                <w:sz w:val="26"/>
              </w:rPr>
            </w:pPr>
          </w:p>
        </w:tc>
      </w:tr>
    </w:tbl>
    <w:p w:rsidR="006D57F5" w:rsidRDefault="006D57F5">
      <w:pPr>
        <w:rPr>
          <w:sz w:val="26"/>
        </w:rPr>
      </w:pPr>
    </w:p>
    <w:tbl>
      <w:tblPr>
        <w:tblW w:w="10296" w:type="dxa"/>
        <w:tblLayout w:type="fixed"/>
        <w:tblLook w:val="0000" w:firstRow="0" w:lastRow="0" w:firstColumn="0" w:lastColumn="0" w:noHBand="0" w:noVBand="0"/>
      </w:tblPr>
      <w:tblGrid>
        <w:gridCol w:w="738"/>
        <w:gridCol w:w="4680"/>
        <w:gridCol w:w="4140"/>
        <w:gridCol w:w="738"/>
      </w:tblGrid>
      <w:tr w:rsidR="00CD4DE0" w:rsidTr="002C4AB4">
        <w:tc>
          <w:tcPr>
            <w:tcW w:w="9558" w:type="dxa"/>
            <w:gridSpan w:val="3"/>
          </w:tcPr>
          <w:tbl>
            <w:tblPr>
              <w:tblW w:w="9558" w:type="dxa"/>
              <w:tblLayout w:type="fixed"/>
              <w:tblLook w:val="0000" w:firstRow="0" w:lastRow="0" w:firstColumn="0" w:lastColumn="0" w:noHBand="0" w:noVBand="0"/>
            </w:tblPr>
            <w:tblGrid>
              <w:gridCol w:w="9558"/>
            </w:tblGrid>
            <w:tr w:rsidR="00CD4DE0" w:rsidRPr="001469BF" w:rsidTr="00CD4DE0">
              <w:tc>
                <w:tcPr>
                  <w:tcW w:w="9558" w:type="dxa"/>
                </w:tcPr>
                <w:p w:rsidR="00CD4DE0" w:rsidRPr="001469BF" w:rsidRDefault="00CD4DE0" w:rsidP="00CD4DE0">
                  <w:pPr>
                    <w:rPr>
                      <w:sz w:val="26"/>
                      <w:szCs w:val="26"/>
                    </w:rPr>
                  </w:pPr>
                  <w:r w:rsidRPr="001469BF">
                    <w:rPr>
                      <w:sz w:val="26"/>
                      <w:szCs w:val="26"/>
                    </w:rPr>
                    <w:tab/>
                    <w:t>Robert F. Powelson, Chairman</w:t>
                  </w:r>
                </w:p>
              </w:tc>
            </w:tr>
            <w:tr w:rsidR="00CD4DE0" w:rsidRPr="001469BF" w:rsidTr="00CD4DE0">
              <w:tc>
                <w:tcPr>
                  <w:tcW w:w="9558" w:type="dxa"/>
                </w:tcPr>
                <w:p w:rsidR="00CD4DE0" w:rsidRPr="001469BF" w:rsidRDefault="00CD4DE0" w:rsidP="00CD4DE0">
                  <w:pPr>
                    <w:rPr>
                      <w:sz w:val="26"/>
                      <w:szCs w:val="26"/>
                    </w:rPr>
                  </w:pPr>
                  <w:r w:rsidRPr="001469BF">
                    <w:rPr>
                      <w:sz w:val="26"/>
                      <w:szCs w:val="26"/>
                    </w:rPr>
                    <w:tab/>
                    <w:t>John F. Coleman, Jr., Vice Chairman</w:t>
                  </w:r>
                </w:p>
                <w:p w:rsidR="00CD4DE0" w:rsidRPr="001469BF" w:rsidRDefault="00CD4DE0" w:rsidP="00CD4DE0">
                  <w:pPr>
                    <w:rPr>
                      <w:sz w:val="26"/>
                      <w:szCs w:val="26"/>
                    </w:rPr>
                  </w:pPr>
                  <w:r w:rsidRPr="001469BF">
                    <w:rPr>
                      <w:sz w:val="26"/>
                      <w:szCs w:val="26"/>
                    </w:rPr>
                    <w:tab/>
                    <w:t>Wayne E. Gardner</w:t>
                  </w:r>
                </w:p>
              </w:tc>
            </w:tr>
            <w:tr w:rsidR="00CD4DE0" w:rsidRPr="001469BF" w:rsidTr="00CD4DE0">
              <w:tc>
                <w:tcPr>
                  <w:tcW w:w="9558" w:type="dxa"/>
                </w:tcPr>
                <w:p w:rsidR="00CD4DE0" w:rsidRPr="001469BF" w:rsidRDefault="00CD4DE0" w:rsidP="00CD4DE0">
                  <w:pPr>
                    <w:rPr>
                      <w:sz w:val="26"/>
                      <w:szCs w:val="26"/>
                    </w:rPr>
                  </w:pPr>
                  <w:r w:rsidRPr="001469BF">
                    <w:rPr>
                      <w:sz w:val="26"/>
                      <w:szCs w:val="26"/>
                    </w:rPr>
                    <w:tab/>
                    <w:t>James H. Cawley</w:t>
                  </w:r>
                </w:p>
              </w:tc>
            </w:tr>
            <w:tr w:rsidR="00CD4DE0" w:rsidRPr="001469BF" w:rsidTr="00CD4DE0">
              <w:tc>
                <w:tcPr>
                  <w:tcW w:w="9558" w:type="dxa"/>
                </w:tcPr>
                <w:p w:rsidR="00CD4DE0" w:rsidRPr="001469BF" w:rsidRDefault="00CD4DE0" w:rsidP="00CD4DE0">
                  <w:pPr>
                    <w:rPr>
                      <w:sz w:val="26"/>
                      <w:szCs w:val="26"/>
                    </w:rPr>
                  </w:pPr>
                  <w:r w:rsidRPr="001469BF">
                    <w:rPr>
                      <w:sz w:val="26"/>
                      <w:szCs w:val="26"/>
                    </w:rPr>
                    <w:tab/>
                    <w:t>Pamela A. Witmer</w:t>
                  </w:r>
                </w:p>
              </w:tc>
            </w:tr>
          </w:tbl>
          <w:p w:rsidR="00CD4DE0" w:rsidRDefault="00CD4DE0"/>
        </w:tc>
        <w:tc>
          <w:tcPr>
            <w:tcW w:w="738" w:type="dxa"/>
          </w:tcPr>
          <w:p w:rsidR="00CD4DE0" w:rsidRDefault="00CD4DE0">
            <w:pPr>
              <w:rPr>
                <w:sz w:val="26"/>
              </w:rPr>
            </w:pPr>
          </w:p>
        </w:tc>
      </w:tr>
      <w:tr w:rsidR="00CD4DE0" w:rsidTr="002C4AB4">
        <w:trPr>
          <w:gridAfter w:val="3"/>
          <w:wAfter w:w="9558" w:type="dxa"/>
        </w:trPr>
        <w:tc>
          <w:tcPr>
            <w:tcW w:w="738" w:type="dxa"/>
          </w:tcPr>
          <w:p w:rsidR="00CD4DE0" w:rsidRDefault="00CD4DE0">
            <w:pPr>
              <w:rPr>
                <w:sz w:val="26"/>
              </w:rPr>
            </w:pPr>
          </w:p>
        </w:tc>
      </w:tr>
      <w:tr w:rsidR="006D57F5" w:rsidTr="002C4AB4">
        <w:trPr>
          <w:gridAfter w:val="1"/>
          <w:wAfter w:w="738" w:type="dxa"/>
        </w:trPr>
        <w:tc>
          <w:tcPr>
            <w:tcW w:w="5418" w:type="dxa"/>
            <w:gridSpan w:val="2"/>
          </w:tcPr>
          <w:p w:rsidR="005A514C" w:rsidRDefault="005A514C" w:rsidP="00CD4DE0">
            <w:r>
              <w:t>P</w:t>
            </w:r>
            <w:r w:rsidR="00F037BA">
              <w:t>ECO Energy Company</w:t>
            </w:r>
            <w:r w:rsidR="00CD4DE0">
              <w:t xml:space="preserve"> Supplement No. 55 to Tariff Electric – Pa PUC No. 4</w:t>
            </w:r>
          </w:p>
          <w:p w:rsidR="002C4AB4" w:rsidRPr="005A514C" w:rsidRDefault="002C4AB4" w:rsidP="00CD4DE0">
            <w:pPr>
              <w:rPr>
                <w:color w:val="000000"/>
                <w:sz w:val="26"/>
              </w:rPr>
            </w:pPr>
          </w:p>
        </w:tc>
        <w:tc>
          <w:tcPr>
            <w:tcW w:w="4140" w:type="dxa"/>
          </w:tcPr>
          <w:p w:rsidR="006D57F5" w:rsidRDefault="00CD4DE0" w:rsidP="005A514C">
            <w:pPr>
              <w:jc w:val="center"/>
              <w:rPr>
                <w:color w:val="800080"/>
                <w:sz w:val="26"/>
              </w:rPr>
            </w:pPr>
            <w:r>
              <w:rPr>
                <w:sz w:val="26"/>
              </w:rPr>
              <w:t>R-2012</w:t>
            </w:r>
            <w:r w:rsidR="00F037BA">
              <w:rPr>
                <w:sz w:val="26"/>
              </w:rPr>
              <w:t>-</w:t>
            </w:r>
            <w:r>
              <w:rPr>
                <w:sz w:val="26"/>
              </w:rPr>
              <w:t>2329373</w:t>
            </w:r>
          </w:p>
        </w:tc>
      </w:tr>
      <w:tr w:rsidR="002366DA" w:rsidTr="002C4AB4">
        <w:trPr>
          <w:gridAfter w:val="1"/>
          <w:wAfter w:w="738" w:type="dxa"/>
        </w:trPr>
        <w:tc>
          <w:tcPr>
            <w:tcW w:w="5418" w:type="dxa"/>
            <w:gridSpan w:val="2"/>
          </w:tcPr>
          <w:p w:rsidR="002366DA" w:rsidRPr="005A514C" w:rsidRDefault="002366DA" w:rsidP="002366DA">
            <w:pPr>
              <w:rPr>
                <w:color w:val="000000"/>
                <w:sz w:val="26"/>
              </w:rPr>
            </w:pPr>
            <w:r>
              <w:t>PECO Energy Company : Electric USFC Final Rate Filing</w:t>
            </w:r>
            <w:r w:rsidR="00363EE2" w:rsidRPr="00363EE2">
              <w:t xml:space="preserve"> </w:t>
            </w:r>
            <w:r w:rsidR="00363EE2">
              <w:t>Supplement No. 54</w:t>
            </w:r>
            <w:r w:rsidR="00363EE2" w:rsidRPr="00363EE2">
              <w:t xml:space="preserve"> to Tariff Electric – Pa PUC No. 4</w:t>
            </w:r>
          </w:p>
        </w:tc>
        <w:tc>
          <w:tcPr>
            <w:tcW w:w="4140" w:type="dxa"/>
          </w:tcPr>
          <w:p w:rsidR="002366DA" w:rsidRDefault="002366DA" w:rsidP="002366DA">
            <w:pPr>
              <w:jc w:val="center"/>
              <w:rPr>
                <w:color w:val="800080"/>
                <w:sz w:val="26"/>
              </w:rPr>
            </w:pPr>
            <w:r>
              <w:rPr>
                <w:sz w:val="26"/>
              </w:rPr>
              <w:t>M-2012-232</w:t>
            </w:r>
            <w:r w:rsidR="0079254B">
              <w:rPr>
                <w:sz w:val="26"/>
              </w:rPr>
              <w:t>2896</w:t>
            </w:r>
          </w:p>
        </w:tc>
      </w:tr>
    </w:tbl>
    <w:p w:rsidR="006D57F5" w:rsidRDefault="006D57F5">
      <w:pPr>
        <w:ind w:firstLine="90"/>
        <w:jc w:val="center"/>
        <w:rPr>
          <w:sz w:val="26"/>
        </w:rPr>
      </w:pPr>
    </w:p>
    <w:p w:rsidR="006D57F5" w:rsidRDefault="006D57F5" w:rsidP="00003002">
      <w:pPr>
        <w:pStyle w:val="c2"/>
        <w:tabs>
          <w:tab w:val="left" w:pos="204"/>
        </w:tabs>
        <w:spacing w:line="360" w:lineRule="auto"/>
        <w:rPr>
          <w:b/>
          <w:sz w:val="26"/>
        </w:rPr>
      </w:pPr>
      <w:r>
        <w:rPr>
          <w:b/>
          <w:sz w:val="26"/>
        </w:rPr>
        <w:t>ORDER</w:t>
      </w:r>
    </w:p>
    <w:p w:rsidR="00003002" w:rsidRDefault="00003002" w:rsidP="00663DB3">
      <w:pPr>
        <w:pStyle w:val="c2"/>
        <w:tabs>
          <w:tab w:val="left" w:pos="204"/>
        </w:tabs>
        <w:rPr>
          <w:b/>
          <w:sz w:val="26"/>
        </w:rPr>
      </w:pPr>
    </w:p>
    <w:p w:rsidR="006D57F5" w:rsidRDefault="006D57F5">
      <w:pPr>
        <w:pStyle w:val="p4"/>
        <w:spacing w:line="360" w:lineRule="auto"/>
        <w:rPr>
          <w:b/>
          <w:sz w:val="26"/>
        </w:rPr>
      </w:pPr>
      <w:r>
        <w:rPr>
          <w:b/>
          <w:sz w:val="26"/>
        </w:rPr>
        <w:t>BY THE COMMISSION:</w:t>
      </w:r>
    </w:p>
    <w:p w:rsidR="006D57F5" w:rsidRDefault="006D57F5">
      <w:pPr>
        <w:tabs>
          <w:tab w:val="left" w:pos="204"/>
        </w:tabs>
        <w:spacing w:line="360" w:lineRule="auto"/>
        <w:rPr>
          <w:sz w:val="26"/>
        </w:rPr>
      </w:pPr>
    </w:p>
    <w:p w:rsidR="001345D9" w:rsidRDefault="00F037BA" w:rsidP="00255485">
      <w:pPr>
        <w:pStyle w:val="p6"/>
        <w:tabs>
          <w:tab w:val="clear" w:pos="1479"/>
          <w:tab w:val="left" w:pos="1440"/>
        </w:tabs>
        <w:spacing w:line="360" w:lineRule="auto"/>
        <w:ind w:firstLine="1440"/>
        <w:rPr>
          <w:sz w:val="26"/>
        </w:rPr>
      </w:pPr>
      <w:r>
        <w:rPr>
          <w:sz w:val="26"/>
        </w:rPr>
        <w:t>On</w:t>
      </w:r>
      <w:r w:rsidR="000F77B8">
        <w:rPr>
          <w:sz w:val="26"/>
        </w:rPr>
        <w:t xml:space="preserve"> October 12, 2012</w:t>
      </w:r>
      <w:r w:rsidR="0073033C">
        <w:rPr>
          <w:sz w:val="26"/>
        </w:rPr>
        <w:t>,</w:t>
      </w:r>
      <w:r w:rsidR="000F77B8">
        <w:rPr>
          <w:sz w:val="26"/>
        </w:rPr>
        <w:t xml:space="preserve"> PECO Energy Company (</w:t>
      </w:r>
      <w:r w:rsidR="003A4FF4">
        <w:rPr>
          <w:sz w:val="26"/>
        </w:rPr>
        <w:t>PECO</w:t>
      </w:r>
      <w:r w:rsidR="000F77B8">
        <w:rPr>
          <w:sz w:val="26"/>
        </w:rPr>
        <w:t xml:space="preserve"> or </w:t>
      </w:r>
      <w:r w:rsidR="006D57F5">
        <w:rPr>
          <w:sz w:val="26"/>
        </w:rPr>
        <w:t>the C</w:t>
      </w:r>
      <w:r w:rsidR="000F77B8">
        <w:rPr>
          <w:sz w:val="26"/>
        </w:rPr>
        <w:t>ompany) filed Supplement No. 55</w:t>
      </w:r>
      <w:r w:rsidR="006D57F5">
        <w:rPr>
          <w:sz w:val="26"/>
        </w:rPr>
        <w:t xml:space="preserve"> to </w:t>
      </w:r>
      <w:r w:rsidR="001D1901">
        <w:rPr>
          <w:sz w:val="26"/>
        </w:rPr>
        <w:t xml:space="preserve">Electric </w:t>
      </w:r>
      <w:r w:rsidR="006D57F5">
        <w:rPr>
          <w:sz w:val="26"/>
        </w:rPr>
        <w:t>Ta</w:t>
      </w:r>
      <w:r w:rsidR="000F77B8">
        <w:rPr>
          <w:sz w:val="26"/>
        </w:rPr>
        <w:t>riff – Pa. P.U.C. No. 4</w:t>
      </w:r>
      <w:r w:rsidR="00255485">
        <w:rPr>
          <w:sz w:val="26"/>
        </w:rPr>
        <w:t xml:space="preserve"> at Docket No. R</w:t>
      </w:r>
      <w:r w:rsidR="0073033C">
        <w:rPr>
          <w:sz w:val="26"/>
        </w:rPr>
        <w:t>-</w:t>
      </w:r>
      <w:r w:rsidR="00255485">
        <w:rPr>
          <w:sz w:val="26"/>
        </w:rPr>
        <w:t>2012-2329373</w:t>
      </w:r>
      <w:r w:rsidR="006D57F5">
        <w:rPr>
          <w:sz w:val="26"/>
        </w:rPr>
        <w:t>,</w:t>
      </w:r>
      <w:r w:rsidR="000F77B8">
        <w:rPr>
          <w:sz w:val="26"/>
        </w:rPr>
        <w:t xml:space="preserve"> to become effective January</w:t>
      </w:r>
      <w:r w:rsidR="001524D4">
        <w:rPr>
          <w:sz w:val="26"/>
        </w:rPr>
        <w:t xml:space="preserve"> 1, 2013</w:t>
      </w:r>
      <w:r w:rsidR="00255485">
        <w:rPr>
          <w:sz w:val="26"/>
        </w:rPr>
        <w:t xml:space="preserve">. </w:t>
      </w:r>
      <w:r w:rsidR="0073033C">
        <w:rPr>
          <w:sz w:val="26"/>
        </w:rPr>
        <w:t xml:space="preserve"> </w:t>
      </w:r>
      <w:r w:rsidR="00255485">
        <w:rPr>
          <w:sz w:val="26"/>
        </w:rPr>
        <w:t>The filing</w:t>
      </w:r>
      <w:r w:rsidR="001345D9">
        <w:rPr>
          <w:sz w:val="26"/>
          <w:szCs w:val="26"/>
        </w:rPr>
        <w:t xml:space="preserve"> </w:t>
      </w:r>
      <w:r w:rsidR="00582377">
        <w:rPr>
          <w:sz w:val="26"/>
        </w:rPr>
        <w:t>proposes</w:t>
      </w:r>
      <w:r w:rsidR="00582377" w:rsidRPr="00582377">
        <w:rPr>
          <w:sz w:val="26"/>
        </w:rPr>
        <w:t xml:space="preserve"> to raise the</w:t>
      </w:r>
      <w:r w:rsidR="00255485">
        <w:rPr>
          <w:sz w:val="26"/>
        </w:rPr>
        <w:t xml:space="preserve"> Customer Assistance Program (CAP)</w:t>
      </w:r>
      <w:r w:rsidR="00582377" w:rsidRPr="00582377">
        <w:rPr>
          <w:sz w:val="26"/>
        </w:rPr>
        <w:t xml:space="preserve"> usage limit for CAP-RH customers in the months of November through April from 650 KWH to 1,500 KWH to compensate for the loss of the RH generation block discount.</w:t>
      </w:r>
    </w:p>
    <w:p w:rsidR="001345D9" w:rsidRDefault="001345D9" w:rsidP="000F77B8">
      <w:pPr>
        <w:pStyle w:val="p6"/>
        <w:tabs>
          <w:tab w:val="clear" w:pos="1479"/>
          <w:tab w:val="left" w:pos="1440"/>
        </w:tabs>
        <w:spacing w:line="360" w:lineRule="auto"/>
        <w:ind w:firstLine="0"/>
        <w:rPr>
          <w:sz w:val="26"/>
        </w:rPr>
      </w:pPr>
    </w:p>
    <w:p w:rsidR="003F76A4" w:rsidRDefault="001345D9" w:rsidP="000F77B8">
      <w:pPr>
        <w:pStyle w:val="p6"/>
        <w:tabs>
          <w:tab w:val="clear" w:pos="1479"/>
          <w:tab w:val="left" w:pos="1440"/>
        </w:tabs>
        <w:spacing w:line="360" w:lineRule="auto"/>
        <w:ind w:firstLine="0"/>
        <w:rPr>
          <w:sz w:val="26"/>
        </w:rPr>
      </w:pPr>
      <w:r>
        <w:rPr>
          <w:sz w:val="26"/>
        </w:rPr>
        <w:tab/>
      </w:r>
      <w:r w:rsidR="001524D4">
        <w:rPr>
          <w:sz w:val="26"/>
        </w:rPr>
        <w:t>PECO also filed on October 12, 2012</w:t>
      </w:r>
      <w:r w:rsidR="0073033C">
        <w:rPr>
          <w:sz w:val="26"/>
        </w:rPr>
        <w:t>,</w:t>
      </w:r>
      <w:r w:rsidR="001524D4">
        <w:rPr>
          <w:sz w:val="26"/>
        </w:rPr>
        <w:t xml:space="preserve"> Supplement No.54 to Tariff Electric PA P.U.C No. 4</w:t>
      </w:r>
      <w:r w:rsidR="00255485">
        <w:rPr>
          <w:sz w:val="26"/>
        </w:rPr>
        <w:t xml:space="preserve"> at Docket No. M-2012-2322896</w:t>
      </w:r>
      <w:r w:rsidR="001524D4">
        <w:rPr>
          <w:sz w:val="26"/>
        </w:rPr>
        <w:t>, to b</w:t>
      </w:r>
      <w:r w:rsidR="00255485">
        <w:rPr>
          <w:sz w:val="26"/>
        </w:rPr>
        <w:t>ecome effective January 1, 2013. The filing</w:t>
      </w:r>
      <w:r>
        <w:rPr>
          <w:sz w:val="26"/>
        </w:rPr>
        <w:t xml:space="preserve"> </w:t>
      </w:r>
      <w:r w:rsidRPr="001345D9">
        <w:rPr>
          <w:sz w:val="26"/>
        </w:rPr>
        <w:t xml:space="preserve">includes a proposal to include an adjustment to the C-Factor (projected cost of CAP shortfall costs) to address the loss of discounts for residential </w:t>
      </w:r>
      <w:r w:rsidR="00255485">
        <w:rPr>
          <w:sz w:val="26"/>
        </w:rPr>
        <w:t>heating customers (RH) and the e</w:t>
      </w:r>
      <w:r w:rsidRPr="001345D9">
        <w:rPr>
          <w:sz w:val="26"/>
        </w:rPr>
        <w:t xml:space="preserve">ffect it will have on the RH customers who are in the CAP program.  </w:t>
      </w:r>
    </w:p>
    <w:p w:rsidR="004161B1" w:rsidRPr="004161B1" w:rsidRDefault="00E676FB" w:rsidP="004161B1">
      <w:pPr>
        <w:spacing w:line="360" w:lineRule="auto"/>
        <w:rPr>
          <w:sz w:val="26"/>
          <w:szCs w:val="26"/>
        </w:rPr>
      </w:pPr>
      <w:r>
        <w:rPr>
          <w:sz w:val="26"/>
        </w:rPr>
        <w:lastRenderedPageBreak/>
        <w:tab/>
      </w:r>
      <w:r w:rsidR="004161B1" w:rsidRPr="004161B1">
        <w:rPr>
          <w:b/>
          <w:sz w:val="26"/>
          <w:szCs w:val="26"/>
          <w:u w:val="single"/>
        </w:rPr>
        <w:t>Elimination of Residential Heating (RH) Blocks</w:t>
      </w:r>
    </w:p>
    <w:p w:rsidR="004161B1" w:rsidRPr="004161B1" w:rsidRDefault="004161B1" w:rsidP="004161B1">
      <w:pPr>
        <w:widowControl/>
        <w:autoSpaceDE/>
        <w:autoSpaceDN/>
        <w:adjustRightInd/>
        <w:spacing w:line="360" w:lineRule="auto"/>
        <w:rPr>
          <w:sz w:val="26"/>
          <w:szCs w:val="26"/>
        </w:rPr>
      </w:pPr>
    </w:p>
    <w:p w:rsidR="004161B1" w:rsidRPr="004161B1" w:rsidRDefault="004161B1" w:rsidP="004161B1">
      <w:pPr>
        <w:widowControl/>
        <w:autoSpaceDE/>
        <w:autoSpaceDN/>
        <w:adjustRightInd/>
        <w:spacing w:line="360" w:lineRule="auto"/>
        <w:rPr>
          <w:sz w:val="26"/>
          <w:szCs w:val="26"/>
        </w:rPr>
      </w:pPr>
      <w:r w:rsidRPr="004161B1">
        <w:rPr>
          <w:sz w:val="26"/>
          <w:szCs w:val="26"/>
        </w:rPr>
        <w:tab/>
      </w:r>
      <w:r w:rsidR="00990233">
        <w:rPr>
          <w:sz w:val="26"/>
          <w:szCs w:val="26"/>
        </w:rPr>
        <w:tab/>
      </w:r>
      <w:r w:rsidRPr="004161B1">
        <w:rPr>
          <w:sz w:val="26"/>
          <w:szCs w:val="26"/>
        </w:rPr>
        <w:t>The RH generation price blocks are being eliminated in accordance with the phase-out plan approved by the Commission in PECO’s Default Service Provider Settlement (DSP Settlement) at Docket No. P-2008</w:t>
      </w:r>
      <w:r w:rsidR="0073033C">
        <w:rPr>
          <w:sz w:val="26"/>
          <w:szCs w:val="26"/>
        </w:rPr>
        <w:t>-</w:t>
      </w:r>
      <w:r w:rsidRPr="004161B1">
        <w:rPr>
          <w:sz w:val="26"/>
          <w:szCs w:val="26"/>
        </w:rPr>
        <w:t xml:space="preserve">2062739.  On January 1, 2013, all block pricing and differentiated meter pricing is being eliminated as part of the DSP Settlement. </w:t>
      </w:r>
      <w:r w:rsidR="0073033C">
        <w:rPr>
          <w:sz w:val="26"/>
          <w:szCs w:val="26"/>
        </w:rPr>
        <w:t xml:space="preserve"> </w:t>
      </w:r>
      <w:r w:rsidR="00255485" w:rsidRPr="00255485">
        <w:rPr>
          <w:sz w:val="26"/>
          <w:szCs w:val="26"/>
        </w:rPr>
        <w:t>RH customers will see a loss of discounts as a result of the RH generation price blocks being eliminated</w:t>
      </w:r>
      <w:r w:rsidR="00255485">
        <w:rPr>
          <w:sz w:val="26"/>
          <w:szCs w:val="26"/>
        </w:rPr>
        <w:t>.</w:t>
      </w:r>
      <w:r w:rsidR="00255485" w:rsidRPr="00255485">
        <w:rPr>
          <w:sz w:val="26"/>
          <w:szCs w:val="26"/>
        </w:rPr>
        <w:t xml:space="preserve"> </w:t>
      </w:r>
      <w:r w:rsidRPr="004161B1">
        <w:rPr>
          <w:sz w:val="26"/>
          <w:szCs w:val="26"/>
        </w:rPr>
        <w:t xml:space="preserve"> There will be one Residential GSA rate applicable to the R and RH customer classes at all usage levels.  </w:t>
      </w:r>
    </w:p>
    <w:p w:rsidR="004161B1" w:rsidRPr="004161B1" w:rsidRDefault="004161B1" w:rsidP="004161B1">
      <w:pPr>
        <w:widowControl/>
        <w:autoSpaceDE/>
        <w:autoSpaceDN/>
        <w:adjustRightInd/>
        <w:spacing w:line="360" w:lineRule="auto"/>
        <w:rPr>
          <w:sz w:val="26"/>
          <w:szCs w:val="26"/>
        </w:rPr>
      </w:pPr>
    </w:p>
    <w:p w:rsidR="004161B1" w:rsidRPr="004161B1" w:rsidRDefault="004161B1" w:rsidP="00F74DA7">
      <w:pPr>
        <w:pStyle w:val="p6"/>
        <w:tabs>
          <w:tab w:val="clear" w:pos="1479"/>
          <w:tab w:val="left" w:pos="1440"/>
        </w:tabs>
        <w:spacing w:line="360" w:lineRule="auto"/>
        <w:ind w:firstLine="0"/>
        <w:rPr>
          <w:sz w:val="26"/>
          <w:szCs w:val="26"/>
        </w:rPr>
      </w:pPr>
      <w:r>
        <w:rPr>
          <w:sz w:val="26"/>
        </w:rPr>
        <w:tab/>
      </w:r>
      <w:r w:rsidR="00255485">
        <w:rPr>
          <w:sz w:val="26"/>
        </w:rPr>
        <w:t>Supplement No. 55</w:t>
      </w:r>
      <w:r w:rsidR="00F74DA7">
        <w:rPr>
          <w:sz w:val="26"/>
        </w:rPr>
        <w:t xml:space="preserve"> </w:t>
      </w:r>
      <w:r w:rsidRPr="004161B1">
        <w:rPr>
          <w:sz w:val="26"/>
          <w:szCs w:val="26"/>
        </w:rPr>
        <w:t>is proposing to raise the CAP usage limit for CAP-RH customers in the months of November through April from 650 KWH to 1,500 KWH</w:t>
      </w:r>
      <w:r w:rsidR="002C4AB4">
        <w:rPr>
          <w:sz w:val="26"/>
          <w:szCs w:val="26"/>
        </w:rPr>
        <w:t xml:space="preserve"> to compensate for the loss of the RH generation block discount</w:t>
      </w:r>
      <w:r w:rsidRPr="004161B1">
        <w:rPr>
          <w:sz w:val="26"/>
          <w:szCs w:val="26"/>
        </w:rPr>
        <w:t xml:space="preserve">.  For October and May, the discount levels would remain at 650 KWH.  PECO has estimated the impact of raising the monthly customer usage limit for CAP-RH customers to be $2,798,682.  </w:t>
      </w:r>
      <w:r w:rsidR="008F13AB" w:rsidRPr="008F13AB">
        <w:rPr>
          <w:sz w:val="26"/>
          <w:szCs w:val="26"/>
        </w:rPr>
        <w:t>The impact of the inclusion of the CAP-RH increased usage limit costs of $2,798,682 is equal to $0.0002 per KWH.  If the Commission were to disallow the CAP-RH increased usage limit costs, PECO’s USFC would be $0.0011 per KWH.</w:t>
      </w:r>
      <w:r w:rsidR="008F13AB">
        <w:rPr>
          <w:sz w:val="26"/>
          <w:szCs w:val="26"/>
        </w:rPr>
        <w:t xml:space="preserve"> </w:t>
      </w:r>
      <w:r w:rsidR="0073033C">
        <w:rPr>
          <w:sz w:val="26"/>
          <w:szCs w:val="26"/>
        </w:rPr>
        <w:t xml:space="preserve"> </w:t>
      </w:r>
      <w:r w:rsidRPr="004161B1">
        <w:rPr>
          <w:sz w:val="26"/>
          <w:szCs w:val="26"/>
        </w:rPr>
        <w:t>This CAP usage limit increase will require an incremental cost increase to the C-Factor</w:t>
      </w:r>
      <w:r w:rsidR="00255485">
        <w:rPr>
          <w:sz w:val="26"/>
          <w:szCs w:val="26"/>
        </w:rPr>
        <w:t>.</w:t>
      </w:r>
      <w:r w:rsidRPr="004161B1">
        <w:rPr>
          <w:sz w:val="26"/>
          <w:szCs w:val="26"/>
        </w:rPr>
        <w:t xml:space="preserve">  </w:t>
      </w:r>
      <w:r w:rsidR="00255485" w:rsidRPr="00255485">
        <w:rPr>
          <w:sz w:val="26"/>
          <w:szCs w:val="26"/>
        </w:rPr>
        <w:t>The Company’s proposal to cover the effect of the CAP-RH phase out is detailed below.</w:t>
      </w:r>
    </w:p>
    <w:p w:rsidR="006F6E02" w:rsidRDefault="006F6E02" w:rsidP="008F13AB">
      <w:pPr>
        <w:widowControl/>
        <w:autoSpaceDE/>
        <w:autoSpaceDN/>
        <w:adjustRightInd/>
        <w:spacing w:line="360" w:lineRule="auto"/>
        <w:rPr>
          <w:sz w:val="26"/>
          <w:szCs w:val="26"/>
        </w:rPr>
      </w:pPr>
    </w:p>
    <w:p w:rsidR="004161B1" w:rsidRPr="004161B1" w:rsidRDefault="004161B1" w:rsidP="004161B1">
      <w:pPr>
        <w:widowControl/>
        <w:autoSpaceDE/>
        <w:autoSpaceDN/>
        <w:adjustRightInd/>
        <w:spacing w:line="360" w:lineRule="auto"/>
        <w:rPr>
          <w:b/>
          <w:sz w:val="26"/>
          <w:szCs w:val="26"/>
          <w:u w:val="single"/>
        </w:rPr>
      </w:pPr>
      <w:r w:rsidRPr="004161B1">
        <w:rPr>
          <w:b/>
          <w:sz w:val="26"/>
          <w:szCs w:val="26"/>
          <w:u w:val="single"/>
        </w:rPr>
        <w:t>USFC Rate Adjustment</w:t>
      </w:r>
    </w:p>
    <w:p w:rsidR="004161B1" w:rsidRPr="004161B1" w:rsidRDefault="004161B1" w:rsidP="004161B1">
      <w:pPr>
        <w:widowControl/>
        <w:autoSpaceDE/>
        <w:autoSpaceDN/>
        <w:adjustRightInd/>
        <w:spacing w:line="360" w:lineRule="auto"/>
        <w:rPr>
          <w:b/>
          <w:sz w:val="26"/>
          <w:szCs w:val="26"/>
          <w:u w:val="single"/>
        </w:rPr>
      </w:pPr>
    </w:p>
    <w:p w:rsidR="004161B1" w:rsidRPr="004161B1" w:rsidRDefault="009C4D3E" w:rsidP="004161B1">
      <w:pPr>
        <w:widowControl/>
        <w:autoSpaceDE/>
        <w:autoSpaceDN/>
        <w:adjustRightInd/>
        <w:spacing w:line="360" w:lineRule="auto"/>
        <w:ind w:firstLine="720"/>
        <w:rPr>
          <w:sz w:val="26"/>
          <w:szCs w:val="26"/>
        </w:rPr>
      </w:pPr>
      <w:r>
        <w:rPr>
          <w:sz w:val="26"/>
          <w:szCs w:val="26"/>
        </w:rPr>
        <w:tab/>
        <w:t>As indicated</w:t>
      </w:r>
      <w:r w:rsidR="0018058B">
        <w:rPr>
          <w:sz w:val="26"/>
          <w:szCs w:val="26"/>
        </w:rPr>
        <w:t xml:space="preserve"> above PECO also filed</w:t>
      </w:r>
      <w:r w:rsidR="004161B1" w:rsidRPr="004161B1">
        <w:rPr>
          <w:sz w:val="26"/>
          <w:szCs w:val="26"/>
        </w:rPr>
        <w:t xml:space="preserve"> Supplement No. 54</w:t>
      </w:r>
      <w:r w:rsidR="0018058B">
        <w:rPr>
          <w:sz w:val="26"/>
          <w:szCs w:val="26"/>
        </w:rPr>
        <w:t xml:space="preserve">. </w:t>
      </w:r>
      <w:r w:rsidR="003351F0">
        <w:rPr>
          <w:sz w:val="26"/>
          <w:szCs w:val="26"/>
        </w:rPr>
        <w:t xml:space="preserve"> </w:t>
      </w:r>
      <w:r w:rsidR="0018058B">
        <w:rPr>
          <w:sz w:val="26"/>
          <w:szCs w:val="26"/>
        </w:rPr>
        <w:t>Supplement 54</w:t>
      </w:r>
      <w:r w:rsidR="004161B1" w:rsidRPr="004161B1">
        <w:rPr>
          <w:sz w:val="26"/>
          <w:szCs w:val="26"/>
        </w:rPr>
        <w:t xml:space="preserve"> reflects a </w:t>
      </w:r>
      <w:r w:rsidR="0018058B">
        <w:rPr>
          <w:sz w:val="26"/>
          <w:szCs w:val="26"/>
        </w:rPr>
        <w:t>Universal Service Fund Charge (</w:t>
      </w:r>
      <w:r w:rsidR="004161B1" w:rsidRPr="004161B1">
        <w:rPr>
          <w:sz w:val="26"/>
          <w:szCs w:val="26"/>
        </w:rPr>
        <w:t>USFC</w:t>
      </w:r>
      <w:r w:rsidR="0018058B">
        <w:rPr>
          <w:sz w:val="26"/>
          <w:szCs w:val="26"/>
        </w:rPr>
        <w:t>)</w:t>
      </w:r>
      <w:r w:rsidR="004161B1" w:rsidRPr="004161B1">
        <w:rPr>
          <w:sz w:val="26"/>
          <w:szCs w:val="26"/>
        </w:rPr>
        <w:t xml:space="preserve"> rate of $0.0013 per KWH to be included in its Variable Distribution Service Charge rates for electric service under Residential Rate Schedules R and RH.  </w:t>
      </w:r>
      <w:r w:rsidR="00DC5540" w:rsidRPr="00DC5540">
        <w:rPr>
          <w:sz w:val="26"/>
          <w:szCs w:val="26"/>
        </w:rPr>
        <w:t>The proposed USFC rate includes the sum of the C-factor (including the effect of the CAP-RH phase out), the E-factor, and Incremental LIURP costs.</w:t>
      </w:r>
      <w:r w:rsidR="00DC5540">
        <w:rPr>
          <w:sz w:val="26"/>
          <w:szCs w:val="26"/>
        </w:rPr>
        <w:t xml:space="preserve"> </w:t>
      </w:r>
      <w:r w:rsidR="004161B1" w:rsidRPr="004161B1">
        <w:rPr>
          <w:sz w:val="26"/>
          <w:szCs w:val="26"/>
        </w:rPr>
        <w:t xml:space="preserve">The proposed USFC rate is designed to recover the net amount of </w:t>
      </w:r>
      <w:r w:rsidR="004161B1" w:rsidRPr="004161B1">
        <w:rPr>
          <w:sz w:val="26"/>
          <w:szCs w:val="26"/>
        </w:rPr>
        <w:lastRenderedPageBreak/>
        <w:t>$15,735,519 and represents an increase of $0.0018 per KWH from the current USFC credit rate of $0.0005 per KWH that became effective January 1, 2012.  For a typical residential customer using 500 KWHs per month, the impact of the revised USFC rate results in a $0.90 increase to a customer’s monthly bill.</w:t>
      </w:r>
    </w:p>
    <w:p w:rsidR="004161B1" w:rsidRPr="004161B1" w:rsidRDefault="004161B1" w:rsidP="004161B1">
      <w:pPr>
        <w:widowControl/>
        <w:autoSpaceDE/>
        <w:autoSpaceDN/>
        <w:adjustRightInd/>
        <w:spacing w:line="360" w:lineRule="auto"/>
        <w:ind w:firstLine="720"/>
        <w:rPr>
          <w:sz w:val="26"/>
          <w:szCs w:val="26"/>
        </w:rPr>
      </w:pPr>
    </w:p>
    <w:p w:rsidR="004161B1" w:rsidRPr="004161B1" w:rsidRDefault="002837BE" w:rsidP="004161B1">
      <w:pPr>
        <w:widowControl/>
        <w:autoSpaceDE/>
        <w:autoSpaceDN/>
        <w:adjustRightInd/>
        <w:spacing w:line="360" w:lineRule="auto"/>
        <w:ind w:firstLine="720"/>
        <w:rPr>
          <w:sz w:val="26"/>
          <w:szCs w:val="26"/>
        </w:rPr>
      </w:pPr>
      <w:r>
        <w:rPr>
          <w:sz w:val="26"/>
          <w:szCs w:val="26"/>
        </w:rPr>
        <w:tab/>
      </w:r>
      <w:r w:rsidR="004161B1" w:rsidRPr="004161B1">
        <w:rPr>
          <w:sz w:val="26"/>
          <w:szCs w:val="26"/>
        </w:rPr>
        <w:t>The primary factor for the increase in the proposed USFC rate is the shift from the refunding of an over collection to the recouping of an under collection.  In the proposed USFC, PECO is reflecting a net under collection of $11,399,640, including interest, which represents a change of $15,720,942 when compared to the net over collection of $4,321,302, including interest, reflected in the USFC rate that became effective on January 1, 2012.  The Company explained the reason for the large shift was due to the mild weather that was experienced at the end of 2011.  When PECO filed their USFC to become effective January 1, 2012, the Company estimated that they would be over collected by $4.0 million, including interest, for the period of October 1, 2011</w:t>
      </w:r>
      <w:r w:rsidR="00385DC3">
        <w:rPr>
          <w:sz w:val="26"/>
          <w:szCs w:val="26"/>
        </w:rPr>
        <w:t>,</w:t>
      </w:r>
      <w:r w:rsidR="004161B1" w:rsidRPr="004161B1">
        <w:rPr>
          <w:sz w:val="26"/>
          <w:szCs w:val="26"/>
        </w:rPr>
        <w:t xml:space="preserve"> through December 31, 2011.  When the Company reconciled with actual data for this period, the Company experienced an under collection of $3.</w:t>
      </w:r>
      <w:r w:rsidR="00385DC3">
        <w:rPr>
          <w:sz w:val="26"/>
          <w:szCs w:val="26"/>
        </w:rPr>
        <w:t>3 million, a difference of $7.3 </w:t>
      </w:r>
      <w:r w:rsidR="004161B1" w:rsidRPr="004161B1">
        <w:rPr>
          <w:sz w:val="26"/>
          <w:szCs w:val="26"/>
        </w:rPr>
        <w:t>million.</w:t>
      </w:r>
    </w:p>
    <w:p w:rsidR="004161B1" w:rsidRPr="004161B1" w:rsidRDefault="004161B1" w:rsidP="004161B1">
      <w:pPr>
        <w:widowControl/>
        <w:autoSpaceDE/>
        <w:autoSpaceDN/>
        <w:adjustRightInd/>
        <w:spacing w:line="360" w:lineRule="auto"/>
        <w:ind w:firstLine="720"/>
        <w:rPr>
          <w:sz w:val="26"/>
          <w:szCs w:val="26"/>
          <w:highlight w:val="yellow"/>
        </w:rPr>
      </w:pPr>
    </w:p>
    <w:p w:rsidR="004161B1" w:rsidRPr="004161B1" w:rsidRDefault="002837BE" w:rsidP="004161B1">
      <w:pPr>
        <w:widowControl/>
        <w:autoSpaceDE/>
        <w:autoSpaceDN/>
        <w:adjustRightInd/>
        <w:spacing w:line="360" w:lineRule="auto"/>
        <w:ind w:firstLine="720"/>
        <w:rPr>
          <w:sz w:val="26"/>
          <w:szCs w:val="26"/>
        </w:rPr>
      </w:pPr>
      <w:r>
        <w:rPr>
          <w:sz w:val="26"/>
          <w:szCs w:val="26"/>
        </w:rPr>
        <w:tab/>
      </w:r>
      <w:r w:rsidR="004161B1" w:rsidRPr="004161B1">
        <w:rPr>
          <w:sz w:val="26"/>
          <w:szCs w:val="26"/>
        </w:rPr>
        <w:t>Another contributing factor to the proposed USFC rate increase is that PECO is projecting that it will recover less of its estimated CAP discounts through base rates.  PECO is estimating a $9,813,731 increase in CAP discounts for 2013 (including the $2,798,682 in response to the phase out of the RH energy price blocks discussed above).  Even with the projected increase in sales, PECO projects that they will be unable to recover the entire estimated CAP discounts through its base rates.  As a result, the Company is projecting to under recover CAP discounts by $1,835,880, which will be recouped from PECO’s customers through the proposed USFC rate.  This represents a change of $5,932,399 when compared to the over recovery of $4,096,519 in CAP discounts that was reflected in the USFC credit that became effective on January 1, 2012.</w:t>
      </w:r>
    </w:p>
    <w:p w:rsidR="004161B1" w:rsidRPr="004161B1" w:rsidRDefault="004161B1" w:rsidP="004161B1">
      <w:pPr>
        <w:widowControl/>
        <w:autoSpaceDE/>
        <w:autoSpaceDN/>
        <w:adjustRightInd/>
        <w:spacing w:line="360" w:lineRule="auto"/>
        <w:ind w:firstLine="720"/>
        <w:rPr>
          <w:sz w:val="26"/>
          <w:szCs w:val="26"/>
        </w:rPr>
      </w:pPr>
    </w:p>
    <w:p w:rsidR="004161B1" w:rsidRPr="004161B1" w:rsidRDefault="002837BE" w:rsidP="004161B1">
      <w:pPr>
        <w:widowControl/>
        <w:autoSpaceDE/>
        <w:autoSpaceDN/>
        <w:adjustRightInd/>
        <w:spacing w:line="360" w:lineRule="auto"/>
        <w:ind w:firstLine="720"/>
        <w:rPr>
          <w:sz w:val="26"/>
          <w:szCs w:val="26"/>
        </w:rPr>
      </w:pPr>
      <w:r>
        <w:rPr>
          <w:sz w:val="26"/>
          <w:szCs w:val="26"/>
        </w:rPr>
        <w:lastRenderedPageBreak/>
        <w:tab/>
      </w:r>
      <w:r w:rsidR="004161B1" w:rsidRPr="004161B1">
        <w:rPr>
          <w:sz w:val="26"/>
          <w:szCs w:val="26"/>
        </w:rPr>
        <w:t>The net amount to be recovered also includes $2.5 million in incremental LIURP expenditures to be recovered through its USFC pursuant to the Settlement at</w:t>
      </w:r>
      <w:r w:rsidR="00385DC3">
        <w:rPr>
          <w:sz w:val="26"/>
          <w:szCs w:val="26"/>
        </w:rPr>
        <w:t xml:space="preserve">     </w:t>
      </w:r>
      <w:r w:rsidR="004161B1" w:rsidRPr="004161B1">
        <w:rPr>
          <w:sz w:val="26"/>
          <w:szCs w:val="26"/>
        </w:rPr>
        <w:t xml:space="preserve"> P-2008-2062739.</w:t>
      </w:r>
    </w:p>
    <w:p w:rsidR="004161B1" w:rsidRPr="004161B1" w:rsidRDefault="004161B1" w:rsidP="004161B1">
      <w:pPr>
        <w:widowControl/>
        <w:autoSpaceDE/>
        <w:autoSpaceDN/>
        <w:adjustRightInd/>
        <w:spacing w:line="360" w:lineRule="auto"/>
        <w:ind w:firstLine="720"/>
        <w:rPr>
          <w:sz w:val="26"/>
          <w:szCs w:val="26"/>
        </w:rPr>
      </w:pPr>
    </w:p>
    <w:p w:rsidR="004161B1" w:rsidRDefault="002837BE" w:rsidP="002837BE">
      <w:pPr>
        <w:widowControl/>
        <w:tabs>
          <w:tab w:val="left" w:pos="1080"/>
          <w:tab w:val="left" w:pos="1440"/>
        </w:tabs>
        <w:autoSpaceDE/>
        <w:autoSpaceDN/>
        <w:adjustRightInd/>
        <w:spacing w:line="360" w:lineRule="auto"/>
        <w:rPr>
          <w:sz w:val="26"/>
          <w:szCs w:val="26"/>
        </w:rPr>
      </w:pPr>
      <w:r>
        <w:rPr>
          <w:sz w:val="26"/>
          <w:szCs w:val="26"/>
        </w:rPr>
        <w:tab/>
      </w:r>
      <w:r>
        <w:rPr>
          <w:sz w:val="26"/>
          <w:szCs w:val="26"/>
        </w:rPr>
        <w:tab/>
      </w:r>
      <w:r w:rsidR="004161B1" w:rsidRPr="004161B1">
        <w:rPr>
          <w:sz w:val="26"/>
          <w:szCs w:val="26"/>
        </w:rPr>
        <w:t>The Bureau of Audits has determined that PECO’s proposed USFC filing and calculation of the proposed rate is mathematica</w:t>
      </w:r>
      <w:r w:rsidR="00462F2B">
        <w:rPr>
          <w:sz w:val="26"/>
          <w:szCs w:val="26"/>
        </w:rPr>
        <w:t>lly accurate.  Further, we find</w:t>
      </w:r>
      <w:r w:rsidR="004161B1" w:rsidRPr="004161B1">
        <w:rPr>
          <w:sz w:val="26"/>
          <w:szCs w:val="26"/>
        </w:rPr>
        <w:t xml:space="preserve"> the Company’s USFC filing was made in compliance with its proposed Supplement No. 54.  Accordingly, we approve the proposed Supplem</w:t>
      </w:r>
      <w:r w:rsidR="000F12B1">
        <w:rPr>
          <w:sz w:val="26"/>
          <w:szCs w:val="26"/>
        </w:rPr>
        <w:t>ent No. 54 to Tariff Electric Pa</w:t>
      </w:r>
      <w:r w:rsidR="004161B1" w:rsidRPr="004161B1">
        <w:rPr>
          <w:sz w:val="26"/>
          <w:szCs w:val="26"/>
        </w:rPr>
        <w:t xml:space="preserve"> P.U.C. No. 4 reflecting a USFC rate of $0.0013 per KWH to become effective January 1, 2013.  The USFC is also subject to continuous Commission review and audit.</w:t>
      </w:r>
    </w:p>
    <w:p w:rsidR="00DC5540" w:rsidRDefault="00DC5540" w:rsidP="004161B1">
      <w:pPr>
        <w:widowControl/>
        <w:tabs>
          <w:tab w:val="left" w:pos="1080"/>
          <w:tab w:val="left" w:pos="1440"/>
        </w:tabs>
        <w:autoSpaceDE/>
        <w:autoSpaceDN/>
        <w:adjustRightInd/>
        <w:spacing w:line="360" w:lineRule="auto"/>
        <w:ind w:right="360"/>
        <w:rPr>
          <w:sz w:val="26"/>
          <w:szCs w:val="26"/>
        </w:rPr>
      </w:pPr>
    </w:p>
    <w:p w:rsidR="00DC5540" w:rsidRPr="004161B1" w:rsidRDefault="00DC5540" w:rsidP="004161B1">
      <w:pPr>
        <w:widowControl/>
        <w:tabs>
          <w:tab w:val="left" w:pos="1080"/>
          <w:tab w:val="left" w:pos="1440"/>
        </w:tabs>
        <w:autoSpaceDE/>
        <w:autoSpaceDN/>
        <w:adjustRightInd/>
        <w:spacing w:line="360" w:lineRule="auto"/>
        <w:ind w:right="360"/>
        <w:rPr>
          <w:sz w:val="26"/>
          <w:szCs w:val="26"/>
        </w:rPr>
      </w:pPr>
      <w:r>
        <w:rPr>
          <w:sz w:val="26"/>
          <w:szCs w:val="26"/>
        </w:rPr>
        <w:tab/>
      </w:r>
      <w:r w:rsidR="007D4ED3">
        <w:rPr>
          <w:sz w:val="26"/>
          <w:szCs w:val="26"/>
        </w:rPr>
        <w:tab/>
      </w:r>
      <w:r>
        <w:rPr>
          <w:sz w:val="26"/>
          <w:szCs w:val="26"/>
        </w:rPr>
        <w:t xml:space="preserve">The Bureau of Technical Utility Services has determined that the </w:t>
      </w:r>
      <w:r w:rsidR="000F12B1">
        <w:rPr>
          <w:sz w:val="26"/>
          <w:szCs w:val="26"/>
        </w:rPr>
        <w:t>Supplement No. 55</w:t>
      </w:r>
      <w:r w:rsidRPr="00DC5540">
        <w:rPr>
          <w:sz w:val="26"/>
          <w:szCs w:val="26"/>
        </w:rPr>
        <w:t xml:space="preserve"> to Tariff Electric – Pa PUC No. 4</w:t>
      </w:r>
      <w:r w:rsidR="00684F7C">
        <w:rPr>
          <w:sz w:val="26"/>
          <w:szCs w:val="26"/>
        </w:rPr>
        <w:t xml:space="preserve"> to address and</w:t>
      </w:r>
      <w:r>
        <w:rPr>
          <w:sz w:val="26"/>
          <w:szCs w:val="26"/>
        </w:rPr>
        <w:t xml:space="preserve"> </w:t>
      </w:r>
      <w:r w:rsidR="00684F7C" w:rsidRPr="00684F7C">
        <w:rPr>
          <w:sz w:val="26"/>
          <w:szCs w:val="26"/>
        </w:rPr>
        <w:t>compensate for the loss of the RH generation block discount</w:t>
      </w:r>
      <w:r w:rsidR="00684F7C">
        <w:rPr>
          <w:sz w:val="26"/>
          <w:szCs w:val="26"/>
        </w:rPr>
        <w:t xml:space="preserve"> and its </w:t>
      </w:r>
      <w:r w:rsidR="0018058B">
        <w:rPr>
          <w:sz w:val="26"/>
          <w:szCs w:val="26"/>
        </w:rPr>
        <w:t>negative impact on</w:t>
      </w:r>
      <w:r w:rsidR="00684F7C">
        <w:rPr>
          <w:sz w:val="26"/>
          <w:szCs w:val="26"/>
        </w:rPr>
        <w:t xml:space="preserve"> CAP RH customers is</w:t>
      </w:r>
      <w:r w:rsidR="0018058B">
        <w:rPr>
          <w:sz w:val="26"/>
          <w:szCs w:val="26"/>
        </w:rPr>
        <w:t>,</w:t>
      </w:r>
      <w:r w:rsidR="00684F7C">
        <w:rPr>
          <w:sz w:val="26"/>
          <w:szCs w:val="26"/>
        </w:rPr>
        <w:t xml:space="preserve"> reasonable</w:t>
      </w:r>
      <w:r w:rsidR="0018058B">
        <w:rPr>
          <w:sz w:val="26"/>
          <w:szCs w:val="26"/>
        </w:rPr>
        <w:t>,</w:t>
      </w:r>
      <w:r w:rsidR="00684F7C">
        <w:rPr>
          <w:sz w:val="26"/>
          <w:szCs w:val="26"/>
        </w:rPr>
        <w:t xml:space="preserve"> prudent and without contest and therefore should be approved.</w:t>
      </w:r>
    </w:p>
    <w:p w:rsidR="00C86807" w:rsidRDefault="00C86807" w:rsidP="00C86807">
      <w:pPr>
        <w:pStyle w:val="p6"/>
        <w:tabs>
          <w:tab w:val="clear" w:pos="1479"/>
          <w:tab w:val="left" w:pos="1440"/>
        </w:tabs>
        <w:spacing w:line="360" w:lineRule="auto"/>
        <w:ind w:firstLine="0"/>
        <w:rPr>
          <w:sz w:val="26"/>
        </w:rPr>
      </w:pPr>
    </w:p>
    <w:p w:rsidR="000972D9" w:rsidRPr="00143144" w:rsidRDefault="00C86807" w:rsidP="00C86807">
      <w:pPr>
        <w:pStyle w:val="p6"/>
        <w:tabs>
          <w:tab w:val="clear" w:pos="1479"/>
          <w:tab w:val="left" w:pos="1440"/>
        </w:tabs>
        <w:spacing w:line="360" w:lineRule="auto"/>
        <w:ind w:firstLine="0"/>
        <w:rPr>
          <w:b/>
          <w:sz w:val="26"/>
          <w:szCs w:val="26"/>
        </w:rPr>
      </w:pPr>
      <w:r>
        <w:rPr>
          <w:sz w:val="26"/>
        </w:rPr>
        <w:tab/>
      </w:r>
      <w:r w:rsidR="000972D9" w:rsidRPr="00143144">
        <w:rPr>
          <w:sz w:val="26"/>
          <w:szCs w:val="26"/>
        </w:rPr>
        <w:t>Upon our review of the proposed tariff filing</w:t>
      </w:r>
      <w:r w:rsidR="00462F2B">
        <w:rPr>
          <w:sz w:val="26"/>
          <w:szCs w:val="26"/>
        </w:rPr>
        <w:t>s</w:t>
      </w:r>
      <w:r w:rsidR="000972D9" w:rsidRPr="00143144">
        <w:rPr>
          <w:sz w:val="26"/>
          <w:szCs w:val="26"/>
        </w:rPr>
        <w:t xml:space="preserve">, </w:t>
      </w:r>
      <w:r w:rsidR="008172E6" w:rsidRPr="00143144">
        <w:rPr>
          <w:sz w:val="26"/>
          <w:szCs w:val="26"/>
        </w:rPr>
        <w:t xml:space="preserve">we find that </w:t>
      </w:r>
      <w:r w:rsidR="00462F2B">
        <w:rPr>
          <w:sz w:val="26"/>
          <w:szCs w:val="26"/>
        </w:rPr>
        <w:t>they do</w:t>
      </w:r>
      <w:r w:rsidR="000972D9" w:rsidRPr="00143144">
        <w:rPr>
          <w:sz w:val="26"/>
          <w:szCs w:val="26"/>
        </w:rPr>
        <w:t xml:space="preserve"> not appear to be unlawful, unjust, unreasonable, or contrary to the public interest.  Therefore, we shall permit the proposed filing</w:t>
      </w:r>
      <w:r w:rsidR="00462F2B">
        <w:rPr>
          <w:sz w:val="26"/>
          <w:szCs w:val="26"/>
        </w:rPr>
        <w:t>s</w:t>
      </w:r>
      <w:r w:rsidR="000972D9" w:rsidRPr="00143144">
        <w:rPr>
          <w:sz w:val="26"/>
          <w:szCs w:val="26"/>
        </w:rPr>
        <w:t xml:space="preserve"> to become effective on the date</w:t>
      </w:r>
      <w:r w:rsidR="00462F2B">
        <w:rPr>
          <w:sz w:val="26"/>
          <w:szCs w:val="26"/>
        </w:rPr>
        <w:t>s</w:t>
      </w:r>
      <w:r w:rsidR="000972D9" w:rsidRPr="00143144">
        <w:rPr>
          <w:sz w:val="26"/>
          <w:szCs w:val="26"/>
        </w:rPr>
        <w:t xml:space="preserve"> requested.  However, </w:t>
      </w:r>
      <w:r w:rsidR="00462F2B">
        <w:rPr>
          <w:spacing w:val="-3"/>
          <w:sz w:val="26"/>
          <w:szCs w:val="26"/>
        </w:rPr>
        <w:t>approval of these</w:t>
      </w:r>
      <w:r w:rsidR="000972D9" w:rsidRPr="00143144">
        <w:rPr>
          <w:spacing w:val="-3"/>
          <w:sz w:val="26"/>
          <w:szCs w:val="26"/>
        </w:rPr>
        <w:t xml:space="preserve"> filing</w:t>
      </w:r>
      <w:r w:rsidR="00462F2B">
        <w:rPr>
          <w:spacing w:val="-3"/>
          <w:sz w:val="26"/>
          <w:szCs w:val="26"/>
        </w:rPr>
        <w:t>s</w:t>
      </w:r>
      <w:r w:rsidR="000972D9" w:rsidRPr="00143144">
        <w:rPr>
          <w:spacing w:val="-3"/>
          <w:sz w:val="26"/>
          <w:szCs w:val="26"/>
        </w:rPr>
        <w:t xml:space="preserve"> does not cons</w:t>
      </w:r>
      <w:r w:rsidR="00363EE2">
        <w:rPr>
          <w:spacing w:val="-3"/>
          <w:sz w:val="26"/>
          <w:szCs w:val="26"/>
        </w:rPr>
        <w:t>titute a determination that the</w:t>
      </w:r>
      <w:r w:rsidR="000972D9" w:rsidRPr="00143144">
        <w:rPr>
          <w:spacing w:val="-3"/>
          <w:sz w:val="26"/>
          <w:szCs w:val="26"/>
        </w:rPr>
        <w:t xml:space="preserve"> filing</w:t>
      </w:r>
      <w:r w:rsidR="00363EE2">
        <w:rPr>
          <w:spacing w:val="-3"/>
          <w:sz w:val="26"/>
          <w:szCs w:val="26"/>
        </w:rPr>
        <w:t>s are</w:t>
      </w:r>
      <w:r w:rsidR="000972D9" w:rsidRPr="00143144">
        <w:rPr>
          <w:spacing w:val="-3"/>
          <w:sz w:val="26"/>
          <w:szCs w:val="26"/>
        </w:rPr>
        <w:t xml:space="preserve"> lawful, just, or reasonable, but only that further investigation or suspension does not appear to be warranted at this time</w:t>
      </w:r>
      <w:r w:rsidR="000972D9" w:rsidRPr="00143144">
        <w:rPr>
          <w:sz w:val="26"/>
          <w:szCs w:val="26"/>
        </w:rPr>
        <w:t xml:space="preserve">; </w:t>
      </w:r>
      <w:r w:rsidR="000972D9" w:rsidRPr="00143144">
        <w:rPr>
          <w:b/>
          <w:sz w:val="26"/>
          <w:szCs w:val="26"/>
        </w:rPr>
        <w:t>THEREFORE,</w:t>
      </w:r>
    </w:p>
    <w:p w:rsidR="0018058B" w:rsidRDefault="0018058B">
      <w:pPr>
        <w:pStyle w:val="p2"/>
        <w:spacing w:line="360" w:lineRule="auto"/>
        <w:rPr>
          <w:b/>
          <w:sz w:val="26"/>
        </w:rPr>
      </w:pPr>
    </w:p>
    <w:p w:rsidR="006D57F5" w:rsidRDefault="006D57F5">
      <w:pPr>
        <w:pStyle w:val="p2"/>
        <w:spacing w:line="360" w:lineRule="auto"/>
        <w:rPr>
          <w:b/>
          <w:sz w:val="26"/>
        </w:rPr>
      </w:pPr>
      <w:r>
        <w:rPr>
          <w:b/>
          <w:sz w:val="26"/>
        </w:rPr>
        <w:t>IT IS ORDERED:</w:t>
      </w:r>
    </w:p>
    <w:p w:rsidR="006A505F" w:rsidRPr="00000AD0" w:rsidRDefault="006A505F" w:rsidP="006A505F">
      <w:pPr>
        <w:pStyle w:val="BodyText"/>
        <w:tabs>
          <w:tab w:val="clear" w:pos="-1440"/>
          <w:tab w:val="clear" w:pos="-720"/>
          <w:tab w:val="clear" w:pos="0"/>
          <w:tab w:val="clear" w:pos="432"/>
          <w:tab w:val="clear" w:pos="576"/>
          <w:tab w:val="clear" w:pos="1440"/>
          <w:tab w:val="clear" w:pos="2086"/>
          <w:tab w:val="clear" w:pos="2880"/>
        </w:tabs>
        <w:rPr>
          <w:b/>
          <w:color w:val="000000"/>
          <w:spacing w:val="-3"/>
          <w:kern w:val="1"/>
        </w:rPr>
      </w:pPr>
    </w:p>
    <w:p w:rsidR="006A505F" w:rsidRDefault="006A505F" w:rsidP="006A505F">
      <w:pPr>
        <w:pStyle w:val="BodyText"/>
        <w:tabs>
          <w:tab w:val="clear" w:pos="-1440"/>
          <w:tab w:val="clear" w:pos="-720"/>
          <w:tab w:val="clear" w:pos="0"/>
          <w:tab w:val="clear" w:pos="432"/>
          <w:tab w:val="clear" w:pos="576"/>
          <w:tab w:val="clear" w:pos="1440"/>
          <w:tab w:val="clear" w:pos="2086"/>
          <w:tab w:val="clear" w:pos="2880"/>
        </w:tabs>
        <w:ind w:firstLine="1440"/>
        <w:rPr>
          <w:color w:val="000000"/>
          <w:kern w:val="1"/>
        </w:rPr>
      </w:pPr>
      <w:r w:rsidRPr="00000AD0">
        <w:rPr>
          <w:color w:val="000000"/>
          <w:kern w:val="1"/>
        </w:rPr>
        <w:t>1.</w:t>
      </w:r>
      <w:r w:rsidRPr="00000AD0">
        <w:rPr>
          <w:color w:val="000000"/>
          <w:kern w:val="1"/>
        </w:rPr>
        <w:tab/>
        <w:t xml:space="preserve">That </w:t>
      </w:r>
      <w:r w:rsidR="00363EE2">
        <w:rPr>
          <w:color w:val="000000"/>
          <w:kern w:val="1"/>
        </w:rPr>
        <w:t>Supplement No. 54</w:t>
      </w:r>
      <w:r w:rsidR="00363EE2" w:rsidRPr="00363EE2">
        <w:rPr>
          <w:color w:val="000000"/>
          <w:kern w:val="1"/>
        </w:rPr>
        <w:t xml:space="preserve"> to Tariff Electric – Pa PUC No. 4</w:t>
      </w:r>
      <w:r w:rsidR="00363EE2">
        <w:rPr>
          <w:color w:val="000000"/>
          <w:kern w:val="1"/>
        </w:rPr>
        <w:t xml:space="preserve"> </w:t>
      </w:r>
      <w:r w:rsidRPr="00000AD0">
        <w:rPr>
          <w:color w:val="000000"/>
          <w:kern w:val="1"/>
        </w:rPr>
        <w:t xml:space="preserve">is hereby allowed to become effective on </w:t>
      </w:r>
      <w:r w:rsidR="00363EE2">
        <w:rPr>
          <w:color w:val="000000"/>
          <w:kern w:val="1"/>
        </w:rPr>
        <w:t>January 1, 2013</w:t>
      </w:r>
      <w:r w:rsidRPr="00000AD0">
        <w:rPr>
          <w:color w:val="000000"/>
          <w:kern w:val="1"/>
        </w:rPr>
        <w:t>.</w:t>
      </w:r>
    </w:p>
    <w:p w:rsidR="00363EE2" w:rsidRDefault="00363EE2" w:rsidP="006A505F">
      <w:pPr>
        <w:pStyle w:val="BodyText"/>
        <w:tabs>
          <w:tab w:val="clear" w:pos="-1440"/>
          <w:tab w:val="clear" w:pos="-720"/>
          <w:tab w:val="clear" w:pos="0"/>
          <w:tab w:val="clear" w:pos="432"/>
          <w:tab w:val="clear" w:pos="576"/>
          <w:tab w:val="clear" w:pos="1440"/>
          <w:tab w:val="clear" w:pos="2086"/>
          <w:tab w:val="clear" w:pos="2880"/>
        </w:tabs>
        <w:ind w:firstLine="1440"/>
        <w:rPr>
          <w:color w:val="000000"/>
          <w:kern w:val="1"/>
        </w:rPr>
      </w:pPr>
    </w:p>
    <w:p w:rsidR="00363EE2" w:rsidRDefault="00363EE2" w:rsidP="0018058B">
      <w:pPr>
        <w:pStyle w:val="BodyText"/>
        <w:tabs>
          <w:tab w:val="clear" w:pos="-1440"/>
          <w:tab w:val="clear" w:pos="-720"/>
          <w:tab w:val="clear" w:pos="0"/>
          <w:tab w:val="clear" w:pos="432"/>
          <w:tab w:val="clear" w:pos="576"/>
          <w:tab w:val="clear" w:pos="1440"/>
          <w:tab w:val="clear" w:pos="2086"/>
          <w:tab w:val="clear" w:pos="2880"/>
        </w:tabs>
        <w:ind w:firstLine="1440"/>
        <w:rPr>
          <w:color w:val="000000"/>
          <w:spacing w:val="-3"/>
          <w:kern w:val="1"/>
        </w:rPr>
      </w:pPr>
      <w:r>
        <w:rPr>
          <w:color w:val="000000"/>
          <w:kern w:val="1"/>
        </w:rPr>
        <w:lastRenderedPageBreak/>
        <w:t>2.</w:t>
      </w:r>
      <w:r>
        <w:rPr>
          <w:color w:val="000000"/>
          <w:kern w:val="1"/>
        </w:rPr>
        <w:tab/>
      </w:r>
      <w:r w:rsidRPr="00363EE2">
        <w:rPr>
          <w:color w:val="000000"/>
          <w:kern w:val="1"/>
        </w:rPr>
        <w:t>That Supplement No. 55 to Tariff Electric – Pa PUC No. 4</w:t>
      </w:r>
      <w:r>
        <w:rPr>
          <w:color w:val="000000"/>
          <w:kern w:val="1"/>
        </w:rPr>
        <w:t xml:space="preserve"> </w:t>
      </w:r>
      <w:r w:rsidRPr="00363EE2">
        <w:rPr>
          <w:color w:val="000000"/>
          <w:kern w:val="1"/>
        </w:rPr>
        <w:t xml:space="preserve">is hereby allowed to become effective on </w:t>
      </w:r>
      <w:r>
        <w:rPr>
          <w:color w:val="000000"/>
          <w:kern w:val="1"/>
        </w:rPr>
        <w:t>January 1, 2013</w:t>
      </w:r>
      <w:r w:rsidRPr="00363EE2">
        <w:rPr>
          <w:color w:val="000000"/>
          <w:kern w:val="1"/>
        </w:rPr>
        <w:t>.</w:t>
      </w:r>
    </w:p>
    <w:p w:rsidR="002C4AB4" w:rsidRDefault="002C4AB4" w:rsidP="006A505F">
      <w:pPr>
        <w:suppressAutoHyphens/>
        <w:spacing w:line="360" w:lineRule="auto"/>
        <w:ind w:firstLine="1440"/>
        <w:rPr>
          <w:color w:val="000000"/>
          <w:spacing w:val="-3"/>
          <w:kern w:val="1"/>
          <w:sz w:val="26"/>
        </w:rPr>
      </w:pPr>
    </w:p>
    <w:p w:rsidR="006A505F" w:rsidRDefault="00363EE2" w:rsidP="006A505F">
      <w:pPr>
        <w:suppressAutoHyphens/>
        <w:spacing w:line="360" w:lineRule="auto"/>
        <w:ind w:firstLine="1440"/>
        <w:rPr>
          <w:color w:val="000000"/>
          <w:spacing w:val="-3"/>
          <w:kern w:val="1"/>
          <w:sz w:val="26"/>
        </w:rPr>
      </w:pPr>
      <w:r>
        <w:rPr>
          <w:color w:val="000000"/>
          <w:spacing w:val="-3"/>
          <w:kern w:val="1"/>
          <w:sz w:val="26"/>
        </w:rPr>
        <w:t>3</w:t>
      </w:r>
      <w:r w:rsidR="006A505F" w:rsidRPr="00000AD0">
        <w:rPr>
          <w:color w:val="000000"/>
          <w:spacing w:val="-3"/>
          <w:kern w:val="1"/>
          <w:sz w:val="26"/>
        </w:rPr>
        <w:t>.</w:t>
      </w:r>
      <w:r w:rsidR="006A505F" w:rsidRPr="00000AD0">
        <w:rPr>
          <w:color w:val="000000"/>
          <w:spacing w:val="-3"/>
          <w:kern w:val="1"/>
          <w:sz w:val="26"/>
        </w:rPr>
        <w:tab/>
        <w:t>That this Order is without prejudice to any formal complaints timely filed against the proposed Tariff</w:t>
      </w:r>
      <w:r w:rsidR="00EB5146">
        <w:rPr>
          <w:color w:val="000000"/>
          <w:spacing w:val="-3"/>
          <w:kern w:val="1"/>
          <w:sz w:val="26"/>
        </w:rPr>
        <w:t xml:space="preserve"> Supplement</w:t>
      </w:r>
      <w:r w:rsidR="002C4AB4">
        <w:rPr>
          <w:color w:val="000000"/>
          <w:spacing w:val="-3"/>
          <w:kern w:val="1"/>
          <w:sz w:val="26"/>
        </w:rPr>
        <w:t>s</w:t>
      </w:r>
      <w:r w:rsidR="006A505F" w:rsidRPr="00000AD0">
        <w:rPr>
          <w:color w:val="000000"/>
          <w:spacing w:val="-3"/>
          <w:kern w:val="1"/>
          <w:sz w:val="26"/>
        </w:rPr>
        <w:t>.</w:t>
      </w:r>
    </w:p>
    <w:p w:rsidR="00C86807" w:rsidRDefault="00C86807" w:rsidP="006A505F">
      <w:pPr>
        <w:suppressAutoHyphens/>
        <w:spacing w:line="360" w:lineRule="auto"/>
        <w:ind w:firstLine="1440"/>
        <w:rPr>
          <w:color w:val="000000"/>
          <w:spacing w:val="-3"/>
          <w:kern w:val="1"/>
          <w:sz w:val="26"/>
        </w:rPr>
      </w:pPr>
    </w:p>
    <w:p w:rsidR="00C86807" w:rsidRDefault="00C9740B" w:rsidP="00C9740B">
      <w:pPr>
        <w:widowControl/>
        <w:autoSpaceDE/>
        <w:autoSpaceDN/>
        <w:adjustRightInd/>
        <w:spacing w:line="360" w:lineRule="auto"/>
        <w:ind w:firstLine="720"/>
        <w:rPr>
          <w:color w:val="000000"/>
          <w:spacing w:val="-3"/>
          <w:kern w:val="1"/>
          <w:sz w:val="26"/>
        </w:rPr>
      </w:pPr>
      <w:r>
        <w:rPr>
          <w:color w:val="000000"/>
          <w:spacing w:val="-3"/>
          <w:kern w:val="1"/>
          <w:sz w:val="26"/>
        </w:rPr>
        <w:tab/>
      </w:r>
      <w:r w:rsidR="00363EE2">
        <w:rPr>
          <w:color w:val="000000"/>
          <w:spacing w:val="-3"/>
          <w:kern w:val="1"/>
          <w:sz w:val="26"/>
        </w:rPr>
        <w:t>4</w:t>
      </w:r>
      <w:r w:rsidR="00C86807">
        <w:rPr>
          <w:color w:val="000000"/>
          <w:spacing w:val="-3"/>
          <w:kern w:val="1"/>
          <w:sz w:val="26"/>
        </w:rPr>
        <w:t>.</w:t>
      </w:r>
      <w:r w:rsidR="0061143A">
        <w:rPr>
          <w:color w:val="000000"/>
          <w:spacing w:val="-3"/>
          <w:kern w:val="1"/>
          <w:sz w:val="26"/>
        </w:rPr>
        <w:t xml:space="preserve">         </w:t>
      </w:r>
      <w:r w:rsidR="0061143A">
        <w:rPr>
          <w:sz w:val="26"/>
          <w:szCs w:val="26"/>
        </w:rPr>
        <w:t>That a copy of this Order be served on the Office of Consumer Advocate, the Office of Small Business Adv</w:t>
      </w:r>
      <w:r w:rsidR="00363EE2">
        <w:rPr>
          <w:sz w:val="26"/>
          <w:szCs w:val="26"/>
        </w:rPr>
        <w:t>ocate, the Bureau of Investigation and Enforcement</w:t>
      </w:r>
      <w:r w:rsidR="0061143A">
        <w:rPr>
          <w:sz w:val="26"/>
          <w:szCs w:val="26"/>
        </w:rPr>
        <w:t>, and</w:t>
      </w:r>
      <w:r w:rsidR="00363EE2">
        <w:rPr>
          <w:sz w:val="26"/>
          <w:szCs w:val="26"/>
        </w:rPr>
        <w:t xml:space="preserve"> all parties of record</w:t>
      </w:r>
      <w:r w:rsidR="0061143A">
        <w:rPr>
          <w:sz w:val="26"/>
          <w:szCs w:val="26"/>
        </w:rPr>
        <w:t>.</w:t>
      </w:r>
    </w:p>
    <w:p w:rsidR="00164C24" w:rsidRDefault="00164C24" w:rsidP="001F50AA">
      <w:pPr>
        <w:suppressAutoHyphens/>
        <w:ind w:firstLine="1440"/>
        <w:rPr>
          <w:color w:val="000000"/>
          <w:spacing w:val="-3"/>
          <w:kern w:val="1"/>
          <w:sz w:val="26"/>
        </w:rPr>
      </w:pPr>
    </w:p>
    <w:p w:rsidR="00363EE2" w:rsidRPr="00363EE2" w:rsidRDefault="00363EE2" w:rsidP="00363EE2">
      <w:pPr>
        <w:pStyle w:val="BodyTextIndent"/>
        <w:ind w:left="720" w:firstLine="720"/>
        <w:rPr>
          <w:sz w:val="26"/>
        </w:rPr>
      </w:pPr>
      <w:r>
        <w:rPr>
          <w:color w:val="000000"/>
          <w:kern w:val="2"/>
        </w:rPr>
        <w:t>5</w:t>
      </w:r>
      <w:r w:rsidR="00C86807">
        <w:rPr>
          <w:color w:val="000000"/>
          <w:kern w:val="2"/>
        </w:rPr>
        <w:t>.</w:t>
      </w:r>
      <w:r w:rsidR="006A505F" w:rsidRPr="00104D48">
        <w:rPr>
          <w:color w:val="000000"/>
          <w:kern w:val="2"/>
          <w:sz w:val="26"/>
          <w:szCs w:val="26"/>
        </w:rPr>
        <w:tab/>
        <w:t xml:space="preserve">That the </w:t>
      </w:r>
      <w:r w:rsidR="00304408">
        <w:rPr>
          <w:color w:val="000000"/>
          <w:kern w:val="2"/>
          <w:sz w:val="26"/>
          <w:szCs w:val="26"/>
        </w:rPr>
        <w:t xml:space="preserve">proceeding at Docket No. </w:t>
      </w:r>
      <w:r w:rsidRPr="00363EE2">
        <w:rPr>
          <w:sz w:val="26"/>
        </w:rPr>
        <w:t>R-2012-2329373</w:t>
      </w:r>
      <w:r>
        <w:rPr>
          <w:sz w:val="26"/>
        </w:rPr>
        <w:t xml:space="preserve"> and</w:t>
      </w:r>
    </w:p>
    <w:p w:rsidR="006A505F" w:rsidRPr="00000AD0" w:rsidRDefault="0079254B" w:rsidP="00363EE2">
      <w:pPr>
        <w:pStyle w:val="BodyTextIndent"/>
        <w:ind w:left="0"/>
        <w:rPr>
          <w:color w:val="000000"/>
          <w:kern w:val="2"/>
        </w:rPr>
      </w:pPr>
      <w:r>
        <w:rPr>
          <w:sz w:val="26"/>
        </w:rPr>
        <w:t>M-2012-2322896</w:t>
      </w:r>
      <w:r w:rsidR="00363EE2">
        <w:rPr>
          <w:sz w:val="26"/>
        </w:rPr>
        <w:t xml:space="preserve"> </w:t>
      </w:r>
      <w:r w:rsidR="006A505F" w:rsidRPr="00104D48">
        <w:rPr>
          <w:color w:val="000000"/>
          <w:kern w:val="2"/>
          <w:sz w:val="26"/>
          <w:szCs w:val="26"/>
        </w:rPr>
        <w:t>be marked closed.</w:t>
      </w:r>
    </w:p>
    <w:p w:rsidR="006D57F5" w:rsidRDefault="006D57F5">
      <w:pPr>
        <w:tabs>
          <w:tab w:val="left" w:pos="1491"/>
        </w:tabs>
        <w:spacing w:line="360" w:lineRule="auto"/>
        <w:rPr>
          <w:sz w:val="26"/>
        </w:rPr>
      </w:pPr>
    </w:p>
    <w:p w:rsidR="00C9740B" w:rsidRDefault="00C9740B">
      <w:pPr>
        <w:pStyle w:val="p3"/>
        <w:ind w:left="5119"/>
        <w:rPr>
          <w:b/>
          <w:sz w:val="26"/>
        </w:rPr>
      </w:pPr>
    </w:p>
    <w:p w:rsidR="006D57F5" w:rsidRDefault="00C01C8E">
      <w:pPr>
        <w:pStyle w:val="p3"/>
        <w:ind w:left="5119"/>
        <w:rPr>
          <w:b/>
          <w:sz w:val="26"/>
        </w:rPr>
      </w:pPr>
      <w:r>
        <w:rPr>
          <w:noProof/>
        </w:rPr>
        <w:drawing>
          <wp:anchor distT="0" distB="0" distL="114300" distR="114300" simplePos="0" relativeHeight="251659264" behindDoc="1" locked="0" layoutInCell="1" allowOverlap="1" wp14:anchorId="0359795F" wp14:editId="1A91F5C6">
            <wp:simplePos x="0" y="0"/>
            <wp:positionH relativeFrom="column">
              <wp:posOffset>2943225</wp:posOffset>
            </wp:positionH>
            <wp:positionV relativeFrom="paragraph">
              <wp:posOffset>173990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6D57F5">
        <w:rPr>
          <w:b/>
          <w:sz w:val="26"/>
        </w:rPr>
        <w:t>BY THE COMMISSION,</w:t>
      </w:r>
    </w:p>
    <w:p w:rsidR="006D57F5" w:rsidRDefault="006D57F5">
      <w:pPr>
        <w:tabs>
          <w:tab w:val="left" w:pos="5119"/>
        </w:tabs>
        <w:rPr>
          <w:b/>
          <w:sz w:val="26"/>
        </w:rPr>
      </w:pPr>
    </w:p>
    <w:p w:rsidR="006D57F5" w:rsidRDefault="006D57F5">
      <w:pPr>
        <w:tabs>
          <w:tab w:val="left" w:pos="5119"/>
        </w:tabs>
        <w:rPr>
          <w:b/>
          <w:sz w:val="26"/>
        </w:rPr>
      </w:pPr>
    </w:p>
    <w:p w:rsidR="00E2732E" w:rsidRDefault="00E2732E">
      <w:pPr>
        <w:tabs>
          <w:tab w:val="left" w:pos="5119"/>
        </w:tabs>
        <w:rPr>
          <w:b/>
          <w:sz w:val="26"/>
        </w:rPr>
      </w:pPr>
    </w:p>
    <w:p w:rsidR="006D57F5" w:rsidRDefault="006D57F5">
      <w:pPr>
        <w:tabs>
          <w:tab w:val="left" w:pos="5119"/>
        </w:tabs>
        <w:rPr>
          <w:b/>
          <w:sz w:val="26"/>
        </w:rPr>
      </w:pPr>
    </w:p>
    <w:p w:rsidR="006D57F5" w:rsidRDefault="00CF13DF">
      <w:pPr>
        <w:pStyle w:val="p4"/>
        <w:ind w:left="5130"/>
        <w:rPr>
          <w:sz w:val="26"/>
        </w:rPr>
      </w:pPr>
      <w:r>
        <w:rPr>
          <w:sz w:val="26"/>
        </w:rPr>
        <w:t>Rosemary Chiavetta</w:t>
      </w:r>
    </w:p>
    <w:p w:rsidR="006D57F5" w:rsidRDefault="006D57F5">
      <w:pPr>
        <w:pStyle w:val="p4"/>
        <w:ind w:left="5130"/>
        <w:rPr>
          <w:sz w:val="26"/>
        </w:rPr>
      </w:pPr>
      <w:r>
        <w:rPr>
          <w:sz w:val="26"/>
        </w:rPr>
        <w:t>Secretary</w:t>
      </w:r>
    </w:p>
    <w:p w:rsidR="00CF13DF" w:rsidRDefault="00CF13DF">
      <w:pPr>
        <w:pStyle w:val="p4"/>
        <w:ind w:left="5130"/>
        <w:rPr>
          <w:sz w:val="26"/>
        </w:rPr>
      </w:pPr>
    </w:p>
    <w:p w:rsidR="00CF13DF" w:rsidRDefault="00CF13DF">
      <w:pPr>
        <w:pStyle w:val="p4"/>
        <w:ind w:left="5130"/>
        <w:rPr>
          <w:sz w:val="26"/>
        </w:rPr>
      </w:pPr>
    </w:p>
    <w:p w:rsidR="00CF13DF" w:rsidRDefault="00CF13DF">
      <w:pPr>
        <w:pStyle w:val="p4"/>
        <w:ind w:left="5130"/>
        <w:rPr>
          <w:sz w:val="26"/>
        </w:rPr>
      </w:pPr>
    </w:p>
    <w:p w:rsidR="006D57F5" w:rsidRDefault="006D57F5">
      <w:pPr>
        <w:tabs>
          <w:tab w:val="left" w:pos="5130"/>
        </w:tabs>
        <w:rPr>
          <w:sz w:val="26"/>
        </w:rPr>
      </w:pPr>
    </w:p>
    <w:p w:rsidR="006D57F5" w:rsidRDefault="006D57F5">
      <w:pPr>
        <w:pStyle w:val="p1"/>
        <w:tabs>
          <w:tab w:val="clear" w:pos="691"/>
        </w:tabs>
        <w:ind w:hanging="1054"/>
        <w:rPr>
          <w:sz w:val="26"/>
        </w:rPr>
      </w:pPr>
      <w:r>
        <w:rPr>
          <w:sz w:val="26"/>
        </w:rPr>
        <w:t>(SEAL)</w:t>
      </w:r>
    </w:p>
    <w:p w:rsidR="006D57F5" w:rsidRDefault="006D57F5">
      <w:pPr>
        <w:pStyle w:val="p1"/>
        <w:tabs>
          <w:tab w:val="clear" w:pos="691"/>
        </w:tabs>
        <w:ind w:hanging="1054"/>
        <w:rPr>
          <w:sz w:val="26"/>
        </w:rPr>
      </w:pPr>
    </w:p>
    <w:p w:rsidR="006D57F5" w:rsidRDefault="006D57F5">
      <w:pPr>
        <w:tabs>
          <w:tab w:val="left" w:pos="204"/>
        </w:tabs>
        <w:rPr>
          <w:sz w:val="26"/>
        </w:rPr>
      </w:pPr>
    </w:p>
    <w:p w:rsidR="006D57F5" w:rsidRDefault="006D57F5">
      <w:pPr>
        <w:pStyle w:val="p1"/>
        <w:tabs>
          <w:tab w:val="clear" w:pos="691"/>
        </w:tabs>
        <w:ind w:hanging="1054"/>
        <w:rPr>
          <w:sz w:val="26"/>
        </w:rPr>
      </w:pPr>
      <w:r>
        <w:rPr>
          <w:sz w:val="26"/>
        </w:rPr>
        <w:t xml:space="preserve">ORDER ADOPTED: </w:t>
      </w:r>
      <w:r w:rsidR="00C01C8E">
        <w:rPr>
          <w:sz w:val="26"/>
        </w:rPr>
        <w:t>December 20, 2012</w:t>
      </w:r>
    </w:p>
    <w:p w:rsidR="006D57F5" w:rsidRDefault="006D57F5">
      <w:pPr>
        <w:tabs>
          <w:tab w:val="left" w:pos="204"/>
        </w:tabs>
        <w:rPr>
          <w:sz w:val="26"/>
        </w:rPr>
      </w:pPr>
    </w:p>
    <w:p w:rsidR="006D57F5" w:rsidRDefault="006D57F5">
      <w:pPr>
        <w:pStyle w:val="p1"/>
        <w:tabs>
          <w:tab w:val="clear" w:pos="691"/>
        </w:tabs>
        <w:ind w:hanging="1054"/>
        <w:rPr>
          <w:sz w:val="26"/>
        </w:rPr>
      </w:pPr>
      <w:r>
        <w:rPr>
          <w:sz w:val="26"/>
        </w:rPr>
        <w:t xml:space="preserve">ORDER ENTERED: </w:t>
      </w:r>
      <w:r w:rsidR="00C01C8E">
        <w:rPr>
          <w:sz w:val="26"/>
        </w:rPr>
        <w:t xml:space="preserve"> December 20, 2012</w:t>
      </w:r>
    </w:p>
    <w:sectPr w:rsidR="006D57F5" w:rsidSect="0073033C">
      <w:footerReference w:type="even" r:id="rId9"/>
      <w:footerReference w:type="default" r:id="rId10"/>
      <w:type w:val="continuous"/>
      <w:pgSz w:w="12240" w:h="15840"/>
      <w:pgMar w:top="1440" w:right="1440" w:bottom="1440" w:left="1440" w:header="144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5A5" w:rsidRDefault="006915A5">
      <w:r>
        <w:separator/>
      </w:r>
    </w:p>
  </w:endnote>
  <w:endnote w:type="continuationSeparator" w:id="0">
    <w:p w:rsidR="006915A5" w:rsidRDefault="00691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3AB" w:rsidRDefault="008F13AB" w:rsidP="006D57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F13AB" w:rsidRDefault="008F13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3AB" w:rsidRDefault="008F13AB" w:rsidP="006D57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01C8E">
      <w:rPr>
        <w:rStyle w:val="PageNumber"/>
        <w:noProof/>
      </w:rPr>
      <w:t>5</w:t>
    </w:r>
    <w:r>
      <w:rPr>
        <w:rStyle w:val="PageNumber"/>
      </w:rPr>
      <w:fldChar w:fldCharType="end"/>
    </w:r>
  </w:p>
  <w:p w:rsidR="008F13AB" w:rsidRDefault="008F13A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5A5" w:rsidRDefault="006915A5">
      <w:r>
        <w:separator/>
      </w:r>
    </w:p>
  </w:footnote>
  <w:footnote w:type="continuationSeparator" w:id="0">
    <w:p w:rsidR="006915A5" w:rsidRDefault="006915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230CD"/>
    <w:multiLevelType w:val="hybridMultilevel"/>
    <w:tmpl w:val="E7D8E52A"/>
    <w:lvl w:ilvl="0" w:tplc="ECEA5388">
      <w:start w:val="3"/>
      <w:numFmt w:val="lowerRoman"/>
      <w:lvlText w:val="(%1)"/>
      <w:lvlJc w:val="left"/>
      <w:pPr>
        <w:tabs>
          <w:tab w:val="num" w:pos="1257"/>
        </w:tabs>
        <w:ind w:left="1257" w:hanging="720"/>
      </w:pPr>
      <w:rPr>
        <w:rFonts w:cs="Times New Roman" w:hint="default"/>
      </w:rPr>
    </w:lvl>
    <w:lvl w:ilvl="1" w:tplc="04C426FC" w:tentative="1">
      <w:start w:val="1"/>
      <w:numFmt w:val="lowerLetter"/>
      <w:lvlText w:val="%2."/>
      <w:lvlJc w:val="left"/>
      <w:pPr>
        <w:tabs>
          <w:tab w:val="num" w:pos="1617"/>
        </w:tabs>
        <w:ind w:left="1617" w:hanging="360"/>
      </w:pPr>
      <w:rPr>
        <w:rFonts w:cs="Times New Roman"/>
      </w:rPr>
    </w:lvl>
    <w:lvl w:ilvl="2" w:tplc="E0243EBC" w:tentative="1">
      <w:start w:val="1"/>
      <w:numFmt w:val="lowerRoman"/>
      <w:lvlText w:val="%3."/>
      <w:lvlJc w:val="right"/>
      <w:pPr>
        <w:tabs>
          <w:tab w:val="num" w:pos="2337"/>
        </w:tabs>
        <w:ind w:left="2337" w:hanging="180"/>
      </w:pPr>
      <w:rPr>
        <w:rFonts w:cs="Times New Roman"/>
      </w:rPr>
    </w:lvl>
    <w:lvl w:ilvl="3" w:tplc="43825F2C" w:tentative="1">
      <w:start w:val="1"/>
      <w:numFmt w:val="decimal"/>
      <w:lvlText w:val="%4."/>
      <w:lvlJc w:val="left"/>
      <w:pPr>
        <w:tabs>
          <w:tab w:val="num" w:pos="3057"/>
        </w:tabs>
        <w:ind w:left="3057" w:hanging="360"/>
      </w:pPr>
      <w:rPr>
        <w:rFonts w:cs="Times New Roman"/>
      </w:rPr>
    </w:lvl>
    <w:lvl w:ilvl="4" w:tplc="926E23EE" w:tentative="1">
      <w:start w:val="1"/>
      <w:numFmt w:val="lowerLetter"/>
      <w:lvlText w:val="%5."/>
      <w:lvlJc w:val="left"/>
      <w:pPr>
        <w:tabs>
          <w:tab w:val="num" w:pos="3777"/>
        </w:tabs>
        <w:ind w:left="3777" w:hanging="360"/>
      </w:pPr>
      <w:rPr>
        <w:rFonts w:cs="Times New Roman"/>
      </w:rPr>
    </w:lvl>
    <w:lvl w:ilvl="5" w:tplc="C1DCCBCA" w:tentative="1">
      <w:start w:val="1"/>
      <w:numFmt w:val="lowerRoman"/>
      <w:lvlText w:val="%6."/>
      <w:lvlJc w:val="right"/>
      <w:pPr>
        <w:tabs>
          <w:tab w:val="num" w:pos="4497"/>
        </w:tabs>
        <w:ind w:left="4497" w:hanging="180"/>
      </w:pPr>
      <w:rPr>
        <w:rFonts w:cs="Times New Roman"/>
      </w:rPr>
    </w:lvl>
    <w:lvl w:ilvl="6" w:tplc="A7FE4B1A" w:tentative="1">
      <w:start w:val="1"/>
      <w:numFmt w:val="decimal"/>
      <w:lvlText w:val="%7."/>
      <w:lvlJc w:val="left"/>
      <w:pPr>
        <w:tabs>
          <w:tab w:val="num" w:pos="5217"/>
        </w:tabs>
        <w:ind w:left="5217" w:hanging="360"/>
      </w:pPr>
      <w:rPr>
        <w:rFonts w:cs="Times New Roman"/>
      </w:rPr>
    </w:lvl>
    <w:lvl w:ilvl="7" w:tplc="72F2148E" w:tentative="1">
      <w:start w:val="1"/>
      <w:numFmt w:val="lowerLetter"/>
      <w:lvlText w:val="%8."/>
      <w:lvlJc w:val="left"/>
      <w:pPr>
        <w:tabs>
          <w:tab w:val="num" w:pos="5937"/>
        </w:tabs>
        <w:ind w:left="5937" w:hanging="360"/>
      </w:pPr>
      <w:rPr>
        <w:rFonts w:cs="Times New Roman"/>
      </w:rPr>
    </w:lvl>
    <w:lvl w:ilvl="8" w:tplc="0D723846" w:tentative="1">
      <w:start w:val="1"/>
      <w:numFmt w:val="lowerRoman"/>
      <w:lvlText w:val="%9."/>
      <w:lvlJc w:val="right"/>
      <w:pPr>
        <w:tabs>
          <w:tab w:val="num" w:pos="6657"/>
        </w:tabs>
        <w:ind w:left="6657" w:hanging="180"/>
      </w:pPr>
      <w:rPr>
        <w:rFonts w:cs="Times New Roman"/>
      </w:rPr>
    </w:lvl>
  </w:abstractNum>
  <w:abstractNum w:abstractNumId="1">
    <w:nsid w:val="4A38137D"/>
    <w:multiLevelType w:val="hybridMultilevel"/>
    <w:tmpl w:val="48346438"/>
    <w:lvl w:ilvl="0" w:tplc="63FAE56E">
      <w:start w:val="1"/>
      <w:numFmt w:val="lowerRoman"/>
      <w:lvlText w:val="%1)"/>
      <w:lvlJc w:val="left"/>
      <w:pPr>
        <w:tabs>
          <w:tab w:val="num" w:pos="1502"/>
        </w:tabs>
        <w:ind w:left="1502" w:hanging="720"/>
      </w:pPr>
      <w:rPr>
        <w:rFonts w:cs="Times New Roman" w:hint="default"/>
      </w:rPr>
    </w:lvl>
    <w:lvl w:ilvl="1" w:tplc="5A9C9B74" w:tentative="1">
      <w:start w:val="1"/>
      <w:numFmt w:val="lowerLetter"/>
      <w:lvlText w:val="%2."/>
      <w:lvlJc w:val="left"/>
      <w:pPr>
        <w:tabs>
          <w:tab w:val="num" w:pos="1862"/>
        </w:tabs>
        <w:ind w:left="1862" w:hanging="360"/>
      </w:pPr>
      <w:rPr>
        <w:rFonts w:cs="Times New Roman"/>
      </w:rPr>
    </w:lvl>
    <w:lvl w:ilvl="2" w:tplc="4CBACE2A" w:tentative="1">
      <w:start w:val="1"/>
      <w:numFmt w:val="lowerRoman"/>
      <w:lvlText w:val="%3."/>
      <w:lvlJc w:val="right"/>
      <w:pPr>
        <w:tabs>
          <w:tab w:val="num" w:pos="2582"/>
        </w:tabs>
        <w:ind w:left="2582" w:hanging="180"/>
      </w:pPr>
      <w:rPr>
        <w:rFonts w:cs="Times New Roman"/>
      </w:rPr>
    </w:lvl>
    <w:lvl w:ilvl="3" w:tplc="B0F061C8" w:tentative="1">
      <w:start w:val="1"/>
      <w:numFmt w:val="decimal"/>
      <w:lvlText w:val="%4."/>
      <w:lvlJc w:val="left"/>
      <w:pPr>
        <w:tabs>
          <w:tab w:val="num" w:pos="3302"/>
        </w:tabs>
        <w:ind w:left="3302" w:hanging="360"/>
      </w:pPr>
      <w:rPr>
        <w:rFonts w:cs="Times New Roman"/>
      </w:rPr>
    </w:lvl>
    <w:lvl w:ilvl="4" w:tplc="8D1CDF88" w:tentative="1">
      <w:start w:val="1"/>
      <w:numFmt w:val="lowerLetter"/>
      <w:lvlText w:val="%5."/>
      <w:lvlJc w:val="left"/>
      <w:pPr>
        <w:tabs>
          <w:tab w:val="num" w:pos="4022"/>
        </w:tabs>
        <w:ind w:left="4022" w:hanging="360"/>
      </w:pPr>
      <w:rPr>
        <w:rFonts w:cs="Times New Roman"/>
      </w:rPr>
    </w:lvl>
    <w:lvl w:ilvl="5" w:tplc="FF40DAF8" w:tentative="1">
      <w:start w:val="1"/>
      <w:numFmt w:val="lowerRoman"/>
      <w:lvlText w:val="%6."/>
      <w:lvlJc w:val="right"/>
      <w:pPr>
        <w:tabs>
          <w:tab w:val="num" w:pos="4742"/>
        </w:tabs>
        <w:ind w:left="4742" w:hanging="180"/>
      </w:pPr>
      <w:rPr>
        <w:rFonts w:cs="Times New Roman"/>
      </w:rPr>
    </w:lvl>
    <w:lvl w:ilvl="6" w:tplc="0F463160" w:tentative="1">
      <w:start w:val="1"/>
      <w:numFmt w:val="decimal"/>
      <w:lvlText w:val="%7."/>
      <w:lvlJc w:val="left"/>
      <w:pPr>
        <w:tabs>
          <w:tab w:val="num" w:pos="5462"/>
        </w:tabs>
        <w:ind w:left="5462" w:hanging="360"/>
      </w:pPr>
      <w:rPr>
        <w:rFonts w:cs="Times New Roman"/>
      </w:rPr>
    </w:lvl>
    <w:lvl w:ilvl="7" w:tplc="9A76108E" w:tentative="1">
      <w:start w:val="1"/>
      <w:numFmt w:val="lowerLetter"/>
      <w:lvlText w:val="%8."/>
      <w:lvlJc w:val="left"/>
      <w:pPr>
        <w:tabs>
          <w:tab w:val="num" w:pos="6182"/>
        </w:tabs>
        <w:ind w:left="6182" w:hanging="360"/>
      </w:pPr>
      <w:rPr>
        <w:rFonts w:cs="Times New Roman"/>
      </w:rPr>
    </w:lvl>
    <w:lvl w:ilvl="8" w:tplc="83D61EC4" w:tentative="1">
      <w:start w:val="1"/>
      <w:numFmt w:val="lowerRoman"/>
      <w:lvlText w:val="%9."/>
      <w:lvlJc w:val="right"/>
      <w:pPr>
        <w:tabs>
          <w:tab w:val="num" w:pos="6902"/>
        </w:tabs>
        <w:ind w:left="6902" w:hanging="180"/>
      </w:pPr>
      <w:rPr>
        <w:rFonts w:cs="Times New Roman"/>
      </w:rPr>
    </w:lvl>
  </w:abstractNum>
  <w:abstractNum w:abstractNumId="2">
    <w:nsid w:val="634D473B"/>
    <w:multiLevelType w:val="hybridMultilevel"/>
    <w:tmpl w:val="00CC0CD0"/>
    <w:lvl w:ilvl="0" w:tplc="64348138">
      <w:start w:val="1"/>
      <w:numFmt w:val="decimal"/>
      <w:lvlText w:val="%1)"/>
      <w:lvlJc w:val="left"/>
      <w:pPr>
        <w:tabs>
          <w:tab w:val="num" w:pos="1800"/>
        </w:tabs>
        <w:ind w:left="1800" w:hanging="360"/>
      </w:pPr>
      <w:rPr>
        <w:rFonts w:hint="default"/>
      </w:rPr>
    </w:lvl>
    <w:lvl w:ilvl="1" w:tplc="B6F2FDA6" w:tentative="1">
      <w:start w:val="1"/>
      <w:numFmt w:val="lowerLetter"/>
      <w:lvlText w:val="%2."/>
      <w:lvlJc w:val="left"/>
      <w:pPr>
        <w:tabs>
          <w:tab w:val="num" w:pos="2520"/>
        </w:tabs>
        <w:ind w:left="2520" w:hanging="360"/>
      </w:pPr>
    </w:lvl>
    <w:lvl w:ilvl="2" w:tplc="50D8F5B6" w:tentative="1">
      <w:start w:val="1"/>
      <w:numFmt w:val="lowerRoman"/>
      <w:lvlText w:val="%3."/>
      <w:lvlJc w:val="right"/>
      <w:pPr>
        <w:tabs>
          <w:tab w:val="num" w:pos="3240"/>
        </w:tabs>
        <w:ind w:left="3240" w:hanging="180"/>
      </w:pPr>
    </w:lvl>
    <w:lvl w:ilvl="3" w:tplc="E7A42A2A" w:tentative="1">
      <w:start w:val="1"/>
      <w:numFmt w:val="decimal"/>
      <w:lvlText w:val="%4."/>
      <w:lvlJc w:val="left"/>
      <w:pPr>
        <w:tabs>
          <w:tab w:val="num" w:pos="3960"/>
        </w:tabs>
        <w:ind w:left="3960" w:hanging="360"/>
      </w:pPr>
    </w:lvl>
    <w:lvl w:ilvl="4" w:tplc="F06A9B9C" w:tentative="1">
      <w:start w:val="1"/>
      <w:numFmt w:val="lowerLetter"/>
      <w:lvlText w:val="%5."/>
      <w:lvlJc w:val="left"/>
      <w:pPr>
        <w:tabs>
          <w:tab w:val="num" w:pos="4680"/>
        </w:tabs>
        <w:ind w:left="4680" w:hanging="360"/>
      </w:pPr>
    </w:lvl>
    <w:lvl w:ilvl="5" w:tplc="5386D524" w:tentative="1">
      <w:start w:val="1"/>
      <w:numFmt w:val="lowerRoman"/>
      <w:lvlText w:val="%6."/>
      <w:lvlJc w:val="right"/>
      <w:pPr>
        <w:tabs>
          <w:tab w:val="num" w:pos="5400"/>
        </w:tabs>
        <w:ind w:left="5400" w:hanging="180"/>
      </w:pPr>
    </w:lvl>
    <w:lvl w:ilvl="6" w:tplc="7692570A" w:tentative="1">
      <w:start w:val="1"/>
      <w:numFmt w:val="decimal"/>
      <w:lvlText w:val="%7."/>
      <w:lvlJc w:val="left"/>
      <w:pPr>
        <w:tabs>
          <w:tab w:val="num" w:pos="6120"/>
        </w:tabs>
        <w:ind w:left="6120" w:hanging="360"/>
      </w:pPr>
    </w:lvl>
    <w:lvl w:ilvl="7" w:tplc="87CE83CA" w:tentative="1">
      <w:start w:val="1"/>
      <w:numFmt w:val="lowerLetter"/>
      <w:lvlText w:val="%8."/>
      <w:lvlJc w:val="left"/>
      <w:pPr>
        <w:tabs>
          <w:tab w:val="num" w:pos="6840"/>
        </w:tabs>
        <w:ind w:left="6840" w:hanging="360"/>
      </w:pPr>
    </w:lvl>
    <w:lvl w:ilvl="8" w:tplc="782ED978" w:tentative="1">
      <w:start w:val="1"/>
      <w:numFmt w:val="lowerRoman"/>
      <w:lvlText w:val="%9."/>
      <w:lvlJc w:val="right"/>
      <w:pPr>
        <w:tabs>
          <w:tab w:val="num" w:pos="7560"/>
        </w:tabs>
        <w:ind w:left="7560" w:hanging="180"/>
      </w:pPr>
    </w:lvl>
  </w:abstractNum>
  <w:abstractNum w:abstractNumId="3">
    <w:nsid w:val="75C73095"/>
    <w:multiLevelType w:val="hybridMultilevel"/>
    <w:tmpl w:val="0D98FE4A"/>
    <w:lvl w:ilvl="0" w:tplc="2E48E8DE">
      <w:start w:val="3"/>
      <w:numFmt w:val="lowerRoman"/>
      <w:lvlText w:val="(%1)"/>
      <w:lvlJc w:val="left"/>
      <w:pPr>
        <w:tabs>
          <w:tab w:val="num" w:pos="1257"/>
        </w:tabs>
        <w:ind w:left="1257" w:hanging="720"/>
      </w:pPr>
      <w:rPr>
        <w:rFonts w:cs="Times New Roman" w:hint="default"/>
      </w:rPr>
    </w:lvl>
    <w:lvl w:ilvl="1" w:tplc="310CECEA" w:tentative="1">
      <w:start w:val="1"/>
      <w:numFmt w:val="lowerLetter"/>
      <w:lvlText w:val="%2."/>
      <w:lvlJc w:val="left"/>
      <w:pPr>
        <w:tabs>
          <w:tab w:val="num" w:pos="1617"/>
        </w:tabs>
        <w:ind w:left="1617" w:hanging="360"/>
      </w:pPr>
      <w:rPr>
        <w:rFonts w:cs="Times New Roman"/>
      </w:rPr>
    </w:lvl>
    <w:lvl w:ilvl="2" w:tplc="60F619C4" w:tentative="1">
      <w:start w:val="1"/>
      <w:numFmt w:val="lowerRoman"/>
      <w:lvlText w:val="%3."/>
      <w:lvlJc w:val="right"/>
      <w:pPr>
        <w:tabs>
          <w:tab w:val="num" w:pos="2337"/>
        </w:tabs>
        <w:ind w:left="2337" w:hanging="180"/>
      </w:pPr>
      <w:rPr>
        <w:rFonts w:cs="Times New Roman"/>
      </w:rPr>
    </w:lvl>
    <w:lvl w:ilvl="3" w:tplc="F6A49FDA" w:tentative="1">
      <w:start w:val="1"/>
      <w:numFmt w:val="decimal"/>
      <w:lvlText w:val="%4."/>
      <w:lvlJc w:val="left"/>
      <w:pPr>
        <w:tabs>
          <w:tab w:val="num" w:pos="3057"/>
        </w:tabs>
        <w:ind w:left="3057" w:hanging="360"/>
      </w:pPr>
      <w:rPr>
        <w:rFonts w:cs="Times New Roman"/>
      </w:rPr>
    </w:lvl>
    <w:lvl w:ilvl="4" w:tplc="0AA81C30" w:tentative="1">
      <w:start w:val="1"/>
      <w:numFmt w:val="lowerLetter"/>
      <w:lvlText w:val="%5."/>
      <w:lvlJc w:val="left"/>
      <w:pPr>
        <w:tabs>
          <w:tab w:val="num" w:pos="3777"/>
        </w:tabs>
        <w:ind w:left="3777" w:hanging="360"/>
      </w:pPr>
      <w:rPr>
        <w:rFonts w:cs="Times New Roman"/>
      </w:rPr>
    </w:lvl>
    <w:lvl w:ilvl="5" w:tplc="D5048526" w:tentative="1">
      <w:start w:val="1"/>
      <w:numFmt w:val="lowerRoman"/>
      <w:lvlText w:val="%6."/>
      <w:lvlJc w:val="right"/>
      <w:pPr>
        <w:tabs>
          <w:tab w:val="num" w:pos="4497"/>
        </w:tabs>
        <w:ind w:left="4497" w:hanging="180"/>
      </w:pPr>
      <w:rPr>
        <w:rFonts w:cs="Times New Roman"/>
      </w:rPr>
    </w:lvl>
    <w:lvl w:ilvl="6" w:tplc="6A3E2CE0" w:tentative="1">
      <w:start w:val="1"/>
      <w:numFmt w:val="decimal"/>
      <w:lvlText w:val="%7."/>
      <w:lvlJc w:val="left"/>
      <w:pPr>
        <w:tabs>
          <w:tab w:val="num" w:pos="5217"/>
        </w:tabs>
        <w:ind w:left="5217" w:hanging="360"/>
      </w:pPr>
      <w:rPr>
        <w:rFonts w:cs="Times New Roman"/>
      </w:rPr>
    </w:lvl>
    <w:lvl w:ilvl="7" w:tplc="D6CE15B4" w:tentative="1">
      <w:start w:val="1"/>
      <w:numFmt w:val="lowerLetter"/>
      <w:lvlText w:val="%8."/>
      <w:lvlJc w:val="left"/>
      <w:pPr>
        <w:tabs>
          <w:tab w:val="num" w:pos="5937"/>
        </w:tabs>
        <w:ind w:left="5937" w:hanging="360"/>
      </w:pPr>
      <w:rPr>
        <w:rFonts w:cs="Times New Roman"/>
      </w:rPr>
    </w:lvl>
    <w:lvl w:ilvl="8" w:tplc="1D18640A" w:tentative="1">
      <w:start w:val="1"/>
      <w:numFmt w:val="lowerRoman"/>
      <w:lvlText w:val="%9."/>
      <w:lvlJc w:val="right"/>
      <w:pPr>
        <w:tabs>
          <w:tab w:val="num" w:pos="6657"/>
        </w:tabs>
        <w:ind w:left="6657" w:hanging="180"/>
      </w:pPr>
      <w:rPr>
        <w:rFonts w:cs="Times New Roman"/>
      </w:rPr>
    </w:lvl>
  </w:abstractNum>
  <w:abstractNum w:abstractNumId="4">
    <w:nsid w:val="7A6F3D49"/>
    <w:multiLevelType w:val="hybridMultilevel"/>
    <w:tmpl w:val="CC682664"/>
    <w:lvl w:ilvl="0" w:tplc="37ECC2B0">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8E1"/>
    <w:rsid w:val="00003002"/>
    <w:rsid w:val="00013CF7"/>
    <w:rsid w:val="00065B61"/>
    <w:rsid w:val="00076950"/>
    <w:rsid w:val="000900E1"/>
    <w:rsid w:val="000972D9"/>
    <w:rsid w:val="000A6DFB"/>
    <w:rsid w:val="000C042F"/>
    <w:rsid w:val="000F12B1"/>
    <w:rsid w:val="000F77B8"/>
    <w:rsid w:val="00104D48"/>
    <w:rsid w:val="00107A35"/>
    <w:rsid w:val="00115B5B"/>
    <w:rsid w:val="001319F8"/>
    <w:rsid w:val="001345D9"/>
    <w:rsid w:val="001360A1"/>
    <w:rsid w:val="00136B90"/>
    <w:rsid w:val="00143144"/>
    <w:rsid w:val="001524D4"/>
    <w:rsid w:val="00155513"/>
    <w:rsid w:val="00156E1D"/>
    <w:rsid w:val="00164C24"/>
    <w:rsid w:val="0018058B"/>
    <w:rsid w:val="00181DB1"/>
    <w:rsid w:val="00187C03"/>
    <w:rsid w:val="00190A99"/>
    <w:rsid w:val="00193CC2"/>
    <w:rsid w:val="001954E3"/>
    <w:rsid w:val="001A64DB"/>
    <w:rsid w:val="001A7CD6"/>
    <w:rsid w:val="001B0C40"/>
    <w:rsid w:val="001D1901"/>
    <w:rsid w:val="001D1A76"/>
    <w:rsid w:val="001D656C"/>
    <w:rsid w:val="001F50AA"/>
    <w:rsid w:val="001F5FEE"/>
    <w:rsid w:val="002047B2"/>
    <w:rsid w:val="00206989"/>
    <w:rsid w:val="00223510"/>
    <w:rsid w:val="002366DA"/>
    <w:rsid w:val="00255485"/>
    <w:rsid w:val="002837BE"/>
    <w:rsid w:val="00292940"/>
    <w:rsid w:val="002959D7"/>
    <w:rsid w:val="00295E49"/>
    <w:rsid w:val="0029606F"/>
    <w:rsid w:val="002B1F16"/>
    <w:rsid w:val="002C4AB4"/>
    <w:rsid w:val="002D30FB"/>
    <w:rsid w:val="002F0912"/>
    <w:rsid w:val="00304408"/>
    <w:rsid w:val="00307659"/>
    <w:rsid w:val="003351F0"/>
    <w:rsid w:val="00346194"/>
    <w:rsid w:val="00352F00"/>
    <w:rsid w:val="003547E3"/>
    <w:rsid w:val="00360A0E"/>
    <w:rsid w:val="00363EE2"/>
    <w:rsid w:val="003678E1"/>
    <w:rsid w:val="0038392F"/>
    <w:rsid w:val="0038456F"/>
    <w:rsid w:val="00385DC3"/>
    <w:rsid w:val="003958C4"/>
    <w:rsid w:val="00396F9A"/>
    <w:rsid w:val="003A4FF4"/>
    <w:rsid w:val="003B249C"/>
    <w:rsid w:val="003C109C"/>
    <w:rsid w:val="003D2B02"/>
    <w:rsid w:val="003E1DB3"/>
    <w:rsid w:val="003E51DD"/>
    <w:rsid w:val="003E522B"/>
    <w:rsid w:val="003F76A4"/>
    <w:rsid w:val="004161B1"/>
    <w:rsid w:val="00421F51"/>
    <w:rsid w:val="0043195F"/>
    <w:rsid w:val="00437602"/>
    <w:rsid w:val="0043783B"/>
    <w:rsid w:val="00462F2B"/>
    <w:rsid w:val="00474FF0"/>
    <w:rsid w:val="00475859"/>
    <w:rsid w:val="00485C6F"/>
    <w:rsid w:val="005116B9"/>
    <w:rsid w:val="00543824"/>
    <w:rsid w:val="00545D44"/>
    <w:rsid w:val="00551D09"/>
    <w:rsid w:val="00552600"/>
    <w:rsid w:val="00555F6D"/>
    <w:rsid w:val="00560C52"/>
    <w:rsid w:val="0057286A"/>
    <w:rsid w:val="00574093"/>
    <w:rsid w:val="005751D9"/>
    <w:rsid w:val="00582377"/>
    <w:rsid w:val="00590810"/>
    <w:rsid w:val="00592137"/>
    <w:rsid w:val="005A514C"/>
    <w:rsid w:val="005B031E"/>
    <w:rsid w:val="005B3A40"/>
    <w:rsid w:val="005B5C21"/>
    <w:rsid w:val="005E0BE0"/>
    <w:rsid w:val="0060352A"/>
    <w:rsid w:val="00604033"/>
    <w:rsid w:val="00610509"/>
    <w:rsid w:val="00610F38"/>
    <w:rsid w:val="0061143A"/>
    <w:rsid w:val="006162AE"/>
    <w:rsid w:val="0062256F"/>
    <w:rsid w:val="00633EE3"/>
    <w:rsid w:val="00663DB3"/>
    <w:rsid w:val="0067224C"/>
    <w:rsid w:val="00674BD9"/>
    <w:rsid w:val="00684F7C"/>
    <w:rsid w:val="006915A5"/>
    <w:rsid w:val="006A505F"/>
    <w:rsid w:val="006C4013"/>
    <w:rsid w:val="006D57F5"/>
    <w:rsid w:val="006E2896"/>
    <w:rsid w:val="006F19B5"/>
    <w:rsid w:val="006F6E02"/>
    <w:rsid w:val="007003ED"/>
    <w:rsid w:val="00704829"/>
    <w:rsid w:val="00707DB8"/>
    <w:rsid w:val="00727A58"/>
    <w:rsid w:val="0073033C"/>
    <w:rsid w:val="00741010"/>
    <w:rsid w:val="00756BE9"/>
    <w:rsid w:val="007753D5"/>
    <w:rsid w:val="0079254B"/>
    <w:rsid w:val="007A7AFA"/>
    <w:rsid w:val="007C6940"/>
    <w:rsid w:val="007C6BC6"/>
    <w:rsid w:val="007D015D"/>
    <w:rsid w:val="007D4ED3"/>
    <w:rsid w:val="007D7ED5"/>
    <w:rsid w:val="007E7F39"/>
    <w:rsid w:val="007F3156"/>
    <w:rsid w:val="007F7523"/>
    <w:rsid w:val="00800C3E"/>
    <w:rsid w:val="00804FB5"/>
    <w:rsid w:val="00816EA7"/>
    <w:rsid w:val="008172E6"/>
    <w:rsid w:val="00822172"/>
    <w:rsid w:val="00862D35"/>
    <w:rsid w:val="008774B1"/>
    <w:rsid w:val="00880854"/>
    <w:rsid w:val="008841EF"/>
    <w:rsid w:val="008867E6"/>
    <w:rsid w:val="008A6D26"/>
    <w:rsid w:val="008D0399"/>
    <w:rsid w:val="008F13AB"/>
    <w:rsid w:val="00901D73"/>
    <w:rsid w:val="0090663F"/>
    <w:rsid w:val="0092332D"/>
    <w:rsid w:val="00954856"/>
    <w:rsid w:val="00990233"/>
    <w:rsid w:val="009A4EC7"/>
    <w:rsid w:val="009C4A7B"/>
    <w:rsid w:val="009C4D3E"/>
    <w:rsid w:val="009D4460"/>
    <w:rsid w:val="009F4A12"/>
    <w:rsid w:val="00A007C3"/>
    <w:rsid w:val="00A07576"/>
    <w:rsid w:val="00A274DC"/>
    <w:rsid w:val="00A51B60"/>
    <w:rsid w:val="00A57D1B"/>
    <w:rsid w:val="00A77E35"/>
    <w:rsid w:val="00AA055D"/>
    <w:rsid w:val="00AB3BC5"/>
    <w:rsid w:val="00AC3606"/>
    <w:rsid w:val="00AC38FB"/>
    <w:rsid w:val="00AC3B05"/>
    <w:rsid w:val="00AD543C"/>
    <w:rsid w:val="00AF75D6"/>
    <w:rsid w:val="00B14844"/>
    <w:rsid w:val="00B1580D"/>
    <w:rsid w:val="00B27B65"/>
    <w:rsid w:val="00B6550E"/>
    <w:rsid w:val="00BA2B6D"/>
    <w:rsid w:val="00BF54BA"/>
    <w:rsid w:val="00C01C8E"/>
    <w:rsid w:val="00C11A90"/>
    <w:rsid w:val="00C11FAB"/>
    <w:rsid w:val="00C3518A"/>
    <w:rsid w:val="00C35EC3"/>
    <w:rsid w:val="00C86807"/>
    <w:rsid w:val="00C9740B"/>
    <w:rsid w:val="00CA3ADF"/>
    <w:rsid w:val="00CA59B3"/>
    <w:rsid w:val="00CB172D"/>
    <w:rsid w:val="00CD4DE0"/>
    <w:rsid w:val="00CE21C1"/>
    <w:rsid w:val="00CF13DF"/>
    <w:rsid w:val="00D001BF"/>
    <w:rsid w:val="00D17BB6"/>
    <w:rsid w:val="00D64370"/>
    <w:rsid w:val="00D95111"/>
    <w:rsid w:val="00DB0BB0"/>
    <w:rsid w:val="00DB528B"/>
    <w:rsid w:val="00DC5540"/>
    <w:rsid w:val="00DC598C"/>
    <w:rsid w:val="00DE0F91"/>
    <w:rsid w:val="00DE25B4"/>
    <w:rsid w:val="00DF1315"/>
    <w:rsid w:val="00E07CD5"/>
    <w:rsid w:val="00E2732E"/>
    <w:rsid w:val="00E33C07"/>
    <w:rsid w:val="00E40719"/>
    <w:rsid w:val="00E63BA4"/>
    <w:rsid w:val="00E676FB"/>
    <w:rsid w:val="00E67855"/>
    <w:rsid w:val="00E81013"/>
    <w:rsid w:val="00E86865"/>
    <w:rsid w:val="00EA05B5"/>
    <w:rsid w:val="00EA4441"/>
    <w:rsid w:val="00EA643A"/>
    <w:rsid w:val="00EA7E21"/>
    <w:rsid w:val="00EB0234"/>
    <w:rsid w:val="00EB5146"/>
    <w:rsid w:val="00ED194B"/>
    <w:rsid w:val="00EE715C"/>
    <w:rsid w:val="00EF515B"/>
    <w:rsid w:val="00F005DA"/>
    <w:rsid w:val="00F0066B"/>
    <w:rsid w:val="00F037BA"/>
    <w:rsid w:val="00F0450D"/>
    <w:rsid w:val="00F43B47"/>
    <w:rsid w:val="00F57FAD"/>
    <w:rsid w:val="00F717F4"/>
    <w:rsid w:val="00F74DA7"/>
    <w:rsid w:val="00F941AA"/>
    <w:rsid w:val="00FE3929"/>
    <w:rsid w:val="00FE4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FF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rsid w:val="00474FF0"/>
  </w:style>
  <w:style w:type="paragraph" w:customStyle="1" w:styleId="c2">
    <w:name w:val="c2"/>
    <w:basedOn w:val="Normal"/>
    <w:rsid w:val="00474FF0"/>
    <w:pPr>
      <w:jc w:val="center"/>
    </w:pPr>
  </w:style>
  <w:style w:type="paragraph" w:customStyle="1" w:styleId="p3">
    <w:name w:val="p3"/>
    <w:basedOn w:val="Normal"/>
    <w:rsid w:val="00474FF0"/>
    <w:pPr>
      <w:tabs>
        <w:tab w:val="left" w:pos="4960"/>
      </w:tabs>
      <w:ind w:left="3520"/>
    </w:pPr>
  </w:style>
  <w:style w:type="paragraph" w:customStyle="1" w:styleId="p4">
    <w:name w:val="p4"/>
    <w:basedOn w:val="Normal"/>
    <w:rsid w:val="00474FF0"/>
    <w:pPr>
      <w:tabs>
        <w:tab w:val="left" w:pos="204"/>
      </w:tabs>
    </w:pPr>
  </w:style>
  <w:style w:type="paragraph" w:customStyle="1" w:styleId="p5">
    <w:name w:val="p5"/>
    <w:basedOn w:val="Normal"/>
    <w:rsid w:val="00474FF0"/>
    <w:pPr>
      <w:tabs>
        <w:tab w:val="left" w:pos="391"/>
      </w:tabs>
      <w:ind w:left="1049"/>
    </w:pPr>
  </w:style>
  <w:style w:type="paragraph" w:customStyle="1" w:styleId="p6">
    <w:name w:val="p6"/>
    <w:basedOn w:val="Normal"/>
    <w:rsid w:val="00474FF0"/>
    <w:pPr>
      <w:tabs>
        <w:tab w:val="left" w:pos="1479"/>
      </w:tabs>
      <w:ind w:firstLine="1479"/>
    </w:pPr>
  </w:style>
  <w:style w:type="paragraph" w:customStyle="1" w:styleId="p7">
    <w:name w:val="p7"/>
    <w:basedOn w:val="Normal"/>
    <w:rsid w:val="00474FF0"/>
    <w:pPr>
      <w:tabs>
        <w:tab w:val="left" w:pos="782"/>
        <w:tab w:val="left" w:pos="1133"/>
      </w:tabs>
      <w:ind w:left="1133" w:hanging="351"/>
    </w:pPr>
  </w:style>
  <w:style w:type="paragraph" w:customStyle="1" w:styleId="p1">
    <w:name w:val="p1"/>
    <w:basedOn w:val="Normal"/>
    <w:rsid w:val="00474FF0"/>
    <w:pPr>
      <w:tabs>
        <w:tab w:val="left" w:pos="691"/>
        <w:tab w:val="left" w:pos="1054"/>
      </w:tabs>
      <w:ind w:left="1054" w:hanging="363"/>
    </w:pPr>
  </w:style>
  <w:style w:type="paragraph" w:customStyle="1" w:styleId="p2">
    <w:name w:val="p2"/>
    <w:basedOn w:val="Normal"/>
    <w:rsid w:val="00474FF0"/>
    <w:pPr>
      <w:tabs>
        <w:tab w:val="left" w:pos="1445"/>
      </w:tabs>
      <w:ind w:firstLine="1445"/>
    </w:pPr>
  </w:style>
  <w:style w:type="paragraph" w:styleId="Footer">
    <w:name w:val="footer"/>
    <w:basedOn w:val="Normal"/>
    <w:rsid w:val="00474FF0"/>
    <w:pPr>
      <w:widowControl/>
      <w:tabs>
        <w:tab w:val="center" w:pos="4320"/>
        <w:tab w:val="right" w:pos="8640"/>
      </w:tabs>
      <w:autoSpaceDE/>
      <w:autoSpaceDN/>
      <w:adjustRightInd/>
    </w:pPr>
    <w:rPr>
      <w:color w:val="000000"/>
      <w:sz w:val="26"/>
      <w:szCs w:val="20"/>
    </w:rPr>
  </w:style>
  <w:style w:type="paragraph" w:styleId="Header">
    <w:name w:val="header"/>
    <w:basedOn w:val="Normal"/>
    <w:rsid w:val="00474FF0"/>
    <w:pPr>
      <w:tabs>
        <w:tab w:val="center" w:pos="4320"/>
        <w:tab w:val="right" w:pos="8640"/>
      </w:tabs>
    </w:pPr>
  </w:style>
  <w:style w:type="character" w:styleId="PageNumber">
    <w:name w:val="page number"/>
    <w:basedOn w:val="DefaultParagraphFont"/>
    <w:rsid w:val="00474FF0"/>
  </w:style>
  <w:style w:type="paragraph" w:styleId="NormalWeb">
    <w:name w:val="Normal (Web)"/>
    <w:basedOn w:val="Normal"/>
    <w:rsid w:val="00474FF0"/>
    <w:pPr>
      <w:widowControl/>
      <w:autoSpaceDE/>
      <w:autoSpaceDN/>
      <w:adjustRightInd/>
      <w:spacing w:before="100" w:beforeAutospacing="1" w:after="100" w:afterAutospacing="1"/>
    </w:pPr>
  </w:style>
  <w:style w:type="paragraph" w:styleId="FootnoteText">
    <w:name w:val="footnote text"/>
    <w:basedOn w:val="Normal"/>
    <w:semiHidden/>
    <w:rsid w:val="00741010"/>
    <w:rPr>
      <w:sz w:val="20"/>
      <w:szCs w:val="20"/>
    </w:rPr>
  </w:style>
  <w:style w:type="character" w:styleId="FootnoteReference">
    <w:name w:val="footnote reference"/>
    <w:basedOn w:val="DefaultParagraphFont"/>
    <w:semiHidden/>
    <w:rsid w:val="00741010"/>
    <w:rPr>
      <w:vertAlign w:val="superscript"/>
    </w:rPr>
  </w:style>
  <w:style w:type="paragraph" w:styleId="BodyText">
    <w:name w:val="Body Text"/>
    <w:basedOn w:val="Normal"/>
    <w:rsid w:val="005A514C"/>
    <w:pPr>
      <w:widowControl/>
      <w:tabs>
        <w:tab w:val="left" w:pos="-1440"/>
        <w:tab w:val="left" w:pos="-720"/>
        <w:tab w:val="left" w:pos="0"/>
        <w:tab w:val="left" w:pos="432"/>
        <w:tab w:val="left" w:pos="576"/>
        <w:tab w:val="left" w:pos="1440"/>
        <w:tab w:val="left" w:pos="2086"/>
        <w:tab w:val="left" w:pos="2880"/>
      </w:tabs>
      <w:suppressAutoHyphens/>
      <w:autoSpaceDE/>
      <w:autoSpaceDN/>
      <w:adjustRightInd/>
      <w:spacing w:line="360" w:lineRule="auto"/>
    </w:pPr>
    <w:rPr>
      <w:color w:val="0000FF"/>
      <w:kern w:val="2"/>
      <w:sz w:val="26"/>
      <w:szCs w:val="20"/>
    </w:rPr>
  </w:style>
  <w:style w:type="paragraph" w:styleId="BodyTextIndent">
    <w:name w:val="Body Text Indent"/>
    <w:basedOn w:val="Normal"/>
    <w:rsid w:val="006A505F"/>
    <w:pPr>
      <w:spacing w:after="120"/>
      <w:ind w:left="360"/>
    </w:pPr>
  </w:style>
  <w:style w:type="paragraph" w:styleId="BalloonText">
    <w:name w:val="Balloon Text"/>
    <w:basedOn w:val="Normal"/>
    <w:link w:val="BalloonTextChar"/>
    <w:rsid w:val="00462F2B"/>
    <w:rPr>
      <w:rFonts w:ascii="Tahoma" w:hAnsi="Tahoma" w:cs="Tahoma"/>
      <w:sz w:val="16"/>
      <w:szCs w:val="16"/>
    </w:rPr>
  </w:style>
  <w:style w:type="character" w:customStyle="1" w:styleId="BalloonTextChar">
    <w:name w:val="Balloon Text Char"/>
    <w:basedOn w:val="DefaultParagraphFont"/>
    <w:link w:val="BalloonText"/>
    <w:rsid w:val="00462F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FF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rsid w:val="00474FF0"/>
  </w:style>
  <w:style w:type="paragraph" w:customStyle="1" w:styleId="c2">
    <w:name w:val="c2"/>
    <w:basedOn w:val="Normal"/>
    <w:rsid w:val="00474FF0"/>
    <w:pPr>
      <w:jc w:val="center"/>
    </w:pPr>
  </w:style>
  <w:style w:type="paragraph" w:customStyle="1" w:styleId="p3">
    <w:name w:val="p3"/>
    <w:basedOn w:val="Normal"/>
    <w:rsid w:val="00474FF0"/>
    <w:pPr>
      <w:tabs>
        <w:tab w:val="left" w:pos="4960"/>
      </w:tabs>
      <w:ind w:left="3520"/>
    </w:pPr>
  </w:style>
  <w:style w:type="paragraph" w:customStyle="1" w:styleId="p4">
    <w:name w:val="p4"/>
    <w:basedOn w:val="Normal"/>
    <w:rsid w:val="00474FF0"/>
    <w:pPr>
      <w:tabs>
        <w:tab w:val="left" w:pos="204"/>
      </w:tabs>
    </w:pPr>
  </w:style>
  <w:style w:type="paragraph" w:customStyle="1" w:styleId="p5">
    <w:name w:val="p5"/>
    <w:basedOn w:val="Normal"/>
    <w:rsid w:val="00474FF0"/>
    <w:pPr>
      <w:tabs>
        <w:tab w:val="left" w:pos="391"/>
      </w:tabs>
      <w:ind w:left="1049"/>
    </w:pPr>
  </w:style>
  <w:style w:type="paragraph" w:customStyle="1" w:styleId="p6">
    <w:name w:val="p6"/>
    <w:basedOn w:val="Normal"/>
    <w:rsid w:val="00474FF0"/>
    <w:pPr>
      <w:tabs>
        <w:tab w:val="left" w:pos="1479"/>
      </w:tabs>
      <w:ind w:firstLine="1479"/>
    </w:pPr>
  </w:style>
  <w:style w:type="paragraph" w:customStyle="1" w:styleId="p7">
    <w:name w:val="p7"/>
    <w:basedOn w:val="Normal"/>
    <w:rsid w:val="00474FF0"/>
    <w:pPr>
      <w:tabs>
        <w:tab w:val="left" w:pos="782"/>
        <w:tab w:val="left" w:pos="1133"/>
      </w:tabs>
      <w:ind w:left="1133" w:hanging="351"/>
    </w:pPr>
  </w:style>
  <w:style w:type="paragraph" w:customStyle="1" w:styleId="p1">
    <w:name w:val="p1"/>
    <w:basedOn w:val="Normal"/>
    <w:rsid w:val="00474FF0"/>
    <w:pPr>
      <w:tabs>
        <w:tab w:val="left" w:pos="691"/>
        <w:tab w:val="left" w:pos="1054"/>
      </w:tabs>
      <w:ind w:left="1054" w:hanging="363"/>
    </w:pPr>
  </w:style>
  <w:style w:type="paragraph" w:customStyle="1" w:styleId="p2">
    <w:name w:val="p2"/>
    <w:basedOn w:val="Normal"/>
    <w:rsid w:val="00474FF0"/>
    <w:pPr>
      <w:tabs>
        <w:tab w:val="left" w:pos="1445"/>
      </w:tabs>
      <w:ind w:firstLine="1445"/>
    </w:pPr>
  </w:style>
  <w:style w:type="paragraph" w:styleId="Footer">
    <w:name w:val="footer"/>
    <w:basedOn w:val="Normal"/>
    <w:rsid w:val="00474FF0"/>
    <w:pPr>
      <w:widowControl/>
      <w:tabs>
        <w:tab w:val="center" w:pos="4320"/>
        <w:tab w:val="right" w:pos="8640"/>
      </w:tabs>
      <w:autoSpaceDE/>
      <w:autoSpaceDN/>
      <w:adjustRightInd/>
    </w:pPr>
    <w:rPr>
      <w:color w:val="000000"/>
      <w:sz w:val="26"/>
      <w:szCs w:val="20"/>
    </w:rPr>
  </w:style>
  <w:style w:type="paragraph" w:styleId="Header">
    <w:name w:val="header"/>
    <w:basedOn w:val="Normal"/>
    <w:rsid w:val="00474FF0"/>
    <w:pPr>
      <w:tabs>
        <w:tab w:val="center" w:pos="4320"/>
        <w:tab w:val="right" w:pos="8640"/>
      </w:tabs>
    </w:pPr>
  </w:style>
  <w:style w:type="character" w:styleId="PageNumber">
    <w:name w:val="page number"/>
    <w:basedOn w:val="DefaultParagraphFont"/>
    <w:rsid w:val="00474FF0"/>
  </w:style>
  <w:style w:type="paragraph" w:styleId="NormalWeb">
    <w:name w:val="Normal (Web)"/>
    <w:basedOn w:val="Normal"/>
    <w:rsid w:val="00474FF0"/>
    <w:pPr>
      <w:widowControl/>
      <w:autoSpaceDE/>
      <w:autoSpaceDN/>
      <w:adjustRightInd/>
      <w:spacing w:before="100" w:beforeAutospacing="1" w:after="100" w:afterAutospacing="1"/>
    </w:pPr>
  </w:style>
  <w:style w:type="paragraph" w:styleId="FootnoteText">
    <w:name w:val="footnote text"/>
    <w:basedOn w:val="Normal"/>
    <w:semiHidden/>
    <w:rsid w:val="00741010"/>
    <w:rPr>
      <w:sz w:val="20"/>
      <w:szCs w:val="20"/>
    </w:rPr>
  </w:style>
  <w:style w:type="character" w:styleId="FootnoteReference">
    <w:name w:val="footnote reference"/>
    <w:basedOn w:val="DefaultParagraphFont"/>
    <w:semiHidden/>
    <w:rsid w:val="00741010"/>
    <w:rPr>
      <w:vertAlign w:val="superscript"/>
    </w:rPr>
  </w:style>
  <w:style w:type="paragraph" w:styleId="BodyText">
    <w:name w:val="Body Text"/>
    <w:basedOn w:val="Normal"/>
    <w:rsid w:val="005A514C"/>
    <w:pPr>
      <w:widowControl/>
      <w:tabs>
        <w:tab w:val="left" w:pos="-1440"/>
        <w:tab w:val="left" w:pos="-720"/>
        <w:tab w:val="left" w:pos="0"/>
        <w:tab w:val="left" w:pos="432"/>
        <w:tab w:val="left" w:pos="576"/>
        <w:tab w:val="left" w:pos="1440"/>
        <w:tab w:val="left" w:pos="2086"/>
        <w:tab w:val="left" w:pos="2880"/>
      </w:tabs>
      <w:suppressAutoHyphens/>
      <w:autoSpaceDE/>
      <w:autoSpaceDN/>
      <w:adjustRightInd/>
      <w:spacing w:line="360" w:lineRule="auto"/>
    </w:pPr>
    <w:rPr>
      <w:color w:val="0000FF"/>
      <w:kern w:val="2"/>
      <w:sz w:val="26"/>
      <w:szCs w:val="20"/>
    </w:rPr>
  </w:style>
  <w:style w:type="paragraph" w:styleId="BodyTextIndent">
    <w:name w:val="Body Text Indent"/>
    <w:basedOn w:val="Normal"/>
    <w:rsid w:val="006A505F"/>
    <w:pPr>
      <w:spacing w:after="120"/>
      <w:ind w:left="360"/>
    </w:pPr>
  </w:style>
  <w:style w:type="paragraph" w:styleId="BalloonText">
    <w:name w:val="Balloon Text"/>
    <w:basedOn w:val="Normal"/>
    <w:link w:val="BalloonTextChar"/>
    <w:rsid w:val="00462F2B"/>
    <w:rPr>
      <w:rFonts w:ascii="Tahoma" w:hAnsi="Tahoma" w:cs="Tahoma"/>
      <w:sz w:val="16"/>
      <w:szCs w:val="16"/>
    </w:rPr>
  </w:style>
  <w:style w:type="character" w:customStyle="1" w:styleId="BalloonTextChar">
    <w:name w:val="Balloon Text Char"/>
    <w:basedOn w:val="DefaultParagraphFont"/>
    <w:link w:val="BalloonText"/>
    <w:rsid w:val="00462F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39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2717</TotalTime>
  <Pages>5</Pages>
  <Words>1132</Words>
  <Characters>6458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7575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Miller, Sara</cp:lastModifiedBy>
  <cp:revision>11</cp:revision>
  <cp:lastPrinted>2012-12-19T16:21:00Z</cp:lastPrinted>
  <dcterms:created xsi:type="dcterms:W3CDTF">2012-12-10T16:27:00Z</dcterms:created>
  <dcterms:modified xsi:type="dcterms:W3CDTF">2012-12-19T16:21:00Z</dcterms:modified>
</cp:coreProperties>
</file>