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21B" w:rsidRPr="00DC1A6F" w:rsidRDefault="0096621B" w:rsidP="0096621B">
      <w:pPr>
        <w:pStyle w:val="Heading1"/>
        <w:keepNext w:val="0"/>
        <w:tabs>
          <w:tab w:val="clear" w:pos="-720"/>
          <w:tab w:val="center" w:pos="4680"/>
        </w:tabs>
        <w:spacing w:line="240" w:lineRule="auto"/>
        <w:jc w:val="center"/>
        <w:rPr>
          <w:szCs w:val="26"/>
        </w:rPr>
      </w:pPr>
      <w:r w:rsidRPr="00DC1A6F">
        <w:rPr>
          <w:szCs w:val="26"/>
        </w:rPr>
        <w:t>PENNSYLVANIA</w:t>
      </w:r>
    </w:p>
    <w:p w:rsidR="0096621B" w:rsidRPr="00DC1A6F" w:rsidRDefault="0096621B" w:rsidP="0096621B">
      <w:pPr>
        <w:tabs>
          <w:tab w:val="center" w:pos="4680"/>
        </w:tabs>
        <w:suppressAutoHyphens/>
        <w:jc w:val="center"/>
        <w:rPr>
          <w:rFonts w:ascii="Times New Roman" w:hAnsi="Times New Roman" w:cs="Times New Roman"/>
          <w:b/>
          <w:sz w:val="26"/>
          <w:szCs w:val="26"/>
        </w:rPr>
      </w:pPr>
      <w:r w:rsidRPr="00DC1A6F">
        <w:rPr>
          <w:rFonts w:ascii="Times New Roman" w:hAnsi="Times New Roman" w:cs="Times New Roman"/>
          <w:b/>
          <w:sz w:val="26"/>
          <w:szCs w:val="26"/>
        </w:rPr>
        <w:t>PUBLIC UTILITY COMMISSION</w:t>
      </w:r>
    </w:p>
    <w:p w:rsidR="0096621B" w:rsidRPr="00DC1A6F" w:rsidRDefault="0096621B" w:rsidP="0096621B">
      <w:pPr>
        <w:tabs>
          <w:tab w:val="center" w:pos="4680"/>
        </w:tabs>
        <w:suppressAutoHyphens/>
        <w:jc w:val="center"/>
        <w:rPr>
          <w:rFonts w:ascii="Times New Roman" w:hAnsi="Times New Roman" w:cs="Times New Roman"/>
          <w:b/>
          <w:sz w:val="26"/>
          <w:szCs w:val="26"/>
        </w:rPr>
      </w:pPr>
      <w:r w:rsidRPr="00DC1A6F">
        <w:rPr>
          <w:rFonts w:ascii="Times New Roman" w:hAnsi="Times New Roman" w:cs="Times New Roman"/>
          <w:b/>
          <w:sz w:val="26"/>
          <w:szCs w:val="26"/>
        </w:rPr>
        <w:t>Harrisburg, PA  17105-3265</w:t>
      </w:r>
    </w:p>
    <w:p w:rsidR="0096621B" w:rsidRPr="00DC1A6F" w:rsidRDefault="0096621B" w:rsidP="0096621B">
      <w:pPr>
        <w:tabs>
          <w:tab w:val="left" w:pos="-720"/>
          <w:tab w:val="left" w:pos="1005"/>
        </w:tabs>
        <w:suppressAutoHyphens/>
        <w:rPr>
          <w:rFonts w:ascii="Times New Roman" w:hAnsi="Times New Roman" w:cs="Times New Roman"/>
          <w:b/>
          <w:sz w:val="26"/>
          <w:szCs w:val="26"/>
        </w:rPr>
      </w:pPr>
    </w:p>
    <w:p w:rsidR="0096621B" w:rsidRPr="00DC1A6F" w:rsidRDefault="002673D4" w:rsidP="0096621B">
      <w:pPr>
        <w:tabs>
          <w:tab w:val="right" w:pos="9360"/>
        </w:tabs>
        <w:suppressAutoHyphens/>
        <w:jc w:val="right"/>
        <w:rPr>
          <w:rFonts w:ascii="Times New Roman" w:hAnsi="Times New Roman" w:cs="Times New Roman"/>
          <w:sz w:val="26"/>
          <w:szCs w:val="26"/>
        </w:rPr>
      </w:pPr>
      <w:r>
        <w:rPr>
          <w:rFonts w:ascii="Times New Roman" w:hAnsi="Times New Roman" w:cs="Times New Roman"/>
          <w:sz w:val="26"/>
          <w:szCs w:val="26"/>
        </w:rPr>
        <w:t xml:space="preserve">Public Meeting held December </w:t>
      </w:r>
      <w:r w:rsidR="00AC10AA">
        <w:rPr>
          <w:rFonts w:ascii="Times New Roman" w:hAnsi="Times New Roman" w:cs="Times New Roman"/>
          <w:sz w:val="26"/>
          <w:szCs w:val="26"/>
        </w:rPr>
        <w:t>20</w:t>
      </w:r>
      <w:r w:rsidR="0096621B" w:rsidRPr="00DC1A6F">
        <w:rPr>
          <w:rFonts w:ascii="Times New Roman" w:hAnsi="Times New Roman" w:cs="Times New Roman"/>
          <w:sz w:val="26"/>
          <w:szCs w:val="26"/>
        </w:rPr>
        <w:t>, 2012</w:t>
      </w:r>
    </w:p>
    <w:p w:rsidR="0096621B" w:rsidRPr="00DC1A6F" w:rsidRDefault="0096621B" w:rsidP="0096621B">
      <w:pPr>
        <w:tabs>
          <w:tab w:val="left" w:pos="-720"/>
        </w:tabs>
        <w:suppressAutoHyphens/>
        <w:rPr>
          <w:rFonts w:ascii="Times New Roman" w:hAnsi="Times New Roman" w:cs="Times New Roman"/>
          <w:sz w:val="26"/>
          <w:szCs w:val="26"/>
        </w:rPr>
      </w:pPr>
    </w:p>
    <w:p w:rsidR="0096621B" w:rsidRPr="00DC1A6F" w:rsidRDefault="0096621B" w:rsidP="0096621B">
      <w:pPr>
        <w:tabs>
          <w:tab w:val="left" w:pos="-720"/>
        </w:tabs>
        <w:suppressAutoHyphens/>
        <w:rPr>
          <w:rFonts w:ascii="Times New Roman" w:hAnsi="Times New Roman" w:cs="Times New Roman"/>
          <w:sz w:val="26"/>
          <w:szCs w:val="26"/>
        </w:rPr>
      </w:pPr>
      <w:r w:rsidRPr="00DC1A6F">
        <w:rPr>
          <w:rFonts w:ascii="Times New Roman" w:hAnsi="Times New Roman" w:cs="Times New Roman"/>
          <w:sz w:val="26"/>
          <w:szCs w:val="26"/>
        </w:rPr>
        <w:t>Commissioners Present:</w:t>
      </w:r>
    </w:p>
    <w:p w:rsidR="0096621B" w:rsidRPr="00DC1A6F" w:rsidRDefault="0096621B" w:rsidP="0096621B">
      <w:pPr>
        <w:tabs>
          <w:tab w:val="left" w:pos="-720"/>
        </w:tabs>
        <w:suppressAutoHyphens/>
        <w:rPr>
          <w:rFonts w:ascii="Times New Roman" w:hAnsi="Times New Roman" w:cs="Times New Roman"/>
          <w:sz w:val="26"/>
          <w:szCs w:val="26"/>
        </w:rPr>
      </w:pPr>
    </w:p>
    <w:p w:rsidR="0096621B" w:rsidRPr="00DC1A6F" w:rsidRDefault="0096621B" w:rsidP="0096621B">
      <w:pPr>
        <w:tabs>
          <w:tab w:val="left" w:pos="-720"/>
        </w:tabs>
        <w:suppressAutoHyphens/>
        <w:rPr>
          <w:rFonts w:ascii="Times New Roman" w:hAnsi="Times New Roman" w:cs="Times New Roman"/>
          <w:sz w:val="26"/>
          <w:szCs w:val="26"/>
        </w:rPr>
      </w:pPr>
      <w:r w:rsidRPr="00DC1A6F">
        <w:rPr>
          <w:rFonts w:ascii="Times New Roman" w:hAnsi="Times New Roman" w:cs="Times New Roman"/>
          <w:sz w:val="26"/>
          <w:szCs w:val="26"/>
        </w:rPr>
        <w:tab/>
        <w:t>Robert F. Powelson, Chairman</w:t>
      </w:r>
    </w:p>
    <w:p w:rsidR="0096621B" w:rsidRPr="00DC1A6F" w:rsidRDefault="0096621B" w:rsidP="0096621B">
      <w:pPr>
        <w:tabs>
          <w:tab w:val="left" w:pos="-720"/>
        </w:tabs>
        <w:suppressAutoHyphens/>
        <w:rPr>
          <w:rFonts w:ascii="Times New Roman" w:hAnsi="Times New Roman" w:cs="Times New Roman"/>
          <w:sz w:val="26"/>
          <w:szCs w:val="26"/>
        </w:rPr>
      </w:pPr>
      <w:r w:rsidRPr="00DC1A6F">
        <w:rPr>
          <w:rFonts w:ascii="Times New Roman" w:hAnsi="Times New Roman" w:cs="Times New Roman"/>
          <w:sz w:val="26"/>
          <w:szCs w:val="26"/>
        </w:rPr>
        <w:tab/>
        <w:t>John F. Coleman, Jr., Vice Chairman</w:t>
      </w:r>
    </w:p>
    <w:p w:rsidR="0096621B" w:rsidRPr="00DC1A6F" w:rsidRDefault="0096621B" w:rsidP="0096621B">
      <w:pPr>
        <w:tabs>
          <w:tab w:val="left" w:pos="-720"/>
        </w:tabs>
        <w:suppressAutoHyphens/>
        <w:rPr>
          <w:rFonts w:ascii="Times New Roman" w:hAnsi="Times New Roman" w:cs="Times New Roman"/>
          <w:sz w:val="26"/>
          <w:szCs w:val="26"/>
        </w:rPr>
      </w:pPr>
      <w:r w:rsidRPr="00DC1A6F">
        <w:rPr>
          <w:rFonts w:ascii="Times New Roman" w:hAnsi="Times New Roman" w:cs="Times New Roman"/>
          <w:sz w:val="26"/>
          <w:szCs w:val="26"/>
        </w:rPr>
        <w:tab/>
        <w:t>Wayne E. Gardner</w:t>
      </w:r>
    </w:p>
    <w:p w:rsidR="0096621B" w:rsidRPr="00DC1A6F" w:rsidRDefault="0096621B" w:rsidP="0096621B">
      <w:pPr>
        <w:tabs>
          <w:tab w:val="left" w:pos="-720"/>
        </w:tabs>
        <w:suppressAutoHyphens/>
        <w:rPr>
          <w:rFonts w:ascii="Times New Roman" w:hAnsi="Times New Roman" w:cs="Times New Roman"/>
          <w:sz w:val="26"/>
          <w:szCs w:val="26"/>
        </w:rPr>
      </w:pPr>
      <w:r w:rsidRPr="00DC1A6F">
        <w:rPr>
          <w:rFonts w:ascii="Times New Roman" w:hAnsi="Times New Roman" w:cs="Times New Roman"/>
          <w:sz w:val="26"/>
          <w:szCs w:val="26"/>
        </w:rPr>
        <w:tab/>
        <w:t>James H. Cawley</w:t>
      </w:r>
    </w:p>
    <w:p w:rsidR="0096621B" w:rsidRPr="00DC1A6F" w:rsidRDefault="0096621B" w:rsidP="0096621B">
      <w:pPr>
        <w:tabs>
          <w:tab w:val="left" w:pos="-720"/>
        </w:tabs>
        <w:suppressAutoHyphens/>
        <w:rPr>
          <w:rFonts w:ascii="Times New Roman" w:hAnsi="Times New Roman" w:cs="Times New Roman"/>
          <w:sz w:val="26"/>
          <w:szCs w:val="26"/>
        </w:rPr>
      </w:pPr>
      <w:r w:rsidRPr="00DC1A6F">
        <w:rPr>
          <w:rFonts w:ascii="Times New Roman" w:hAnsi="Times New Roman" w:cs="Times New Roman"/>
          <w:sz w:val="26"/>
          <w:szCs w:val="26"/>
        </w:rPr>
        <w:tab/>
        <w:t>Pamela A. Witmer</w:t>
      </w:r>
    </w:p>
    <w:p w:rsidR="0096621B" w:rsidRPr="00DC1A6F" w:rsidRDefault="0096621B" w:rsidP="0096621B">
      <w:pPr>
        <w:tabs>
          <w:tab w:val="left" w:pos="-720"/>
        </w:tabs>
        <w:suppressAutoHyphens/>
        <w:rPr>
          <w:rFonts w:ascii="Times New Roman" w:hAnsi="Times New Roman" w:cs="Times New Roman"/>
          <w:sz w:val="26"/>
          <w:szCs w:val="26"/>
        </w:rPr>
      </w:pPr>
    </w:p>
    <w:p w:rsidR="0096621B" w:rsidRPr="00DC1A6F" w:rsidRDefault="0096621B" w:rsidP="0096621B">
      <w:pPr>
        <w:tabs>
          <w:tab w:val="left" w:pos="-720"/>
        </w:tabs>
        <w:suppressAutoHyphens/>
        <w:rPr>
          <w:rFonts w:ascii="Times New Roman" w:hAnsi="Times New Roman" w:cs="Times New Roman"/>
          <w:sz w:val="26"/>
          <w:szCs w:val="26"/>
        </w:rPr>
      </w:pPr>
    </w:p>
    <w:p w:rsidR="0096621B" w:rsidRPr="00DC1A6F" w:rsidRDefault="0096621B" w:rsidP="0096621B">
      <w:pPr>
        <w:tabs>
          <w:tab w:val="left" w:pos="-720"/>
        </w:tabs>
        <w:suppressAutoHyphens/>
        <w:rPr>
          <w:rFonts w:ascii="Times New Roman" w:hAnsi="Times New Roman" w:cs="Times New Roman"/>
          <w:sz w:val="26"/>
          <w:szCs w:val="26"/>
        </w:rPr>
      </w:pPr>
    </w:p>
    <w:p w:rsidR="0096621B" w:rsidRPr="00DC1A6F" w:rsidRDefault="0096621B" w:rsidP="0096621B">
      <w:pPr>
        <w:tabs>
          <w:tab w:val="left" w:pos="-720"/>
        </w:tabs>
        <w:suppressAutoHyphens/>
        <w:rPr>
          <w:rFonts w:ascii="Times New Roman" w:hAnsi="Times New Roman" w:cs="Times New Roman"/>
          <w:sz w:val="26"/>
          <w:szCs w:val="26"/>
        </w:rPr>
      </w:pPr>
      <w:r w:rsidRPr="00DC1A6F">
        <w:rPr>
          <w:rFonts w:ascii="Times New Roman" w:hAnsi="Times New Roman" w:cs="Times New Roman"/>
          <w:sz w:val="26"/>
          <w:szCs w:val="26"/>
        </w:rPr>
        <w:t xml:space="preserve">Delores </w:t>
      </w:r>
      <w:proofErr w:type="spellStart"/>
      <w:r w:rsidRPr="00DC1A6F">
        <w:rPr>
          <w:rFonts w:ascii="Times New Roman" w:hAnsi="Times New Roman" w:cs="Times New Roman"/>
          <w:sz w:val="26"/>
          <w:szCs w:val="26"/>
        </w:rPr>
        <w:t>Asencio</w:t>
      </w:r>
      <w:proofErr w:type="spellEnd"/>
      <w:r w:rsidRPr="00DC1A6F">
        <w:rPr>
          <w:rFonts w:ascii="Times New Roman" w:hAnsi="Times New Roman" w:cs="Times New Roman"/>
          <w:sz w:val="26"/>
          <w:szCs w:val="26"/>
        </w:rPr>
        <w:tab/>
      </w:r>
      <w:r w:rsidRPr="00DC1A6F">
        <w:rPr>
          <w:rFonts w:ascii="Times New Roman" w:hAnsi="Times New Roman" w:cs="Times New Roman"/>
          <w:sz w:val="26"/>
          <w:szCs w:val="26"/>
        </w:rPr>
        <w:tab/>
      </w:r>
      <w:r w:rsidRPr="00DC1A6F">
        <w:rPr>
          <w:rFonts w:ascii="Times New Roman" w:hAnsi="Times New Roman" w:cs="Times New Roman"/>
          <w:sz w:val="26"/>
          <w:szCs w:val="26"/>
        </w:rPr>
        <w:tab/>
      </w:r>
      <w:r w:rsidRPr="00DC1A6F">
        <w:rPr>
          <w:rFonts w:ascii="Times New Roman" w:hAnsi="Times New Roman" w:cs="Times New Roman"/>
          <w:sz w:val="26"/>
          <w:szCs w:val="26"/>
        </w:rPr>
        <w:tab/>
      </w:r>
      <w:r w:rsidRPr="00DC1A6F">
        <w:rPr>
          <w:rFonts w:ascii="Times New Roman" w:hAnsi="Times New Roman" w:cs="Times New Roman"/>
          <w:sz w:val="26"/>
          <w:szCs w:val="26"/>
        </w:rPr>
        <w:tab/>
      </w:r>
      <w:r w:rsidRPr="00DC1A6F">
        <w:rPr>
          <w:rFonts w:ascii="Times New Roman" w:hAnsi="Times New Roman" w:cs="Times New Roman"/>
          <w:sz w:val="26"/>
          <w:szCs w:val="26"/>
        </w:rPr>
        <w:tab/>
      </w:r>
      <w:r w:rsidRPr="00DC1A6F">
        <w:rPr>
          <w:rFonts w:ascii="Times New Roman" w:hAnsi="Times New Roman" w:cs="Times New Roman"/>
          <w:sz w:val="26"/>
          <w:szCs w:val="26"/>
        </w:rPr>
        <w:tab/>
      </w:r>
      <w:r w:rsidRPr="00DC1A6F">
        <w:rPr>
          <w:rFonts w:ascii="Times New Roman" w:hAnsi="Times New Roman" w:cs="Times New Roman"/>
          <w:sz w:val="26"/>
          <w:szCs w:val="26"/>
        </w:rPr>
        <w:tab/>
        <w:t xml:space="preserve">     C-2011-2251832</w:t>
      </w:r>
    </w:p>
    <w:p w:rsidR="0096621B" w:rsidRPr="00DC1A6F" w:rsidRDefault="0096621B" w:rsidP="0096621B">
      <w:pPr>
        <w:tabs>
          <w:tab w:val="left" w:pos="-720"/>
        </w:tabs>
        <w:suppressAutoHyphens/>
        <w:rPr>
          <w:rFonts w:ascii="Times New Roman" w:hAnsi="Times New Roman" w:cs="Times New Roman"/>
          <w:sz w:val="26"/>
          <w:szCs w:val="26"/>
        </w:rPr>
      </w:pPr>
    </w:p>
    <w:p w:rsidR="0096621B" w:rsidRPr="00DC1A6F" w:rsidRDefault="0096621B" w:rsidP="0096621B">
      <w:pPr>
        <w:tabs>
          <w:tab w:val="left" w:pos="-720"/>
        </w:tabs>
        <w:suppressAutoHyphens/>
        <w:rPr>
          <w:rFonts w:ascii="Times New Roman" w:hAnsi="Times New Roman" w:cs="Times New Roman"/>
          <w:sz w:val="26"/>
          <w:szCs w:val="26"/>
        </w:rPr>
      </w:pPr>
      <w:r w:rsidRPr="00DC1A6F">
        <w:rPr>
          <w:rFonts w:ascii="Times New Roman" w:hAnsi="Times New Roman" w:cs="Times New Roman"/>
          <w:sz w:val="26"/>
          <w:szCs w:val="26"/>
        </w:rPr>
        <w:tab/>
      </w:r>
      <w:proofErr w:type="gramStart"/>
      <w:r w:rsidRPr="00DC1A6F">
        <w:rPr>
          <w:rFonts w:ascii="Times New Roman" w:hAnsi="Times New Roman" w:cs="Times New Roman"/>
          <w:sz w:val="26"/>
          <w:szCs w:val="26"/>
        </w:rPr>
        <w:t>v</w:t>
      </w:r>
      <w:proofErr w:type="gramEnd"/>
      <w:r w:rsidRPr="00DC1A6F">
        <w:rPr>
          <w:rFonts w:ascii="Times New Roman" w:hAnsi="Times New Roman" w:cs="Times New Roman"/>
          <w:sz w:val="26"/>
          <w:szCs w:val="26"/>
        </w:rPr>
        <w:t>.</w:t>
      </w:r>
    </w:p>
    <w:p w:rsidR="0096621B" w:rsidRPr="00DC1A6F" w:rsidRDefault="0096621B" w:rsidP="0096621B">
      <w:pPr>
        <w:tabs>
          <w:tab w:val="left" w:pos="-720"/>
        </w:tabs>
        <w:suppressAutoHyphens/>
        <w:rPr>
          <w:rFonts w:ascii="Times New Roman" w:hAnsi="Times New Roman" w:cs="Times New Roman"/>
          <w:sz w:val="26"/>
          <w:szCs w:val="26"/>
        </w:rPr>
      </w:pPr>
    </w:p>
    <w:p w:rsidR="0096621B" w:rsidRPr="00DC1A6F" w:rsidRDefault="0096621B" w:rsidP="0096621B">
      <w:pPr>
        <w:tabs>
          <w:tab w:val="left" w:pos="-720"/>
        </w:tabs>
        <w:suppressAutoHyphens/>
        <w:rPr>
          <w:rFonts w:ascii="Times New Roman" w:hAnsi="Times New Roman" w:cs="Times New Roman"/>
          <w:sz w:val="26"/>
          <w:szCs w:val="26"/>
        </w:rPr>
      </w:pPr>
      <w:r w:rsidRPr="00DC1A6F">
        <w:rPr>
          <w:rFonts w:ascii="Times New Roman" w:hAnsi="Times New Roman" w:cs="Times New Roman"/>
          <w:sz w:val="26"/>
          <w:szCs w:val="26"/>
        </w:rPr>
        <w:t>Philadelphia Gas Works</w:t>
      </w:r>
    </w:p>
    <w:p w:rsidR="0096621B" w:rsidRPr="00DC1A6F" w:rsidRDefault="0096621B" w:rsidP="0096621B">
      <w:pPr>
        <w:tabs>
          <w:tab w:val="left" w:pos="-720"/>
        </w:tabs>
        <w:suppressAutoHyphens/>
        <w:rPr>
          <w:rFonts w:ascii="Times New Roman" w:hAnsi="Times New Roman" w:cs="Times New Roman"/>
          <w:sz w:val="26"/>
          <w:szCs w:val="26"/>
        </w:rPr>
      </w:pPr>
    </w:p>
    <w:p w:rsidR="0096621B" w:rsidRPr="00DC1A6F" w:rsidRDefault="0096621B" w:rsidP="0096621B">
      <w:pPr>
        <w:tabs>
          <w:tab w:val="center" w:pos="4680"/>
        </w:tabs>
        <w:suppressAutoHyphens/>
        <w:rPr>
          <w:rFonts w:ascii="Times New Roman" w:hAnsi="Times New Roman" w:cs="Times New Roman"/>
          <w:b/>
          <w:sz w:val="26"/>
          <w:szCs w:val="26"/>
        </w:rPr>
      </w:pPr>
    </w:p>
    <w:p w:rsidR="0096621B" w:rsidRPr="00DC1A6F" w:rsidRDefault="0096621B" w:rsidP="0096621B">
      <w:pPr>
        <w:tabs>
          <w:tab w:val="center" w:pos="4680"/>
        </w:tabs>
        <w:suppressAutoHyphens/>
        <w:jc w:val="center"/>
        <w:rPr>
          <w:rFonts w:ascii="Times New Roman" w:hAnsi="Times New Roman" w:cs="Times New Roman"/>
          <w:b/>
          <w:sz w:val="26"/>
          <w:szCs w:val="26"/>
        </w:rPr>
      </w:pPr>
      <w:r w:rsidRPr="00DC1A6F">
        <w:rPr>
          <w:rFonts w:ascii="Times New Roman" w:hAnsi="Times New Roman" w:cs="Times New Roman"/>
          <w:b/>
          <w:sz w:val="26"/>
          <w:szCs w:val="26"/>
        </w:rPr>
        <w:t>OPINION AND ORDER</w:t>
      </w:r>
    </w:p>
    <w:p w:rsidR="0096621B" w:rsidRPr="00DC1A6F" w:rsidRDefault="0096621B" w:rsidP="0096621B">
      <w:pPr>
        <w:tabs>
          <w:tab w:val="left" w:pos="-720"/>
        </w:tabs>
        <w:suppressAutoHyphens/>
        <w:spacing w:line="360" w:lineRule="auto"/>
        <w:rPr>
          <w:rFonts w:ascii="Times New Roman" w:hAnsi="Times New Roman" w:cs="Times New Roman"/>
          <w:b/>
          <w:sz w:val="26"/>
          <w:szCs w:val="26"/>
        </w:rPr>
      </w:pPr>
    </w:p>
    <w:p w:rsidR="0096621B" w:rsidRPr="00DC1A6F" w:rsidRDefault="0096621B" w:rsidP="0096621B">
      <w:pPr>
        <w:tabs>
          <w:tab w:val="left" w:pos="-720"/>
        </w:tabs>
        <w:suppressAutoHyphens/>
        <w:spacing w:after="120"/>
        <w:rPr>
          <w:rFonts w:ascii="Times New Roman" w:hAnsi="Times New Roman" w:cs="Times New Roman"/>
          <w:sz w:val="26"/>
          <w:szCs w:val="26"/>
        </w:rPr>
      </w:pPr>
      <w:r w:rsidRPr="00DC1A6F">
        <w:rPr>
          <w:rFonts w:ascii="Times New Roman" w:hAnsi="Times New Roman" w:cs="Times New Roman"/>
          <w:b/>
          <w:sz w:val="26"/>
          <w:szCs w:val="26"/>
        </w:rPr>
        <w:t>BY THE COMMISSION:</w:t>
      </w:r>
    </w:p>
    <w:p w:rsidR="0096621B" w:rsidRPr="00DC1A6F" w:rsidRDefault="0096621B" w:rsidP="0096621B">
      <w:pPr>
        <w:tabs>
          <w:tab w:val="left" w:pos="-720"/>
        </w:tabs>
        <w:suppressAutoHyphens/>
        <w:spacing w:line="360" w:lineRule="auto"/>
        <w:rPr>
          <w:rFonts w:ascii="Times New Roman" w:hAnsi="Times New Roman" w:cs="Times New Roman"/>
          <w:sz w:val="26"/>
          <w:szCs w:val="26"/>
        </w:rPr>
      </w:pPr>
    </w:p>
    <w:p w:rsidR="00EE5A67" w:rsidRPr="00DC1A6F" w:rsidRDefault="0096621B" w:rsidP="00F953F3">
      <w:pPr>
        <w:tabs>
          <w:tab w:val="left" w:pos="-720"/>
        </w:tabs>
        <w:suppressAutoHyphens/>
        <w:spacing w:line="360" w:lineRule="auto"/>
        <w:ind w:firstLine="1440"/>
        <w:rPr>
          <w:rFonts w:ascii="Times New Roman" w:hAnsi="Times New Roman" w:cs="Times New Roman"/>
          <w:sz w:val="26"/>
          <w:szCs w:val="26"/>
        </w:rPr>
      </w:pPr>
      <w:r w:rsidRPr="00DC1A6F">
        <w:rPr>
          <w:rFonts w:ascii="Times New Roman" w:hAnsi="Times New Roman" w:cs="Times New Roman"/>
          <w:sz w:val="26"/>
          <w:szCs w:val="26"/>
        </w:rPr>
        <w:t>Before the Pennsylvania Public Utility Commission (Commission) for consideration and dispositio</w:t>
      </w:r>
      <w:r w:rsidR="00EE5A67">
        <w:rPr>
          <w:rFonts w:ascii="Times New Roman" w:hAnsi="Times New Roman" w:cs="Times New Roman"/>
          <w:sz w:val="26"/>
          <w:szCs w:val="26"/>
        </w:rPr>
        <w:t xml:space="preserve">n are:  (1) the </w:t>
      </w:r>
      <w:r w:rsidR="00DD3EA8">
        <w:rPr>
          <w:rFonts w:ascii="Times New Roman" w:hAnsi="Times New Roman" w:cs="Times New Roman"/>
          <w:sz w:val="26"/>
          <w:szCs w:val="26"/>
        </w:rPr>
        <w:t>Initial Decision (</w:t>
      </w:r>
      <w:r w:rsidRPr="00DC1A6F">
        <w:rPr>
          <w:rFonts w:ascii="Times New Roman" w:hAnsi="Times New Roman" w:cs="Times New Roman"/>
          <w:sz w:val="26"/>
          <w:szCs w:val="26"/>
        </w:rPr>
        <w:t xml:space="preserve">I.D.) of Administrative Law Judge (ALJ) Joel H. </w:t>
      </w:r>
      <w:proofErr w:type="spellStart"/>
      <w:r w:rsidRPr="00DC1A6F">
        <w:rPr>
          <w:rFonts w:ascii="Times New Roman" w:hAnsi="Times New Roman" w:cs="Times New Roman"/>
          <w:sz w:val="26"/>
          <w:szCs w:val="26"/>
        </w:rPr>
        <w:t>Cheskis</w:t>
      </w:r>
      <w:proofErr w:type="spellEnd"/>
      <w:r w:rsidRPr="00DC1A6F">
        <w:rPr>
          <w:rFonts w:ascii="Times New Roman" w:hAnsi="Times New Roman" w:cs="Times New Roman"/>
          <w:sz w:val="26"/>
          <w:szCs w:val="26"/>
        </w:rPr>
        <w:t xml:space="preserve"> issued on July 6, 2012; and (2) the Exceptions filed by Philadelphia Gas Works (PGW or Respondent) on August 13, 2012.</w:t>
      </w:r>
      <w:r w:rsidR="00DC1A6F">
        <w:rPr>
          <w:rStyle w:val="FootnoteReference"/>
          <w:rFonts w:ascii="Times New Roman" w:hAnsi="Times New Roman" w:cs="Times New Roman"/>
          <w:sz w:val="26"/>
          <w:szCs w:val="26"/>
        </w:rPr>
        <w:footnoteReference w:id="1"/>
      </w:r>
      <w:r w:rsidRPr="00DC1A6F">
        <w:rPr>
          <w:rFonts w:ascii="Times New Roman" w:hAnsi="Times New Roman" w:cs="Times New Roman"/>
          <w:sz w:val="26"/>
          <w:szCs w:val="26"/>
        </w:rPr>
        <w:t xml:space="preserve">  No Reply Exceptions were filed.  For the reasons stated below, we shall grant PGW’s Exceptions, reverse the ALJ’s Initial Decision, and dismiss the Complaint, consistent with this Opinion and Order.</w:t>
      </w:r>
    </w:p>
    <w:p w:rsidR="0096621B" w:rsidRPr="00DC1A6F" w:rsidRDefault="0096621B" w:rsidP="0096621B">
      <w:pPr>
        <w:jc w:val="center"/>
        <w:rPr>
          <w:rFonts w:ascii="Times New Roman" w:hAnsi="Times New Roman" w:cs="Times New Roman"/>
          <w:sz w:val="26"/>
          <w:szCs w:val="26"/>
        </w:rPr>
      </w:pPr>
      <w:r w:rsidRPr="00DC1A6F">
        <w:rPr>
          <w:rFonts w:ascii="Times New Roman" w:hAnsi="Times New Roman" w:cs="Times New Roman"/>
          <w:b/>
          <w:sz w:val="26"/>
          <w:szCs w:val="26"/>
        </w:rPr>
        <w:t>History of the Proceeding</w:t>
      </w:r>
    </w:p>
    <w:p w:rsidR="0096621B" w:rsidRPr="00DC1A6F" w:rsidRDefault="002673D4" w:rsidP="0096621B">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De</w:t>
      </w:r>
      <w:r w:rsidR="0096621B" w:rsidRPr="00DC1A6F">
        <w:rPr>
          <w:rFonts w:ascii="Times New Roman" w:hAnsi="Times New Roman" w:cs="Times New Roman"/>
          <w:sz w:val="26"/>
          <w:szCs w:val="26"/>
        </w:rPr>
        <w:t xml:space="preserve">lores </w:t>
      </w:r>
      <w:proofErr w:type="spellStart"/>
      <w:r w:rsidR="0096621B" w:rsidRPr="00DC1A6F">
        <w:rPr>
          <w:rFonts w:ascii="Times New Roman" w:hAnsi="Times New Roman" w:cs="Times New Roman"/>
          <w:sz w:val="26"/>
          <w:szCs w:val="26"/>
        </w:rPr>
        <w:t>Asencio</w:t>
      </w:r>
      <w:proofErr w:type="spellEnd"/>
      <w:r w:rsidR="0096621B" w:rsidRPr="00DC1A6F">
        <w:rPr>
          <w:rFonts w:ascii="Times New Roman" w:hAnsi="Times New Roman" w:cs="Times New Roman"/>
          <w:sz w:val="26"/>
          <w:szCs w:val="26"/>
        </w:rPr>
        <w:t xml:space="preserve"> (Complainant) filed a formal Complaint with the Commission on June 28, 201</w:t>
      </w:r>
      <w:r w:rsidR="00752F82">
        <w:rPr>
          <w:rFonts w:ascii="Times New Roman" w:hAnsi="Times New Roman" w:cs="Times New Roman"/>
          <w:sz w:val="26"/>
          <w:szCs w:val="26"/>
        </w:rPr>
        <w:t>1</w:t>
      </w:r>
      <w:r w:rsidR="0096621B" w:rsidRPr="00DC1A6F">
        <w:rPr>
          <w:rFonts w:ascii="Times New Roman" w:hAnsi="Times New Roman" w:cs="Times New Roman"/>
          <w:sz w:val="26"/>
          <w:szCs w:val="26"/>
        </w:rPr>
        <w:t xml:space="preserve">, contesting a </w:t>
      </w:r>
      <w:r w:rsidR="009A2A19" w:rsidRPr="00DC1A6F">
        <w:rPr>
          <w:rFonts w:ascii="Times New Roman" w:hAnsi="Times New Roman" w:cs="Times New Roman"/>
          <w:sz w:val="26"/>
          <w:szCs w:val="26"/>
        </w:rPr>
        <w:t xml:space="preserve">municipal lien </w:t>
      </w:r>
      <w:r w:rsidR="00E7437D">
        <w:rPr>
          <w:rFonts w:ascii="Times New Roman" w:hAnsi="Times New Roman" w:cs="Times New Roman"/>
          <w:sz w:val="26"/>
          <w:szCs w:val="26"/>
        </w:rPr>
        <w:t xml:space="preserve">for unpaid gas service </w:t>
      </w:r>
      <w:r>
        <w:rPr>
          <w:rFonts w:ascii="Times New Roman" w:hAnsi="Times New Roman" w:cs="Times New Roman"/>
          <w:sz w:val="26"/>
          <w:szCs w:val="26"/>
        </w:rPr>
        <w:t xml:space="preserve">that had been filed </w:t>
      </w:r>
      <w:r w:rsidR="009A2A19" w:rsidRPr="00DC1A6F">
        <w:rPr>
          <w:rFonts w:ascii="Times New Roman" w:hAnsi="Times New Roman" w:cs="Times New Roman"/>
          <w:sz w:val="26"/>
          <w:szCs w:val="26"/>
        </w:rPr>
        <w:t xml:space="preserve">against a property she owns </w:t>
      </w:r>
      <w:r w:rsidR="00E7437D">
        <w:rPr>
          <w:rFonts w:ascii="Times New Roman" w:hAnsi="Times New Roman" w:cs="Times New Roman"/>
          <w:sz w:val="26"/>
          <w:szCs w:val="26"/>
        </w:rPr>
        <w:t>at 4812 Greene Street in Philadelphia</w:t>
      </w:r>
      <w:r w:rsidR="00752F82">
        <w:rPr>
          <w:rFonts w:ascii="Times New Roman" w:hAnsi="Times New Roman" w:cs="Times New Roman"/>
          <w:sz w:val="26"/>
          <w:szCs w:val="26"/>
        </w:rPr>
        <w:t xml:space="preserve"> (Service Address)</w:t>
      </w:r>
      <w:r w:rsidR="009A2A19" w:rsidRPr="00DC1A6F">
        <w:rPr>
          <w:rFonts w:ascii="Times New Roman" w:hAnsi="Times New Roman" w:cs="Times New Roman"/>
          <w:sz w:val="26"/>
          <w:szCs w:val="26"/>
        </w:rPr>
        <w:t xml:space="preserve">.  </w:t>
      </w:r>
      <w:r w:rsidR="0096621B" w:rsidRPr="00DC1A6F">
        <w:rPr>
          <w:rFonts w:ascii="Times New Roman" w:hAnsi="Times New Roman" w:cs="Times New Roman"/>
          <w:sz w:val="26"/>
          <w:szCs w:val="26"/>
        </w:rPr>
        <w:t xml:space="preserve">The Complainant alleged that </w:t>
      </w:r>
      <w:r w:rsidR="009A2A19" w:rsidRPr="00DC1A6F">
        <w:rPr>
          <w:rFonts w:ascii="Times New Roman" w:hAnsi="Times New Roman" w:cs="Times New Roman"/>
          <w:sz w:val="26"/>
          <w:szCs w:val="26"/>
        </w:rPr>
        <w:t>the house has not been lived in since 199</w:t>
      </w:r>
      <w:r w:rsidR="00F84FD3">
        <w:rPr>
          <w:rFonts w:ascii="Times New Roman" w:hAnsi="Times New Roman" w:cs="Times New Roman"/>
          <w:sz w:val="26"/>
          <w:szCs w:val="26"/>
        </w:rPr>
        <w:t>5; that the gas bill was in the name of her father,</w:t>
      </w:r>
      <w:r w:rsidR="00DC1A6F">
        <w:rPr>
          <w:rFonts w:ascii="Times New Roman" w:hAnsi="Times New Roman" w:cs="Times New Roman"/>
          <w:sz w:val="26"/>
          <w:szCs w:val="26"/>
        </w:rPr>
        <w:t xml:space="preserve"> who </w:t>
      </w:r>
      <w:r w:rsidR="009A2A19" w:rsidRPr="00DC1A6F">
        <w:rPr>
          <w:rFonts w:ascii="Times New Roman" w:hAnsi="Times New Roman" w:cs="Times New Roman"/>
          <w:sz w:val="26"/>
          <w:szCs w:val="26"/>
        </w:rPr>
        <w:t xml:space="preserve">passed </w:t>
      </w:r>
      <w:r w:rsidR="00CC766B">
        <w:rPr>
          <w:rFonts w:ascii="Times New Roman" w:hAnsi="Times New Roman" w:cs="Times New Roman"/>
          <w:sz w:val="26"/>
          <w:szCs w:val="26"/>
        </w:rPr>
        <w:t xml:space="preserve">away in 1969; </w:t>
      </w:r>
      <w:r w:rsidR="000C7189">
        <w:rPr>
          <w:rFonts w:ascii="Times New Roman" w:hAnsi="Times New Roman" w:cs="Times New Roman"/>
          <w:sz w:val="26"/>
          <w:szCs w:val="26"/>
        </w:rPr>
        <w:t xml:space="preserve">that the Complainant believed that someone fraudulently used her father’s name to open the account; </w:t>
      </w:r>
      <w:r w:rsidR="00CC766B">
        <w:rPr>
          <w:rFonts w:ascii="Times New Roman" w:hAnsi="Times New Roman" w:cs="Times New Roman"/>
          <w:sz w:val="26"/>
          <w:szCs w:val="26"/>
        </w:rPr>
        <w:t>and that there have</w:t>
      </w:r>
      <w:r w:rsidR="009A2A19" w:rsidRPr="00DC1A6F">
        <w:rPr>
          <w:rFonts w:ascii="Times New Roman" w:hAnsi="Times New Roman" w:cs="Times New Roman"/>
          <w:sz w:val="26"/>
          <w:szCs w:val="26"/>
        </w:rPr>
        <w:t xml:space="preserve"> been problems with squatt</w:t>
      </w:r>
      <w:r w:rsidR="00CC766B">
        <w:rPr>
          <w:rFonts w:ascii="Times New Roman" w:hAnsi="Times New Roman" w:cs="Times New Roman"/>
          <w:sz w:val="26"/>
          <w:szCs w:val="26"/>
        </w:rPr>
        <w:t>ers at the residence</w:t>
      </w:r>
      <w:r w:rsidR="009A2A19" w:rsidRPr="00DC1A6F">
        <w:rPr>
          <w:rFonts w:ascii="Times New Roman" w:hAnsi="Times New Roman" w:cs="Times New Roman"/>
          <w:sz w:val="26"/>
          <w:szCs w:val="26"/>
        </w:rPr>
        <w:t xml:space="preserve">.  </w:t>
      </w:r>
      <w:proofErr w:type="gramStart"/>
      <w:r w:rsidR="009A2A19" w:rsidRPr="00DC1A6F">
        <w:rPr>
          <w:rFonts w:ascii="Times New Roman" w:hAnsi="Times New Roman" w:cs="Times New Roman"/>
          <w:sz w:val="26"/>
          <w:szCs w:val="26"/>
        </w:rPr>
        <w:t>Complaint at 7.</w:t>
      </w:r>
      <w:proofErr w:type="gramEnd"/>
      <w:r w:rsidR="009A2A19" w:rsidRPr="00DC1A6F">
        <w:rPr>
          <w:rFonts w:ascii="Times New Roman" w:hAnsi="Times New Roman" w:cs="Times New Roman"/>
          <w:sz w:val="26"/>
          <w:szCs w:val="26"/>
        </w:rPr>
        <w:t xml:space="preserve">  The Complainant </w:t>
      </w:r>
      <w:r w:rsidR="0096621B" w:rsidRPr="00DC1A6F">
        <w:rPr>
          <w:rFonts w:ascii="Times New Roman" w:hAnsi="Times New Roman" w:cs="Times New Roman"/>
          <w:sz w:val="26"/>
          <w:szCs w:val="26"/>
        </w:rPr>
        <w:t xml:space="preserve">requested that the Commission </w:t>
      </w:r>
      <w:r w:rsidR="009A2A19" w:rsidRPr="00DC1A6F">
        <w:rPr>
          <w:rFonts w:ascii="Times New Roman" w:hAnsi="Times New Roman" w:cs="Times New Roman"/>
          <w:sz w:val="26"/>
          <w:szCs w:val="26"/>
        </w:rPr>
        <w:t>determine that she is not re</w:t>
      </w:r>
      <w:r w:rsidR="000C7189">
        <w:rPr>
          <w:rFonts w:ascii="Times New Roman" w:hAnsi="Times New Roman" w:cs="Times New Roman"/>
          <w:sz w:val="26"/>
          <w:szCs w:val="26"/>
        </w:rPr>
        <w:t>sponsible for the gas bill</w:t>
      </w:r>
      <w:r w:rsidR="009A2A19" w:rsidRPr="00DC1A6F">
        <w:rPr>
          <w:rFonts w:ascii="Times New Roman" w:hAnsi="Times New Roman" w:cs="Times New Roman"/>
          <w:sz w:val="26"/>
          <w:szCs w:val="26"/>
        </w:rPr>
        <w:t>.</w:t>
      </w:r>
      <w:r w:rsidR="000C7189">
        <w:rPr>
          <w:rStyle w:val="FootnoteReference"/>
          <w:rFonts w:ascii="Times New Roman" w:hAnsi="Times New Roman" w:cs="Times New Roman"/>
          <w:sz w:val="26"/>
          <w:szCs w:val="26"/>
        </w:rPr>
        <w:footnoteReference w:id="2"/>
      </w:r>
      <w:r w:rsidR="000C7189">
        <w:rPr>
          <w:rFonts w:ascii="Times New Roman" w:hAnsi="Times New Roman" w:cs="Times New Roman"/>
          <w:sz w:val="26"/>
          <w:szCs w:val="26"/>
        </w:rPr>
        <w:t xml:space="preserve">  </w:t>
      </w:r>
      <w:proofErr w:type="gramStart"/>
      <w:r w:rsidR="000C7189" w:rsidRPr="000C7189">
        <w:rPr>
          <w:rFonts w:ascii="Times New Roman" w:hAnsi="Times New Roman" w:cs="Times New Roman"/>
          <w:i/>
          <w:sz w:val="26"/>
          <w:szCs w:val="26"/>
        </w:rPr>
        <w:t>Id</w:t>
      </w:r>
      <w:r w:rsidR="000C7189">
        <w:rPr>
          <w:rFonts w:ascii="Times New Roman" w:hAnsi="Times New Roman" w:cs="Times New Roman"/>
          <w:sz w:val="26"/>
          <w:szCs w:val="26"/>
        </w:rPr>
        <w:t xml:space="preserve">. at </w:t>
      </w:r>
      <w:r w:rsidR="009A2A19" w:rsidRPr="00DC1A6F">
        <w:rPr>
          <w:rFonts w:ascii="Times New Roman" w:hAnsi="Times New Roman" w:cs="Times New Roman"/>
          <w:sz w:val="26"/>
          <w:szCs w:val="26"/>
        </w:rPr>
        <w:t>8</w:t>
      </w:r>
      <w:r w:rsidR="0096621B" w:rsidRPr="00DC1A6F">
        <w:rPr>
          <w:rFonts w:ascii="Times New Roman" w:hAnsi="Times New Roman" w:cs="Times New Roman"/>
          <w:sz w:val="26"/>
          <w:szCs w:val="26"/>
        </w:rPr>
        <w:t>.</w:t>
      </w:r>
      <w:proofErr w:type="gramEnd"/>
    </w:p>
    <w:p w:rsidR="0096621B" w:rsidRPr="00DC1A6F" w:rsidRDefault="0096621B" w:rsidP="0096621B">
      <w:pPr>
        <w:tabs>
          <w:tab w:val="left" w:pos="-1440"/>
          <w:tab w:val="left" w:pos="-720"/>
        </w:tabs>
        <w:suppressAutoHyphens/>
        <w:spacing w:line="360" w:lineRule="auto"/>
        <w:ind w:firstLine="1440"/>
        <w:rPr>
          <w:rFonts w:ascii="Times New Roman" w:hAnsi="Times New Roman" w:cs="Times New Roman"/>
          <w:sz w:val="26"/>
          <w:szCs w:val="26"/>
        </w:rPr>
      </w:pPr>
    </w:p>
    <w:p w:rsidR="00CC766B" w:rsidRDefault="0096621B" w:rsidP="00752F82">
      <w:pPr>
        <w:tabs>
          <w:tab w:val="left" w:pos="-1440"/>
          <w:tab w:val="left" w:pos="-720"/>
        </w:tabs>
        <w:suppressAutoHyphens/>
        <w:spacing w:line="360" w:lineRule="auto"/>
        <w:ind w:firstLine="1440"/>
        <w:rPr>
          <w:rFonts w:ascii="Times New Roman" w:hAnsi="Times New Roman" w:cs="Times New Roman"/>
          <w:spacing w:val="-3"/>
          <w:sz w:val="26"/>
          <w:szCs w:val="26"/>
        </w:rPr>
      </w:pPr>
      <w:r w:rsidRPr="00DC1A6F">
        <w:rPr>
          <w:rFonts w:ascii="Times New Roman" w:hAnsi="Times New Roman" w:cs="Times New Roman"/>
          <w:sz w:val="26"/>
          <w:szCs w:val="26"/>
        </w:rPr>
        <w:t xml:space="preserve">On </w:t>
      </w:r>
      <w:r w:rsidR="009A2A19" w:rsidRPr="00DC1A6F">
        <w:rPr>
          <w:rFonts w:ascii="Times New Roman" w:hAnsi="Times New Roman" w:cs="Times New Roman"/>
          <w:sz w:val="26"/>
          <w:szCs w:val="26"/>
        </w:rPr>
        <w:t>August 4</w:t>
      </w:r>
      <w:r w:rsidRPr="00DC1A6F">
        <w:rPr>
          <w:rFonts w:ascii="Times New Roman" w:hAnsi="Times New Roman" w:cs="Times New Roman"/>
          <w:sz w:val="26"/>
          <w:szCs w:val="26"/>
        </w:rPr>
        <w:t xml:space="preserve">, 2011, </w:t>
      </w:r>
      <w:r w:rsidR="009A2A19" w:rsidRPr="00DC1A6F">
        <w:rPr>
          <w:rFonts w:ascii="Times New Roman" w:hAnsi="Times New Roman" w:cs="Times New Roman"/>
          <w:sz w:val="26"/>
          <w:szCs w:val="26"/>
        </w:rPr>
        <w:t>PGW</w:t>
      </w:r>
      <w:r w:rsidRPr="00DC1A6F">
        <w:rPr>
          <w:rFonts w:ascii="Times New Roman" w:hAnsi="Times New Roman" w:cs="Times New Roman"/>
          <w:sz w:val="26"/>
          <w:szCs w:val="26"/>
        </w:rPr>
        <w:t xml:space="preserve"> filed an </w:t>
      </w:r>
      <w:r w:rsidRPr="00DC1A6F">
        <w:rPr>
          <w:rFonts w:ascii="Times New Roman" w:hAnsi="Times New Roman" w:cs="Times New Roman"/>
          <w:spacing w:val="-3"/>
          <w:sz w:val="26"/>
          <w:szCs w:val="26"/>
        </w:rPr>
        <w:t xml:space="preserve">Answer denying the material allegations of the Complaint.  </w:t>
      </w:r>
      <w:r w:rsidR="009A2A19" w:rsidRPr="00DC1A6F">
        <w:rPr>
          <w:rFonts w:ascii="Times New Roman" w:hAnsi="Times New Roman" w:cs="Times New Roman"/>
          <w:spacing w:val="-3"/>
          <w:sz w:val="26"/>
          <w:szCs w:val="26"/>
        </w:rPr>
        <w:t>By way of further answer, PGW averred</w:t>
      </w:r>
      <w:r w:rsidR="00F84FD3">
        <w:rPr>
          <w:rFonts w:ascii="Times New Roman" w:hAnsi="Times New Roman" w:cs="Times New Roman"/>
          <w:spacing w:val="-3"/>
          <w:sz w:val="26"/>
          <w:szCs w:val="26"/>
        </w:rPr>
        <w:t xml:space="preserve">, </w:t>
      </w:r>
      <w:r w:rsidR="00F84FD3" w:rsidRPr="00F84FD3">
        <w:rPr>
          <w:rFonts w:ascii="Times New Roman" w:hAnsi="Times New Roman" w:cs="Times New Roman"/>
          <w:i/>
          <w:spacing w:val="-3"/>
          <w:sz w:val="26"/>
          <w:szCs w:val="26"/>
        </w:rPr>
        <w:t>inter alia</w:t>
      </w:r>
      <w:r w:rsidR="00F84FD3">
        <w:rPr>
          <w:rFonts w:ascii="Times New Roman" w:hAnsi="Times New Roman" w:cs="Times New Roman"/>
          <w:spacing w:val="-3"/>
          <w:sz w:val="26"/>
          <w:szCs w:val="26"/>
        </w:rPr>
        <w:t xml:space="preserve">, </w:t>
      </w:r>
      <w:r w:rsidR="0095206B" w:rsidRPr="00DC1A6F">
        <w:rPr>
          <w:rFonts w:ascii="Times New Roman" w:hAnsi="Times New Roman" w:cs="Times New Roman"/>
          <w:spacing w:val="-3"/>
          <w:sz w:val="26"/>
          <w:szCs w:val="26"/>
        </w:rPr>
        <w:t xml:space="preserve">that gas service was established in the name of </w:t>
      </w:r>
      <w:proofErr w:type="spellStart"/>
      <w:r w:rsidR="0095206B" w:rsidRPr="00DC1A6F">
        <w:rPr>
          <w:rFonts w:ascii="Times New Roman" w:hAnsi="Times New Roman" w:cs="Times New Roman"/>
          <w:spacing w:val="-3"/>
          <w:sz w:val="26"/>
          <w:szCs w:val="26"/>
        </w:rPr>
        <w:t>Ovideo</w:t>
      </w:r>
      <w:proofErr w:type="spellEnd"/>
      <w:r w:rsidR="0095206B" w:rsidRPr="00DC1A6F">
        <w:rPr>
          <w:rFonts w:ascii="Times New Roman" w:hAnsi="Times New Roman" w:cs="Times New Roman"/>
          <w:spacing w:val="-3"/>
          <w:sz w:val="26"/>
          <w:szCs w:val="26"/>
        </w:rPr>
        <w:t xml:space="preserve"> </w:t>
      </w:r>
      <w:r w:rsidR="0095206B">
        <w:rPr>
          <w:rFonts w:ascii="Times New Roman" w:hAnsi="Times New Roman" w:cs="Times New Roman"/>
          <w:spacing w:val="-3"/>
          <w:sz w:val="26"/>
          <w:szCs w:val="26"/>
        </w:rPr>
        <w:t xml:space="preserve">F. </w:t>
      </w:r>
      <w:proofErr w:type="spellStart"/>
      <w:r w:rsidR="0095206B" w:rsidRPr="00DC1A6F">
        <w:rPr>
          <w:rFonts w:ascii="Times New Roman" w:hAnsi="Times New Roman" w:cs="Times New Roman"/>
          <w:spacing w:val="-3"/>
          <w:sz w:val="26"/>
          <w:szCs w:val="26"/>
        </w:rPr>
        <w:t>Asencio</w:t>
      </w:r>
      <w:proofErr w:type="spellEnd"/>
      <w:r w:rsidR="0095206B" w:rsidRPr="00DC1A6F">
        <w:rPr>
          <w:rFonts w:ascii="Times New Roman" w:hAnsi="Times New Roman" w:cs="Times New Roman"/>
          <w:spacing w:val="-3"/>
          <w:sz w:val="26"/>
          <w:szCs w:val="26"/>
        </w:rPr>
        <w:t xml:space="preserve"> on October 16, 1999; that service was terminated on August 15, 2001</w:t>
      </w:r>
      <w:r w:rsidR="00F84FD3">
        <w:rPr>
          <w:rFonts w:ascii="Times New Roman" w:hAnsi="Times New Roman" w:cs="Times New Roman"/>
          <w:spacing w:val="-3"/>
          <w:sz w:val="26"/>
          <w:szCs w:val="26"/>
        </w:rPr>
        <w:t>,</w:t>
      </w:r>
      <w:r w:rsidR="0095206B" w:rsidRPr="00DC1A6F">
        <w:rPr>
          <w:rFonts w:ascii="Times New Roman" w:hAnsi="Times New Roman" w:cs="Times New Roman"/>
          <w:spacing w:val="-3"/>
          <w:sz w:val="26"/>
          <w:szCs w:val="26"/>
        </w:rPr>
        <w:t xml:space="preserve"> for non-payment; that PGW shut off </w:t>
      </w:r>
      <w:r w:rsidR="00752F82">
        <w:rPr>
          <w:rFonts w:ascii="Times New Roman" w:hAnsi="Times New Roman" w:cs="Times New Roman"/>
          <w:spacing w:val="-3"/>
          <w:sz w:val="26"/>
          <w:szCs w:val="26"/>
        </w:rPr>
        <w:t xml:space="preserve">unauthorized </w:t>
      </w:r>
      <w:r w:rsidR="0095206B" w:rsidRPr="00DC1A6F">
        <w:rPr>
          <w:rFonts w:ascii="Times New Roman" w:hAnsi="Times New Roman" w:cs="Times New Roman"/>
          <w:spacing w:val="-3"/>
          <w:sz w:val="26"/>
          <w:szCs w:val="26"/>
        </w:rPr>
        <w:t>service on April 23, 2003 and again on April 6, 2005; that on June 8, 2005, PGW again found unautho</w:t>
      </w:r>
      <w:r w:rsidR="00F84FD3">
        <w:rPr>
          <w:rFonts w:ascii="Times New Roman" w:hAnsi="Times New Roman" w:cs="Times New Roman"/>
          <w:spacing w:val="-3"/>
          <w:sz w:val="26"/>
          <w:szCs w:val="26"/>
        </w:rPr>
        <w:t>rized use and terminated service</w:t>
      </w:r>
      <w:r w:rsidR="0095206B" w:rsidRPr="00DC1A6F">
        <w:rPr>
          <w:rFonts w:ascii="Times New Roman" w:hAnsi="Times New Roman" w:cs="Times New Roman"/>
          <w:spacing w:val="-3"/>
          <w:sz w:val="26"/>
          <w:szCs w:val="26"/>
        </w:rPr>
        <w:t xml:space="preserve">; that the balance on </w:t>
      </w:r>
      <w:proofErr w:type="spellStart"/>
      <w:r w:rsidR="0095206B" w:rsidRPr="00DC1A6F">
        <w:rPr>
          <w:rFonts w:ascii="Times New Roman" w:hAnsi="Times New Roman" w:cs="Times New Roman"/>
          <w:spacing w:val="-3"/>
          <w:sz w:val="26"/>
          <w:szCs w:val="26"/>
        </w:rPr>
        <w:t>Ovideo</w:t>
      </w:r>
      <w:proofErr w:type="spellEnd"/>
      <w:r w:rsidR="0095206B" w:rsidRPr="00DC1A6F">
        <w:rPr>
          <w:rFonts w:ascii="Times New Roman" w:hAnsi="Times New Roman" w:cs="Times New Roman"/>
          <w:spacing w:val="-3"/>
          <w:sz w:val="26"/>
          <w:szCs w:val="26"/>
        </w:rPr>
        <w:t xml:space="preserve"> </w:t>
      </w:r>
      <w:proofErr w:type="spellStart"/>
      <w:r w:rsidR="0095206B" w:rsidRPr="00DC1A6F">
        <w:rPr>
          <w:rFonts w:ascii="Times New Roman" w:hAnsi="Times New Roman" w:cs="Times New Roman"/>
          <w:spacing w:val="-3"/>
          <w:sz w:val="26"/>
          <w:szCs w:val="26"/>
        </w:rPr>
        <w:t>Asencio’s</w:t>
      </w:r>
      <w:proofErr w:type="spellEnd"/>
      <w:r w:rsidR="0095206B" w:rsidRPr="00DC1A6F">
        <w:rPr>
          <w:rFonts w:ascii="Times New Roman" w:hAnsi="Times New Roman" w:cs="Times New Roman"/>
          <w:spacing w:val="-3"/>
          <w:sz w:val="26"/>
          <w:szCs w:val="26"/>
        </w:rPr>
        <w:t xml:space="preserve"> account as of September 1, 2005, was $23,055.08;</w:t>
      </w:r>
      <w:r w:rsidR="00752F82">
        <w:rPr>
          <w:rFonts w:ascii="Times New Roman" w:hAnsi="Times New Roman" w:cs="Times New Roman"/>
          <w:spacing w:val="-3"/>
          <w:sz w:val="26"/>
          <w:szCs w:val="26"/>
        </w:rPr>
        <w:t xml:space="preserve"> </w:t>
      </w:r>
      <w:r w:rsidR="009A2A19" w:rsidRPr="00DC1A6F">
        <w:rPr>
          <w:rFonts w:ascii="Times New Roman" w:hAnsi="Times New Roman" w:cs="Times New Roman"/>
          <w:spacing w:val="-3"/>
          <w:sz w:val="26"/>
          <w:szCs w:val="26"/>
        </w:rPr>
        <w:t xml:space="preserve">that the Complainant became the owner of the </w:t>
      </w:r>
      <w:r w:rsidR="00F84FD3">
        <w:rPr>
          <w:rFonts w:ascii="Times New Roman" w:hAnsi="Times New Roman" w:cs="Times New Roman"/>
          <w:spacing w:val="-3"/>
          <w:sz w:val="26"/>
          <w:szCs w:val="26"/>
        </w:rPr>
        <w:t>property on September 22, 2009</w:t>
      </w:r>
      <w:r w:rsidR="003630EC" w:rsidRPr="00DC1A6F">
        <w:rPr>
          <w:rFonts w:ascii="Times New Roman" w:hAnsi="Times New Roman" w:cs="Times New Roman"/>
          <w:spacing w:val="-3"/>
          <w:sz w:val="26"/>
          <w:szCs w:val="26"/>
        </w:rPr>
        <w:t xml:space="preserve">; and that PGW completed a “pay off request” for Settlement Services Experts on April 21, 2011, showing a balance </w:t>
      </w:r>
      <w:r w:rsidR="00F84FD3">
        <w:rPr>
          <w:rFonts w:ascii="Times New Roman" w:hAnsi="Times New Roman" w:cs="Times New Roman"/>
          <w:spacing w:val="-3"/>
          <w:sz w:val="26"/>
          <w:szCs w:val="26"/>
        </w:rPr>
        <w:t>due of $23,055.08</w:t>
      </w:r>
      <w:r w:rsidR="00CC766B">
        <w:rPr>
          <w:rFonts w:ascii="Times New Roman" w:hAnsi="Times New Roman" w:cs="Times New Roman"/>
          <w:spacing w:val="-3"/>
          <w:sz w:val="26"/>
          <w:szCs w:val="26"/>
        </w:rPr>
        <w:t xml:space="preserve">.  </w:t>
      </w:r>
      <w:proofErr w:type="gramStart"/>
      <w:r w:rsidR="00CC766B">
        <w:rPr>
          <w:rFonts w:ascii="Times New Roman" w:hAnsi="Times New Roman" w:cs="Times New Roman"/>
          <w:spacing w:val="-3"/>
          <w:sz w:val="26"/>
          <w:szCs w:val="26"/>
        </w:rPr>
        <w:t>Answer at 1-2.</w:t>
      </w:r>
      <w:proofErr w:type="gramEnd"/>
      <w:r w:rsidR="00CC766B">
        <w:rPr>
          <w:rFonts w:ascii="Times New Roman" w:hAnsi="Times New Roman" w:cs="Times New Roman"/>
          <w:spacing w:val="-3"/>
          <w:sz w:val="26"/>
          <w:szCs w:val="26"/>
        </w:rPr>
        <w:t xml:space="preserve">  </w:t>
      </w:r>
      <w:r w:rsidR="003630EC" w:rsidRPr="00DC1A6F">
        <w:rPr>
          <w:rFonts w:ascii="Times New Roman" w:hAnsi="Times New Roman" w:cs="Times New Roman"/>
          <w:spacing w:val="-3"/>
          <w:sz w:val="26"/>
          <w:szCs w:val="26"/>
        </w:rPr>
        <w:t xml:space="preserve"> PGW further averred that this amount is collectible pursuant to the Municipal Claim and Tax Lien</w:t>
      </w:r>
      <w:r w:rsidR="00CC766B">
        <w:rPr>
          <w:rFonts w:ascii="Times New Roman" w:hAnsi="Times New Roman" w:cs="Times New Roman"/>
          <w:spacing w:val="-3"/>
          <w:sz w:val="26"/>
          <w:szCs w:val="26"/>
        </w:rPr>
        <w:t xml:space="preserve"> Act, Act 153 of 1923, P.L. 207, 53 P.S. §§ 7101 </w:t>
      </w:r>
      <w:r w:rsidR="00CC766B" w:rsidRPr="00CC766B">
        <w:rPr>
          <w:rFonts w:ascii="Times New Roman" w:hAnsi="Times New Roman" w:cs="Times New Roman"/>
          <w:i/>
          <w:spacing w:val="-3"/>
          <w:sz w:val="26"/>
          <w:szCs w:val="26"/>
        </w:rPr>
        <w:t>et seq</w:t>
      </w:r>
      <w:r w:rsidR="00CC766B">
        <w:rPr>
          <w:rFonts w:ascii="Times New Roman" w:hAnsi="Times New Roman" w:cs="Times New Roman"/>
          <w:spacing w:val="-3"/>
          <w:sz w:val="26"/>
          <w:szCs w:val="26"/>
        </w:rPr>
        <w:t>. (Municipal Lien Act)</w:t>
      </w:r>
      <w:r w:rsidR="00DC1A6F" w:rsidRPr="00DC1A6F">
        <w:rPr>
          <w:rFonts w:ascii="Times New Roman" w:hAnsi="Times New Roman" w:cs="Times New Roman"/>
          <w:spacing w:val="-3"/>
          <w:sz w:val="26"/>
          <w:szCs w:val="26"/>
        </w:rPr>
        <w:t>.</w:t>
      </w:r>
    </w:p>
    <w:p w:rsidR="007A0F08" w:rsidRDefault="007A0F08" w:rsidP="00752F82">
      <w:pPr>
        <w:tabs>
          <w:tab w:val="left" w:pos="-1440"/>
          <w:tab w:val="left" w:pos="-720"/>
        </w:tabs>
        <w:suppressAutoHyphens/>
        <w:spacing w:line="360" w:lineRule="auto"/>
        <w:ind w:firstLine="1440"/>
        <w:rPr>
          <w:rFonts w:ascii="Times New Roman" w:hAnsi="Times New Roman" w:cs="Times New Roman"/>
          <w:spacing w:val="-3"/>
          <w:sz w:val="26"/>
          <w:szCs w:val="26"/>
        </w:rPr>
      </w:pPr>
    </w:p>
    <w:p w:rsidR="00CC766B" w:rsidRPr="00DC1A6F" w:rsidRDefault="000C7189" w:rsidP="0096621B">
      <w:pPr>
        <w:tabs>
          <w:tab w:val="left" w:pos="-1440"/>
          <w:tab w:val="left" w:pos="-720"/>
        </w:tabs>
        <w:suppressAutoHyphens/>
        <w:spacing w:line="360" w:lineRule="auto"/>
        <w:ind w:firstLine="1440"/>
        <w:rPr>
          <w:rFonts w:ascii="Times New Roman" w:hAnsi="Times New Roman" w:cs="Times New Roman"/>
          <w:spacing w:val="-3"/>
          <w:sz w:val="26"/>
          <w:szCs w:val="26"/>
        </w:rPr>
      </w:pPr>
      <w:r>
        <w:rPr>
          <w:rFonts w:ascii="Times New Roman" w:hAnsi="Times New Roman" w:cs="Times New Roman"/>
          <w:spacing w:val="-3"/>
          <w:sz w:val="26"/>
          <w:szCs w:val="26"/>
        </w:rPr>
        <w:t xml:space="preserve">In addition to its Answer, </w:t>
      </w:r>
      <w:r w:rsidR="00F84FD3">
        <w:rPr>
          <w:rFonts w:ascii="Times New Roman" w:hAnsi="Times New Roman" w:cs="Times New Roman"/>
          <w:spacing w:val="-3"/>
          <w:sz w:val="26"/>
          <w:szCs w:val="26"/>
        </w:rPr>
        <w:t xml:space="preserve">PGW </w:t>
      </w:r>
      <w:r w:rsidR="00CC766B">
        <w:rPr>
          <w:rFonts w:ascii="Times New Roman" w:hAnsi="Times New Roman" w:cs="Times New Roman"/>
          <w:spacing w:val="-3"/>
          <w:sz w:val="26"/>
          <w:szCs w:val="26"/>
        </w:rPr>
        <w:t xml:space="preserve">filed Preliminary Objections to the Complaint on August 4, 2011.  PGW averred that, from October 1999 through June 2005, </w:t>
      </w:r>
      <w:proofErr w:type="spellStart"/>
      <w:r w:rsidR="00CC766B">
        <w:rPr>
          <w:rFonts w:ascii="Times New Roman" w:hAnsi="Times New Roman" w:cs="Times New Roman"/>
          <w:spacing w:val="-3"/>
          <w:sz w:val="26"/>
          <w:szCs w:val="26"/>
        </w:rPr>
        <w:t>Ovideo</w:t>
      </w:r>
      <w:proofErr w:type="spellEnd"/>
      <w:r w:rsidR="00CC766B">
        <w:rPr>
          <w:rFonts w:ascii="Times New Roman" w:hAnsi="Times New Roman" w:cs="Times New Roman"/>
          <w:spacing w:val="-3"/>
          <w:sz w:val="26"/>
          <w:szCs w:val="26"/>
        </w:rPr>
        <w:t xml:space="preserve"> F. </w:t>
      </w:r>
      <w:proofErr w:type="spellStart"/>
      <w:r w:rsidR="00CC766B">
        <w:rPr>
          <w:rFonts w:ascii="Times New Roman" w:hAnsi="Times New Roman" w:cs="Times New Roman"/>
          <w:spacing w:val="-3"/>
          <w:sz w:val="26"/>
          <w:szCs w:val="26"/>
        </w:rPr>
        <w:t>Asencio</w:t>
      </w:r>
      <w:proofErr w:type="spellEnd"/>
      <w:r w:rsidR="00CC766B">
        <w:rPr>
          <w:rFonts w:ascii="Times New Roman" w:hAnsi="Times New Roman" w:cs="Times New Roman"/>
          <w:spacing w:val="-3"/>
          <w:sz w:val="26"/>
          <w:szCs w:val="26"/>
        </w:rPr>
        <w:t xml:space="preserve"> was the PGW customer o</w:t>
      </w:r>
      <w:r w:rsidR="00752F82">
        <w:rPr>
          <w:rFonts w:ascii="Times New Roman" w:hAnsi="Times New Roman" w:cs="Times New Roman"/>
          <w:spacing w:val="-3"/>
          <w:sz w:val="26"/>
          <w:szCs w:val="26"/>
        </w:rPr>
        <w:t>f record at the Service Address; that $23,055.08 i</w:t>
      </w:r>
      <w:r w:rsidR="00CC766B">
        <w:rPr>
          <w:rFonts w:ascii="Times New Roman" w:hAnsi="Times New Roman" w:cs="Times New Roman"/>
          <w:spacing w:val="-3"/>
          <w:sz w:val="26"/>
          <w:szCs w:val="26"/>
        </w:rPr>
        <w:t xml:space="preserve">s owed </w:t>
      </w:r>
      <w:r w:rsidR="00CC766B">
        <w:rPr>
          <w:rFonts w:ascii="Times New Roman" w:hAnsi="Times New Roman" w:cs="Times New Roman"/>
          <w:spacing w:val="-3"/>
          <w:sz w:val="26"/>
          <w:szCs w:val="26"/>
        </w:rPr>
        <w:lastRenderedPageBreak/>
        <w:t xml:space="preserve">for unpaid gas service; and that the </w:t>
      </w:r>
      <w:r w:rsidR="00752F82">
        <w:rPr>
          <w:rFonts w:ascii="Times New Roman" w:hAnsi="Times New Roman" w:cs="Times New Roman"/>
          <w:spacing w:val="-3"/>
          <w:sz w:val="26"/>
          <w:szCs w:val="26"/>
        </w:rPr>
        <w:t xml:space="preserve">City of Philadelphia (City) </w:t>
      </w:r>
      <w:r w:rsidR="00CC766B">
        <w:rPr>
          <w:rFonts w:ascii="Times New Roman" w:hAnsi="Times New Roman" w:cs="Times New Roman"/>
          <w:spacing w:val="-3"/>
          <w:sz w:val="26"/>
          <w:szCs w:val="26"/>
        </w:rPr>
        <w:t xml:space="preserve">filed a </w:t>
      </w:r>
      <w:r w:rsidR="000D4C90">
        <w:rPr>
          <w:rFonts w:ascii="Times New Roman" w:hAnsi="Times New Roman" w:cs="Times New Roman"/>
          <w:spacing w:val="-3"/>
          <w:sz w:val="26"/>
          <w:szCs w:val="26"/>
        </w:rPr>
        <w:t>lien agains</w:t>
      </w:r>
      <w:r w:rsidR="00EE5A67">
        <w:rPr>
          <w:rFonts w:ascii="Times New Roman" w:hAnsi="Times New Roman" w:cs="Times New Roman"/>
          <w:spacing w:val="-3"/>
          <w:sz w:val="26"/>
          <w:szCs w:val="26"/>
        </w:rPr>
        <w:t>t the property for the debt</w:t>
      </w:r>
      <w:r w:rsidR="000D4C90">
        <w:rPr>
          <w:rFonts w:ascii="Times New Roman" w:hAnsi="Times New Roman" w:cs="Times New Roman"/>
          <w:spacing w:val="-3"/>
          <w:sz w:val="26"/>
          <w:szCs w:val="26"/>
        </w:rPr>
        <w:t xml:space="preserve">.  </w:t>
      </w:r>
      <w:proofErr w:type="gramStart"/>
      <w:r w:rsidR="000D4C90">
        <w:rPr>
          <w:rFonts w:ascii="Times New Roman" w:hAnsi="Times New Roman" w:cs="Times New Roman"/>
          <w:spacing w:val="-3"/>
          <w:sz w:val="26"/>
          <w:szCs w:val="26"/>
        </w:rPr>
        <w:t>Preliminary Objections at 3.</w:t>
      </w:r>
      <w:proofErr w:type="gramEnd"/>
      <w:r w:rsidR="000D4C90">
        <w:rPr>
          <w:rFonts w:ascii="Times New Roman" w:hAnsi="Times New Roman" w:cs="Times New Roman"/>
          <w:spacing w:val="-3"/>
          <w:sz w:val="26"/>
          <w:szCs w:val="26"/>
        </w:rPr>
        <w:t xml:space="preserve">  PGW stated that it had not transferred the outstanding balance to an account in th</w:t>
      </w:r>
      <w:r w:rsidR="00ED7F0B">
        <w:rPr>
          <w:rFonts w:ascii="Times New Roman" w:hAnsi="Times New Roman" w:cs="Times New Roman"/>
          <w:spacing w:val="-3"/>
          <w:sz w:val="26"/>
          <w:szCs w:val="26"/>
        </w:rPr>
        <w:t xml:space="preserve">e Complainant’s name and </w:t>
      </w:r>
      <w:r w:rsidR="000D4C90">
        <w:rPr>
          <w:rFonts w:ascii="Times New Roman" w:hAnsi="Times New Roman" w:cs="Times New Roman"/>
          <w:spacing w:val="-3"/>
          <w:sz w:val="26"/>
          <w:szCs w:val="26"/>
        </w:rPr>
        <w:t>was not holding the Complainant personally responsible for the debt.  PGW argued that the Commission repeatedly has recognized that it does not have subject matter jurisdiction over municipal liens; that the Responsible Utility Customer Protection Act c</w:t>
      </w:r>
      <w:r>
        <w:rPr>
          <w:rFonts w:ascii="Times New Roman" w:hAnsi="Times New Roman" w:cs="Times New Roman"/>
          <w:spacing w:val="-3"/>
          <w:sz w:val="26"/>
          <w:szCs w:val="26"/>
        </w:rPr>
        <w:t>onfirms</w:t>
      </w:r>
      <w:r w:rsidR="000D4C90">
        <w:rPr>
          <w:rFonts w:ascii="Times New Roman" w:hAnsi="Times New Roman" w:cs="Times New Roman"/>
          <w:spacing w:val="-3"/>
          <w:sz w:val="26"/>
          <w:szCs w:val="26"/>
        </w:rPr>
        <w:t xml:space="preserve"> the right of a city natural gas distribution operation to impose a lien </w:t>
      </w:r>
      <w:r w:rsidR="00EE5A67">
        <w:rPr>
          <w:rFonts w:ascii="Times New Roman" w:hAnsi="Times New Roman" w:cs="Times New Roman"/>
          <w:spacing w:val="-3"/>
          <w:sz w:val="26"/>
          <w:szCs w:val="26"/>
        </w:rPr>
        <w:t xml:space="preserve">on a property </w:t>
      </w:r>
      <w:r w:rsidR="000D4C90">
        <w:rPr>
          <w:rFonts w:ascii="Times New Roman" w:hAnsi="Times New Roman" w:cs="Times New Roman"/>
          <w:spacing w:val="-3"/>
          <w:sz w:val="26"/>
          <w:szCs w:val="26"/>
        </w:rPr>
        <w:t>for unpaid gas service</w:t>
      </w:r>
      <w:r w:rsidR="00EE5A67">
        <w:rPr>
          <w:rFonts w:ascii="Times New Roman" w:hAnsi="Times New Roman" w:cs="Times New Roman"/>
          <w:spacing w:val="-3"/>
          <w:sz w:val="26"/>
          <w:szCs w:val="26"/>
        </w:rPr>
        <w:t xml:space="preserve">; </w:t>
      </w:r>
      <w:r w:rsidR="000D4C90">
        <w:rPr>
          <w:rFonts w:ascii="Times New Roman" w:hAnsi="Times New Roman" w:cs="Times New Roman"/>
          <w:spacing w:val="-3"/>
          <w:sz w:val="26"/>
          <w:szCs w:val="26"/>
        </w:rPr>
        <w:t xml:space="preserve">that the nature of a lien is that it encumbers the real estate, regardless of who incurred the debt; and that the Commission is without jurisdiction to decide matters involving the imposition of municipal liens.  </w:t>
      </w:r>
      <w:proofErr w:type="gramStart"/>
      <w:r w:rsidR="000D4C90" w:rsidRPr="00EE5A67">
        <w:rPr>
          <w:rFonts w:ascii="Times New Roman" w:hAnsi="Times New Roman" w:cs="Times New Roman"/>
          <w:i/>
          <w:spacing w:val="-3"/>
          <w:sz w:val="26"/>
          <w:szCs w:val="26"/>
        </w:rPr>
        <w:t>Id</w:t>
      </w:r>
      <w:r w:rsidR="000D4C90">
        <w:rPr>
          <w:rFonts w:ascii="Times New Roman" w:hAnsi="Times New Roman" w:cs="Times New Roman"/>
          <w:spacing w:val="-3"/>
          <w:sz w:val="26"/>
          <w:szCs w:val="26"/>
        </w:rPr>
        <w:t>. at 5.</w:t>
      </w:r>
      <w:proofErr w:type="gramEnd"/>
      <w:r w:rsidR="00EE5A67">
        <w:rPr>
          <w:rFonts w:ascii="Times New Roman" w:hAnsi="Times New Roman" w:cs="Times New Roman"/>
          <w:spacing w:val="-3"/>
          <w:sz w:val="26"/>
          <w:szCs w:val="26"/>
        </w:rPr>
        <w:t xml:space="preserve">  The Complainant did not file an Answer to PGW’s Preliminary Objections.</w:t>
      </w:r>
    </w:p>
    <w:p w:rsidR="0096621B" w:rsidRPr="00DC1A6F" w:rsidRDefault="0096621B" w:rsidP="0096621B">
      <w:pPr>
        <w:tabs>
          <w:tab w:val="left" w:pos="-1440"/>
          <w:tab w:val="left" w:pos="-720"/>
        </w:tabs>
        <w:suppressAutoHyphens/>
        <w:spacing w:line="360" w:lineRule="auto"/>
        <w:ind w:firstLine="1440"/>
        <w:rPr>
          <w:rFonts w:ascii="Times New Roman" w:hAnsi="Times New Roman" w:cs="Times New Roman"/>
          <w:spacing w:val="-3"/>
          <w:sz w:val="26"/>
          <w:szCs w:val="26"/>
        </w:rPr>
      </w:pPr>
    </w:p>
    <w:p w:rsidR="0096621B" w:rsidRDefault="0096621B" w:rsidP="0096621B">
      <w:pPr>
        <w:spacing w:line="360" w:lineRule="auto"/>
        <w:ind w:firstLine="720"/>
        <w:rPr>
          <w:rFonts w:ascii="Times New Roman" w:hAnsi="Times New Roman" w:cs="Times New Roman"/>
          <w:spacing w:val="-3"/>
          <w:sz w:val="26"/>
          <w:szCs w:val="26"/>
        </w:rPr>
      </w:pPr>
      <w:r w:rsidRPr="00DC1A6F">
        <w:rPr>
          <w:rFonts w:ascii="Times New Roman" w:hAnsi="Times New Roman" w:cs="Times New Roman"/>
          <w:spacing w:val="-3"/>
          <w:sz w:val="26"/>
          <w:szCs w:val="26"/>
        </w:rPr>
        <w:t xml:space="preserve"> </w:t>
      </w:r>
      <w:r w:rsidRPr="00DC1A6F">
        <w:rPr>
          <w:rFonts w:ascii="Times New Roman" w:hAnsi="Times New Roman" w:cs="Times New Roman"/>
          <w:spacing w:val="-3"/>
          <w:sz w:val="26"/>
          <w:szCs w:val="26"/>
        </w:rPr>
        <w:tab/>
      </w:r>
      <w:r w:rsidR="00DC6628">
        <w:rPr>
          <w:rFonts w:ascii="Times New Roman" w:hAnsi="Times New Roman" w:cs="Times New Roman"/>
          <w:spacing w:val="-3"/>
          <w:sz w:val="26"/>
          <w:szCs w:val="26"/>
        </w:rPr>
        <w:t>On September 14</w:t>
      </w:r>
      <w:r w:rsidR="00ED7F0B">
        <w:rPr>
          <w:rFonts w:ascii="Times New Roman" w:hAnsi="Times New Roman" w:cs="Times New Roman"/>
          <w:spacing w:val="-3"/>
          <w:sz w:val="26"/>
          <w:szCs w:val="26"/>
        </w:rPr>
        <w:t xml:space="preserve">, 2011, </w:t>
      </w:r>
      <w:r w:rsidR="00DD3EA8">
        <w:rPr>
          <w:rFonts w:ascii="Times New Roman" w:hAnsi="Times New Roman" w:cs="Times New Roman"/>
          <w:spacing w:val="-3"/>
          <w:sz w:val="26"/>
          <w:szCs w:val="26"/>
        </w:rPr>
        <w:t xml:space="preserve">ALJ </w:t>
      </w:r>
      <w:proofErr w:type="spellStart"/>
      <w:r w:rsidR="00ED7F0B">
        <w:rPr>
          <w:rFonts w:ascii="Times New Roman" w:hAnsi="Times New Roman" w:cs="Times New Roman"/>
          <w:spacing w:val="-3"/>
          <w:sz w:val="26"/>
          <w:szCs w:val="26"/>
        </w:rPr>
        <w:t>Cheskis</w:t>
      </w:r>
      <w:proofErr w:type="spellEnd"/>
      <w:r w:rsidR="00ED7F0B">
        <w:rPr>
          <w:rFonts w:ascii="Times New Roman" w:hAnsi="Times New Roman" w:cs="Times New Roman"/>
          <w:spacing w:val="-3"/>
          <w:sz w:val="26"/>
          <w:szCs w:val="26"/>
        </w:rPr>
        <w:t xml:space="preserve"> </w:t>
      </w:r>
      <w:r w:rsidR="00DD3EA8">
        <w:rPr>
          <w:rFonts w:ascii="Times New Roman" w:hAnsi="Times New Roman" w:cs="Times New Roman"/>
          <w:spacing w:val="-3"/>
          <w:sz w:val="26"/>
          <w:szCs w:val="26"/>
        </w:rPr>
        <w:t xml:space="preserve">issued an Order Granting in Part and </w:t>
      </w:r>
      <w:proofErr w:type="gramStart"/>
      <w:r w:rsidR="00DD3EA8">
        <w:rPr>
          <w:rFonts w:ascii="Times New Roman" w:hAnsi="Times New Roman" w:cs="Times New Roman"/>
          <w:spacing w:val="-3"/>
          <w:sz w:val="26"/>
          <w:szCs w:val="26"/>
        </w:rPr>
        <w:t>Denying</w:t>
      </w:r>
      <w:proofErr w:type="gramEnd"/>
      <w:r w:rsidR="00DD3EA8">
        <w:rPr>
          <w:rFonts w:ascii="Times New Roman" w:hAnsi="Times New Roman" w:cs="Times New Roman"/>
          <w:spacing w:val="-3"/>
          <w:sz w:val="26"/>
          <w:szCs w:val="26"/>
        </w:rPr>
        <w:t xml:space="preserve"> in Part Preliminary Objections</w:t>
      </w:r>
      <w:r w:rsidR="000C7189">
        <w:rPr>
          <w:rFonts w:ascii="Times New Roman" w:hAnsi="Times New Roman" w:cs="Times New Roman"/>
          <w:spacing w:val="-3"/>
          <w:sz w:val="26"/>
          <w:szCs w:val="26"/>
        </w:rPr>
        <w:t xml:space="preserve"> (Order)</w:t>
      </w:r>
      <w:r w:rsidR="00EE5A67">
        <w:rPr>
          <w:rFonts w:ascii="Times New Roman" w:hAnsi="Times New Roman" w:cs="Times New Roman"/>
          <w:spacing w:val="-3"/>
          <w:sz w:val="26"/>
          <w:szCs w:val="26"/>
        </w:rPr>
        <w:t xml:space="preserve">, </w:t>
      </w:r>
      <w:r w:rsidR="00DD3EA8">
        <w:rPr>
          <w:rFonts w:ascii="Times New Roman" w:hAnsi="Times New Roman" w:cs="Times New Roman"/>
          <w:spacing w:val="-3"/>
          <w:sz w:val="26"/>
          <w:szCs w:val="26"/>
        </w:rPr>
        <w:t xml:space="preserve">which </w:t>
      </w:r>
      <w:r w:rsidR="00EE5A67">
        <w:rPr>
          <w:rFonts w:ascii="Times New Roman" w:hAnsi="Times New Roman" w:cs="Times New Roman"/>
          <w:spacing w:val="-3"/>
          <w:sz w:val="26"/>
          <w:szCs w:val="26"/>
        </w:rPr>
        <w:t>sustained PGW’s Preliminary Objections with regard to “any claims regarding the validity or amount of the lien.”</w:t>
      </w:r>
      <w:r w:rsidR="007A0F08">
        <w:rPr>
          <w:rFonts w:ascii="Times New Roman" w:hAnsi="Times New Roman" w:cs="Times New Roman"/>
          <w:spacing w:val="-3"/>
          <w:sz w:val="26"/>
          <w:szCs w:val="26"/>
        </w:rPr>
        <w:t xml:space="preserve">  Order at 3.  </w:t>
      </w:r>
      <w:r w:rsidR="00DD3EA8">
        <w:rPr>
          <w:rFonts w:ascii="Times New Roman" w:hAnsi="Times New Roman" w:cs="Times New Roman"/>
          <w:spacing w:val="-3"/>
          <w:sz w:val="26"/>
          <w:szCs w:val="26"/>
        </w:rPr>
        <w:t>The ALJ, however, concluded that the Complaint raised issues that were not l</w:t>
      </w:r>
      <w:r w:rsidR="000C7189">
        <w:rPr>
          <w:rFonts w:ascii="Times New Roman" w:hAnsi="Times New Roman" w:cs="Times New Roman"/>
          <w:spacing w:val="-3"/>
          <w:sz w:val="26"/>
          <w:szCs w:val="26"/>
        </w:rPr>
        <w:t xml:space="preserve">imited to the municipal lien, specifically </w:t>
      </w:r>
      <w:r w:rsidR="00DD3EA8">
        <w:rPr>
          <w:rFonts w:ascii="Times New Roman" w:hAnsi="Times New Roman" w:cs="Times New Roman"/>
          <w:spacing w:val="-3"/>
          <w:sz w:val="26"/>
          <w:szCs w:val="26"/>
        </w:rPr>
        <w:t xml:space="preserve">issues pertaining to whether PGW had provided service that was adequate, efficient, safe and reasonable, as required by Section 1501 of the Public Utility Code (Code), 66 Pa. C.S. § 1501.  The ALJ stated that these </w:t>
      </w:r>
      <w:r w:rsidR="00752F82">
        <w:rPr>
          <w:rFonts w:ascii="Times New Roman" w:hAnsi="Times New Roman" w:cs="Times New Roman"/>
          <w:spacing w:val="-3"/>
          <w:sz w:val="26"/>
          <w:szCs w:val="26"/>
        </w:rPr>
        <w:t xml:space="preserve">jurisdictional </w:t>
      </w:r>
      <w:r w:rsidR="00DD3EA8">
        <w:rPr>
          <w:rFonts w:ascii="Times New Roman" w:hAnsi="Times New Roman" w:cs="Times New Roman"/>
          <w:spacing w:val="-3"/>
          <w:sz w:val="26"/>
          <w:szCs w:val="26"/>
        </w:rPr>
        <w:t xml:space="preserve">issues included the high outstanding </w:t>
      </w:r>
      <w:r w:rsidR="00752F82">
        <w:rPr>
          <w:rFonts w:ascii="Times New Roman" w:hAnsi="Times New Roman" w:cs="Times New Roman"/>
          <w:spacing w:val="-3"/>
          <w:sz w:val="26"/>
          <w:szCs w:val="26"/>
        </w:rPr>
        <w:t>balance</w:t>
      </w:r>
      <w:r w:rsidR="00DD3EA8">
        <w:rPr>
          <w:rFonts w:ascii="Times New Roman" w:hAnsi="Times New Roman" w:cs="Times New Roman"/>
          <w:spacing w:val="-3"/>
          <w:sz w:val="26"/>
          <w:szCs w:val="26"/>
        </w:rPr>
        <w:t xml:space="preserve">; the allegation of fraud regarding the provision of service to a vacant property; and the allegation of identity theft in the receipt of utility service.  </w:t>
      </w:r>
      <w:r w:rsidR="00DD3EA8" w:rsidRPr="00DD3EA8">
        <w:rPr>
          <w:rFonts w:ascii="Times New Roman" w:hAnsi="Times New Roman" w:cs="Times New Roman"/>
          <w:i/>
          <w:spacing w:val="-3"/>
          <w:sz w:val="26"/>
          <w:szCs w:val="26"/>
        </w:rPr>
        <w:t>Id</w:t>
      </w:r>
      <w:r w:rsidR="00DD3EA8">
        <w:rPr>
          <w:rFonts w:ascii="Times New Roman" w:hAnsi="Times New Roman" w:cs="Times New Roman"/>
          <w:spacing w:val="-3"/>
          <w:sz w:val="26"/>
          <w:szCs w:val="26"/>
        </w:rPr>
        <w:t>.</w:t>
      </w:r>
    </w:p>
    <w:p w:rsidR="00DC6628" w:rsidRDefault="00DC6628" w:rsidP="0096621B">
      <w:pPr>
        <w:spacing w:line="360" w:lineRule="auto"/>
        <w:ind w:firstLine="720"/>
        <w:rPr>
          <w:rFonts w:ascii="Times New Roman" w:hAnsi="Times New Roman" w:cs="Times New Roman"/>
          <w:spacing w:val="-3"/>
          <w:sz w:val="26"/>
          <w:szCs w:val="26"/>
        </w:rPr>
      </w:pPr>
    </w:p>
    <w:p w:rsidR="00DC6628" w:rsidRDefault="00DC6628" w:rsidP="0096621B">
      <w:pPr>
        <w:spacing w:line="360" w:lineRule="auto"/>
        <w:ind w:firstLine="720"/>
        <w:rPr>
          <w:rFonts w:ascii="Times New Roman" w:hAnsi="Times New Roman" w:cs="Times New Roman"/>
          <w:spacing w:val="-3"/>
          <w:sz w:val="26"/>
          <w:szCs w:val="26"/>
        </w:rPr>
      </w:pPr>
      <w:r>
        <w:rPr>
          <w:rFonts w:ascii="Times New Roman" w:hAnsi="Times New Roman" w:cs="Times New Roman"/>
          <w:spacing w:val="-3"/>
          <w:sz w:val="26"/>
          <w:szCs w:val="26"/>
        </w:rPr>
        <w:tab/>
        <w:t xml:space="preserve">A telephonic hearing was scheduled for January 6, 2012.  The Respondent appeared, represented by counsel, but the Complainant did not appear.  Instead, </w:t>
      </w:r>
      <w:r w:rsidR="00752F82">
        <w:rPr>
          <w:rFonts w:ascii="Times New Roman" w:hAnsi="Times New Roman" w:cs="Times New Roman"/>
          <w:spacing w:val="-3"/>
          <w:sz w:val="26"/>
          <w:szCs w:val="26"/>
        </w:rPr>
        <w:t xml:space="preserve">a person who identified himself as </w:t>
      </w:r>
      <w:r>
        <w:rPr>
          <w:rFonts w:ascii="Times New Roman" w:hAnsi="Times New Roman" w:cs="Times New Roman"/>
          <w:spacing w:val="-3"/>
          <w:sz w:val="26"/>
          <w:szCs w:val="26"/>
        </w:rPr>
        <w:t>the Complainant’s common law husband, Eddie Ward, appeared and asked to participate on behalf of the Complainant.  Mr. Ward previously had indicated that t</w:t>
      </w:r>
      <w:r w:rsidR="00F56A5F">
        <w:rPr>
          <w:rFonts w:ascii="Times New Roman" w:hAnsi="Times New Roman" w:cs="Times New Roman"/>
          <w:spacing w:val="-3"/>
          <w:sz w:val="26"/>
          <w:szCs w:val="26"/>
        </w:rPr>
        <w:t>he Complainant would not be able</w:t>
      </w:r>
      <w:r>
        <w:rPr>
          <w:rFonts w:ascii="Times New Roman" w:hAnsi="Times New Roman" w:cs="Times New Roman"/>
          <w:spacing w:val="-3"/>
          <w:sz w:val="26"/>
          <w:szCs w:val="26"/>
        </w:rPr>
        <w:t xml:space="preserve"> to participate in the hearing because she was incarcerated.  </w:t>
      </w:r>
      <w:r w:rsidR="00F56A5F">
        <w:rPr>
          <w:rFonts w:ascii="Times New Roman" w:hAnsi="Times New Roman" w:cs="Times New Roman"/>
          <w:spacing w:val="-3"/>
          <w:sz w:val="26"/>
          <w:szCs w:val="26"/>
        </w:rPr>
        <w:t xml:space="preserve">Because </w:t>
      </w:r>
      <w:r>
        <w:rPr>
          <w:rFonts w:ascii="Times New Roman" w:hAnsi="Times New Roman" w:cs="Times New Roman"/>
          <w:spacing w:val="-3"/>
          <w:sz w:val="26"/>
          <w:szCs w:val="26"/>
        </w:rPr>
        <w:t xml:space="preserve">PGW expressed concerns about Mr. Ward participating in the </w:t>
      </w:r>
      <w:r>
        <w:rPr>
          <w:rFonts w:ascii="Times New Roman" w:hAnsi="Times New Roman" w:cs="Times New Roman"/>
          <w:spacing w:val="-3"/>
          <w:sz w:val="26"/>
          <w:szCs w:val="26"/>
        </w:rPr>
        <w:lastRenderedPageBreak/>
        <w:t>hearin</w:t>
      </w:r>
      <w:r w:rsidR="00F56A5F">
        <w:rPr>
          <w:rFonts w:ascii="Times New Roman" w:hAnsi="Times New Roman" w:cs="Times New Roman"/>
          <w:spacing w:val="-3"/>
          <w:sz w:val="26"/>
          <w:szCs w:val="26"/>
        </w:rPr>
        <w:t>g on behalf of the Complainant,</w:t>
      </w:r>
      <w:r>
        <w:rPr>
          <w:rFonts w:ascii="Times New Roman" w:hAnsi="Times New Roman" w:cs="Times New Roman"/>
          <w:spacing w:val="-3"/>
          <w:sz w:val="26"/>
          <w:szCs w:val="26"/>
        </w:rPr>
        <w:t xml:space="preserve"> PGW and Mr. Ward agreed that the hearing should be postponed until April 2012.  Accordingly, </w:t>
      </w:r>
      <w:r w:rsidR="003E7F6E">
        <w:rPr>
          <w:rFonts w:ascii="Times New Roman" w:hAnsi="Times New Roman" w:cs="Times New Roman"/>
          <w:spacing w:val="-3"/>
          <w:sz w:val="26"/>
          <w:szCs w:val="26"/>
        </w:rPr>
        <w:t xml:space="preserve">on January 19, 2012, </w:t>
      </w:r>
      <w:r>
        <w:rPr>
          <w:rFonts w:ascii="Times New Roman" w:hAnsi="Times New Roman" w:cs="Times New Roman"/>
          <w:spacing w:val="-3"/>
          <w:sz w:val="26"/>
          <w:szCs w:val="26"/>
        </w:rPr>
        <w:t xml:space="preserve">the ALJ issued Prehearing Order No. 2, continuing the hearing </w:t>
      </w:r>
      <w:r w:rsidR="003E7F6E">
        <w:rPr>
          <w:rFonts w:ascii="Times New Roman" w:hAnsi="Times New Roman" w:cs="Times New Roman"/>
          <w:spacing w:val="-3"/>
          <w:sz w:val="26"/>
          <w:szCs w:val="26"/>
        </w:rPr>
        <w:t>until April 24, 2012, and directing the Complainant to provide the ALJ with a telephone number where she could be reached on the day of the hearing.</w:t>
      </w:r>
    </w:p>
    <w:p w:rsidR="003E7F6E" w:rsidRDefault="003E7F6E" w:rsidP="0096621B">
      <w:pPr>
        <w:spacing w:line="360" w:lineRule="auto"/>
        <w:ind w:firstLine="720"/>
        <w:rPr>
          <w:rFonts w:ascii="Times New Roman" w:hAnsi="Times New Roman" w:cs="Times New Roman"/>
          <w:spacing w:val="-3"/>
          <w:sz w:val="26"/>
          <w:szCs w:val="26"/>
        </w:rPr>
      </w:pPr>
    </w:p>
    <w:p w:rsidR="003E7F6E" w:rsidRPr="00DC1A6F" w:rsidRDefault="003E7F6E" w:rsidP="0096621B">
      <w:pPr>
        <w:spacing w:line="360" w:lineRule="auto"/>
        <w:ind w:firstLine="720"/>
        <w:rPr>
          <w:rFonts w:ascii="Times New Roman" w:hAnsi="Times New Roman" w:cs="Times New Roman"/>
          <w:b/>
          <w:sz w:val="26"/>
          <w:szCs w:val="26"/>
        </w:rPr>
      </w:pPr>
      <w:r>
        <w:rPr>
          <w:rFonts w:ascii="Times New Roman" w:hAnsi="Times New Roman" w:cs="Times New Roman"/>
          <w:spacing w:val="-3"/>
          <w:sz w:val="26"/>
          <w:szCs w:val="26"/>
        </w:rPr>
        <w:tab/>
        <w:t xml:space="preserve">The </w:t>
      </w:r>
      <w:r w:rsidR="00ED7F0B">
        <w:rPr>
          <w:rFonts w:ascii="Times New Roman" w:hAnsi="Times New Roman" w:cs="Times New Roman"/>
          <w:spacing w:val="-3"/>
          <w:sz w:val="26"/>
          <w:szCs w:val="26"/>
        </w:rPr>
        <w:t>further telephonic</w:t>
      </w:r>
      <w:r w:rsidR="00FF4859">
        <w:rPr>
          <w:rFonts w:ascii="Times New Roman" w:hAnsi="Times New Roman" w:cs="Times New Roman"/>
          <w:spacing w:val="-3"/>
          <w:sz w:val="26"/>
          <w:szCs w:val="26"/>
        </w:rPr>
        <w:t xml:space="preserve"> hearing took place as scheduled on April 24, 2012.  The Complainant appeared </w:t>
      </w:r>
      <w:r w:rsidR="00FF4859" w:rsidRPr="00FF4859">
        <w:rPr>
          <w:rFonts w:ascii="Times New Roman" w:hAnsi="Times New Roman" w:cs="Times New Roman"/>
          <w:i/>
          <w:spacing w:val="-3"/>
          <w:sz w:val="26"/>
          <w:szCs w:val="26"/>
        </w:rPr>
        <w:t>pro se</w:t>
      </w:r>
      <w:r w:rsidR="00817B3F">
        <w:rPr>
          <w:rFonts w:ascii="Times New Roman" w:hAnsi="Times New Roman" w:cs="Times New Roman"/>
          <w:spacing w:val="-3"/>
          <w:sz w:val="26"/>
          <w:szCs w:val="26"/>
        </w:rPr>
        <w:t xml:space="preserve"> and testified on her own behalf</w:t>
      </w:r>
      <w:r w:rsidR="00F56A5F">
        <w:rPr>
          <w:rFonts w:ascii="Times New Roman" w:hAnsi="Times New Roman" w:cs="Times New Roman"/>
          <w:spacing w:val="-3"/>
          <w:sz w:val="26"/>
          <w:szCs w:val="26"/>
        </w:rPr>
        <w:t xml:space="preserve">. </w:t>
      </w:r>
      <w:r w:rsidR="00FF4859">
        <w:rPr>
          <w:rFonts w:ascii="Times New Roman" w:hAnsi="Times New Roman" w:cs="Times New Roman"/>
          <w:spacing w:val="-3"/>
          <w:sz w:val="26"/>
          <w:szCs w:val="26"/>
        </w:rPr>
        <w:t xml:space="preserve"> The Respondent, which was represented by counsel, sponsored the testimony of one witness, and introduced ten exhibits that were admitted into the record.</w:t>
      </w:r>
      <w:r w:rsidR="00817B3F">
        <w:rPr>
          <w:rFonts w:ascii="Times New Roman" w:hAnsi="Times New Roman" w:cs="Times New Roman"/>
          <w:spacing w:val="-3"/>
          <w:sz w:val="26"/>
          <w:szCs w:val="26"/>
        </w:rPr>
        <w:t xml:space="preserve">  The record closed on May 4, 2012</w:t>
      </w:r>
      <w:r w:rsidR="00FF4859">
        <w:rPr>
          <w:rFonts w:ascii="Times New Roman" w:hAnsi="Times New Roman" w:cs="Times New Roman"/>
          <w:spacing w:val="-3"/>
          <w:sz w:val="26"/>
          <w:szCs w:val="26"/>
        </w:rPr>
        <w:t>.</w:t>
      </w:r>
    </w:p>
    <w:p w:rsidR="0096621B" w:rsidRPr="00DC1A6F" w:rsidRDefault="0096621B" w:rsidP="0096621B">
      <w:pPr>
        <w:spacing w:line="360" w:lineRule="auto"/>
        <w:ind w:firstLine="720"/>
        <w:rPr>
          <w:rFonts w:ascii="Times New Roman" w:hAnsi="Times New Roman" w:cs="Times New Roman"/>
          <w:b/>
          <w:sz w:val="26"/>
          <w:szCs w:val="26"/>
        </w:rPr>
      </w:pPr>
    </w:p>
    <w:p w:rsidR="0096621B" w:rsidRPr="00DC1A6F" w:rsidRDefault="0096621B" w:rsidP="0096621B">
      <w:pPr>
        <w:spacing w:line="360" w:lineRule="auto"/>
        <w:jc w:val="center"/>
        <w:rPr>
          <w:rFonts w:ascii="Times New Roman" w:hAnsi="Times New Roman" w:cs="Times New Roman"/>
          <w:b/>
          <w:sz w:val="26"/>
          <w:szCs w:val="26"/>
        </w:rPr>
      </w:pPr>
      <w:r w:rsidRPr="00DC1A6F">
        <w:rPr>
          <w:rFonts w:ascii="Times New Roman" w:hAnsi="Times New Roman" w:cs="Times New Roman"/>
          <w:b/>
          <w:sz w:val="26"/>
          <w:szCs w:val="26"/>
        </w:rPr>
        <w:t>Discussion</w:t>
      </w:r>
    </w:p>
    <w:p w:rsidR="0096621B" w:rsidRPr="00DC1A6F" w:rsidRDefault="0096621B" w:rsidP="0096621B">
      <w:pPr>
        <w:spacing w:line="360" w:lineRule="auto"/>
        <w:jc w:val="center"/>
        <w:rPr>
          <w:rFonts w:ascii="Times New Roman" w:hAnsi="Times New Roman" w:cs="Times New Roman"/>
          <w:b/>
          <w:sz w:val="26"/>
          <w:szCs w:val="26"/>
        </w:rPr>
      </w:pPr>
    </w:p>
    <w:p w:rsidR="0096621B" w:rsidRPr="00DC1A6F" w:rsidRDefault="0096621B" w:rsidP="0096621B">
      <w:pPr>
        <w:spacing w:line="360" w:lineRule="auto"/>
        <w:ind w:firstLine="1440"/>
        <w:rPr>
          <w:rFonts w:ascii="Times New Roman" w:hAnsi="Times New Roman" w:cs="Times New Roman"/>
          <w:sz w:val="26"/>
          <w:szCs w:val="26"/>
        </w:rPr>
      </w:pPr>
      <w:r w:rsidRPr="00DC1A6F">
        <w:rPr>
          <w:rFonts w:ascii="Times New Roman" w:hAnsi="Times New Roman" w:cs="Times New Roman"/>
          <w:sz w:val="26"/>
          <w:szCs w:val="26"/>
        </w:rPr>
        <w:t>As the proponent of a rule or order, the Complainant in this proceeding bears the burden of proof pursuant to Section 332</w:t>
      </w:r>
      <w:r w:rsidR="00FF4859">
        <w:rPr>
          <w:rFonts w:ascii="Times New Roman" w:hAnsi="Times New Roman" w:cs="Times New Roman"/>
          <w:sz w:val="26"/>
          <w:szCs w:val="26"/>
        </w:rPr>
        <w:t>(a) of the Code</w:t>
      </w:r>
      <w:r w:rsidRPr="00DC1A6F">
        <w:rPr>
          <w:rFonts w:ascii="Times New Roman" w:hAnsi="Times New Roman" w:cs="Times New Roman"/>
          <w:sz w:val="26"/>
          <w:szCs w:val="26"/>
        </w:rPr>
        <w:t>, 66 Pa. C.S. § 332(a).  To establish a sufficient case and satisfy the burden of proof, the</w:t>
      </w:r>
      <w:r w:rsidR="00FF4859">
        <w:rPr>
          <w:rFonts w:ascii="Times New Roman" w:hAnsi="Times New Roman" w:cs="Times New Roman"/>
          <w:sz w:val="26"/>
          <w:szCs w:val="26"/>
        </w:rPr>
        <w:t xml:space="preserve"> Complainant must show that PGW</w:t>
      </w:r>
      <w:r w:rsidRPr="00DC1A6F">
        <w:rPr>
          <w:rFonts w:ascii="Times New Roman" w:hAnsi="Times New Roman" w:cs="Times New Roman"/>
          <w:sz w:val="26"/>
          <w:szCs w:val="26"/>
        </w:rPr>
        <w:t xml:space="preserve"> is responsible or accountable for the problem described in the Complaint.  </w:t>
      </w:r>
      <w:proofErr w:type="gramStart"/>
      <w:r w:rsidRPr="00DC1A6F">
        <w:rPr>
          <w:rFonts w:ascii="Times New Roman" w:hAnsi="Times New Roman" w:cs="Times New Roman"/>
          <w:i/>
          <w:sz w:val="26"/>
          <w:szCs w:val="26"/>
        </w:rPr>
        <w:t>Patterson v.</w:t>
      </w:r>
      <w:proofErr w:type="gramEnd"/>
      <w:r w:rsidRPr="00DC1A6F">
        <w:rPr>
          <w:rFonts w:ascii="Times New Roman" w:hAnsi="Times New Roman" w:cs="Times New Roman"/>
          <w:i/>
          <w:sz w:val="26"/>
          <w:szCs w:val="26"/>
        </w:rPr>
        <w:t xml:space="preserve"> </w:t>
      </w:r>
      <w:proofErr w:type="gramStart"/>
      <w:r w:rsidR="00F56A5F">
        <w:rPr>
          <w:rFonts w:ascii="Times New Roman" w:hAnsi="Times New Roman" w:cs="Times New Roman"/>
          <w:i/>
          <w:sz w:val="26"/>
          <w:szCs w:val="26"/>
        </w:rPr>
        <w:t xml:space="preserve">The </w:t>
      </w:r>
      <w:r w:rsidRPr="00DC1A6F">
        <w:rPr>
          <w:rFonts w:ascii="Times New Roman" w:hAnsi="Times New Roman" w:cs="Times New Roman"/>
          <w:i/>
          <w:sz w:val="26"/>
          <w:szCs w:val="26"/>
        </w:rPr>
        <w:t>Bell Telephone Company of Pennsylvania</w:t>
      </w:r>
      <w:r w:rsidRPr="00DC1A6F">
        <w:rPr>
          <w:rFonts w:ascii="Times New Roman" w:hAnsi="Times New Roman" w:cs="Times New Roman"/>
          <w:sz w:val="26"/>
          <w:szCs w:val="26"/>
        </w:rPr>
        <w:t>, 72 Pa. P.U.C. 196 (1990).</w:t>
      </w:r>
      <w:proofErr w:type="gramEnd"/>
      <w:r w:rsidRPr="00DC1A6F">
        <w:rPr>
          <w:rFonts w:ascii="Times New Roman" w:hAnsi="Times New Roman" w:cs="Times New Roman"/>
          <w:sz w:val="26"/>
          <w:szCs w:val="26"/>
        </w:rPr>
        <w:t xml:space="preserve">  Such a showing must be by a preponderance of the evidence.  </w:t>
      </w:r>
      <w:proofErr w:type="gramStart"/>
      <w:r w:rsidRPr="00DC1A6F">
        <w:rPr>
          <w:rFonts w:ascii="Times New Roman" w:hAnsi="Times New Roman" w:cs="Times New Roman"/>
          <w:i/>
          <w:iCs/>
          <w:sz w:val="26"/>
          <w:szCs w:val="26"/>
        </w:rPr>
        <w:t xml:space="preserve">Samuel J. </w:t>
      </w:r>
      <w:proofErr w:type="spellStart"/>
      <w:r w:rsidRPr="00DC1A6F">
        <w:rPr>
          <w:rFonts w:ascii="Times New Roman" w:hAnsi="Times New Roman" w:cs="Times New Roman"/>
          <w:i/>
          <w:iCs/>
          <w:sz w:val="26"/>
          <w:szCs w:val="26"/>
        </w:rPr>
        <w:t>Lansberry</w:t>
      </w:r>
      <w:proofErr w:type="spellEnd"/>
      <w:r w:rsidRPr="00DC1A6F">
        <w:rPr>
          <w:rFonts w:ascii="Times New Roman" w:hAnsi="Times New Roman" w:cs="Times New Roman"/>
          <w:i/>
          <w:iCs/>
          <w:sz w:val="26"/>
          <w:szCs w:val="26"/>
        </w:rPr>
        <w:t>, Inc. v. Pa. PUC</w:t>
      </w:r>
      <w:r w:rsidRPr="00DC1A6F">
        <w:rPr>
          <w:rFonts w:ascii="Times New Roman" w:hAnsi="Times New Roman" w:cs="Times New Roman"/>
          <w:sz w:val="26"/>
          <w:szCs w:val="26"/>
        </w:rPr>
        <w:t xml:space="preserve">, 578 A.2d 600 (Pa. </w:t>
      </w:r>
      <w:proofErr w:type="spellStart"/>
      <w:r w:rsidRPr="00DC1A6F">
        <w:rPr>
          <w:rFonts w:ascii="Times New Roman" w:hAnsi="Times New Roman" w:cs="Times New Roman"/>
          <w:sz w:val="26"/>
          <w:szCs w:val="26"/>
        </w:rPr>
        <w:t>Cmwlth</w:t>
      </w:r>
      <w:proofErr w:type="spellEnd"/>
      <w:r w:rsidRPr="00DC1A6F">
        <w:rPr>
          <w:rFonts w:ascii="Times New Roman" w:hAnsi="Times New Roman" w:cs="Times New Roman"/>
          <w:sz w:val="26"/>
          <w:szCs w:val="26"/>
        </w:rPr>
        <w:t xml:space="preserve">. 1990), </w:t>
      </w:r>
      <w:proofErr w:type="spellStart"/>
      <w:r w:rsidRPr="00DC1A6F">
        <w:rPr>
          <w:rFonts w:ascii="Times New Roman" w:hAnsi="Times New Roman" w:cs="Times New Roman"/>
          <w:i/>
          <w:sz w:val="26"/>
          <w:szCs w:val="26"/>
        </w:rPr>
        <w:t>alloc</w:t>
      </w:r>
      <w:proofErr w:type="spellEnd"/>
      <w:r w:rsidRPr="00DC1A6F">
        <w:rPr>
          <w:rFonts w:ascii="Times New Roman" w:hAnsi="Times New Roman" w:cs="Times New Roman"/>
          <w:i/>
          <w:sz w:val="26"/>
          <w:szCs w:val="26"/>
        </w:rPr>
        <w:t>.</w:t>
      </w:r>
      <w:proofErr w:type="gramEnd"/>
      <w:r w:rsidRPr="00DC1A6F">
        <w:rPr>
          <w:rFonts w:ascii="Times New Roman" w:hAnsi="Times New Roman" w:cs="Times New Roman"/>
          <w:i/>
          <w:sz w:val="26"/>
          <w:szCs w:val="26"/>
        </w:rPr>
        <w:t xml:space="preserve"> </w:t>
      </w:r>
      <w:proofErr w:type="gramStart"/>
      <w:r w:rsidRPr="00DC1A6F">
        <w:rPr>
          <w:rFonts w:ascii="Times New Roman" w:hAnsi="Times New Roman" w:cs="Times New Roman"/>
          <w:i/>
          <w:sz w:val="26"/>
          <w:szCs w:val="26"/>
        </w:rPr>
        <w:t>denied</w:t>
      </w:r>
      <w:proofErr w:type="gramEnd"/>
      <w:r w:rsidRPr="00DC1A6F">
        <w:rPr>
          <w:rFonts w:ascii="Times New Roman" w:hAnsi="Times New Roman" w:cs="Times New Roman"/>
          <w:i/>
          <w:sz w:val="26"/>
          <w:szCs w:val="26"/>
        </w:rPr>
        <w:t>,</w:t>
      </w:r>
      <w:r w:rsidRPr="00DC1A6F">
        <w:rPr>
          <w:rFonts w:ascii="Times New Roman" w:hAnsi="Times New Roman" w:cs="Times New Roman"/>
          <w:sz w:val="26"/>
          <w:szCs w:val="26"/>
        </w:rPr>
        <w:t xml:space="preserve"> 529 Pa. 654, 602 A.2d 863 (1992).  That is, the Complainant’s evidence must be more convincing, by even the smallest amo</w:t>
      </w:r>
      <w:r w:rsidR="00FF4859">
        <w:rPr>
          <w:rFonts w:ascii="Times New Roman" w:hAnsi="Times New Roman" w:cs="Times New Roman"/>
          <w:sz w:val="26"/>
          <w:szCs w:val="26"/>
        </w:rPr>
        <w:t>unt, than that presented by PGW</w:t>
      </w:r>
      <w:r w:rsidRPr="00DC1A6F">
        <w:rPr>
          <w:rFonts w:ascii="Times New Roman" w:hAnsi="Times New Roman" w:cs="Times New Roman"/>
          <w:sz w:val="26"/>
          <w:szCs w:val="26"/>
        </w:rPr>
        <w:t xml:space="preserve">.  </w:t>
      </w:r>
      <w:proofErr w:type="gramStart"/>
      <w:r w:rsidRPr="00DC1A6F">
        <w:rPr>
          <w:rFonts w:ascii="Times New Roman" w:hAnsi="Times New Roman" w:cs="Times New Roman"/>
          <w:i/>
          <w:sz w:val="26"/>
          <w:szCs w:val="26"/>
        </w:rPr>
        <w:t>Se-Ling Hosiery, Inc. v. Margulies</w:t>
      </w:r>
      <w:r w:rsidRPr="00DC1A6F">
        <w:rPr>
          <w:rFonts w:ascii="Times New Roman" w:hAnsi="Times New Roman" w:cs="Times New Roman"/>
          <w:sz w:val="26"/>
          <w:szCs w:val="26"/>
        </w:rPr>
        <w:t>, 364 Pa. 45, 70 A.2d 854 (1950).</w:t>
      </w:r>
      <w:proofErr w:type="gramEnd"/>
      <w:r w:rsidRPr="00DC1A6F">
        <w:rPr>
          <w:rFonts w:ascii="Times New Roman" w:hAnsi="Times New Roman" w:cs="Times New Roman"/>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Pr="00DC1A6F">
        <w:rPr>
          <w:rFonts w:ascii="Times New Roman" w:hAnsi="Times New Roman" w:cs="Times New Roman"/>
          <w:i/>
          <w:sz w:val="26"/>
          <w:szCs w:val="26"/>
        </w:rPr>
        <w:t xml:space="preserve">Norfolk &amp; Western Ry. Co. v. Pa. PUC, </w:t>
      </w:r>
      <w:r w:rsidRPr="00DC1A6F">
        <w:rPr>
          <w:rFonts w:ascii="Times New Roman" w:hAnsi="Times New Roman" w:cs="Times New Roman"/>
          <w:sz w:val="26"/>
          <w:szCs w:val="26"/>
        </w:rPr>
        <w:t>489 Pa. 109, 413 A.2d 1037 (1980).</w:t>
      </w:r>
      <w:proofErr w:type="gramEnd"/>
    </w:p>
    <w:p w:rsidR="0096621B" w:rsidRPr="00DC1A6F" w:rsidRDefault="0096621B" w:rsidP="0096621B">
      <w:pPr>
        <w:spacing w:line="360" w:lineRule="auto"/>
        <w:rPr>
          <w:rFonts w:ascii="Times New Roman" w:hAnsi="Times New Roman" w:cs="Times New Roman"/>
          <w:sz w:val="26"/>
          <w:szCs w:val="26"/>
        </w:rPr>
      </w:pPr>
    </w:p>
    <w:p w:rsidR="0096621B" w:rsidRPr="00DC1A6F" w:rsidRDefault="0096621B" w:rsidP="0096621B">
      <w:pPr>
        <w:spacing w:line="360" w:lineRule="auto"/>
        <w:ind w:firstLine="1440"/>
        <w:rPr>
          <w:rFonts w:ascii="Times New Roman" w:hAnsi="Times New Roman" w:cs="Times New Roman"/>
          <w:i/>
          <w:sz w:val="26"/>
          <w:szCs w:val="26"/>
        </w:rPr>
      </w:pPr>
      <w:r w:rsidRPr="00DC1A6F">
        <w:rPr>
          <w:rFonts w:ascii="Times New Roman" w:hAnsi="Times New Roman" w:cs="Times New Roman"/>
          <w:sz w:val="26"/>
          <w:szCs w:val="26"/>
        </w:rPr>
        <w:t>Upon the presentation by the Complainant of evidence sufficient to initially satisfy the burden of proof, the burden of going forwa</w:t>
      </w:r>
      <w:r w:rsidR="00ED7F0B">
        <w:rPr>
          <w:rFonts w:ascii="Times New Roman" w:hAnsi="Times New Roman" w:cs="Times New Roman"/>
          <w:sz w:val="26"/>
          <w:szCs w:val="26"/>
        </w:rPr>
        <w:t xml:space="preserve">rd with the evidence </w:t>
      </w:r>
      <w:r w:rsidRPr="00DC1A6F">
        <w:rPr>
          <w:rFonts w:ascii="Times New Roman" w:hAnsi="Times New Roman" w:cs="Times New Roman"/>
          <w:sz w:val="26"/>
          <w:szCs w:val="26"/>
        </w:rPr>
        <w:t xml:space="preserve">shifts to the </w:t>
      </w:r>
      <w:r w:rsidRPr="00DC1A6F">
        <w:rPr>
          <w:rFonts w:ascii="Times New Roman" w:hAnsi="Times New Roman" w:cs="Times New Roman"/>
          <w:sz w:val="26"/>
          <w:szCs w:val="26"/>
        </w:rPr>
        <w:lastRenderedPageBreak/>
        <w:t>Respondent.  If the evidence presented by the Respondent is of co-equal weight, the C</w:t>
      </w:r>
      <w:r w:rsidR="00752F82">
        <w:rPr>
          <w:rFonts w:ascii="Times New Roman" w:hAnsi="Times New Roman" w:cs="Times New Roman"/>
          <w:sz w:val="26"/>
          <w:szCs w:val="26"/>
        </w:rPr>
        <w:t>omplainant has not satisfied her</w:t>
      </w:r>
      <w:r w:rsidRPr="00DC1A6F">
        <w:rPr>
          <w:rFonts w:ascii="Times New Roman" w:hAnsi="Times New Roman" w:cs="Times New Roman"/>
          <w:sz w:val="26"/>
          <w:szCs w:val="26"/>
        </w:rPr>
        <w:t xml:space="preserve"> burden of proof. </w:t>
      </w:r>
      <w:r w:rsidR="00EC129B">
        <w:rPr>
          <w:rFonts w:ascii="Times New Roman" w:hAnsi="Times New Roman" w:cs="Times New Roman"/>
          <w:sz w:val="26"/>
          <w:szCs w:val="26"/>
        </w:rPr>
        <w:t xml:space="preserve"> </w:t>
      </w:r>
      <w:r w:rsidRPr="00DC1A6F">
        <w:rPr>
          <w:rFonts w:ascii="Times New Roman" w:hAnsi="Times New Roman" w:cs="Times New Roman"/>
          <w:sz w:val="26"/>
          <w:szCs w:val="26"/>
        </w:rPr>
        <w:t>The Complainant now has to provide some additional evidence to rebut that of the Respondent.</w:t>
      </w:r>
      <w:r w:rsidRPr="00DC1A6F">
        <w:rPr>
          <w:rFonts w:ascii="Times New Roman" w:hAnsi="Times New Roman" w:cs="Times New Roman"/>
          <w:i/>
          <w:sz w:val="26"/>
          <w:szCs w:val="26"/>
        </w:rPr>
        <w:t xml:space="preserve"> </w:t>
      </w:r>
      <w:r w:rsidRPr="00DC1A6F">
        <w:rPr>
          <w:rFonts w:ascii="Times New Roman" w:hAnsi="Times New Roman" w:cs="Times New Roman"/>
          <w:i/>
          <w:iCs/>
          <w:sz w:val="26"/>
          <w:szCs w:val="26"/>
        </w:rPr>
        <w:t xml:space="preserve"> </w:t>
      </w:r>
      <w:hyperlink r:id="rId9" w:history="1">
        <w:r w:rsidRPr="00FF4859">
          <w:rPr>
            <w:rStyle w:val="Hyperlink"/>
            <w:rFonts w:ascii="Times New Roman" w:hAnsi="Times New Roman" w:cs="Times New Roman"/>
            <w:i/>
            <w:color w:val="auto"/>
            <w:sz w:val="26"/>
            <w:szCs w:val="26"/>
            <w:u w:val="none"/>
          </w:rPr>
          <w:t>Burleson v. Pa. PUC,</w:t>
        </w:r>
        <w:r w:rsidRPr="00FF4859">
          <w:rPr>
            <w:rStyle w:val="Hyperlink"/>
            <w:rFonts w:ascii="Times New Roman" w:hAnsi="Times New Roman" w:cs="Times New Roman"/>
            <w:color w:val="auto"/>
            <w:sz w:val="26"/>
            <w:szCs w:val="26"/>
            <w:u w:val="none"/>
          </w:rPr>
          <w:t xml:space="preserve"> 443 A.2d 1373 (Pa. </w:t>
        </w:r>
        <w:proofErr w:type="spellStart"/>
        <w:r w:rsidRPr="00FF4859">
          <w:rPr>
            <w:rStyle w:val="Hyperlink"/>
            <w:rFonts w:ascii="Times New Roman" w:hAnsi="Times New Roman" w:cs="Times New Roman"/>
            <w:color w:val="auto"/>
            <w:sz w:val="26"/>
            <w:szCs w:val="26"/>
            <w:u w:val="none"/>
          </w:rPr>
          <w:t>Cmwlth</w:t>
        </w:r>
        <w:proofErr w:type="spellEnd"/>
        <w:r w:rsidRPr="00FF4859">
          <w:rPr>
            <w:rStyle w:val="Hyperlink"/>
            <w:rFonts w:ascii="Times New Roman" w:hAnsi="Times New Roman" w:cs="Times New Roman"/>
            <w:color w:val="auto"/>
            <w:sz w:val="26"/>
            <w:szCs w:val="26"/>
            <w:u w:val="none"/>
          </w:rPr>
          <w:t>. 1982)</w:t>
        </w:r>
        <w:r w:rsidR="00F56A5F">
          <w:rPr>
            <w:rStyle w:val="Hyperlink"/>
            <w:rFonts w:ascii="Times New Roman" w:hAnsi="Times New Roman" w:cs="Times New Roman"/>
            <w:color w:val="auto"/>
            <w:sz w:val="26"/>
            <w:szCs w:val="26"/>
            <w:u w:val="none"/>
          </w:rPr>
          <w:t>,</w:t>
        </w:r>
        <w:r w:rsidRPr="00FF4859">
          <w:rPr>
            <w:rStyle w:val="Hyperlink"/>
            <w:rFonts w:ascii="Times New Roman" w:hAnsi="Times New Roman" w:cs="Times New Roman"/>
            <w:i/>
            <w:color w:val="auto"/>
            <w:sz w:val="26"/>
            <w:szCs w:val="26"/>
            <w:u w:val="none"/>
          </w:rPr>
          <w:t xml:space="preserve"> </w:t>
        </w:r>
        <w:proofErr w:type="spellStart"/>
        <w:r w:rsidRPr="00FF4859">
          <w:rPr>
            <w:rStyle w:val="Hyperlink"/>
            <w:rFonts w:ascii="Times New Roman" w:hAnsi="Times New Roman" w:cs="Times New Roman"/>
            <w:i/>
            <w:color w:val="auto"/>
            <w:sz w:val="26"/>
            <w:szCs w:val="26"/>
            <w:u w:val="none"/>
          </w:rPr>
          <w:t>aff’d</w:t>
        </w:r>
        <w:proofErr w:type="spellEnd"/>
        <w:r w:rsidRPr="00FF4859">
          <w:rPr>
            <w:rStyle w:val="Hyperlink"/>
            <w:rFonts w:ascii="Times New Roman" w:hAnsi="Times New Roman" w:cs="Times New Roman"/>
            <w:color w:val="auto"/>
            <w:sz w:val="26"/>
            <w:szCs w:val="26"/>
            <w:u w:val="none"/>
          </w:rPr>
          <w:t>, 501 Pa. 433, 461 A.2d 1234 (1983).</w:t>
        </w:r>
      </w:hyperlink>
    </w:p>
    <w:p w:rsidR="0096621B" w:rsidRPr="00DC1A6F" w:rsidRDefault="0096621B" w:rsidP="0096621B">
      <w:pPr>
        <w:spacing w:line="360" w:lineRule="auto"/>
        <w:ind w:firstLine="1440"/>
        <w:rPr>
          <w:rFonts w:ascii="Times New Roman" w:hAnsi="Times New Roman" w:cs="Times New Roman"/>
          <w:sz w:val="26"/>
          <w:szCs w:val="26"/>
        </w:rPr>
      </w:pPr>
    </w:p>
    <w:p w:rsidR="0096621B" w:rsidRPr="00DC1A6F" w:rsidRDefault="0096621B" w:rsidP="0096621B">
      <w:pPr>
        <w:keepNext/>
        <w:spacing w:line="360" w:lineRule="auto"/>
        <w:ind w:firstLine="1440"/>
        <w:rPr>
          <w:rFonts w:ascii="Times New Roman" w:hAnsi="Times New Roman" w:cs="Times New Roman"/>
          <w:i/>
          <w:sz w:val="26"/>
          <w:szCs w:val="26"/>
        </w:rPr>
      </w:pPr>
      <w:r w:rsidRPr="00DC1A6F">
        <w:rPr>
          <w:rFonts w:ascii="Times New Roman" w:hAnsi="Times New Roman" w:cs="Times New Roman"/>
          <w:sz w:val="26"/>
          <w:szCs w:val="26"/>
        </w:rPr>
        <w:t xml:space="preserve">While the burden of going forward with the evidence may </w:t>
      </w:r>
      <w:r w:rsidRPr="00DC1A6F">
        <w:rPr>
          <w:rStyle w:val="term1"/>
          <w:rFonts w:ascii="Times New Roman" w:hAnsi="Times New Roman" w:cs="Times New Roman"/>
          <w:b w:val="0"/>
          <w:sz w:val="26"/>
          <w:szCs w:val="26"/>
        </w:rPr>
        <w:t>shift</w:t>
      </w:r>
      <w:r w:rsidRPr="00DC1A6F">
        <w:rPr>
          <w:rFonts w:ascii="Times New Roman" w:hAnsi="Times New Roman" w:cs="Times New Roman"/>
          <w:sz w:val="26"/>
          <w:szCs w:val="26"/>
        </w:rPr>
        <w:t xml:space="preserve"> back and forth during a proceeding, the </w:t>
      </w:r>
      <w:r w:rsidRPr="00DC1A6F">
        <w:rPr>
          <w:rStyle w:val="term1"/>
          <w:rFonts w:ascii="Times New Roman" w:hAnsi="Times New Roman" w:cs="Times New Roman"/>
          <w:b w:val="0"/>
          <w:sz w:val="26"/>
          <w:szCs w:val="26"/>
        </w:rPr>
        <w:t>burden of proof</w:t>
      </w:r>
      <w:r w:rsidRPr="00DC1A6F">
        <w:rPr>
          <w:rFonts w:ascii="Times New Roman" w:hAnsi="Times New Roman" w:cs="Times New Roman"/>
          <w:sz w:val="26"/>
          <w:szCs w:val="26"/>
        </w:rPr>
        <w:t xml:space="preserve"> never </w:t>
      </w:r>
      <w:r w:rsidRPr="00DC1A6F">
        <w:rPr>
          <w:rStyle w:val="term1"/>
          <w:rFonts w:ascii="Times New Roman" w:hAnsi="Times New Roman" w:cs="Times New Roman"/>
          <w:b w:val="0"/>
          <w:sz w:val="26"/>
          <w:szCs w:val="26"/>
        </w:rPr>
        <w:t xml:space="preserve">shifts. </w:t>
      </w:r>
      <w:r w:rsidR="00EC129B">
        <w:rPr>
          <w:rStyle w:val="term1"/>
          <w:rFonts w:ascii="Times New Roman" w:hAnsi="Times New Roman" w:cs="Times New Roman"/>
          <w:b w:val="0"/>
          <w:sz w:val="26"/>
          <w:szCs w:val="26"/>
        </w:rPr>
        <w:t xml:space="preserve"> </w:t>
      </w:r>
      <w:r w:rsidRPr="00DC1A6F">
        <w:rPr>
          <w:rStyle w:val="term1"/>
          <w:rFonts w:ascii="Times New Roman" w:hAnsi="Times New Roman" w:cs="Times New Roman"/>
          <w:b w:val="0"/>
          <w:sz w:val="26"/>
          <w:szCs w:val="26"/>
        </w:rPr>
        <w:t>The burden of proof</w:t>
      </w:r>
      <w:r w:rsidRPr="00DC1A6F">
        <w:rPr>
          <w:rFonts w:ascii="Times New Roman" w:hAnsi="Times New Roman" w:cs="Times New Roman"/>
          <w:sz w:val="26"/>
          <w:szCs w:val="26"/>
        </w:rPr>
        <w:t xml:space="preserve"> always remains on the party seeking affirmative relief from the Commission.  </w:t>
      </w:r>
      <w:proofErr w:type="spellStart"/>
      <w:proofErr w:type="gramStart"/>
      <w:r w:rsidRPr="00DC1A6F">
        <w:rPr>
          <w:rFonts w:ascii="Times New Roman" w:hAnsi="Times New Roman" w:cs="Times New Roman"/>
          <w:i/>
          <w:sz w:val="26"/>
          <w:szCs w:val="26"/>
        </w:rPr>
        <w:t>Milkie</w:t>
      </w:r>
      <w:proofErr w:type="spellEnd"/>
      <w:r w:rsidRPr="00DC1A6F">
        <w:rPr>
          <w:rFonts w:ascii="Times New Roman" w:hAnsi="Times New Roman" w:cs="Times New Roman"/>
          <w:i/>
          <w:sz w:val="26"/>
          <w:szCs w:val="26"/>
        </w:rPr>
        <w:t xml:space="preserve"> v. Pa. PUC, </w:t>
      </w:r>
      <w:r w:rsidRPr="00DC1A6F">
        <w:rPr>
          <w:rFonts w:ascii="Times New Roman" w:hAnsi="Times New Roman" w:cs="Times New Roman"/>
          <w:sz w:val="26"/>
          <w:szCs w:val="26"/>
        </w:rPr>
        <w:t xml:space="preserve">768 A.2d 1217 (Pa. </w:t>
      </w:r>
      <w:proofErr w:type="spellStart"/>
      <w:r w:rsidRPr="00DC1A6F">
        <w:rPr>
          <w:rFonts w:ascii="Times New Roman" w:hAnsi="Times New Roman" w:cs="Times New Roman"/>
          <w:sz w:val="26"/>
          <w:szCs w:val="26"/>
        </w:rPr>
        <w:t>Cmwlth</w:t>
      </w:r>
      <w:proofErr w:type="spellEnd"/>
      <w:r w:rsidRPr="00DC1A6F">
        <w:rPr>
          <w:rFonts w:ascii="Times New Roman" w:hAnsi="Times New Roman" w:cs="Times New Roman"/>
          <w:sz w:val="26"/>
          <w:szCs w:val="26"/>
        </w:rPr>
        <w:t>. 2001).</w:t>
      </w:r>
      <w:proofErr w:type="gramEnd"/>
    </w:p>
    <w:p w:rsidR="0096621B" w:rsidRPr="00DC1A6F" w:rsidRDefault="0096621B" w:rsidP="0096621B">
      <w:pPr>
        <w:spacing w:line="360" w:lineRule="auto"/>
        <w:rPr>
          <w:rFonts w:ascii="Times New Roman" w:hAnsi="Times New Roman" w:cs="Times New Roman"/>
          <w:i/>
          <w:sz w:val="26"/>
          <w:szCs w:val="26"/>
        </w:rPr>
      </w:pPr>
    </w:p>
    <w:p w:rsidR="0096621B" w:rsidRDefault="00FF4859" w:rsidP="0096621B">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ALJ </w:t>
      </w:r>
      <w:proofErr w:type="spellStart"/>
      <w:r>
        <w:rPr>
          <w:rFonts w:ascii="Times New Roman" w:hAnsi="Times New Roman" w:cs="Times New Roman"/>
          <w:sz w:val="26"/>
          <w:szCs w:val="26"/>
        </w:rPr>
        <w:t>Cheskis</w:t>
      </w:r>
      <w:proofErr w:type="spellEnd"/>
      <w:r>
        <w:rPr>
          <w:rFonts w:ascii="Times New Roman" w:hAnsi="Times New Roman" w:cs="Times New Roman"/>
          <w:sz w:val="26"/>
          <w:szCs w:val="26"/>
        </w:rPr>
        <w:t xml:space="preserve"> made fifty</w:t>
      </w:r>
      <w:r w:rsidR="0096621B" w:rsidRPr="00DC1A6F">
        <w:rPr>
          <w:rFonts w:ascii="Times New Roman" w:hAnsi="Times New Roman" w:cs="Times New Roman"/>
          <w:sz w:val="26"/>
          <w:szCs w:val="26"/>
        </w:rPr>
        <w:t xml:space="preserve"> </w:t>
      </w:r>
      <w:r>
        <w:rPr>
          <w:rFonts w:ascii="Times New Roman" w:hAnsi="Times New Roman" w:cs="Times New Roman"/>
          <w:sz w:val="26"/>
          <w:szCs w:val="26"/>
        </w:rPr>
        <w:t>Findings of Fact and reached twelve</w:t>
      </w:r>
      <w:r w:rsidR="0096621B" w:rsidRPr="00DC1A6F">
        <w:rPr>
          <w:rFonts w:ascii="Times New Roman" w:hAnsi="Times New Roman" w:cs="Times New Roman"/>
          <w:sz w:val="26"/>
          <w:szCs w:val="26"/>
        </w:rPr>
        <w:t xml:space="preserve"> Conclusions of Law.  </w:t>
      </w:r>
      <w:r>
        <w:rPr>
          <w:rFonts w:ascii="Times New Roman" w:hAnsi="Times New Roman" w:cs="Times New Roman"/>
          <w:sz w:val="26"/>
          <w:szCs w:val="26"/>
        </w:rPr>
        <w:t xml:space="preserve">I.D. at 3-8, 24-25.  </w:t>
      </w:r>
      <w:r w:rsidR="0096621B" w:rsidRPr="00DC1A6F">
        <w:rPr>
          <w:rFonts w:ascii="Times New Roman" w:hAnsi="Times New Roman" w:cs="Times New Roman"/>
          <w:sz w:val="26"/>
          <w:szCs w:val="26"/>
        </w:rPr>
        <w:t>The Findings of Fact and Conclusions of Law are incorporated herein by reference and are adopted without comment unless they are either expressly or by necessary implication rejected or modified by this Opinion and Order.</w:t>
      </w:r>
    </w:p>
    <w:p w:rsidR="00FF4859" w:rsidRPr="00DC1A6F" w:rsidRDefault="00FF4859" w:rsidP="0096621B">
      <w:pPr>
        <w:spacing w:line="360" w:lineRule="auto"/>
        <w:ind w:firstLine="1440"/>
        <w:rPr>
          <w:rFonts w:ascii="Times New Roman" w:hAnsi="Times New Roman" w:cs="Times New Roman"/>
          <w:sz w:val="26"/>
          <w:szCs w:val="26"/>
        </w:rPr>
      </w:pPr>
    </w:p>
    <w:p w:rsidR="0096621B" w:rsidRPr="00FF4859" w:rsidRDefault="0096621B" w:rsidP="0096621B">
      <w:pPr>
        <w:spacing w:line="360" w:lineRule="auto"/>
        <w:ind w:firstLine="720"/>
        <w:rPr>
          <w:rFonts w:ascii="Times New Roman" w:hAnsi="Times New Roman" w:cs="Times New Roman"/>
          <w:sz w:val="26"/>
          <w:szCs w:val="26"/>
        </w:rPr>
      </w:pPr>
      <w:r w:rsidRPr="00DC1A6F">
        <w:rPr>
          <w:rFonts w:ascii="Times New Roman" w:hAnsi="Times New Roman" w:cs="Times New Roman"/>
          <w:sz w:val="26"/>
          <w:szCs w:val="26"/>
        </w:rPr>
        <w:t xml:space="preserve"> </w:t>
      </w:r>
      <w:r w:rsidRPr="00DC1A6F">
        <w:rPr>
          <w:rFonts w:ascii="Times New Roman" w:hAnsi="Times New Roman" w:cs="Times New Roman"/>
          <w:sz w:val="26"/>
          <w:szCs w:val="26"/>
        </w:rPr>
        <w:tab/>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proofErr w:type="gramStart"/>
      <w:r w:rsidRPr="00DC1A6F">
        <w:rPr>
          <w:rStyle w:val="Emphasis"/>
          <w:rFonts w:ascii="Times New Roman" w:hAnsi="Times New Roman" w:cs="Times New Roman"/>
          <w:color w:val="000000"/>
          <w:sz w:val="26"/>
          <w:szCs w:val="26"/>
        </w:rPr>
        <w:t xml:space="preserve">Consolidated Rail Corporation v. Pa. PUC, </w:t>
      </w:r>
      <w:r w:rsidRPr="00FF4859">
        <w:rPr>
          <w:rFonts w:ascii="Times New Roman" w:hAnsi="Times New Roman" w:cs="Times New Roman"/>
          <w:sz w:val="26"/>
          <w:szCs w:val="26"/>
        </w:rPr>
        <w:t xml:space="preserve">625 A.2d 741 (Pa. </w:t>
      </w:r>
      <w:proofErr w:type="spellStart"/>
      <w:r w:rsidRPr="00FF4859">
        <w:rPr>
          <w:rFonts w:ascii="Times New Roman" w:hAnsi="Times New Roman" w:cs="Times New Roman"/>
          <w:sz w:val="26"/>
          <w:szCs w:val="26"/>
        </w:rPr>
        <w:t>Cmwlth</w:t>
      </w:r>
      <w:proofErr w:type="spellEnd"/>
      <w:r w:rsidRPr="00FF4859">
        <w:rPr>
          <w:rFonts w:ascii="Times New Roman" w:hAnsi="Times New Roman" w:cs="Times New Roman"/>
          <w:sz w:val="26"/>
          <w:szCs w:val="26"/>
        </w:rPr>
        <w:t>. 1993)</w:t>
      </w:r>
      <w:r w:rsidR="00FF4859">
        <w:rPr>
          <w:rFonts w:ascii="Times New Roman" w:hAnsi="Times New Roman" w:cs="Times New Roman"/>
          <w:sz w:val="26"/>
          <w:szCs w:val="26"/>
        </w:rPr>
        <w:t xml:space="preserve">; </w:t>
      </w:r>
      <w:r w:rsidRPr="00DC1A6F">
        <w:rPr>
          <w:rFonts w:ascii="Times New Roman" w:hAnsi="Times New Roman" w:cs="Times New Roman"/>
          <w:i/>
          <w:color w:val="000000"/>
          <w:sz w:val="26"/>
          <w:szCs w:val="26"/>
        </w:rPr>
        <w:t xml:space="preserve">also </w:t>
      </w:r>
      <w:r w:rsidRPr="00DC1A6F">
        <w:rPr>
          <w:rStyle w:val="Emphasis"/>
          <w:rFonts w:ascii="Times New Roman" w:hAnsi="Times New Roman" w:cs="Times New Roman"/>
          <w:color w:val="000000"/>
          <w:sz w:val="26"/>
          <w:szCs w:val="26"/>
        </w:rPr>
        <w:t>see, generally, University of Pennsyl</w:t>
      </w:r>
      <w:r w:rsidRPr="00DC1A6F">
        <w:rPr>
          <w:rStyle w:val="Emphasis"/>
          <w:rFonts w:ascii="Times New Roman" w:hAnsi="Times New Roman" w:cs="Times New Roman"/>
          <w:color w:val="000000"/>
          <w:sz w:val="26"/>
          <w:szCs w:val="26"/>
        </w:rPr>
        <w:softHyphen/>
        <w:t>vania v. Pa. PUC</w:t>
      </w:r>
      <w:r w:rsidRPr="00FF4859">
        <w:rPr>
          <w:rFonts w:ascii="Times New Roman" w:hAnsi="Times New Roman" w:cs="Times New Roman"/>
          <w:sz w:val="26"/>
          <w:szCs w:val="26"/>
        </w:rPr>
        <w:t xml:space="preserve">, 485 A.2d 1217 (Pa. </w:t>
      </w:r>
      <w:proofErr w:type="spellStart"/>
      <w:r w:rsidRPr="00FF4859">
        <w:rPr>
          <w:rFonts w:ascii="Times New Roman" w:hAnsi="Times New Roman" w:cs="Times New Roman"/>
          <w:sz w:val="26"/>
          <w:szCs w:val="26"/>
        </w:rPr>
        <w:t>Cmwlth</w:t>
      </w:r>
      <w:proofErr w:type="spellEnd"/>
      <w:r w:rsidRPr="00FF4859">
        <w:rPr>
          <w:rFonts w:ascii="Times New Roman" w:hAnsi="Times New Roman" w:cs="Times New Roman"/>
          <w:sz w:val="26"/>
          <w:szCs w:val="26"/>
        </w:rPr>
        <w:t>. 1984).</w:t>
      </w:r>
      <w:proofErr w:type="gramEnd"/>
    </w:p>
    <w:p w:rsidR="00ED7F0B" w:rsidRPr="00DC1A6F" w:rsidRDefault="00ED7F0B" w:rsidP="0096621B">
      <w:pPr>
        <w:spacing w:line="360" w:lineRule="auto"/>
        <w:rPr>
          <w:rFonts w:ascii="Times New Roman" w:hAnsi="Times New Roman" w:cs="Times New Roman"/>
          <w:sz w:val="26"/>
          <w:szCs w:val="26"/>
        </w:rPr>
      </w:pPr>
    </w:p>
    <w:p w:rsidR="0096621B" w:rsidRPr="00DC1A6F" w:rsidRDefault="0096621B" w:rsidP="0096621B">
      <w:pPr>
        <w:spacing w:line="360" w:lineRule="auto"/>
        <w:rPr>
          <w:rFonts w:ascii="Times New Roman" w:hAnsi="Times New Roman" w:cs="Times New Roman"/>
          <w:b/>
          <w:sz w:val="26"/>
          <w:szCs w:val="26"/>
        </w:rPr>
      </w:pPr>
      <w:r w:rsidRPr="00DC1A6F">
        <w:rPr>
          <w:rFonts w:ascii="Times New Roman" w:hAnsi="Times New Roman" w:cs="Times New Roman"/>
          <w:b/>
          <w:sz w:val="26"/>
          <w:szCs w:val="26"/>
        </w:rPr>
        <w:t>Background</w:t>
      </w:r>
    </w:p>
    <w:p w:rsidR="00817B3F" w:rsidRDefault="00817B3F" w:rsidP="00817B3F">
      <w:pPr>
        <w:pStyle w:val="ParaTab1"/>
        <w:spacing w:line="360" w:lineRule="auto"/>
        <w:ind w:firstLine="0"/>
        <w:rPr>
          <w:rFonts w:ascii="Times New Roman" w:hAnsi="Times New Roman" w:cs="Times New Roman"/>
          <w:b/>
          <w:sz w:val="26"/>
          <w:szCs w:val="26"/>
        </w:rPr>
      </w:pPr>
    </w:p>
    <w:p w:rsidR="00016FCF" w:rsidRDefault="00F56A5F" w:rsidP="0013734A">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According to the Complainant’s testimony, t</w:t>
      </w:r>
      <w:r w:rsidR="00F953F3">
        <w:rPr>
          <w:rFonts w:ascii="Times New Roman" w:hAnsi="Times New Roman" w:cs="Times New Roman"/>
          <w:spacing w:val="-3"/>
          <w:sz w:val="26"/>
          <w:szCs w:val="26"/>
        </w:rPr>
        <w:t xml:space="preserve">he </w:t>
      </w:r>
      <w:r w:rsidR="00817B3F">
        <w:rPr>
          <w:rFonts w:ascii="Times New Roman" w:hAnsi="Times New Roman" w:cs="Times New Roman"/>
          <w:spacing w:val="-3"/>
          <w:sz w:val="26"/>
          <w:szCs w:val="26"/>
        </w:rPr>
        <w:t>Complainant’</w:t>
      </w:r>
      <w:r w:rsidR="00F953F3">
        <w:rPr>
          <w:rFonts w:ascii="Times New Roman" w:hAnsi="Times New Roman" w:cs="Times New Roman"/>
          <w:spacing w:val="-3"/>
          <w:sz w:val="26"/>
          <w:szCs w:val="26"/>
        </w:rPr>
        <w:t>s f</w:t>
      </w:r>
      <w:r w:rsidR="00752F82">
        <w:rPr>
          <w:rFonts w:ascii="Times New Roman" w:hAnsi="Times New Roman" w:cs="Times New Roman"/>
          <w:spacing w:val="-3"/>
          <w:sz w:val="26"/>
          <w:szCs w:val="26"/>
        </w:rPr>
        <w:t>ather passed away in 1969.  T</w:t>
      </w:r>
      <w:r w:rsidR="00817B3F">
        <w:rPr>
          <w:rFonts w:ascii="Times New Roman" w:hAnsi="Times New Roman" w:cs="Times New Roman"/>
          <w:spacing w:val="-3"/>
          <w:sz w:val="26"/>
          <w:szCs w:val="26"/>
        </w:rPr>
        <w:t xml:space="preserve">he Complainant’s </w:t>
      </w:r>
      <w:r w:rsidR="00F953F3">
        <w:rPr>
          <w:rFonts w:ascii="Times New Roman" w:hAnsi="Times New Roman" w:cs="Times New Roman"/>
          <w:spacing w:val="-3"/>
          <w:sz w:val="26"/>
          <w:szCs w:val="26"/>
        </w:rPr>
        <w:t>mother</w:t>
      </w:r>
      <w:r w:rsidR="00E21D3A">
        <w:rPr>
          <w:rFonts w:ascii="Times New Roman" w:hAnsi="Times New Roman" w:cs="Times New Roman"/>
          <w:spacing w:val="-3"/>
          <w:sz w:val="26"/>
          <w:szCs w:val="26"/>
        </w:rPr>
        <w:t xml:space="preserve">, Shirley </w:t>
      </w:r>
      <w:proofErr w:type="spellStart"/>
      <w:r w:rsidR="00E21D3A">
        <w:rPr>
          <w:rFonts w:ascii="Times New Roman" w:hAnsi="Times New Roman" w:cs="Times New Roman"/>
          <w:spacing w:val="-3"/>
          <w:sz w:val="26"/>
          <w:szCs w:val="26"/>
        </w:rPr>
        <w:t>Asencio</w:t>
      </w:r>
      <w:proofErr w:type="spellEnd"/>
      <w:r w:rsidR="00E21D3A">
        <w:rPr>
          <w:rFonts w:ascii="Times New Roman" w:hAnsi="Times New Roman" w:cs="Times New Roman"/>
          <w:spacing w:val="-3"/>
          <w:sz w:val="26"/>
          <w:szCs w:val="26"/>
        </w:rPr>
        <w:t>,</w:t>
      </w:r>
      <w:r w:rsidR="00F953F3">
        <w:rPr>
          <w:rFonts w:ascii="Times New Roman" w:hAnsi="Times New Roman" w:cs="Times New Roman"/>
          <w:spacing w:val="-3"/>
          <w:sz w:val="26"/>
          <w:szCs w:val="26"/>
        </w:rPr>
        <w:t xml:space="preserve"> purchased the residence</w:t>
      </w:r>
      <w:r w:rsidR="00817B3F" w:rsidRPr="00DC1A6F">
        <w:rPr>
          <w:rFonts w:ascii="Times New Roman" w:hAnsi="Times New Roman" w:cs="Times New Roman"/>
          <w:spacing w:val="-3"/>
          <w:sz w:val="26"/>
          <w:szCs w:val="26"/>
        </w:rPr>
        <w:t xml:space="preserve"> </w:t>
      </w:r>
      <w:r w:rsidR="0020646D">
        <w:rPr>
          <w:rFonts w:ascii="Times New Roman" w:hAnsi="Times New Roman" w:cs="Times New Roman"/>
          <w:spacing w:val="-3"/>
          <w:sz w:val="26"/>
          <w:szCs w:val="26"/>
        </w:rPr>
        <w:t xml:space="preserve">in question </w:t>
      </w:r>
      <w:r w:rsidR="00EA0FA7">
        <w:rPr>
          <w:rFonts w:ascii="Times New Roman" w:hAnsi="Times New Roman" w:cs="Times New Roman"/>
          <w:spacing w:val="-3"/>
          <w:sz w:val="26"/>
          <w:szCs w:val="26"/>
        </w:rPr>
        <w:t xml:space="preserve">five years later </w:t>
      </w:r>
      <w:r w:rsidR="00817B3F" w:rsidRPr="00DC1A6F">
        <w:rPr>
          <w:rFonts w:ascii="Times New Roman" w:hAnsi="Times New Roman" w:cs="Times New Roman"/>
          <w:spacing w:val="-3"/>
          <w:sz w:val="26"/>
          <w:szCs w:val="26"/>
        </w:rPr>
        <w:t>in 1974</w:t>
      </w:r>
      <w:r w:rsidR="00F953F3">
        <w:rPr>
          <w:rFonts w:ascii="Times New Roman" w:hAnsi="Times New Roman" w:cs="Times New Roman"/>
          <w:spacing w:val="-3"/>
          <w:sz w:val="26"/>
          <w:szCs w:val="26"/>
        </w:rPr>
        <w:t>.</w:t>
      </w:r>
      <w:r w:rsidR="00E7437D">
        <w:rPr>
          <w:rStyle w:val="FootnoteReference"/>
          <w:rFonts w:ascii="Times New Roman" w:hAnsi="Times New Roman" w:cs="Times New Roman"/>
          <w:spacing w:val="-3"/>
          <w:sz w:val="26"/>
          <w:szCs w:val="26"/>
        </w:rPr>
        <w:footnoteReference w:id="3"/>
      </w:r>
      <w:r w:rsidR="00F953F3">
        <w:rPr>
          <w:rFonts w:ascii="Times New Roman" w:hAnsi="Times New Roman" w:cs="Times New Roman"/>
          <w:spacing w:val="-3"/>
          <w:sz w:val="26"/>
          <w:szCs w:val="26"/>
        </w:rPr>
        <w:t xml:space="preserve">  </w:t>
      </w:r>
      <w:r>
        <w:rPr>
          <w:rFonts w:ascii="Times New Roman" w:hAnsi="Times New Roman" w:cs="Times New Roman"/>
          <w:spacing w:val="-3"/>
          <w:sz w:val="26"/>
          <w:szCs w:val="26"/>
        </w:rPr>
        <w:t xml:space="preserve">Tr. at 7-8.  </w:t>
      </w:r>
      <w:r w:rsidR="0013734A">
        <w:rPr>
          <w:rFonts w:ascii="Times New Roman" w:hAnsi="Times New Roman" w:cs="Times New Roman"/>
          <w:spacing w:val="-3"/>
          <w:sz w:val="26"/>
          <w:szCs w:val="26"/>
        </w:rPr>
        <w:t>T</w:t>
      </w:r>
      <w:r w:rsidR="00F953F3">
        <w:rPr>
          <w:rFonts w:ascii="Times New Roman" w:hAnsi="Times New Roman" w:cs="Times New Roman"/>
          <w:spacing w:val="-3"/>
          <w:sz w:val="26"/>
          <w:szCs w:val="26"/>
        </w:rPr>
        <w:t xml:space="preserve">he residence </w:t>
      </w:r>
      <w:r w:rsidR="00817B3F">
        <w:rPr>
          <w:rFonts w:ascii="Times New Roman" w:hAnsi="Times New Roman" w:cs="Times New Roman"/>
          <w:spacing w:val="-3"/>
          <w:sz w:val="26"/>
          <w:szCs w:val="26"/>
        </w:rPr>
        <w:t>has</w:t>
      </w:r>
      <w:r w:rsidR="00817B3F" w:rsidRPr="00DC1A6F">
        <w:rPr>
          <w:rFonts w:ascii="Times New Roman" w:hAnsi="Times New Roman" w:cs="Times New Roman"/>
          <w:spacing w:val="-3"/>
          <w:sz w:val="26"/>
          <w:szCs w:val="26"/>
        </w:rPr>
        <w:t xml:space="preserve"> not been habitable s</w:t>
      </w:r>
      <w:r w:rsidR="00F953F3">
        <w:rPr>
          <w:rFonts w:ascii="Times New Roman" w:hAnsi="Times New Roman" w:cs="Times New Roman"/>
          <w:spacing w:val="-3"/>
          <w:sz w:val="26"/>
          <w:szCs w:val="26"/>
        </w:rPr>
        <w:t xml:space="preserve">ince a </w:t>
      </w:r>
      <w:r w:rsidR="00F953F3">
        <w:rPr>
          <w:rFonts w:ascii="Times New Roman" w:hAnsi="Times New Roman" w:cs="Times New Roman"/>
          <w:spacing w:val="-3"/>
          <w:sz w:val="26"/>
          <w:szCs w:val="26"/>
        </w:rPr>
        <w:lastRenderedPageBreak/>
        <w:t xml:space="preserve">fire in 1997, </w:t>
      </w:r>
      <w:r w:rsidR="00752F82">
        <w:rPr>
          <w:rFonts w:ascii="Times New Roman" w:hAnsi="Times New Roman" w:cs="Times New Roman"/>
          <w:spacing w:val="-3"/>
          <w:sz w:val="26"/>
          <w:szCs w:val="26"/>
        </w:rPr>
        <w:t xml:space="preserve">although </w:t>
      </w:r>
      <w:r w:rsidR="00760015">
        <w:rPr>
          <w:rFonts w:ascii="Times New Roman" w:hAnsi="Times New Roman" w:cs="Times New Roman"/>
          <w:spacing w:val="-3"/>
          <w:sz w:val="26"/>
          <w:szCs w:val="26"/>
        </w:rPr>
        <w:t xml:space="preserve">the </w:t>
      </w:r>
      <w:r w:rsidR="00752F82">
        <w:rPr>
          <w:rFonts w:ascii="Times New Roman" w:hAnsi="Times New Roman" w:cs="Times New Roman"/>
          <w:spacing w:val="-3"/>
          <w:sz w:val="26"/>
          <w:szCs w:val="26"/>
        </w:rPr>
        <w:t>Complainant’s</w:t>
      </w:r>
      <w:r>
        <w:rPr>
          <w:rFonts w:ascii="Times New Roman" w:hAnsi="Times New Roman" w:cs="Times New Roman"/>
          <w:spacing w:val="-3"/>
          <w:sz w:val="26"/>
          <w:szCs w:val="26"/>
        </w:rPr>
        <w:t xml:space="preserve"> mother continued to live</w:t>
      </w:r>
      <w:r w:rsidR="00EA0FA7">
        <w:rPr>
          <w:rFonts w:ascii="Times New Roman" w:hAnsi="Times New Roman" w:cs="Times New Roman"/>
          <w:spacing w:val="-3"/>
          <w:sz w:val="26"/>
          <w:szCs w:val="26"/>
        </w:rPr>
        <w:t xml:space="preserve"> in the residence</w:t>
      </w:r>
      <w:r>
        <w:rPr>
          <w:rFonts w:ascii="Times New Roman" w:hAnsi="Times New Roman" w:cs="Times New Roman"/>
          <w:spacing w:val="-3"/>
          <w:sz w:val="26"/>
          <w:szCs w:val="26"/>
        </w:rPr>
        <w:t xml:space="preserve"> </w:t>
      </w:r>
      <w:r w:rsidR="00FC747B">
        <w:rPr>
          <w:rFonts w:ascii="Times New Roman" w:hAnsi="Times New Roman" w:cs="Times New Roman"/>
          <w:spacing w:val="-3"/>
          <w:sz w:val="26"/>
          <w:szCs w:val="26"/>
        </w:rPr>
        <w:t xml:space="preserve">until 1998.  Tr. </w:t>
      </w:r>
      <w:r>
        <w:rPr>
          <w:rFonts w:ascii="Times New Roman" w:hAnsi="Times New Roman" w:cs="Times New Roman"/>
          <w:spacing w:val="-3"/>
          <w:sz w:val="26"/>
          <w:szCs w:val="26"/>
        </w:rPr>
        <w:t>16</w:t>
      </w:r>
      <w:r w:rsidR="00FC747B">
        <w:rPr>
          <w:rFonts w:ascii="Times New Roman" w:hAnsi="Times New Roman" w:cs="Times New Roman"/>
          <w:spacing w:val="-3"/>
          <w:sz w:val="26"/>
          <w:szCs w:val="26"/>
        </w:rPr>
        <w:t>-17</w:t>
      </w:r>
      <w:r>
        <w:rPr>
          <w:rFonts w:ascii="Times New Roman" w:hAnsi="Times New Roman" w:cs="Times New Roman"/>
          <w:spacing w:val="-3"/>
          <w:sz w:val="26"/>
          <w:szCs w:val="26"/>
        </w:rPr>
        <w:t xml:space="preserve">.  </w:t>
      </w:r>
      <w:r w:rsidR="00EA0FA7">
        <w:rPr>
          <w:rFonts w:ascii="Times New Roman" w:hAnsi="Times New Roman" w:cs="Times New Roman"/>
          <w:spacing w:val="-3"/>
          <w:sz w:val="26"/>
          <w:szCs w:val="26"/>
        </w:rPr>
        <w:t xml:space="preserve">The Complainant testified that </w:t>
      </w:r>
      <w:r w:rsidR="00760015">
        <w:rPr>
          <w:rFonts w:ascii="Times New Roman" w:hAnsi="Times New Roman" w:cs="Times New Roman"/>
          <w:spacing w:val="-3"/>
          <w:sz w:val="26"/>
          <w:szCs w:val="26"/>
        </w:rPr>
        <w:t>there h</w:t>
      </w:r>
      <w:r>
        <w:rPr>
          <w:rFonts w:ascii="Times New Roman" w:hAnsi="Times New Roman" w:cs="Times New Roman"/>
          <w:spacing w:val="-3"/>
          <w:sz w:val="26"/>
          <w:szCs w:val="26"/>
        </w:rPr>
        <w:t xml:space="preserve">as </w:t>
      </w:r>
      <w:r w:rsidR="00760015">
        <w:rPr>
          <w:rFonts w:ascii="Times New Roman" w:hAnsi="Times New Roman" w:cs="Times New Roman"/>
          <w:spacing w:val="-3"/>
          <w:sz w:val="26"/>
          <w:szCs w:val="26"/>
        </w:rPr>
        <w:t xml:space="preserve">been </w:t>
      </w:r>
      <w:r>
        <w:rPr>
          <w:rFonts w:ascii="Times New Roman" w:hAnsi="Times New Roman" w:cs="Times New Roman"/>
          <w:spacing w:val="-3"/>
          <w:sz w:val="26"/>
          <w:szCs w:val="26"/>
        </w:rPr>
        <w:t>no gas, electr</w:t>
      </w:r>
      <w:r w:rsidR="00346260">
        <w:rPr>
          <w:rFonts w:ascii="Times New Roman" w:hAnsi="Times New Roman" w:cs="Times New Roman"/>
          <w:spacing w:val="-3"/>
          <w:sz w:val="26"/>
          <w:szCs w:val="26"/>
        </w:rPr>
        <w:t xml:space="preserve">ic or water service to the residence </w:t>
      </w:r>
      <w:r w:rsidR="00760015">
        <w:rPr>
          <w:rFonts w:ascii="Times New Roman" w:hAnsi="Times New Roman" w:cs="Times New Roman"/>
          <w:spacing w:val="-3"/>
          <w:sz w:val="26"/>
          <w:szCs w:val="26"/>
        </w:rPr>
        <w:t>since</w:t>
      </w:r>
      <w:r w:rsidR="00EA0FA7">
        <w:rPr>
          <w:rFonts w:ascii="Times New Roman" w:hAnsi="Times New Roman" w:cs="Times New Roman"/>
          <w:spacing w:val="-3"/>
          <w:sz w:val="26"/>
          <w:szCs w:val="26"/>
        </w:rPr>
        <w:t xml:space="preserve"> 1998</w:t>
      </w:r>
      <w:r>
        <w:rPr>
          <w:rFonts w:ascii="Times New Roman" w:hAnsi="Times New Roman" w:cs="Times New Roman"/>
          <w:spacing w:val="-3"/>
          <w:sz w:val="26"/>
          <w:szCs w:val="26"/>
        </w:rPr>
        <w:t xml:space="preserve">.  </w:t>
      </w:r>
      <w:proofErr w:type="gramStart"/>
      <w:r>
        <w:rPr>
          <w:rFonts w:ascii="Times New Roman" w:hAnsi="Times New Roman" w:cs="Times New Roman"/>
          <w:spacing w:val="-3"/>
          <w:sz w:val="26"/>
          <w:szCs w:val="26"/>
        </w:rPr>
        <w:t>Tr. at 17.</w:t>
      </w:r>
      <w:proofErr w:type="gramEnd"/>
      <w:r w:rsidR="00EA0FA7">
        <w:rPr>
          <w:rFonts w:ascii="Times New Roman" w:hAnsi="Times New Roman" w:cs="Times New Roman"/>
          <w:spacing w:val="-3"/>
          <w:sz w:val="26"/>
          <w:szCs w:val="26"/>
        </w:rPr>
        <w:t xml:space="preserve">  This testimon</w:t>
      </w:r>
      <w:r w:rsidR="00760015">
        <w:rPr>
          <w:rFonts w:ascii="Times New Roman" w:hAnsi="Times New Roman" w:cs="Times New Roman"/>
          <w:spacing w:val="-3"/>
          <w:sz w:val="26"/>
          <w:szCs w:val="26"/>
        </w:rPr>
        <w:t>y conflicts with the evidence</w:t>
      </w:r>
      <w:r w:rsidR="00EA0FA7">
        <w:rPr>
          <w:rFonts w:ascii="Times New Roman" w:hAnsi="Times New Roman" w:cs="Times New Roman"/>
          <w:spacing w:val="-3"/>
          <w:sz w:val="26"/>
          <w:szCs w:val="26"/>
        </w:rPr>
        <w:t xml:space="preserve"> provided by PGW, summarized below.</w:t>
      </w:r>
    </w:p>
    <w:p w:rsidR="00016FCF" w:rsidRDefault="00016FCF" w:rsidP="0013734A">
      <w:pPr>
        <w:pStyle w:val="ParaTab1"/>
        <w:spacing w:line="360" w:lineRule="auto"/>
        <w:rPr>
          <w:rFonts w:ascii="Times New Roman" w:hAnsi="Times New Roman" w:cs="Times New Roman"/>
          <w:spacing w:val="-3"/>
          <w:sz w:val="26"/>
          <w:szCs w:val="26"/>
        </w:rPr>
      </w:pPr>
    </w:p>
    <w:p w:rsidR="00016FCF" w:rsidRDefault="00016FCF" w:rsidP="00346260">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 xml:space="preserve">PGW’s witness testified that, prior to 1999, service was </w:t>
      </w:r>
      <w:r w:rsidR="00346260">
        <w:rPr>
          <w:rFonts w:ascii="Times New Roman" w:hAnsi="Times New Roman" w:cs="Times New Roman"/>
          <w:spacing w:val="-3"/>
          <w:sz w:val="26"/>
          <w:szCs w:val="26"/>
        </w:rPr>
        <w:t xml:space="preserve">provided </w:t>
      </w:r>
      <w:r>
        <w:rPr>
          <w:rFonts w:ascii="Times New Roman" w:hAnsi="Times New Roman" w:cs="Times New Roman"/>
          <w:spacing w:val="-3"/>
          <w:sz w:val="26"/>
          <w:szCs w:val="26"/>
        </w:rPr>
        <w:t xml:space="preserve">in the name of the Complainant’s mother, Shirley </w:t>
      </w:r>
      <w:proofErr w:type="spellStart"/>
      <w:r>
        <w:rPr>
          <w:rFonts w:ascii="Times New Roman" w:hAnsi="Times New Roman" w:cs="Times New Roman"/>
          <w:spacing w:val="-3"/>
          <w:sz w:val="26"/>
          <w:szCs w:val="26"/>
        </w:rPr>
        <w:t>Asencio</w:t>
      </w:r>
      <w:proofErr w:type="spellEnd"/>
      <w:r>
        <w:rPr>
          <w:rFonts w:ascii="Times New Roman" w:hAnsi="Times New Roman" w:cs="Times New Roman"/>
          <w:spacing w:val="-3"/>
          <w:sz w:val="26"/>
          <w:szCs w:val="26"/>
        </w:rPr>
        <w:t xml:space="preserve">.  However, after service </w:t>
      </w:r>
      <w:r w:rsidR="00760015">
        <w:rPr>
          <w:rFonts w:ascii="Times New Roman" w:hAnsi="Times New Roman" w:cs="Times New Roman"/>
          <w:spacing w:val="-3"/>
          <w:sz w:val="26"/>
          <w:szCs w:val="26"/>
        </w:rPr>
        <w:t xml:space="preserve">in the name of Shirley </w:t>
      </w:r>
      <w:proofErr w:type="spellStart"/>
      <w:r w:rsidR="00760015">
        <w:rPr>
          <w:rFonts w:ascii="Times New Roman" w:hAnsi="Times New Roman" w:cs="Times New Roman"/>
          <w:spacing w:val="-3"/>
          <w:sz w:val="26"/>
          <w:szCs w:val="26"/>
        </w:rPr>
        <w:t>Asencio</w:t>
      </w:r>
      <w:proofErr w:type="spellEnd"/>
      <w:r w:rsidR="00760015">
        <w:rPr>
          <w:rFonts w:ascii="Times New Roman" w:hAnsi="Times New Roman" w:cs="Times New Roman"/>
          <w:spacing w:val="-3"/>
          <w:sz w:val="26"/>
          <w:szCs w:val="26"/>
        </w:rPr>
        <w:t xml:space="preserve"> </w:t>
      </w:r>
      <w:r>
        <w:rPr>
          <w:rFonts w:ascii="Times New Roman" w:hAnsi="Times New Roman" w:cs="Times New Roman"/>
          <w:spacing w:val="-3"/>
          <w:sz w:val="26"/>
          <w:szCs w:val="26"/>
        </w:rPr>
        <w:t>was terminated,</w:t>
      </w:r>
      <w:r>
        <w:rPr>
          <w:rStyle w:val="FootnoteReference"/>
          <w:rFonts w:ascii="Times New Roman" w:hAnsi="Times New Roman" w:cs="Times New Roman"/>
          <w:spacing w:val="-3"/>
          <w:sz w:val="26"/>
          <w:szCs w:val="26"/>
        </w:rPr>
        <w:footnoteReference w:id="4"/>
      </w:r>
      <w:r>
        <w:rPr>
          <w:rFonts w:ascii="Times New Roman" w:hAnsi="Times New Roman" w:cs="Times New Roman"/>
          <w:spacing w:val="-3"/>
          <w:sz w:val="26"/>
          <w:szCs w:val="26"/>
        </w:rPr>
        <w:t xml:space="preserve"> a man representing himself as </w:t>
      </w:r>
      <w:proofErr w:type="spellStart"/>
      <w:r>
        <w:rPr>
          <w:rFonts w:ascii="Times New Roman" w:hAnsi="Times New Roman" w:cs="Times New Roman"/>
          <w:spacing w:val="-3"/>
          <w:sz w:val="26"/>
          <w:szCs w:val="26"/>
        </w:rPr>
        <w:t>Ovideo</w:t>
      </w:r>
      <w:proofErr w:type="spellEnd"/>
      <w:r>
        <w:rPr>
          <w:rFonts w:ascii="Times New Roman" w:hAnsi="Times New Roman" w:cs="Times New Roman"/>
          <w:spacing w:val="-3"/>
          <w:sz w:val="26"/>
          <w:szCs w:val="26"/>
        </w:rPr>
        <w:t xml:space="preserve"> </w:t>
      </w:r>
      <w:proofErr w:type="spellStart"/>
      <w:r>
        <w:rPr>
          <w:rFonts w:ascii="Times New Roman" w:hAnsi="Times New Roman" w:cs="Times New Roman"/>
          <w:spacing w:val="-3"/>
          <w:sz w:val="26"/>
          <w:szCs w:val="26"/>
        </w:rPr>
        <w:t>Asencio</w:t>
      </w:r>
      <w:proofErr w:type="spellEnd"/>
      <w:r>
        <w:rPr>
          <w:rFonts w:ascii="Times New Roman" w:hAnsi="Times New Roman" w:cs="Times New Roman"/>
          <w:spacing w:val="-3"/>
          <w:sz w:val="26"/>
          <w:szCs w:val="26"/>
        </w:rPr>
        <w:t xml:space="preserve"> applied for service in person </w:t>
      </w:r>
      <w:r w:rsidR="00760015">
        <w:rPr>
          <w:rFonts w:ascii="Times New Roman" w:hAnsi="Times New Roman" w:cs="Times New Roman"/>
          <w:spacing w:val="-3"/>
          <w:sz w:val="26"/>
          <w:szCs w:val="26"/>
        </w:rPr>
        <w:t xml:space="preserve">at PGW’s offices </w:t>
      </w:r>
      <w:r>
        <w:rPr>
          <w:rFonts w:ascii="Times New Roman" w:hAnsi="Times New Roman" w:cs="Times New Roman"/>
          <w:spacing w:val="-3"/>
          <w:sz w:val="26"/>
          <w:szCs w:val="26"/>
        </w:rPr>
        <w:t xml:space="preserve">and presented </w:t>
      </w:r>
      <w:r w:rsidR="00760015">
        <w:rPr>
          <w:rFonts w:ascii="Times New Roman" w:hAnsi="Times New Roman" w:cs="Times New Roman"/>
          <w:spacing w:val="-3"/>
          <w:sz w:val="26"/>
          <w:szCs w:val="26"/>
        </w:rPr>
        <w:t xml:space="preserve">a social security card </w:t>
      </w:r>
      <w:r>
        <w:rPr>
          <w:rFonts w:ascii="Times New Roman" w:hAnsi="Times New Roman" w:cs="Times New Roman"/>
          <w:spacing w:val="-3"/>
          <w:sz w:val="26"/>
          <w:szCs w:val="26"/>
        </w:rPr>
        <w:t xml:space="preserve">in Mr. </w:t>
      </w:r>
      <w:proofErr w:type="spellStart"/>
      <w:r>
        <w:rPr>
          <w:rFonts w:ascii="Times New Roman" w:hAnsi="Times New Roman" w:cs="Times New Roman"/>
          <w:spacing w:val="-3"/>
          <w:sz w:val="26"/>
          <w:szCs w:val="26"/>
        </w:rPr>
        <w:t>Asencio’s</w:t>
      </w:r>
      <w:proofErr w:type="spellEnd"/>
      <w:r>
        <w:rPr>
          <w:rFonts w:ascii="Times New Roman" w:hAnsi="Times New Roman" w:cs="Times New Roman"/>
          <w:spacing w:val="-3"/>
          <w:sz w:val="26"/>
          <w:szCs w:val="26"/>
        </w:rPr>
        <w:t xml:space="preserve"> name.  G</w:t>
      </w:r>
      <w:r w:rsidR="0013734A">
        <w:rPr>
          <w:rFonts w:ascii="Times New Roman" w:hAnsi="Times New Roman" w:cs="Times New Roman"/>
          <w:spacing w:val="-3"/>
          <w:sz w:val="26"/>
          <w:szCs w:val="26"/>
        </w:rPr>
        <w:t xml:space="preserve">as service </w:t>
      </w:r>
      <w:r w:rsidR="0013734A" w:rsidRPr="00DC1A6F">
        <w:rPr>
          <w:rFonts w:ascii="Times New Roman" w:hAnsi="Times New Roman" w:cs="Times New Roman"/>
          <w:spacing w:val="-3"/>
          <w:sz w:val="26"/>
          <w:szCs w:val="26"/>
        </w:rPr>
        <w:t>wa</w:t>
      </w:r>
      <w:r>
        <w:rPr>
          <w:rFonts w:ascii="Times New Roman" w:hAnsi="Times New Roman" w:cs="Times New Roman"/>
          <w:spacing w:val="-3"/>
          <w:sz w:val="26"/>
          <w:szCs w:val="26"/>
        </w:rPr>
        <w:t xml:space="preserve">s established </w:t>
      </w:r>
      <w:r w:rsidR="000E43C8">
        <w:rPr>
          <w:rFonts w:ascii="Times New Roman" w:hAnsi="Times New Roman" w:cs="Times New Roman"/>
          <w:spacing w:val="-3"/>
          <w:sz w:val="26"/>
          <w:szCs w:val="26"/>
        </w:rPr>
        <w:t>on October 22</w:t>
      </w:r>
      <w:r w:rsidR="0013734A">
        <w:rPr>
          <w:rFonts w:ascii="Times New Roman" w:hAnsi="Times New Roman" w:cs="Times New Roman"/>
          <w:spacing w:val="-3"/>
          <w:sz w:val="26"/>
          <w:szCs w:val="26"/>
        </w:rPr>
        <w:t>, 1999</w:t>
      </w:r>
      <w:r>
        <w:rPr>
          <w:rFonts w:ascii="Times New Roman" w:hAnsi="Times New Roman" w:cs="Times New Roman"/>
          <w:spacing w:val="-3"/>
          <w:sz w:val="26"/>
          <w:szCs w:val="26"/>
        </w:rPr>
        <w:t xml:space="preserve">, in the name of </w:t>
      </w:r>
      <w:proofErr w:type="spellStart"/>
      <w:r>
        <w:rPr>
          <w:rFonts w:ascii="Times New Roman" w:hAnsi="Times New Roman" w:cs="Times New Roman"/>
          <w:spacing w:val="-3"/>
          <w:sz w:val="26"/>
          <w:szCs w:val="26"/>
        </w:rPr>
        <w:t>Ovideo</w:t>
      </w:r>
      <w:proofErr w:type="spellEnd"/>
      <w:r>
        <w:rPr>
          <w:rFonts w:ascii="Times New Roman" w:hAnsi="Times New Roman" w:cs="Times New Roman"/>
          <w:spacing w:val="-3"/>
          <w:sz w:val="26"/>
          <w:szCs w:val="26"/>
        </w:rPr>
        <w:t xml:space="preserve"> </w:t>
      </w:r>
      <w:proofErr w:type="spellStart"/>
      <w:r>
        <w:rPr>
          <w:rFonts w:ascii="Times New Roman" w:hAnsi="Times New Roman" w:cs="Times New Roman"/>
          <w:spacing w:val="-3"/>
          <w:sz w:val="26"/>
          <w:szCs w:val="26"/>
        </w:rPr>
        <w:t>Asencio</w:t>
      </w:r>
      <w:proofErr w:type="spellEnd"/>
      <w:r w:rsidR="0013734A">
        <w:rPr>
          <w:rFonts w:ascii="Times New Roman" w:hAnsi="Times New Roman" w:cs="Times New Roman"/>
          <w:spacing w:val="-3"/>
          <w:sz w:val="26"/>
          <w:szCs w:val="26"/>
        </w:rPr>
        <w:t>.</w:t>
      </w:r>
      <w:r>
        <w:rPr>
          <w:rFonts w:ascii="Times New Roman" w:hAnsi="Times New Roman" w:cs="Times New Roman"/>
          <w:spacing w:val="-3"/>
          <w:sz w:val="26"/>
          <w:szCs w:val="26"/>
        </w:rPr>
        <w:t xml:space="preserve">   Tr. 31-32</w:t>
      </w:r>
      <w:r w:rsidR="00EA0FA7">
        <w:rPr>
          <w:rFonts w:ascii="Times New Roman" w:hAnsi="Times New Roman" w:cs="Times New Roman"/>
          <w:spacing w:val="-3"/>
          <w:sz w:val="26"/>
          <w:szCs w:val="26"/>
        </w:rPr>
        <w:t xml:space="preserve">.  The </w:t>
      </w:r>
      <w:r w:rsidR="00760015">
        <w:rPr>
          <w:rFonts w:ascii="Times New Roman" w:hAnsi="Times New Roman" w:cs="Times New Roman"/>
          <w:spacing w:val="-3"/>
          <w:sz w:val="26"/>
          <w:szCs w:val="26"/>
        </w:rPr>
        <w:t xml:space="preserve">subsequent </w:t>
      </w:r>
      <w:r w:rsidR="00EA0FA7">
        <w:rPr>
          <w:rFonts w:ascii="Times New Roman" w:hAnsi="Times New Roman" w:cs="Times New Roman"/>
          <w:spacing w:val="-3"/>
          <w:sz w:val="26"/>
          <w:szCs w:val="26"/>
        </w:rPr>
        <w:t xml:space="preserve">usage pattern </w:t>
      </w:r>
      <w:r w:rsidR="00416CDC">
        <w:rPr>
          <w:rFonts w:ascii="Times New Roman" w:hAnsi="Times New Roman" w:cs="Times New Roman"/>
          <w:spacing w:val="-3"/>
          <w:sz w:val="26"/>
          <w:szCs w:val="26"/>
        </w:rPr>
        <w:t xml:space="preserve">over the next five years </w:t>
      </w:r>
      <w:r w:rsidR="00EA0FA7">
        <w:rPr>
          <w:rFonts w:ascii="Times New Roman" w:hAnsi="Times New Roman" w:cs="Times New Roman"/>
          <w:spacing w:val="-3"/>
          <w:sz w:val="26"/>
          <w:szCs w:val="26"/>
        </w:rPr>
        <w:t>indicated that the residence was occupied, and PGW received four payments on the account bet</w:t>
      </w:r>
      <w:r w:rsidR="00FC747B">
        <w:rPr>
          <w:rFonts w:ascii="Times New Roman" w:hAnsi="Times New Roman" w:cs="Times New Roman"/>
          <w:spacing w:val="-3"/>
          <w:sz w:val="26"/>
          <w:szCs w:val="26"/>
        </w:rPr>
        <w:t xml:space="preserve">ween 2000 and 2003.  </w:t>
      </w:r>
      <w:proofErr w:type="gramStart"/>
      <w:r w:rsidR="00FC747B">
        <w:rPr>
          <w:rFonts w:ascii="Times New Roman" w:hAnsi="Times New Roman" w:cs="Times New Roman"/>
          <w:spacing w:val="-3"/>
          <w:sz w:val="26"/>
          <w:szCs w:val="26"/>
        </w:rPr>
        <w:t>Tr. at 27-</w:t>
      </w:r>
      <w:r w:rsidR="00EA0FA7">
        <w:rPr>
          <w:rFonts w:ascii="Times New Roman" w:hAnsi="Times New Roman" w:cs="Times New Roman"/>
          <w:spacing w:val="-3"/>
          <w:sz w:val="26"/>
          <w:szCs w:val="26"/>
        </w:rPr>
        <w:t>30</w:t>
      </w:r>
      <w:r w:rsidR="000E43C8">
        <w:rPr>
          <w:rFonts w:ascii="Times New Roman" w:hAnsi="Times New Roman" w:cs="Times New Roman"/>
          <w:spacing w:val="-3"/>
          <w:sz w:val="26"/>
          <w:szCs w:val="26"/>
        </w:rPr>
        <w:t>, 34</w:t>
      </w:r>
      <w:r w:rsidR="00EA0FA7">
        <w:rPr>
          <w:rFonts w:ascii="Times New Roman" w:hAnsi="Times New Roman" w:cs="Times New Roman"/>
          <w:spacing w:val="-3"/>
          <w:sz w:val="26"/>
          <w:szCs w:val="26"/>
        </w:rPr>
        <w:t>.</w:t>
      </w:r>
      <w:proofErr w:type="gramEnd"/>
    </w:p>
    <w:p w:rsidR="00F953F3" w:rsidRDefault="00F953F3" w:rsidP="00817B3F">
      <w:pPr>
        <w:pStyle w:val="ParaTab1"/>
        <w:spacing w:line="360" w:lineRule="auto"/>
        <w:ind w:firstLine="0"/>
        <w:rPr>
          <w:rFonts w:ascii="Times New Roman" w:hAnsi="Times New Roman" w:cs="Times New Roman"/>
          <w:spacing w:val="-3"/>
          <w:sz w:val="26"/>
          <w:szCs w:val="26"/>
        </w:rPr>
      </w:pPr>
    </w:p>
    <w:p w:rsidR="00A219E8" w:rsidRDefault="00346260" w:rsidP="00F953F3">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 xml:space="preserve">Due to non-payment, </w:t>
      </w:r>
      <w:r w:rsidR="00E21D3A" w:rsidRPr="00DC1A6F">
        <w:rPr>
          <w:rFonts w:ascii="Times New Roman" w:hAnsi="Times New Roman" w:cs="Times New Roman"/>
          <w:spacing w:val="-3"/>
          <w:sz w:val="26"/>
          <w:szCs w:val="26"/>
        </w:rPr>
        <w:t xml:space="preserve">PGW delivered </w:t>
      </w:r>
      <w:r>
        <w:rPr>
          <w:rFonts w:ascii="Times New Roman" w:hAnsi="Times New Roman" w:cs="Times New Roman"/>
          <w:spacing w:val="-3"/>
          <w:sz w:val="26"/>
          <w:szCs w:val="26"/>
        </w:rPr>
        <w:t xml:space="preserve">multiple </w:t>
      </w:r>
      <w:r w:rsidR="00E21D3A" w:rsidRPr="00DC1A6F">
        <w:rPr>
          <w:rFonts w:ascii="Times New Roman" w:hAnsi="Times New Roman" w:cs="Times New Roman"/>
          <w:spacing w:val="-3"/>
          <w:sz w:val="26"/>
          <w:szCs w:val="26"/>
        </w:rPr>
        <w:t>shut off notices to the</w:t>
      </w:r>
      <w:r>
        <w:rPr>
          <w:rFonts w:ascii="Times New Roman" w:hAnsi="Times New Roman" w:cs="Times New Roman"/>
          <w:spacing w:val="-3"/>
          <w:sz w:val="26"/>
          <w:szCs w:val="26"/>
        </w:rPr>
        <w:t xml:space="preserve"> Service Address, and terminated service several times.  </w:t>
      </w:r>
      <w:proofErr w:type="gramStart"/>
      <w:r w:rsidR="00345E0E">
        <w:rPr>
          <w:rFonts w:ascii="Times New Roman" w:hAnsi="Times New Roman" w:cs="Times New Roman"/>
          <w:spacing w:val="-3"/>
          <w:sz w:val="26"/>
          <w:szCs w:val="26"/>
        </w:rPr>
        <w:t>Tr. at 38</w:t>
      </w:r>
      <w:r w:rsidR="009A5B94">
        <w:rPr>
          <w:rFonts w:ascii="Times New Roman" w:hAnsi="Times New Roman" w:cs="Times New Roman"/>
          <w:spacing w:val="-3"/>
          <w:sz w:val="26"/>
          <w:szCs w:val="26"/>
        </w:rPr>
        <w:t xml:space="preserve">; PGW </w:t>
      </w:r>
      <w:proofErr w:type="spellStart"/>
      <w:r w:rsidR="009A5B94">
        <w:rPr>
          <w:rFonts w:ascii="Times New Roman" w:hAnsi="Times New Roman" w:cs="Times New Roman"/>
          <w:spacing w:val="-3"/>
          <w:sz w:val="26"/>
          <w:szCs w:val="26"/>
        </w:rPr>
        <w:t>Exh</w:t>
      </w:r>
      <w:proofErr w:type="spellEnd"/>
      <w:r w:rsidR="009A5B94">
        <w:rPr>
          <w:rFonts w:ascii="Times New Roman" w:hAnsi="Times New Roman" w:cs="Times New Roman"/>
          <w:spacing w:val="-3"/>
          <w:sz w:val="26"/>
          <w:szCs w:val="26"/>
        </w:rPr>
        <w:t>.</w:t>
      </w:r>
      <w:proofErr w:type="gramEnd"/>
      <w:r w:rsidR="009A5B94">
        <w:rPr>
          <w:rFonts w:ascii="Times New Roman" w:hAnsi="Times New Roman" w:cs="Times New Roman"/>
          <w:spacing w:val="-3"/>
          <w:sz w:val="26"/>
          <w:szCs w:val="26"/>
        </w:rPr>
        <w:t xml:space="preserve"> 5.  </w:t>
      </w:r>
      <w:r>
        <w:rPr>
          <w:rFonts w:ascii="Times New Roman" w:hAnsi="Times New Roman" w:cs="Times New Roman"/>
          <w:spacing w:val="-3"/>
          <w:sz w:val="26"/>
          <w:szCs w:val="26"/>
        </w:rPr>
        <w:t xml:space="preserve">However, after </w:t>
      </w:r>
      <w:r w:rsidR="00760015">
        <w:rPr>
          <w:rFonts w:ascii="Times New Roman" w:hAnsi="Times New Roman" w:cs="Times New Roman"/>
          <w:spacing w:val="-3"/>
          <w:sz w:val="26"/>
          <w:szCs w:val="26"/>
        </w:rPr>
        <w:t xml:space="preserve">each service termination, </w:t>
      </w:r>
      <w:r>
        <w:rPr>
          <w:rFonts w:ascii="Times New Roman" w:hAnsi="Times New Roman" w:cs="Times New Roman"/>
          <w:spacing w:val="-3"/>
          <w:sz w:val="26"/>
          <w:szCs w:val="26"/>
        </w:rPr>
        <w:t xml:space="preserve">someone </w:t>
      </w:r>
      <w:r w:rsidR="00760015">
        <w:rPr>
          <w:rFonts w:ascii="Times New Roman" w:hAnsi="Times New Roman" w:cs="Times New Roman"/>
          <w:spacing w:val="-3"/>
          <w:sz w:val="26"/>
          <w:szCs w:val="26"/>
        </w:rPr>
        <w:t>restored service by turning</w:t>
      </w:r>
      <w:r>
        <w:rPr>
          <w:rFonts w:ascii="Times New Roman" w:hAnsi="Times New Roman" w:cs="Times New Roman"/>
          <w:spacing w:val="-3"/>
          <w:sz w:val="26"/>
          <w:szCs w:val="26"/>
        </w:rPr>
        <w:t xml:space="preserve"> the gas </w:t>
      </w:r>
      <w:r w:rsidR="00E21D3A" w:rsidRPr="00DC1A6F">
        <w:rPr>
          <w:rFonts w:ascii="Times New Roman" w:hAnsi="Times New Roman" w:cs="Times New Roman"/>
          <w:spacing w:val="-3"/>
          <w:sz w:val="26"/>
          <w:szCs w:val="26"/>
        </w:rPr>
        <w:t xml:space="preserve">on </w:t>
      </w:r>
      <w:r w:rsidR="00EB13EA">
        <w:rPr>
          <w:rFonts w:ascii="Times New Roman" w:hAnsi="Times New Roman" w:cs="Times New Roman"/>
          <w:spacing w:val="-3"/>
          <w:sz w:val="26"/>
          <w:szCs w:val="26"/>
        </w:rPr>
        <w:t>at the curb box</w:t>
      </w:r>
      <w:r w:rsidR="00E21D3A" w:rsidRPr="00DC1A6F">
        <w:rPr>
          <w:rFonts w:ascii="Times New Roman" w:hAnsi="Times New Roman" w:cs="Times New Roman"/>
          <w:spacing w:val="-3"/>
          <w:sz w:val="26"/>
          <w:szCs w:val="26"/>
        </w:rPr>
        <w:t xml:space="preserve">.  </w:t>
      </w:r>
      <w:r>
        <w:rPr>
          <w:rFonts w:ascii="Times New Roman" w:hAnsi="Times New Roman" w:cs="Times New Roman"/>
          <w:spacing w:val="-3"/>
          <w:sz w:val="26"/>
          <w:szCs w:val="26"/>
        </w:rPr>
        <w:t xml:space="preserve">PGW was unable to gain entry to the property to terminate service at the meter, despite multiple letters requesting access and </w:t>
      </w:r>
      <w:r w:rsidR="00760015">
        <w:rPr>
          <w:rFonts w:ascii="Times New Roman" w:hAnsi="Times New Roman" w:cs="Times New Roman"/>
          <w:spacing w:val="-3"/>
          <w:sz w:val="26"/>
          <w:szCs w:val="26"/>
        </w:rPr>
        <w:t xml:space="preserve">several </w:t>
      </w:r>
      <w:r>
        <w:rPr>
          <w:rFonts w:ascii="Times New Roman" w:hAnsi="Times New Roman" w:cs="Times New Roman"/>
          <w:spacing w:val="-3"/>
          <w:sz w:val="26"/>
          <w:szCs w:val="26"/>
        </w:rPr>
        <w:t>site visits attempting to gain entry.  PGW’s record</w:t>
      </w:r>
      <w:r w:rsidR="00C432A1">
        <w:rPr>
          <w:rFonts w:ascii="Times New Roman" w:hAnsi="Times New Roman" w:cs="Times New Roman"/>
          <w:spacing w:val="-3"/>
          <w:sz w:val="26"/>
          <w:szCs w:val="26"/>
        </w:rPr>
        <w:t>s</w:t>
      </w:r>
      <w:r>
        <w:rPr>
          <w:rFonts w:ascii="Times New Roman" w:hAnsi="Times New Roman" w:cs="Times New Roman"/>
          <w:spacing w:val="-3"/>
          <w:sz w:val="26"/>
          <w:szCs w:val="26"/>
        </w:rPr>
        <w:t xml:space="preserve"> sho</w:t>
      </w:r>
      <w:r w:rsidR="00EB13EA">
        <w:rPr>
          <w:rFonts w:ascii="Times New Roman" w:hAnsi="Times New Roman" w:cs="Times New Roman"/>
          <w:spacing w:val="-3"/>
          <w:sz w:val="26"/>
          <w:szCs w:val="26"/>
        </w:rPr>
        <w:t>w site visits on June 8, 2000; A</w:t>
      </w:r>
      <w:r>
        <w:rPr>
          <w:rFonts w:ascii="Times New Roman" w:hAnsi="Times New Roman" w:cs="Times New Roman"/>
          <w:spacing w:val="-3"/>
          <w:sz w:val="26"/>
          <w:szCs w:val="26"/>
        </w:rPr>
        <w:t>ugust 17, 2000; August 30, 2000;</w:t>
      </w:r>
      <w:r w:rsidR="00EB13EA">
        <w:rPr>
          <w:rFonts w:ascii="Times New Roman" w:hAnsi="Times New Roman" w:cs="Times New Roman"/>
          <w:spacing w:val="-3"/>
          <w:sz w:val="26"/>
          <w:szCs w:val="26"/>
        </w:rPr>
        <w:t xml:space="preserve"> July 5, 2001; August 8, 2001; August 15, 2001; October 23, 2002; October 30, 2002; April 9, 2003; April 23, 2003; and April 6, 2005.  </w:t>
      </w:r>
      <w:proofErr w:type="gramStart"/>
      <w:r w:rsidR="00EB13EA">
        <w:rPr>
          <w:rFonts w:ascii="Times New Roman" w:hAnsi="Times New Roman" w:cs="Times New Roman"/>
          <w:spacing w:val="-3"/>
          <w:sz w:val="26"/>
          <w:szCs w:val="26"/>
        </w:rPr>
        <w:t xml:space="preserve">PGW </w:t>
      </w:r>
      <w:proofErr w:type="spellStart"/>
      <w:r w:rsidR="00EB13EA">
        <w:rPr>
          <w:rFonts w:ascii="Times New Roman" w:hAnsi="Times New Roman" w:cs="Times New Roman"/>
          <w:spacing w:val="-3"/>
          <w:sz w:val="26"/>
          <w:szCs w:val="26"/>
        </w:rPr>
        <w:t>Exh</w:t>
      </w:r>
      <w:proofErr w:type="spellEnd"/>
      <w:r w:rsidR="00EB13EA">
        <w:rPr>
          <w:rFonts w:ascii="Times New Roman" w:hAnsi="Times New Roman" w:cs="Times New Roman"/>
          <w:spacing w:val="-3"/>
          <w:sz w:val="26"/>
          <w:szCs w:val="26"/>
        </w:rPr>
        <w:t>.</w:t>
      </w:r>
      <w:proofErr w:type="gramEnd"/>
      <w:r w:rsidR="00EB13EA">
        <w:rPr>
          <w:rFonts w:ascii="Times New Roman" w:hAnsi="Times New Roman" w:cs="Times New Roman"/>
          <w:spacing w:val="-3"/>
          <w:sz w:val="26"/>
          <w:szCs w:val="26"/>
        </w:rPr>
        <w:t xml:space="preserve"> 1</w:t>
      </w:r>
      <w:r w:rsidR="0060383F">
        <w:rPr>
          <w:rFonts w:ascii="Times New Roman" w:hAnsi="Times New Roman" w:cs="Times New Roman"/>
          <w:spacing w:val="-3"/>
          <w:sz w:val="26"/>
          <w:szCs w:val="26"/>
        </w:rPr>
        <w:t>; Tr. at 27-28</w:t>
      </w:r>
      <w:r w:rsidR="00EB13EA">
        <w:rPr>
          <w:rFonts w:ascii="Times New Roman" w:hAnsi="Times New Roman" w:cs="Times New Roman"/>
          <w:spacing w:val="-3"/>
          <w:sz w:val="26"/>
          <w:szCs w:val="26"/>
        </w:rPr>
        <w:t>.  PGW did not attempt to terminate service in the winter because its records indicated the residence was occupied, and PGW was subject to a winter</w:t>
      </w:r>
      <w:r w:rsidR="00C432A1">
        <w:rPr>
          <w:rFonts w:ascii="Times New Roman" w:hAnsi="Times New Roman" w:cs="Times New Roman"/>
          <w:spacing w:val="-3"/>
          <w:sz w:val="26"/>
          <w:szCs w:val="26"/>
        </w:rPr>
        <w:t xml:space="preserve"> moratorium on service terminati</w:t>
      </w:r>
      <w:r w:rsidR="00EB13EA">
        <w:rPr>
          <w:rFonts w:ascii="Times New Roman" w:hAnsi="Times New Roman" w:cs="Times New Roman"/>
          <w:spacing w:val="-3"/>
          <w:sz w:val="26"/>
          <w:szCs w:val="26"/>
        </w:rPr>
        <w:t>ons.</w:t>
      </w:r>
      <w:r w:rsidR="0060383F">
        <w:rPr>
          <w:rFonts w:ascii="Times New Roman" w:hAnsi="Times New Roman" w:cs="Times New Roman"/>
          <w:spacing w:val="-3"/>
          <w:sz w:val="26"/>
          <w:szCs w:val="26"/>
        </w:rPr>
        <w:t xml:space="preserve">  </w:t>
      </w:r>
      <w:proofErr w:type="gramStart"/>
      <w:r w:rsidR="0060383F">
        <w:rPr>
          <w:rFonts w:ascii="Times New Roman" w:hAnsi="Times New Roman" w:cs="Times New Roman"/>
          <w:spacing w:val="-3"/>
          <w:sz w:val="26"/>
          <w:szCs w:val="26"/>
        </w:rPr>
        <w:t>Tr. at 28.</w:t>
      </w:r>
      <w:proofErr w:type="gramEnd"/>
      <w:r w:rsidR="00E21D3A">
        <w:rPr>
          <w:rFonts w:ascii="Times New Roman" w:hAnsi="Times New Roman" w:cs="Times New Roman"/>
          <w:spacing w:val="-3"/>
          <w:sz w:val="26"/>
          <w:szCs w:val="26"/>
        </w:rPr>
        <w:t xml:space="preserve"> </w:t>
      </w:r>
    </w:p>
    <w:p w:rsidR="00A219E8" w:rsidRDefault="00A219E8" w:rsidP="00F953F3">
      <w:pPr>
        <w:pStyle w:val="ParaTab1"/>
        <w:spacing w:line="360" w:lineRule="auto"/>
        <w:rPr>
          <w:rFonts w:ascii="Times New Roman" w:hAnsi="Times New Roman" w:cs="Times New Roman"/>
          <w:spacing w:val="-3"/>
          <w:sz w:val="26"/>
          <w:szCs w:val="26"/>
        </w:rPr>
      </w:pPr>
    </w:p>
    <w:p w:rsidR="00760015" w:rsidRDefault="00A219E8" w:rsidP="00F953F3">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lastRenderedPageBreak/>
        <w:t xml:space="preserve">Despite being </w:t>
      </w:r>
      <w:r w:rsidR="00C432A1">
        <w:rPr>
          <w:rFonts w:ascii="Times New Roman" w:hAnsi="Times New Roman" w:cs="Times New Roman"/>
          <w:spacing w:val="-3"/>
          <w:sz w:val="26"/>
          <w:szCs w:val="26"/>
        </w:rPr>
        <w:t>unable to gain entry to the residence, PGW t</w:t>
      </w:r>
      <w:r>
        <w:rPr>
          <w:rFonts w:ascii="Times New Roman" w:hAnsi="Times New Roman" w:cs="Times New Roman"/>
          <w:spacing w:val="-3"/>
          <w:sz w:val="26"/>
          <w:szCs w:val="26"/>
        </w:rPr>
        <w:t>erminated service to the resid</w:t>
      </w:r>
      <w:r w:rsidR="000E43C8">
        <w:rPr>
          <w:rFonts w:ascii="Times New Roman" w:hAnsi="Times New Roman" w:cs="Times New Roman"/>
          <w:spacing w:val="-3"/>
          <w:sz w:val="26"/>
          <w:szCs w:val="26"/>
        </w:rPr>
        <w:t>ence four</w:t>
      </w:r>
      <w:r w:rsidR="00C432A1">
        <w:rPr>
          <w:rFonts w:ascii="Times New Roman" w:hAnsi="Times New Roman" w:cs="Times New Roman"/>
          <w:spacing w:val="-3"/>
          <w:sz w:val="26"/>
          <w:szCs w:val="26"/>
        </w:rPr>
        <w:t xml:space="preserve"> times between 2001 and</w:t>
      </w:r>
      <w:r>
        <w:rPr>
          <w:rFonts w:ascii="Times New Roman" w:hAnsi="Times New Roman" w:cs="Times New Roman"/>
          <w:spacing w:val="-3"/>
          <w:sz w:val="26"/>
          <w:szCs w:val="26"/>
        </w:rPr>
        <w:t xml:space="preserve"> 2005.  O</w:t>
      </w:r>
      <w:r w:rsidR="00F953F3" w:rsidRPr="00DC1A6F">
        <w:rPr>
          <w:rFonts w:ascii="Times New Roman" w:hAnsi="Times New Roman" w:cs="Times New Roman"/>
          <w:spacing w:val="-3"/>
          <w:sz w:val="26"/>
          <w:szCs w:val="26"/>
        </w:rPr>
        <w:t>n August 15, 2001, P</w:t>
      </w:r>
      <w:r w:rsidR="00C432A1">
        <w:rPr>
          <w:rFonts w:ascii="Times New Roman" w:hAnsi="Times New Roman" w:cs="Times New Roman"/>
          <w:spacing w:val="-3"/>
          <w:sz w:val="26"/>
          <w:szCs w:val="26"/>
        </w:rPr>
        <w:t>GW terminated service</w:t>
      </w:r>
      <w:r w:rsidR="00F953F3">
        <w:rPr>
          <w:rFonts w:ascii="Times New Roman" w:hAnsi="Times New Roman" w:cs="Times New Roman"/>
          <w:spacing w:val="-3"/>
          <w:sz w:val="26"/>
          <w:szCs w:val="26"/>
        </w:rPr>
        <w:t xml:space="preserve"> at the curb </w:t>
      </w:r>
      <w:r w:rsidR="00C432A1">
        <w:rPr>
          <w:rFonts w:ascii="Times New Roman" w:hAnsi="Times New Roman" w:cs="Times New Roman"/>
          <w:spacing w:val="-3"/>
          <w:sz w:val="26"/>
          <w:szCs w:val="26"/>
        </w:rPr>
        <w:t xml:space="preserve">box </w:t>
      </w:r>
      <w:r w:rsidR="00F953F3">
        <w:rPr>
          <w:rFonts w:ascii="Times New Roman" w:hAnsi="Times New Roman" w:cs="Times New Roman"/>
          <w:spacing w:val="-3"/>
          <w:sz w:val="26"/>
          <w:szCs w:val="26"/>
        </w:rPr>
        <w:t xml:space="preserve">because it was unable to </w:t>
      </w:r>
      <w:r w:rsidR="00F953F3" w:rsidRPr="00DC1A6F">
        <w:rPr>
          <w:rFonts w:ascii="Times New Roman" w:hAnsi="Times New Roman" w:cs="Times New Roman"/>
          <w:spacing w:val="-3"/>
          <w:sz w:val="26"/>
          <w:szCs w:val="26"/>
        </w:rPr>
        <w:t>enter the property to turn service off at the meter</w:t>
      </w:r>
      <w:r w:rsidR="00F953F3">
        <w:rPr>
          <w:rFonts w:ascii="Times New Roman" w:hAnsi="Times New Roman" w:cs="Times New Roman"/>
          <w:spacing w:val="-3"/>
          <w:sz w:val="26"/>
          <w:szCs w:val="26"/>
        </w:rPr>
        <w:t>.  At that time</w:t>
      </w:r>
      <w:r w:rsidR="00F953F3" w:rsidRPr="00DC1A6F">
        <w:rPr>
          <w:rFonts w:ascii="Times New Roman" w:hAnsi="Times New Roman" w:cs="Times New Roman"/>
          <w:spacing w:val="-3"/>
          <w:sz w:val="26"/>
          <w:szCs w:val="26"/>
        </w:rPr>
        <w:t>, the balance on the account was $3,702.97</w:t>
      </w:r>
      <w:r w:rsidR="00F953F3">
        <w:rPr>
          <w:rFonts w:ascii="Times New Roman" w:hAnsi="Times New Roman" w:cs="Times New Roman"/>
          <w:spacing w:val="-3"/>
          <w:sz w:val="26"/>
          <w:szCs w:val="26"/>
        </w:rPr>
        <w:t xml:space="preserve">.  </w:t>
      </w:r>
      <w:proofErr w:type="gramStart"/>
      <w:r w:rsidR="00C508CE">
        <w:rPr>
          <w:rFonts w:ascii="Times New Roman" w:hAnsi="Times New Roman" w:cs="Times New Roman"/>
          <w:spacing w:val="-3"/>
          <w:sz w:val="26"/>
          <w:szCs w:val="26"/>
        </w:rPr>
        <w:t xml:space="preserve">Tr. at 28, 35; PGW </w:t>
      </w:r>
      <w:proofErr w:type="spellStart"/>
      <w:r w:rsidR="00C508CE">
        <w:rPr>
          <w:rFonts w:ascii="Times New Roman" w:hAnsi="Times New Roman" w:cs="Times New Roman"/>
          <w:spacing w:val="-3"/>
          <w:sz w:val="26"/>
          <w:szCs w:val="26"/>
        </w:rPr>
        <w:t>Exh</w:t>
      </w:r>
      <w:proofErr w:type="spellEnd"/>
      <w:r w:rsidR="00C508CE">
        <w:rPr>
          <w:rFonts w:ascii="Times New Roman" w:hAnsi="Times New Roman" w:cs="Times New Roman"/>
          <w:spacing w:val="-3"/>
          <w:sz w:val="26"/>
          <w:szCs w:val="26"/>
        </w:rPr>
        <w:t>.</w:t>
      </w:r>
      <w:proofErr w:type="gramEnd"/>
      <w:r w:rsidR="00C508CE">
        <w:rPr>
          <w:rFonts w:ascii="Times New Roman" w:hAnsi="Times New Roman" w:cs="Times New Roman"/>
          <w:spacing w:val="-3"/>
          <w:sz w:val="26"/>
          <w:szCs w:val="26"/>
        </w:rPr>
        <w:t xml:space="preserve"> 1. </w:t>
      </w:r>
      <w:r w:rsidR="00F953F3" w:rsidRPr="00DC1A6F">
        <w:rPr>
          <w:rFonts w:ascii="Times New Roman" w:hAnsi="Times New Roman" w:cs="Times New Roman"/>
          <w:spacing w:val="-3"/>
          <w:sz w:val="26"/>
          <w:szCs w:val="26"/>
        </w:rPr>
        <w:t>On April 23, 2003</w:t>
      </w:r>
      <w:r w:rsidR="00F953F3">
        <w:rPr>
          <w:rFonts w:ascii="Times New Roman" w:hAnsi="Times New Roman" w:cs="Times New Roman"/>
          <w:spacing w:val="-3"/>
          <w:sz w:val="26"/>
          <w:szCs w:val="26"/>
        </w:rPr>
        <w:t xml:space="preserve">, PGW </w:t>
      </w:r>
      <w:r w:rsidR="00F953F3" w:rsidRPr="00DC1A6F">
        <w:rPr>
          <w:rFonts w:ascii="Times New Roman" w:hAnsi="Times New Roman" w:cs="Times New Roman"/>
          <w:spacing w:val="-3"/>
          <w:sz w:val="26"/>
          <w:szCs w:val="26"/>
        </w:rPr>
        <w:t xml:space="preserve">shut </w:t>
      </w:r>
      <w:r w:rsidR="00C432A1">
        <w:rPr>
          <w:rFonts w:ascii="Times New Roman" w:hAnsi="Times New Roman" w:cs="Times New Roman"/>
          <w:spacing w:val="-3"/>
          <w:sz w:val="26"/>
          <w:szCs w:val="26"/>
        </w:rPr>
        <w:t xml:space="preserve">off the gas </w:t>
      </w:r>
      <w:r w:rsidR="00F953F3" w:rsidRPr="00DC1A6F">
        <w:rPr>
          <w:rFonts w:ascii="Times New Roman" w:hAnsi="Times New Roman" w:cs="Times New Roman"/>
          <w:spacing w:val="-3"/>
          <w:sz w:val="26"/>
          <w:szCs w:val="26"/>
        </w:rPr>
        <w:t xml:space="preserve">at the curb </w:t>
      </w:r>
      <w:r w:rsidR="00C508CE">
        <w:rPr>
          <w:rFonts w:ascii="Times New Roman" w:hAnsi="Times New Roman" w:cs="Times New Roman"/>
          <w:spacing w:val="-3"/>
          <w:sz w:val="26"/>
          <w:szCs w:val="26"/>
        </w:rPr>
        <w:t>for the second time</w:t>
      </w:r>
      <w:r w:rsidR="00F953F3">
        <w:rPr>
          <w:rFonts w:ascii="Times New Roman" w:hAnsi="Times New Roman" w:cs="Times New Roman"/>
          <w:spacing w:val="-3"/>
          <w:sz w:val="26"/>
          <w:szCs w:val="26"/>
        </w:rPr>
        <w:t xml:space="preserve">.  </w:t>
      </w:r>
      <w:r w:rsidR="00C508CE">
        <w:rPr>
          <w:rFonts w:ascii="Times New Roman" w:hAnsi="Times New Roman" w:cs="Times New Roman"/>
          <w:spacing w:val="-3"/>
          <w:sz w:val="26"/>
          <w:szCs w:val="26"/>
        </w:rPr>
        <w:t xml:space="preserve">At that time, the balance was $10,238.73.  </w:t>
      </w:r>
      <w:proofErr w:type="gramStart"/>
      <w:r w:rsidR="00C508CE">
        <w:rPr>
          <w:rFonts w:ascii="Times New Roman" w:hAnsi="Times New Roman" w:cs="Times New Roman"/>
          <w:spacing w:val="-3"/>
          <w:sz w:val="26"/>
          <w:szCs w:val="26"/>
        </w:rPr>
        <w:t xml:space="preserve">Tr. at 29, 35; PGW </w:t>
      </w:r>
      <w:proofErr w:type="spellStart"/>
      <w:r w:rsidR="00C508CE">
        <w:rPr>
          <w:rFonts w:ascii="Times New Roman" w:hAnsi="Times New Roman" w:cs="Times New Roman"/>
          <w:spacing w:val="-3"/>
          <w:sz w:val="26"/>
          <w:szCs w:val="26"/>
        </w:rPr>
        <w:t>Exh</w:t>
      </w:r>
      <w:proofErr w:type="spellEnd"/>
      <w:r w:rsidR="00C508CE">
        <w:rPr>
          <w:rFonts w:ascii="Times New Roman" w:hAnsi="Times New Roman" w:cs="Times New Roman"/>
          <w:spacing w:val="-3"/>
          <w:sz w:val="26"/>
          <w:szCs w:val="26"/>
        </w:rPr>
        <w:t>.</w:t>
      </w:r>
      <w:proofErr w:type="gramEnd"/>
      <w:r w:rsidR="00C508CE">
        <w:rPr>
          <w:rFonts w:ascii="Times New Roman" w:hAnsi="Times New Roman" w:cs="Times New Roman"/>
          <w:spacing w:val="-3"/>
          <w:sz w:val="26"/>
          <w:szCs w:val="26"/>
        </w:rPr>
        <w:t xml:space="preserve"> 1.  </w:t>
      </w:r>
      <w:r w:rsidR="00F953F3" w:rsidRPr="00DC1A6F">
        <w:rPr>
          <w:rFonts w:ascii="Times New Roman" w:hAnsi="Times New Roman" w:cs="Times New Roman"/>
          <w:spacing w:val="-3"/>
          <w:sz w:val="26"/>
          <w:szCs w:val="26"/>
        </w:rPr>
        <w:t>O</w:t>
      </w:r>
      <w:r w:rsidR="00F953F3">
        <w:rPr>
          <w:rFonts w:ascii="Times New Roman" w:hAnsi="Times New Roman" w:cs="Times New Roman"/>
          <w:spacing w:val="-3"/>
          <w:sz w:val="26"/>
          <w:szCs w:val="26"/>
        </w:rPr>
        <w:t xml:space="preserve">n April 6, 2005, PGW </w:t>
      </w:r>
      <w:r w:rsidR="00F953F3" w:rsidRPr="00DC1A6F">
        <w:rPr>
          <w:rFonts w:ascii="Times New Roman" w:hAnsi="Times New Roman" w:cs="Times New Roman"/>
          <w:spacing w:val="-3"/>
          <w:sz w:val="26"/>
          <w:szCs w:val="26"/>
        </w:rPr>
        <w:t xml:space="preserve">shut the gas off at the curb </w:t>
      </w:r>
      <w:r w:rsidR="00C432A1">
        <w:rPr>
          <w:rFonts w:ascii="Times New Roman" w:hAnsi="Times New Roman" w:cs="Times New Roman"/>
          <w:spacing w:val="-3"/>
          <w:sz w:val="26"/>
          <w:szCs w:val="26"/>
        </w:rPr>
        <w:t xml:space="preserve">box </w:t>
      </w:r>
      <w:r w:rsidR="00C508CE">
        <w:rPr>
          <w:rFonts w:ascii="Times New Roman" w:hAnsi="Times New Roman" w:cs="Times New Roman"/>
          <w:spacing w:val="-3"/>
          <w:sz w:val="26"/>
          <w:szCs w:val="26"/>
        </w:rPr>
        <w:t>for the third</w:t>
      </w:r>
      <w:r w:rsidR="00F953F3">
        <w:rPr>
          <w:rFonts w:ascii="Times New Roman" w:hAnsi="Times New Roman" w:cs="Times New Roman"/>
          <w:spacing w:val="-3"/>
          <w:sz w:val="26"/>
          <w:szCs w:val="26"/>
        </w:rPr>
        <w:t xml:space="preserve"> time because it </w:t>
      </w:r>
      <w:r w:rsidR="00C508CE">
        <w:rPr>
          <w:rFonts w:ascii="Times New Roman" w:hAnsi="Times New Roman" w:cs="Times New Roman"/>
          <w:spacing w:val="-3"/>
          <w:sz w:val="26"/>
          <w:szCs w:val="26"/>
        </w:rPr>
        <w:t xml:space="preserve">could not get into </w:t>
      </w:r>
      <w:r w:rsidR="00F953F3" w:rsidRPr="00DC1A6F">
        <w:rPr>
          <w:rFonts w:ascii="Times New Roman" w:hAnsi="Times New Roman" w:cs="Times New Roman"/>
          <w:spacing w:val="-3"/>
          <w:sz w:val="26"/>
          <w:szCs w:val="26"/>
        </w:rPr>
        <w:t>the pr</w:t>
      </w:r>
      <w:r w:rsidR="00C508CE">
        <w:rPr>
          <w:rFonts w:ascii="Times New Roman" w:hAnsi="Times New Roman" w:cs="Times New Roman"/>
          <w:spacing w:val="-3"/>
          <w:sz w:val="26"/>
          <w:szCs w:val="26"/>
        </w:rPr>
        <w:t xml:space="preserve">operty.  </w:t>
      </w:r>
      <w:r w:rsidR="00F953F3">
        <w:rPr>
          <w:rFonts w:ascii="Times New Roman" w:hAnsi="Times New Roman" w:cs="Times New Roman"/>
          <w:spacing w:val="-3"/>
          <w:sz w:val="26"/>
          <w:szCs w:val="26"/>
        </w:rPr>
        <w:t>At that time, the a</w:t>
      </w:r>
      <w:r w:rsidR="003C7452">
        <w:rPr>
          <w:rFonts w:ascii="Times New Roman" w:hAnsi="Times New Roman" w:cs="Times New Roman"/>
          <w:spacing w:val="-3"/>
          <w:sz w:val="26"/>
          <w:szCs w:val="26"/>
        </w:rPr>
        <w:t>ccount balance was $21</w:t>
      </w:r>
      <w:r w:rsidR="00C508CE">
        <w:rPr>
          <w:rFonts w:ascii="Times New Roman" w:hAnsi="Times New Roman" w:cs="Times New Roman"/>
          <w:spacing w:val="-3"/>
          <w:sz w:val="26"/>
          <w:szCs w:val="26"/>
        </w:rPr>
        <w:t>,682.23</w:t>
      </w:r>
      <w:r>
        <w:rPr>
          <w:rFonts w:ascii="Times New Roman" w:hAnsi="Times New Roman" w:cs="Times New Roman"/>
          <w:spacing w:val="-3"/>
          <w:sz w:val="26"/>
          <w:szCs w:val="26"/>
        </w:rPr>
        <w:t xml:space="preserve">.  </w:t>
      </w:r>
      <w:proofErr w:type="gramStart"/>
      <w:r w:rsidR="00C508CE">
        <w:rPr>
          <w:rFonts w:ascii="Times New Roman" w:hAnsi="Times New Roman" w:cs="Times New Roman"/>
          <w:spacing w:val="-3"/>
          <w:sz w:val="26"/>
          <w:szCs w:val="26"/>
        </w:rPr>
        <w:t xml:space="preserve">Tr. at 29, 35; PGW </w:t>
      </w:r>
      <w:proofErr w:type="spellStart"/>
      <w:r w:rsidR="00C508CE">
        <w:rPr>
          <w:rFonts w:ascii="Times New Roman" w:hAnsi="Times New Roman" w:cs="Times New Roman"/>
          <w:spacing w:val="-3"/>
          <w:sz w:val="26"/>
          <w:szCs w:val="26"/>
        </w:rPr>
        <w:t>Exh</w:t>
      </w:r>
      <w:proofErr w:type="spellEnd"/>
      <w:r w:rsidR="00C508CE">
        <w:rPr>
          <w:rFonts w:ascii="Times New Roman" w:hAnsi="Times New Roman" w:cs="Times New Roman"/>
          <w:spacing w:val="-3"/>
          <w:sz w:val="26"/>
          <w:szCs w:val="26"/>
        </w:rPr>
        <w:t>.</w:t>
      </w:r>
      <w:proofErr w:type="gramEnd"/>
      <w:r w:rsidR="00C508CE">
        <w:rPr>
          <w:rFonts w:ascii="Times New Roman" w:hAnsi="Times New Roman" w:cs="Times New Roman"/>
          <w:spacing w:val="-3"/>
          <w:sz w:val="26"/>
          <w:szCs w:val="26"/>
        </w:rPr>
        <w:t xml:space="preserve"> 1</w:t>
      </w:r>
      <w:r w:rsidR="00E7437D">
        <w:rPr>
          <w:rFonts w:ascii="Times New Roman" w:hAnsi="Times New Roman" w:cs="Times New Roman"/>
          <w:spacing w:val="-3"/>
          <w:sz w:val="26"/>
          <w:szCs w:val="26"/>
        </w:rPr>
        <w:t xml:space="preserve">.  </w:t>
      </w:r>
    </w:p>
    <w:p w:rsidR="00760015" w:rsidRDefault="00760015" w:rsidP="00F953F3">
      <w:pPr>
        <w:pStyle w:val="ParaTab1"/>
        <w:spacing w:line="360" w:lineRule="auto"/>
        <w:rPr>
          <w:rFonts w:ascii="Times New Roman" w:hAnsi="Times New Roman" w:cs="Times New Roman"/>
          <w:spacing w:val="-3"/>
          <w:sz w:val="26"/>
          <w:szCs w:val="26"/>
        </w:rPr>
      </w:pPr>
    </w:p>
    <w:p w:rsidR="0060383F" w:rsidRDefault="0060383F" w:rsidP="00AC6B51">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Unauthorized usage again was found a</w:t>
      </w:r>
      <w:r w:rsidR="00AC6B51">
        <w:rPr>
          <w:rFonts w:ascii="Times New Roman" w:hAnsi="Times New Roman" w:cs="Times New Roman"/>
          <w:spacing w:val="-3"/>
          <w:sz w:val="26"/>
          <w:szCs w:val="26"/>
        </w:rPr>
        <w:t xml:space="preserve">t the residence on June 8, 2005.  On that date, </w:t>
      </w:r>
      <w:r w:rsidR="00AC6B51" w:rsidRPr="00DC1A6F">
        <w:rPr>
          <w:rFonts w:ascii="Times New Roman" w:hAnsi="Times New Roman" w:cs="Times New Roman"/>
          <w:spacing w:val="-3"/>
          <w:sz w:val="26"/>
          <w:szCs w:val="26"/>
        </w:rPr>
        <w:t xml:space="preserve">PGW </w:t>
      </w:r>
      <w:r w:rsidR="00AC6B51">
        <w:rPr>
          <w:rFonts w:ascii="Times New Roman" w:hAnsi="Times New Roman" w:cs="Times New Roman"/>
          <w:spacing w:val="-3"/>
          <w:sz w:val="26"/>
          <w:szCs w:val="26"/>
        </w:rPr>
        <w:t xml:space="preserve">finally </w:t>
      </w:r>
      <w:r w:rsidR="00AC6B51" w:rsidRPr="00DC1A6F">
        <w:rPr>
          <w:rFonts w:ascii="Times New Roman" w:hAnsi="Times New Roman" w:cs="Times New Roman"/>
          <w:spacing w:val="-3"/>
          <w:sz w:val="26"/>
          <w:szCs w:val="26"/>
        </w:rPr>
        <w:t xml:space="preserve">was able to enter the property </w:t>
      </w:r>
      <w:r w:rsidR="00C508CE">
        <w:rPr>
          <w:rFonts w:ascii="Times New Roman" w:hAnsi="Times New Roman" w:cs="Times New Roman"/>
          <w:spacing w:val="-3"/>
          <w:sz w:val="26"/>
          <w:szCs w:val="26"/>
        </w:rPr>
        <w:t>when someone representing</w:t>
      </w:r>
      <w:r w:rsidR="00AC6B51">
        <w:rPr>
          <w:rFonts w:ascii="Times New Roman" w:hAnsi="Times New Roman" w:cs="Times New Roman"/>
          <w:spacing w:val="-3"/>
          <w:sz w:val="26"/>
          <w:szCs w:val="26"/>
        </w:rPr>
        <w:t xml:space="preserve"> himself as </w:t>
      </w:r>
      <w:proofErr w:type="spellStart"/>
      <w:r w:rsidR="00AC6B51">
        <w:rPr>
          <w:rFonts w:ascii="Times New Roman" w:hAnsi="Times New Roman" w:cs="Times New Roman"/>
          <w:spacing w:val="-3"/>
          <w:sz w:val="26"/>
          <w:szCs w:val="26"/>
        </w:rPr>
        <w:t>Ovideo</w:t>
      </w:r>
      <w:proofErr w:type="spellEnd"/>
      <w:r w:rsidR="00AC6B51">
        <w:rPr>
          <w:rFonts w:ascii="Times New Roman" w:hAnsi="Times New Roman" w:cs="Times New Roman"/>
          <w:spacing w:val="-3"/>
          <w:sz w:val="26"/>
          <w:szCs w:val="26"/>
        </w:rPr>
        <w:t xml:space="preserve"> </w:t>
      </w:r>
      <w:proofErr w:type="spellStart"/>
      <w:r w:rsidR="00AC6B51">
        <w:rPr>
          <w:rFonts w:ascii="Times New Roman" w:hAnsi="Times New Roman" w:cs="Times New Roman"/>
          <w:spacing w:val="-3"/>
          <w:sz w:val="26"/>
          <w:szCs w:val="26"/>
        </w:rPr>
        <w:t>Asencio</w:t>
      </w:r>
      <w:proofErr w:type="spellEnd"/>
      <w:r w:rsidR="00AC6B51">
        <w:rPr>
          <w:rFonts w:ascii="Times New Roman" w:hAnsi="Times New Roman" w:cs="Times New Roman"/>
          <w:spacing w:val="-3"/>
          <w:sz w:val="26"/>
          <w:szCs w:val="26"/>
        </w:rPr>
        <w:t xml:space="preserve"> let PGW’s employee inside the residence.  </w:t>
      </w:r>
      <w:proofErr w:type="gramStart"/>
      <w:r w:rsidR="00AC6B51">
        <w:rPr>
          <w:rFonts w:ascii="Times New Roman" w:hAnsi="Times New Roman" w:cs="Times New Roman"/>
          <w:spacing w:val="-3"/>
          <w:sz w:val="26"/>
          <w:szCs w:val="26"/>
        </w:rPr>
        <w:t xml:space="preserve">Tr. at </w:t>
      </w:r>
      <w:r w:rsidR="00C508CE">
        <w:rPr>
          <w:rFonts w:ascii="Times New Roman" w:hAnsi="Times New Roman" w:cs="Times New Roman"/>
          <w:spacing w:val="-3"/>
          <w:sz w:val="26"/>
          <w:szCs w:val="26"/>
        </w:rPr>
        <w:t xml:space="preserve">30, 35, </w:t>
      </w:r>
      <w:r w:rsidR="00AC6B51">
        <w:rPr>
          <w:rFonts w:ascii="Times New Roman" w:hAnsi="Times New Roman" w:cs="Times New Roman"/>
          <w:spacing w:val="-3"/>
          <w:sz w:val="26"/>
          <w:szCs w:val="26"/>
        </w:rPr>
        <w:t>44.</w:t>
      </w:r>
      <w:proofErr w:type="gramEnd"/>
      <w:r w:rsidR="00AC6B51">
        <w:rPr>
          <w:rFonts w:ascii="Times New Roman" w:hAnsi="Times New Roman" w:cs="Times New Roman"/>
          <w:spacing w:val="-3"/>
          <w:sz w:val="26"/>
          <w:szCs w:val="26"/>
        </w:rPr>
        <w:t xml:space="preserve">  At that time, PGW physically shut-off the valve and the meter at the Service Address, and installed special</w:t>
      </w:r>
      <w:r w:rsidR="00C508CE">
        <w:rPr>
          <w:rFonts w:ascii="Times New Roman" w:hAnsi="Times New Roman" w:cs="Times New Roman"/>
          <w:spacing w:val="-3"/>
          <w:sz w:val="26"/>
          <w:szCs w:val="26"/>
        </w:rPr>
        <w:t xml:space="preserve"> locks on the meter.  </w:t>
      </w:r>
      <w:r w:rsidR="00AC6B51">
        <w:rPr>
          <w:rFonts w:ascii="Times New Roman" w:hAnsi="Times New Roman" w:cs="Times New Roman"/>
          <w:spacing w:val="-3"/>
          <w:sz w:val="26"/>
          <w:szCs w:val="26"/>
        </w:rPr>
        <w:t>S</w:t>
      </w:r>
      <w:r w:rsidR="00AC6B51" w:rsidRPr="00DC1A6F">
        <w:rPr>
          <w:rFonts w:ascii="Times New Roman" w:hAnsi="Times New Roman" w:cs="Times New Roman"/>
          <w:spacing w:val="-3"/>
          <w:sz w:val="26"/>
          <w:szCs w:val="26"/>
        </w:rPr>
        <w:t>hut off was made with plugs, swivel, wing lock handcuff and re-curbed with expander that physically shut off the gas.</w:t>
      </w:r>
      <w:r w:rsidR="00AC6B51">
        <w:rPr>
          <w:rFonts w:ascii="Times New Roman" w:hAnsi="Times New Roman" w:cs="Times New Roman"/>
          <w:spacing w:val="-3"/>
          <w:sz w:val="26"/>
          <w:szCs w:val="26"/>
        </w:rPr>
        <w:t xml:space="preserve">  </w:t>
      </w:r>
      <w:r w:rsidR="00AC6B51" w:rsidRPr="00DC1A6F">
        <w:rPr>
          <w:rFonts w:ascii="Times New Roman" w:hAnsi="Times New Roman" w:cs="Times New Roman"/>
          <w:spacing w:val="-3"/>
          <w:sz w:val="26"/>
          <w:szCs w:val="26"/>
        </w:rPr>
        <w:t xml:space="preserve">Gas service has remained off since June </w:t>
      </w:r>
      <w:r w:rsidR="00AC6B51">
        <w:rPr>
          <w:rFonts w:ascii="Times New Roman" w:hAnsi="Times New Roman" w:cs="Times New Roman"/>
          <w:spacing w:val="-3"/>
          <w:sz w:val="26"/>
          <w:szCs w:val="26"/>
        </w:rPr>
        <w:t>8, 2005</w:t>
      </w:r>
      <w:r w:rsidR="00F14204">
        <w:rPr>
          <w:rFonts w:ascii="Times New Roman" w:hAnsi="Times New Roman" w:cs="Times New Roman"/>
          <w:spacing w:val="-3"/>
          <w:sz w:val="26"/>
          <w:szCs w:val="26"/>
        </w:rPr>
        <w:t xml:space="preserve">.  </w:t>
      </w:r>
      <w:proofErr w:type="gramStart"/>
      <w:r w:rsidR="00F14204">
        <w:rPr>
          <w:rFonts w:ascii="Times New Roman" w:hAnsi="Times New Roman" w:cs="Times New Roman"/>
          <w:spacing w:val="-3"/>
          <w:sz w:val="26"/>
          <w:szCs w:val="26"/>
        </w:rPr>
        <w:t xml:space="preserve">Tr. at </w:t>
      </w:r>
      <w:r w:rsidR="00AC6B51">
        <w:rPr>
          <w:rFonts w:ascii="Times New Roman" w:hAnsi="Times New Roman" w:cs="Times New Roman"/>
          <w:spacing w:val="-3"/>
          <w:sz w:val="26"/>
          <w:szCs w:val="26"/>
        </w:rPr>
        <w:t>33</w:t>
      </w:r>
      <w:r w:rsidR="00F14204">
        <w:rPr>
          <w:rFonts w:ascii="Times New Roman" w:hAnsi="Times New Roman" w:cs="Times New Roman"/>
          <w:spacing w:val="-3"/>
          <w:sz w:val="26"/>
          <w:szCs w:val="26"/>
        </w:rPr>
        <w:t>-34</w:t>
      </w:r>
      <w:r w:rsidR="00AC6B51">
        <w:rPr>
          <w:rFonts w:ascii="Times New Roman" w:hAnsi="Times New Roman" w:cs="Times New Roman"/>
          <w:spacing w:val="-3"/>
          <w:sz w:val="26"/>
          <w:szCs w:val="26"/>
        </w:rPr>
        <w:t>, 36</w:t>
      </w:r>
      <w:r w:rsidR="00C508CE">
        <w:rPr>
          <w:rFonts w:ascii="Times New Roman" w:hAnsi="Times New Roman" w:cs="Times New Roman"/>
          <w:spacing w:val="-3"/>
          <w:sz w:val="26"/>
          <w:szCs w:val="26"/>
        </w:rPr>
        <w:t>, 49</w:t>
      </w:r>
      <w:r w:rsidR="00F14204">
        <w:rPr>
          <w:rFonts w:ascii="Times New Roman" w:hAnsi="Times New Roman" w:cs="Times New Roman"/>
          <w:spacing w:val="-3"/>
          <w:sz w:val="26"/>
          <w:szCs w:val="26"/>
        </w:rPr>
        <w:t xml:space="preserve">; PGW </w:t>
      </w:r>
      <w:proofErr w:type="spellStart"/>
      <w:r w:rsidR="00F14204">
        <w:rPr>
          <w:rFonts w:ascii="Times New Roman" w:hAnsi="Times New Roman" w:cs="Times New Roman"/>
          <w:spacing w:val="-3"/>
          <w:sz w:val="26"/>
          <w:szCs w:val="26"/>
        </w:rPr>
        <w:t>Exh</w:t>
      </w:r>
      <w:proofErr w:type="spellEnd"/>
      <w:r w:rsidR="00F14204">
        <w:rPr>
          <w:rFonts w:ascii="Times New Roman" w:hAnsi="Times New Roman" w:cs="Times New Roman"/>
          <w:spacing w:val="-3"/>
          <w:sz w:val="26"/>
          <w:szCs w:val="26"/>
        </w:rPr>
        <w:t>.</w:t>
      </w:r>
      <w:proofErr w:type="gramEnd"/>
      <w:r w:rsidR="00F14204">
        <w:rPr>
          <w:rFonts w:ascii="Times New Roman" w:hAnsi="Times New Roman" w:cs="Times New Roman"/>
          <w:spacing w:val="-3"/>
          <w:sz w:val="26"/>
          <w:szCs w:val="26"/>
        </w:rPr>
        <w:t xml:space="preserve"> 3</w:t>
      </w:r>
      <w:r w:rsidR="00AC6B51" w:rsidRPr="00DC1A6F">
        <w:rPr>
          <w:rFonts w:ascii="Times New Roman" w:hAnsi="Times New Roman" w:cs="Times New Roman"/>
          <w:spacing w:val="-3"/>
          <w:sz w:val="26"/>
          <w:szCs w:val="26"/>
        </w:rPr>
        <w:t>.</w:t>
      </w:r>
      <w:r w:rsidR="00AC6B51">
        <w:rPr>
          <w:rStyle w:val="FootnoteReference"/>
          <w:rFonts w:ascii="Times New Roman" w:hAnsi="Times New Roman" w:cs="Times New Roman"/>
          <w:spacing w:val="-3"/>
          <w:sz w:val="26"/>
          <w:szCs w:val="26"/>
        </w:rPr>
        <w:footnoteReference w:id="5"/>
      </w:r>
    </w:p>
    <w:p w:rsidR="00AC6B51" w:rsidRDefault="00AC6B51" w:rsidP="00AC6B51">
      <w:pPr>
        <w:pStyle w:val="ParaTab1"/>
        <w:spacing w:line="360" w:lineRule="auto"/>
        <w:rPr>
          <w:rFonts w:ascii="Times New Roman" w:hAnsi="Times New Roman" w:cs="Times New Roman"/>
          <w:spacing w:val="-3"/>
          <w:sz w:val="26"/>
          <w:szCs w:val="26"/>
        </w:rPr>
      </w:pPr>
    </w:p>
    <w:p w:rsidR="0060383F" w:rsidRDefault="0060383F" w:rsidP="00E21D3A">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 xml:space="preserve">The City placed a lien on the property for the unpaid gas bill of </w:t>
      </w:r>
      <w:r w:rsidR="00010558">
        <w:rPr>
          <w:rFonts w:ascii="Times New Roman" w:hAnsi="Times New Roman" w:cs="Times New Roman"/>
          <w:spacing w:val="-3"/>
          <w:sz w:val="26"/>
          <w:szCs w:val="26"/>
        </w:rPr>
        <w:t xml:space="preserve">$23,055.08 </w:t>
      </w:r>
      <w:r>
        <w:rPr>
          <w:rFonts w:ascii="Times New Roman" w:hAnsi="Times New Roman" w:cs="Times New Roman"/>
          <w:spacing w:val="-3"/>
          <w:sz w:val="26"/>
          <w:szCs w:val="26"/>
        </w:rPr>
        <w:t>sometime in 2005.</w:t>
      </w:r>
      <w:r w:rsidR="00250EC0">
        <w:rPr>
          <w:rFonts w:ascii="Times New Roman" w:hAnsi="Times New Roman" w:cs="Times New Roman"/>
          <w:spacing w:val="-3"/>
          <w:sz w:val="26"/>
          <w:szCs w:val="26"/>
        </w:rPr>
        <w:t xml:space="preserve">  </w:t>
      </w:r>
      <w:proofErr w:type="gramStart"/>
      <w:r w:rsidR="009A5B94">
        <w:rPr>
          <w:rFonts w:ascii="Times New Roman" w:hAnsi="Times New Roman" w:cs="Times New Roman"/>
          <w:spacing w:val="-3"/>
          <w:sz w:val="26"/>
          <w:szCs w:val="26"/>
        </w:rPr>
        <w:t>Tr. at 39.</w:t>
      </w:r>
      <w:proofErr w:type="gramEnd"/>
      <w:r w:rsidR="009A5B94">
        <w:rPr>
          <w:rFonts w:ascii="Times New Roman" w:hAnsi="Times New Roman" w:cs="Times New Roman"/>
          <w:spacing w:val="-3"/>
          <w:sz w:val="26"/>
          <w:szCs w:val="26"/>
        </w:rPr>
        <w:t xml:space="preserve">  </w:t>
      </w:r>
      <w:r w:rsidR="00605038">
        <w:rPr>
          <w:rFonts w:ascii="Times New Roman" w:hAnsi="Times New Roman" w:cs="Times New Roman"/>
          <w:spacing w:val="-3"/>
          <w:sz w:val="26"/>
          <w:szCs w:val="26"/>
        </w:rPr>
        <w:t xml:space="preserve">The Complainant inherited the property after her mother passed away on January 29, 2006.  </w:t>
      </w:r>
      <w:proofErr w:type="gramStart"/>
      <w:r w:rsidR="00605038">
        <w:rPr>
          <w:rFonts w:ascii="Times New Roman" w:hAnsi="Times New Roman" w:cs="Times New Roman"/>
          <w:spacing w:val="-3"/>
          <w:sz w:val="26"/>
          <w:szCs w:val="26"/>
        </w:rPr>
        <w:t xml:space="preserve">PGW </w:t>
      </w:r>
      <w:proofErr w:type="spellStart"/>
      <w:r w:rsidR="00605038">
        <w:rPr>
          <w:rFonts w:ascii="Times New Roman" w:hAnsi="Times New Roman" w:cs="Times New Roman"/>
          <w:spacing w:val="-3"/>
          <w:sz w:val="26"/>
          <w:szCs w:val="26"/>
        </w:rPr>
        <w:t>Exh</w:t>
      </w:r>
      <w:proofErr w:type="spellEnd"/>
      <w:r w:rsidR="00605038">
        <w:rPr>
          <w:rFonts w:ascii="Times New Roman" w:hAnsi="Times New Roman" w:cs="Times New Roman"/>
          <w:spacing w:val="-3"/>
          <w:sz w:val="26"/>
          <w:szCs w:val="26"/>
        </w:rPr>
        <w:t>.</w:t>
      </w:r>
      <w:proofErr w:type="gramEnd"/>
      <w:r w:rsidR="00605038">
        <w:rPr>
          <w:rFonts w:ascii="Times New Roman" w:hAnsi="Times New Roman" w:cs="Times New Roman"/>
          <w:spacing w:val="-3"/>
          <w:sz w:val="26"/>
          <w:szCs w:val="26"/>
        </w:rPr>
        <w:t xml:space="preserve"> 10.  </w:t>
      </w:r>
      <w:r w:rsidR="00010558">
        <w:rPr>
          <w:rFonts w:ascii="Times New Roman" w:hAnsi="Times New Roman" w:cs="Times New Roman"/>
          <w:spacing w:val="-3"/>
          <w:sz w:val="26"/>
          <w:szCs w:val="26"/>
        </w:rPr>
        <w:t>PGW</w:t>
      </w:r>
      <w:r w:rsidR="00EC129B">
        <w:rPr>
          <w:rFonts w:ascii="Times New Roman" w:hAnsi="Times New Roman" w:cs="Times New Roman"/>
          <w:spacing w:val="-3"/>
          <w:sz w:val="26"/>
          <w:szCs w:val="26"/>
        </w:rPr>
        <w:t xml:space="preserve"> provided documentation showing </w:t>
      </w:r>
      <w:r w:rsidR="00010558">
        <w:rPr>
          <w:rFonts w:ascii="Times New Roman" w:hAnsi="Times New Roman" w:cs="Times New Roman"/>
          <w:spacing w:val="-3"/>
          <w:sz w:val="26"/>
          <w:szCs w:val="26"/>
        </w:rPr>
        <w:t xml:space="preserve">that the Complainant became the owner of record of the property on September 22, 2009.  </w:t>
      </w:r>
      <w:proofErr w:type="gramStart"/>
      <w:r w:rsidR="00010558">
        <w:rPr>
          <w:rFonts w:ascii="Times New Roman" w:hAnsi="Times New Roman" w:cs="Times New Roman"/>
          <w:spacing w:val="-3"/>
          <w:sz w:val="26"/>
          <w:szCs w:val="26"/>
        </w:rPr>
        <w:t xml:space="preserve">Tr. at 38; PGW </w:t>
      </w:r>
      <w:proofErr w:type="spellStart"/>
      <w:r w:rsidR="00010558">
        <w:rPr>
          <w:rFonts w:ascii="Times New Roman" w:hAnsi="Times New Roman" w:cs="Times New Roman"/>
          <w:spacing w:val="-3"/>
          <w:sz w:val="26"/>
          <w:szCs w:val="26"/>
        </w:rPr>
        <w:t>Exh</w:t>
      </w:r>
      <w:proofErr w:type="spellEnd"/>
      <w:r w:rsidR="00010558">
        <w:rPr>
          <w:rFonts w:ascii="Times New Roman" w:hAnsi="Times New Roman" w:cs="Times New Roman"/>
          <w:spacing w:val="-3"/>
          <w:sz w:val="26"/>
          <w:szCs w:val="26"/>
        </w:rPr>
        <w:t>.</w:t>
      </w:r>
      <w:proofErr w:type="gramEnd"/>
      <w:r w:rsidR="00010558">
        <w:rPr>
          <w:rFonts w:ascii="Times New Roman" w:hAnsi="Times New Roman" w:cs="Times New Roman"/>
          <w:spacing w:val="-3"/>
          <w:sz w:val="26"/>
          <w:szCs w:val="26"/>
        </w:rPr>
        <w:t xml:space="preserve"> 6.  </w:t>
      </w:r>
      <w:r w:rsidR="00605038">
        <w:rPr>
          <w:rFonts w:ascii="Times New Roman" w:hAnsi="Times New Roman" w:cs="Times New Roman"/>
          <w:spacing w:val="-3"/>
          <w:sz w:val="26"/>
          <w:szCs w:val="26"/>
        </w:rPr>
        <w:t>PGW’s</w:t>
      </w:r>
      <w:r w:rsidR="00250EC0">
        <w:rPr>
          <w:rFonts w:ascii="Times New Roman" w:hAnsi="Times New Roman" w:cs="Times New Roman"/>
          <w:spacing w:val="-3"/>
          <w:sz w:val="26"/>
          <w:szCs w:val="26"/>
        </w:rPr>
        <w:t xml:space="preserve"> first contact with the Complainant occurred on December 27, 2010, when she called PGW to inqui</w:t>
      </w:r>
      <w:r w:rsidR="00F14204">
        <w:rPr>
          <w:rFonts w:ascii="Times New Roman" w:hAnsi="Times New Roman" w:cs="Times New Roman"/>
          <w:spacing w:val="-3"/>
          <w:sz w:val="26"/>
          <w:szCs w:val="26"/>
        </w:rPr>
        <w:t xml:space="preserve">re about the lien.  </w:t>
      </w:r>
      <w:proofErr w:type="gramStart"/>
      <w:r w:rsidR="00F14204">
        <w:rPr>
          <w:rFonts w:ascii="Times New Roman" w:hAnsi="Times New Roman" w:cs="Times New Roman"/>
          <w:spacing w:val="-3"/>
          <w:sz w:val="26"/>
          <w:szCs w:val="26"/>
        </w:rPr>
        <w:t>Tr. at 40</w:t>
      </w:r>
      <w:r w:rsidR="00250EC0">
        <w:rPr>
          <w:rFonts w:ascii="Times New Roman" w:hAnsi="Times New Roman" w:cs="Times New Roman"/>
          <w:spacing w:val="-3"/>
          <w:sz w:val="26"/>
          <w:szCs w:val="26"/>
        </w:rPr>
        <w:t>.</w:t>
      </w:r>
      <w:proofErr w:type="gramEnd"/>
      <w:r w:rsidR="00250EC0">
        <w:rPr>
          <w:rFonts w:ascii="Times New Roman" w:hAnsi="Times New Roman" w:cs="Times New Roman"/>
          <w:spacing w:val="-3"/>
          <w:sz w:val="26"/>
          <w:szCs w:val="26"/>
        </w:rPr>
        <w:t xml:space="preserve">  </w:t>
      </w:r>
    </w:p>
    <w:p w:rsidR="0020646D" w:rsidRDefault="0020646D" w:rsidP="00817B3F">
      <w:pPr>
        <w:pStyle w:val="ParaTab1"/>
        <w:spacing w:line="360" w:lineRule="auto"/>
        <w:ind w:firstLine="0"/>
        <w:rPr>
          <w:rFonts w:ascii="Times New Roman" w:hAnsi="Times New Roman" w:cs="Times New Roman"/>
          <w:spacing w:val="-3"/>
          <w:sz w:val="26"/>
          <w:szCs w:val="26"/>
        </w:rPr>
      </w:pPr>
    </w:p>
    <w:p w:rsidR="00242845" w:rsidRDefault="00643A87" w:rsidP="00643A87">
      <w:pPr>
        <w:pStyle w:val="ParaTab1"/>
        <w:spacing w:line="360" w:lineRule="auto"/>
        <w:ind w:firstLine="0"/>
        <w:rPr>
          <w:rFonts w:ascii="Times New Roman" w:hAnsi="Times New Roman" w:cs="Times New Roman"/>
          <w:spacing w:val="-3"/>
          <w:sz w:val="26"/>
          <w:szCs w:val="26"/>
        </w:rPr>
      </w:pPr>
      <w:r>
        <w:rPr>
          <w:rFonts w:ascii="Times New Roman" w:hAnsi="Times New Roman" w:cs="Times New Roman"/>
          <w:spacing w:val="-3"/>
          <w:sz w:val="26"/>
          <w:szCs w:val="26"/>
        </w:rPr>
        <w:lastRenderedPageBreak/>
        <w:tab/>
        <w:t xml:space="preserve"> </w:t>
      </w:r>
      <w:r>
        <w:rPr>
          <w:rFonts w:ascii="Times New Roman" w:hAnsi="Times New Roman" w:cs="Times New Roman"/>
          <w:spacing w:val="-3"/>
          <w:sz w:val="26"/>
          <w:szCs w:val="26"/>
        </w:rPr>
        <w:tab/>
      </w:r>
      <w:r w:rsidR="00346260">
        <w:rPr>
          <w:rFonts w:ascii="Times New Roman" w:hAnsi="Times New Roman" w:cs="Times New Roman"/>
          <w:spacing w:val="-3"/>
          <w:sz w:val="26"/>
          <w:szCs w:val="26"/>
        </w:rPr>
        <w:t xml:space="preserve">The Complainant testified that she </w:t>
      </w:r>
      <w:r w:rsidR="00346260" w:rsidRPr="00DC1A6F">
        <w:rPr>
          <w:rFonts w:ascii="Times New Roman" w:hAnsi="Times New Roman" w:cs="Times New Roman"/>
          <w:spacing w:val="-3"/>
          <w:sz w:val="26"/>
          <w:szCs w:val="26"/>
        </w:rPr>
        <w:t xml:space="preserve">visited the property about once a month after </w:t>
      </w:r>
      <w:r>
        <w:rPr>
          <w:rFonts w:ascii="Times New Roman" w:hAnsi="Times New Roman" w:cs="Times New Roman"/>
          <w:spacing w:val="-3"/>
          <w:sz w:val="26"/>
          <w:szCs w:val="26"/>
        </w:rPr>
        <w:t xml:space="preserve">her mother </w:t>
      </w:r>
      <w:r w:rsidR="00600FFD">
        <w:rPr>
          <w:rFonts w:ascii="Times New Roman" w:hAnsi="Times New Roman" w:cs="Times New Roman"/>
          <w:spacing w:val="-3"/>
          <w:sz w:val="26"/>
          <w:szCs w:val="26"/>
        </w:rPr>
        <w:t>passed away in 2006.</w:t>
      </w:r>
      <w:r w:rsidR="006D479C">
        <w:rPr>
          <w:rStyle w:val="FootnoteReference"/>
          <w:rFonts w:ascii="Times New Roman" w:hAnsi="Times New Roman" w:cs="Times New Roman"/>
          <w:spacing w:val="-3"/>
          <w:sz w:val="26"/>
          <w:szCs w:val="26"/>
        </w:rPr>
        <w:footnoteReference w:id="6"/>
      </w:r>
      <w:r w:rsidR="00600FFD">
        <w:rPr>
          <w:rFonts w:ascii="Times New Roman" w:hAnsi="Times New Roman" w:cs="Times New Roman"/>
          <w:spacing w:val="-3"/>
          <w:sz w:val="26"/>
          <w:szCs w:val="26"/>
        </w:rPr>
        <w:t xml:space="preserve">  </w:t>
      </w:r>
      <w:r w:rsidR="006D479C">
        <w:rPr>
          <w:rFonts w:ascii="Times New Roman" w:hAnsi="Times New Roman" w:cs="Times New Roman"/>
          <w:spacing w:val="-3"/>
          <w:sz w:val="26"/>
          <w:szCs w:val="26"/>
        </w:rPr>
        <w:t>Tr.</w:t>
      </w:r>
      <w:r w:rsidR="00DD57AC">
        <w:rPr>
          <w:rFonts w:ascii="Times New Roman" w:hAnsi="Times New Roman" w:cs="Times New Roman"/>
          <w:spacing w:val="-3"/>
          <w:sz w:val="26"/>
          <w:szCs w:val="26"/>
        </w:rPr>
        <w:t xml:space="preserve"> at 11-12, </w:t>
      </w:r>
      <w:r w:rsidR="00346260">
        <w:rPr>
          <w:rFonts w:ascii="Times New Roman" w:hAnsi="Times New Roman" w:cs="Times New Roman"/>
          <w:spacing w:val="-3"/>
          <w:sz w:val="26"/>
          <w:szCs w:val="26"/>
        </w:rPr>
        <w:t>15</w:t>
      </w:r>
      <w:r w:rsidR="00DD57AC">
        <w:rPr>
          <w:rFonts w:ascii="Times New Roman" w:hAnsi="Times New Roman" w:cs="Times New Roman"/>
          <w:spacing w:val="-3"/>
          <w:sz w:val="26"/>
          <w:szCs w:val="26"/>
        </w:rPr>
        <w:t>-16</w:t>
      </w:r>
      <w:r w:rsidR="00346260" w:rsidRPr="00DC1A6F">
        <w:rPr>
          <w:rFonts w:ascii="Times New Roman" w:hAnsi="Times New Roman" w:cs="Times New Roman"/>
          <w:spacing w:val="-3"/>
          <w:sz w:val="26"/>
          <w:szCs w:val="26"/>
        </w:rPr>
        <w:t>.</w:t>
      </w:r>
      <w:r w:rsidR="00346260">
        <w:rPr>
          <w:rFonts w:ascii="Times New Roman" w:hAnsi="Times New Roman" w:cs="Times New Roman"/>
          <w:spacing w:val="-3"/>
          <w:sz w:val="26"/>
          <w:szCs w:val="26"/>
        </w:rPr>
        <w:t xml:space="preserve">  </w:t>
      </w:r>
      <w:r w:rsidR="00600FFD">
        <w:rPr>
          <w:rFonts w:ascii="Times New Roman" w:hAnsi="Times New Roman" w:cs="Times New Roman"/>
          <w:spacing w:val="-3"/>
          <w:sz w:val="26"/>
          <w:szCs w:val="26"/>
        </w:rPr>
        <w:t xml:space="preserve">Sometime in </w:t>
      </w:r>
      <w:r w:rsidR="00F953F3">
        <w:rPr>
          <w:rFonts w:ascii="Times New Roman" w:hAnsi="Times New Roman" w:cs="Times New Roman"/>
          <w:spacing w:val="-3"/>
          <w:sz w:val="26"/>
          <w:szCs w:val="26"/>
        </w:rPr>
        <w:t>2006, she noticed that the back door had been kicked in</w:t>
      </w:r>
      <w:r w:rsidR="00600FFD">
        <w:rPr>
          <w:rFonts w:ascii="Times New Roman" w:hAnsi="Times New Roman" w:cs="Times New Roman"/>
          <w:spacing w:val="-3"/>
          <w:sz w:val="26"/>
          <w:szCs w:val="26"/>
        </w:rPr>
        <w:t xml:space="preserve">, so she boarded </w:t>
      </w:r>
      <w:r w:rsidR="006D479C">
        <w:rPr>
          <w:rFonts w:ascii="Times New Roman" w:hAnsi="Times New Roman" w:cs="Times New Roman"/>
          <w:spacing w:val="-3"/>
          <w:sz w:val="26"/>
          <w:szCs w:val="26"/>
        </w:rPr>
        <w:t xml:space="preserve">up </w:t>
      </w:r>
      <w:r w:rsidR="00600FFD">
        <w:rPr>
          <w:rFonts w:ascii="Times New Roman" w:hAnsi="Times New Roman" w:cs="Times New Roman"/>
          <w:spacing w:val="-3"/>
          <w:sz w:val="26"/>
          <w:szCs w:val="26"/>
        </w:rPr>
        <w:t>and padlocked the door again</w:t>
      </w:r>
      <w:r w:rsidR="00F953F3">
        <w:rPr>
          <w:rFonts w:ascii="Times New Roman" w:hAnsi="Times New Roman" w:cs="Times New Roman"/>
          <w:spacing w:val="-3"/>
          <w:sz w:val="26"/>
          <w:szCs w:val="26"/>
        </w:rPr>
        <w:t xml:space="preserve">.  </w:t>
      </w:r>
      <w:r w:rsidR="00DD57AC">
        <w:rPr>
          <w:rFonts w:ascii="Times New Roman" w:hAnsi="Times New Roman" w:cs="Times New Roman"/>
          <w:spacing w:val="-3"/>
          <w:sz w:val="26"/>
          <w:szCs w:val="26"/>
        </w:rPr>
        <w:t xml:space="preserve">Tr. at 15-16.  </w:t>
      </w:r>
      <w:r w:rsidR="00600FFD">
        <w:rPr>
          <w:rFonts w:ascii="Times New Roman" w:hAnsi="Times New Roman" w:cs="Times New Roman"/>
          <w:spacing w:val="-3"/>
          <w:sz w:val="26"/>
          <w:szCs w:val="26"/>
        </w:rPr>
        <w:t xml:space="preserve">At the end of 2006, she saw </w:t>
      </w:r>
      <w:r w:rsidR="006D479C">
        <w:rPr>
          <w:rFonts w:ascii="Times New Roman" w:hAnsi="Times New Roman" w:cs="Times New Roman"/>
          <w:spacing w:val="-3"/>
          <w:sz w:val="26"/>
          <w:szCs w:val="26"/>
        </w:rPr>
        <w:t>“</w:t>
      </w:r>
      <w:r w:rsidR="00600FFD">
        <w:rPr>
          <w:rFonts w:ascii="Times New Roman" w:hAnsi="Times New Roman" w:cs="Times New Roman"/>
          <w:spacing w:val="-3"/>
          <w:sz w:val="26"/>
          <w:szCs w:val="26"/>
        </w:rPr>
        <w:t>two guys</w:t>
      </w:r>
      <w:r w:rsidR="006D479C">
        <w:rPr>
          <w:rFonts w:ascii="Times New Roman" w:hAnsi="Times New Roman" w:cs="Times New Roman"/>
          <w:spacing w:val="-3"/>
          <w:sz w:val="26"/>
          <w:szCs w:val="26"/>
        </w:rPr>
        <w:t>”</w:t>
      </w:r>
      <w:r w:rsidR="00600FFD">
        <w:rPr>
          <w:rFonts w:ascii="Times New Roman" w:hAnsi="Times New Roman" w:cs="Times New Roman"/>
          <w:spacing w:val="-3"/>
          <w:sz w:val="26"/>
          <w:szCs w:val="26"/>
        </w:rPr>
        <w:t xml:space="preserve"> sitting on the porch who told her they were fixing up the house so that their boss could sell it.  She testified tha</w:t>
      </w:r>
      <w:r w:rsidR="006D479C">
        <w:rPr>
          <w:rFonts w:ascii="Times New Roman" w:hAnsi="Times New Roman" w:cs="Times New Roman"/>
          <w:spacing w:val="-3"/>
          <w:sz w:val="26"/>
          <w:szCs w:val="26"/>
        </w:rPr>
        <w:t xml:space="preserve">t she called the police, who </w:t>
      </w:r>
      <w:r w:rsidR="00600FFD">
        <w:rPr>
          <w:rFonts w:ascii="Times New Roman" w:hAnsi="Times New Roman" w:cs="Times New Roman"/>
          <w:spacing w:val="-3"/>
          <w:sz w:val="26"/>
          <w:szCs w:val="26"/>
        </w:rPr>
        <w:t>told the two me</w:t>
      </w:r>
      <w:r w:rsidR="006D479C">
        <w:rPr>
          <w:rFonts w:ascii="Times New Roman" w:hAnsi="Times New Roman" w:cs="Times New Roman"/>
          <w:spacing w:val="-3"/>
          <w:sz w:val="26"/>
          <w:szCs w:val="26"/>
        </w:rPr>
        <w:t xml:space="preserve">n to leave.  </w:t>
      </w:r>
      <w:r w:rsidR="00DD57AC">
        <w:rPr>
          <w:rFonts w:ascii="Times New Roman" w:hAnsi="Times New Roman" w:cs="Times New Roman"/>
          <w:spacing w:val="-3"/>
          <w:sz w:val="26"/>
          <w:szCs w:val="26"/>
        </w:rPr>
        <w:t xml:space="preserve">Tr. at 11-12.  </w:t>
      </w:r>
      <w:r w:rsidR="006D479C">
        <w:rPr>
          <w:rFonts w:ascii="Times New Roman" w:hAnsi="Times New Roman" w:cs="Times New Roman"/>
          <w:spacing w:val="-3"/>
          <w:sz w:val="26"/>
          <w:szCs w:val="26"/>
        </w:rPr>
        <w:t>She reinstalled the</w:t>
      </w:r>
      <w:r w:rsidR="00600FFD">
        <w:rPr>
          <w:rFonts w:ascii="Times New Roman" w:hAnsi="Times New Roman" w:cs="Times New Roman"/>
          <w:spacing w:val="-3"/>
          <w:sz w:val="26"/>
          <w:szCs w:val="26"/>
        </w:rPr>
        <w:t xml:space="preserve"> padlock that ha</w:t>
      </w:r>
      <w:r w:rsidR="006D479C">
        <w:rPr>
          <w:rFonts w:ascii="Times New Roman" w:hAnsi="Times New Roman" w:cs="Times New Roman"/>
          <w:spacing w:val="-3"/>
          <w:sz w:val="26"/>
          <w:szCs w:val="26"/>
        </w:rPr>
        <w:t>d been knocked off, but afterwards “</w:t>
      </w:r>
      <w:r w:rsidR="00217E7B">
        <w:rPr>
          <w:rFonts w:ascii="Times New Roman" w:hAnsi="Times New Roman" w:cs="Times New Roman"/>
          <w:spacing w:val="-3"/>
          <w:sz w:val="26"/>
          <w:szCs w:val="26"/>
        </w:rPr>
        <w:t>had</w:t>
      </w:r>
      <w:r w:rsidR="006D479C">
        <w:rPr>
          <w:rFonts w:ascii="Times New Roman" w:hAnsi="Times New Roman" w:cs="Times New Roman"/>
          <w:spacing w:val="-3"/>
          <w:sz w:val="26"/>
          <w:szCs w:val="26"/>
        </w:rPr>
        <w:t xml:space="preserve"> to keep the locking the door up” </w:t>
      </w:r>
      <w:r w:rsidR="00217E7B">
        <w:rPr>
          <w:rFonts w:ascii="Times New Roman" w:hAnsi="Times New Roman" w:cs="Times New Roman"/>
          <w:spacing w:val="-3"/>
          <w:sz w:val="26"/>
          <w:szCs w:val="26"/>
        </w:rPr>
        <w:t xml:space="preserve">after someone </w:t>
      </w:r>
      <w:r w:rsidR="006D479C">
        <w:rPr>
          <w:rFonts w:ascii="Times New Roman" w:hAnsi="Times New Roman" w:cs="Times New Roman"/>
          <w:spacing w:val="-3"/>
          <w:sz w:val="26"/>
          <w:szCs w:val="26"/>
        </w:rPr>
        <w:t>kick</w:t>
      </w:r>
      <w:r w:rsidR="00217E7B">
        <w:rPr>
          <w:rFonts w:ascii="Times New Roman" w:hAnsi="Times New Roman" w:cs="Times New Roman"/>
          <w:spacing w:val="-3"/>
          <w:sz w:val="26"/>
          <w:szCs w:val="26"/>
        </w:rPr>
        <w:t>ed</w:t>
      </w:r>
      <w:r w:rsidR="006D479C">
        <w:rPr>
          <w:rFonts w:ascii="Times New Roman" w:hAnsi="Times New Roman" w:cs="Times New Roman"/>
          <w:spacing w:val="-3"/>
          <w:sz w:val="26"/>
          <w:szCs w:val="26"/>
        </w:rPr>
        <w:t xml:space="preserve"> the door in</w:t>
      </w:r>
      <w:r w:rsidR="00217E7B">
        <w:rPr>
          <w:rFonts w:ascii="Times New Roman" w:hAnsi="Times New Roman" w:cs="Times New Roman"/>
          <w:spacing w:val="-3"/>
          <w:sz w:val="26"/>
          <w:szCs w:val="26"/>
        </w:rPr>
        <w:t>.</w:t>
      </w:r>
      <w:r w:rsidR="00600FFD">
        <w:rPr>
          <w:rFonts w:ascii="Times New Roman" w:hAnsi="Times New Roman" w:cs="Times New Roman"/>
          <w:spacing w:val="-3"/>
          <w:sz w:val="26"/>
          <w:szCs w:val="26"/>
        </w:rPr>
        <w:t xml:space="preserve">  </w:t>
      </w:r>
      <w:proofErr w:type="gramStart"/>
      <w:r w:rsidR="00DD57AC">
        <w:rPr>
          <w:rFonts w:ascii="Times New Roman" w:hAnsi="Times New Roman" w:cs="Times New Roman"/>
          <w:spacing w:val="-3"/>
          <w:sz w:val="26"/>
          <w:szCs w:val="26"/>
        </w:rPr>
        <w:t>Tr. at 15.</w:t>
      </w:r>
      <w:proofErr w:type="gramEnd"/>
      <w:r w:rsidR="00DD57AC">
        <w:rPr>
          <w:rFonts w:ascii="Times New Roman" w:hAnsi="Times New Roman" w:cs="Times New Roman"/>
          <w:spacing w:val="-3"/>
          <w:sz w:val="26"/>
          <w:szCs w:val="26"/>
        </w:rPr>
        <w:t xml:space="preserve">  </w:t>
      </w:r>
      <w:r w:rsidR="00217E7B">
        <w:rPr>
          <w:rFonts w:ascii="Times New Roman" w:hAnsi="Times New Roman" w:cs="Times New Roman"/>
          <w:spacing w:val="-3"/>
          <w:sz w:val="26"/>
          <w:szCs w:val="26"/>
        </w:rPr>
        <w:t>In 2010, w</w:t>
      </w:r>
      <w:r w:rsidR="0020646D" w:rsidRPr="0020646D">
        <w:rPr>
          <w:rFonts w:ascii="Times New Roman" w:hAnsi="Times New Roman" w:cs="Times New Roman"/>
          <w:spacing w:val="-3"/>
          <w:sz w:val="26"/>
          <w:szCs w:val="26"/>
        </w:rPr>
        <w:t>hen she tried to sell the property, the Complainant learned that there was a lien on the property for unpaid gas service in an amount exceeding $23,000.</w:t>
      </w:r>
      <w:r w:rsidR="00E21D3A">
        <w:rPr>
          <w:rFonts w:ascii="Times New Roman" w:hAnsi="Times New Roman" w:cs="Times New Roman"/>
          <w:spacing w:val="-3"/>
          <w:sz w:val="26"/>
          <w:szCs w:val="26"/>
        </w:rPr>
        <w:t xml:space="preserve">  </w:t>
      </w:r>
      <w:proofErr w:type="gramStart"/>
      <w:r w:rsidR="00DD57AC">
        <w:rPr>
          <w:rFonts w:ascii="Times New Roman" w:hAnsi="Times New Roman" w:cs="Times New Roman"/>
          <w:spacing w:val="-3"/>
          <w:sz w:val="26"/>
          <w:szCs w:val="26"/>
        </w:rPr>
        <w:t>Tr. at 7.</w:t>
      </w:r>
      <w:proofErr w:type="gramEnd"/>
      <w:r w:rsidR="00DD57AC">
        <w:rPr>
          <w:rFonts w:ascii="Times New Roman" w:hAnsi="Times New Roman" w:cs="Times New Roman"/>
          <w:spacing w:val="-3"/>
          <w:sz w:val="26"/>
          <w:szCs w:val="26"/>
        </w:rPr>
        <w:t xml:space="preserve">  </w:t>
      </w:r>
      <w:r w:rsidR="00BD04B9" w:rsidRPr="00DC1A6F">
        <w:rPr>
          <w:rFonts w:ascii="Times New Roman" w:hAnsi="Times New Roman" w:cs="Times New Roman"/>
          <w:spacing w:val="-3"/>
          <w:sz w:val="26"/>
          <w:szCs w:val="26"/>
        </w:rPr>
        <w:t xml:space="preserve">On December 27, 2010, </w:t>
      </w:r>
      <w:r w:rsidR="00B9521C" w:rsidRPr="00DC1A6F">
        <w:rPr>
          <w:rFonts w:ascii="Times New Roman" w:hAnsi="Times New Roman" w:cs="Times New Roman"/>
          <w:spacing w:val="-3"/>
          <w:sz w:val="26"/>
          <w:szCs w:val="26"/>
        </w:rPr>
        <w:t xml:space="preserve">Ms. </w:t>
      </w:r>
      <w:proofErr w:type="spellStart"/>
      <w:r w:rsidR="00B9521C" w:rsidRPr="00DC1A6F">
        <w:rPr>
          <w:rFonts w:ascii="Times New Roman" w:hAnsi="Times New Roman" w:cs="Times New Roman"/>
          <w:spacing w:val="-3"/>
          <w:sz w:val="26"/>
          <w:szCs w:val="26"/>
        </w:rPr>
        <w:t>Asencio</w:t>
      </w:r>
      <w:proofErr w:type="spellEnd"/>
      <w:r w:rsidR="00B9521C" w:rsidRPr="00DC1A6F">
        <w:rPr>
          <w:rFonts w:ascii="Times New Roman" w:hAnsi="Times New Roman" w:cs="Times New Roman"/>
          <w:spacing w:val="-3"/>
          <w:sz w:val="26"/>
          <w:szCs w:val="26"/>
        </w:rPr>
        <w:t xml:space="preserve"> </w:t>
      </w:r>
      <w:r w:rsidR="00BD04B9" w:rsidRPr="00DC1A6F">
        <w:rPr>
          <w:rFonts w:ascii="Times New Roman" w:hAnsi="Times New Roman" w:cs="Times New Roman"/>
          <w:spacing w:val="-3"/>
          <w:sz w:val="26"/>
          <w:szCs w:val="26"/>
        </w:rPr>
        <w:t xml:space="preserve">called PGW and </w:t>
      </w:r>
      <w:r w:rsidR="00B9521C" w:rsidRPr="00DC1A6F">
        <w:rPr>
          <w:rFonts w:ascii="Times New Roman" w:hAnsi="Times New Roman" w:cs="Times New Roman"/>
          <w:spacing w:val="-3"/>
          <w:sz w:val="26"/>
          <w:szCs w:val="26"/>
        </w:rPr>
        <w:t xml:space="preserve">learned </w:t>
      </w:r>
      <w:r w:rsidR="00BD04B9" w:rsidRPr="00DC1A6F">
        <w:rPr>
          <w:rFonts w:ascii="Times New Roman" w:hAnsi="Times New Roman" w:cs="Times New Roman"/>
          <w:spacing w:val="-3"/>
          <w:sz w:val="26"/>
          <w:szCs w:val="26"/>
        </w:rPr>
        <w:t xml:space="preserve">for the first time </w:t>
      </w:r>
      <w:r w:rsidR="00B9521C" w:rsidRPr="00DC1A6F">
        <w:rPr>
          <w:rFonts w:ascii="Times New Roman" w:hAnsi="Times New Roman" w:cs="Times New Roman"/>
          <w:spacing w:val="-3"/>
          <w:sz w:val="26"/>
          <w:szCs w:val="26"/>
        </w:rPr>
        <w:t>that there was money owed on the property</w:t>
      </w:r>
      <w:r w:rsidR="006D479C">
        <w:rPr>
          <w:rFonts w:ascii="Times New Roman" w:hAnsi="Times New Roman" w:cs="Times New Roman"/>
          <w:spacing w:val="-3"/>
          <w:sz w:val="26"/>
          <w:szCs w:val="26"/>
        </w:rPr>
        <w:t xml:space="preserve">.  </w:t>
      </w:r>
      <w:proofErr w:type="gramStart"/>
      <w:r w:rsidR="006D479C">
        <w:rPr>
          <w:rFonts w:ascii="Times New Roman" w:hAnsi="Times New Roman" w:cs="Times New Roman"/>
          <w:spacing w:val="-3"/>
          <w:sz w:val="26"/>
          <w:szCs w:val="26"/>
        </w:rPr>
        <w:t xml:space="preserve">PGW </w:t>
      </w:r>
      <w:proofErr w:type="spellStart"/>
      <w:r w:rsidR="006D479C">
        <w:rPr>
          <w:rFonts w:ascii="Times New Roman" w:hAnsi="Times New Roman" w:cs="Times New Roman"/>
          <w:spacing w:val="-3"/>
          <w:sz w:val="26"/>
          <w:szCs w:val="26"/>
        </w:rPr>
        <w:t>Exh</w:t>
      </w:r>
      <w:proofErr w:type="spellEnd"/>
      <w:r w:rsidR="006D479C">
        <w:rPr>
          <w:rFonts w:ascii="Times New Roman" w:hAnsi="Times New Roman" w:cs="Times New Roman"/>
          <w:spacing w:val="-3"/>
          <w:sz w:val="26"/>
          <w:szCs w:val="26"/>
        </w:rPr>
        <w:t>.</w:t>
      </w:r>
      <w:proofErr w:type="gramEnd"/>
      <w:r w:rsidR="006D479C">
        <w:rPr>
          <w:rFonts w:ascii="Times New Roman" w:hAnsi="Times New Roman" w:cs="Times New Roman"/>
          <w:spacing w:val="-3"/>
          <w:sz w:val="26"/>
          <w:szCs w:val="26"/>
        </w:rPr>
        <w:t xml:space="preserve"> </w:t>
      </w:r>
      <w:proofErr w:type="gramStart"/>
      <w:r w:rsidR="006D479C">
        <w:rPr>
          <w:rFonts w:ascii="Times New Roman" w:hAnsi="Times New Roman" w:cs="Times New Roman"/>
          <w:spacing w:val="-3"/>
          <w:sz w:val="26"/>
          <w:szCs w:val="26"/>
        </w:rPr>
        <w:t>No. 3; Tr.</w:t>
      </w:r>
      <w:r w:rsidR="00E21D3A">
        <w:rPr>
          <w:rFonts w:ascii="Times New Roman" w:hAnsi="Times New Roman" w:cs="Times New Roman"/>
          <w:spacing w:val="-3"/>
          <w:sz w:val="26"/>
          <w:szCs w:val="26"/>
        </w:rPr>
        <w:t xml:space="preserve"> at</w:t>
      </w:r>
      <w:r w:rsidR="00242845" w:rsidRPr="00DC1A6F">
        <w:rPr>
          <w:rFonts w:ascii="Times New Roman" w:hAnsi="Times New Roman" w:cs="Times New Roman"/>
          <w:spacing w:val="-3"/>
          <w:sz w:val="26"/>
          <w:szCs w:val="26"/>
        </w:rPr>
        <w:t xml:space="preserve"> 40.</w:t>
      </w:r>
      <w:proofErr w:type="gramEnd"/>
    </w:p>
    <w:p w:rsidR="00E21D3A" w:rsidRDefault="00E21D3A" w:rsidP="00E21D3A">
      <w:pPr>
        <w:pStyle w:val="ParaTab1"/>
        <w:spacing w:line="360" w:lineRule="auto"/>
        <w:ind w:firstLine="0"/>
        <w:rPr>
          <w:rFonts w:ascii="Times New Roman" w:hAnsi="Times New Roman" w:cs="Times New Roman"/>
          <w:spacing w:val="-3"/>
          <w:sz w:val="26"/>
          <w:szCs w:val="26"/>
        </w:rPr>
      </w:pPr>
    </w:p>
    <w:p w:rsidR="00E21D3A" w:rsidRPr="00E21D3A" w:rsidRDefault="00E21D3A" w:rsidP="00E21D3A">
      <w:pPr>
        <w:pStyle w:val="ParaTab1"/>
        <w:spacing w:line="360" w:lineRule="auto"/>
        <w:ind w:firstLine="0"/>
        <w:rPr>
          <w:rFonts w:ascii="Times New Roman" w:hAnsi="Times New Roman" w:cs="Times New Roman"/>
          <w:b/>
          <w:spacing w:val="-3"/>
          <w:sz w:val="26"/>
          <w:szCs w:val="26"/>
        </w:rPr>
      </w:pPr>
      <w:r w:rsidRPr="00E21D3A">
        <w:rPr>
          <w:rFonts w:ascii="Times New Roman" w:hAnsi="Times New Roman" w:cs="Times New Roman"/>
          <w:b/>
          <w:spacing w:val="-3"/>
          <w:sz w:val="26"/>
          <w:szCs w:val="26"/>
        </w:rPr>
        <w:t>ALJ’s Initial Decision</w:t>
      </w:r>
    </w:p>
    <w:p w:rsidR="00DD791B" w:rsidRPr="00DC1A6F" w:rsidRDefault="00DD791B" w:rsidP="00E21D3A">
      <w:pPr>
        <w:pStyle w:val="ParaTab1"/>
        <w:spacing w:line="360" w:lineRule="auto"/>
        <w:ind w:left="1440" w:firstLine="0"/>
        <w:rPr>
          <w:rFonts w:ascii="Times New Roman" w:hAnsi="Times New Roman" w:cs="Times New Roman"/>
          <w:spacing w:val="-3"/>
          <w:sz w:val="26"/>
          <w:szCs w:val="26"/>
        </w:rPr>
      </w:pPr>
    </w:p>
    <w:p w:rsidR="00E12BF5" w:rsidRDefault="00E21D3A" w:rsidP="004B1D89">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t xml:space="preserve"> </w:t>
      </w:r>
      <w:r>
        <w:rPr>
          <w:rFonts w:ascii="Times New Roman" w:hAnsi="Times New Roman" w:cs="Times New Roman"/>
          <w:sz w:val="26"/>
          <w:szCs w:val="26"/>
        </w:rPr>
        <w:tab/>
        <w:t>The ALJ explained that his Order Granting in Part and Denying in Part PGW’s Preliminary Objections held that, while the Commission does not have jurisdiction over municipal liens, the Complainant  “</w:t>
      </w:r>
      <w:r w:rsidR="00E849FA">
        <w:rPr>
          <w:rFonts w:ascii="Times New Roman" w:hAnsi="Times New Roman" w:cs="Times New Roman"/>
          <w:sz w:val="26"/>
          <w:szCs w:val="26"/>
        </w:rPr>
        <w:t xml:space="preserve">had </w:t>
      </w:r>
      <w:r w:rsidR="00E12BF5" w:rsidRPr="00DC1A6F">
        <w:rPr>
          <w:rFonts w:ascii="Times New Roman" w:hAnsi="Times New Roman" w:cs="Times New Roman"/>
          <w:sz w:val="26"/>
          <w:szCs w:val="26"/>
        </w:rPr>
        <w:t xml:space="preserve">clearly stated claims in her Complaint that may evidence a violation of the Public Utility Code or a Commission </w:t>
      </w:r>
      <w:r w:rsidR="00E12BF5" w:rsidRPr="002E03E2">
        <w:rPr>
          <w:rFonts w:ascii="Times New Roman" w:hAnsi="Times New Roman" w:cs="Times New Roman"/>
          <w:sz w:val="26"/>
          <w:szCs w:val="26"/>
        </w:rPr>
        <w:t>Order or regulation.</w:t>
      </w:r>
      <w:r w:rsidR="00E849FA" w:rsidRPr="002E03E2">
        <w:rPr>
          <w:rFonts w:ascii="Times New Roman" w:hAnsi="Times New Roman" w:cs="Times New Roman"/>
          <w:sz w:val="26"/>
          <w:szCs w:val="26"/>
        </w:rPr>
        <w:t xml:space="preserve">”  </w:t>
      </w:r>
      <w:proofErr w:type="gramStart"/>
      <w:r w:rsidR="00E849FA" w:rsidRPr="002E03E2">
        <w:rPr>
          <w:rFonts w:ascii="Times New Roman" w:hAnsi="Times New Roman" w:cs="Times New Roman"/>
          <w:sz w:val="26"/>
          <w:szCs w:val="26"/>
        </w:rPr>
        <w:t>I.D. at 9</w:t>
      </w:r>
      <w:r w:rsidR="001C61E0" w:rsidRPr="002E03E2">
        <w:rPr>
          <w:rFonts w:ascii="Times New Roman" w:hAnsi="Times New Roman" w:cs="Times New Roman"/>
          <w:sz w:val="26"/>
          <w:szCs w:val="26"/>
        </w:rPr>
        <w:t>.</w:t>
      </w:r>
      <w:proofErr w:type="gramEnd"/>
      <w:r w:rsidR="001C61E0" w:rsidRPr="002E03E2">
        <w:rPr>
          <w:rFonts w:ascii="Times New Roman" w:hAnsi="Times New Roman" w:cs="Times New Roman"/>
          <w:sz w:val="26"/>
          <w:szCs w:val="26"/>
        </w:rPr>
        <w:t xml:space="preserve">  The ALJ stated that the filing of a lien </w:t>
      </w:r>
      <w:r w:rsidR="00E12BF5" w:rsidRPr="002E03E2">
        <w:rPr>
          <w:rFonts w:ascii="Times New Roman" w:hAnsi="Times New Roman" w:cs="Times New Roman"/>
          <w:sz w:val="26"/>
          <w:szCs w:val="26"/>
        </w:rPr>
        <w:t>does not negate the underlying issues of adeq</w:t>
      </w:r>
      <w:r w:rsidR="001C61E0" w:rsidRPr="002E03E2">
        <w:rPr>
          <w:rFonts w:ascii="Times New Roman" w:hAnsi="Times New Roman" w:cs="Times New Roman"/>
          <w:sz w:val="26"/>
          <w:szCs w:val="26"/>
        </w:rPr>
        <w:t xml:space="preserve">uate service under Section 1501 of the Code.  </w:t>
      </w:r>
    </w:p>
    <w:p w:rsidR="001F0AD3" w:rsidRPr="002E03E2" w:rsidRDefault="001F0AD3" w:rsidP="002E03E2">
      <w:pPr>
        <w:spacing w:line="360" w:lineRule="auto"/>
        <w:rPr>
          <w:rFonts w:ascii="Times New Roman" w:hAnsi="Times New Roman" w:cs="Times New Roman"/>
          <w:sz w:val="26"/>
          <w:szCs w:val="26"/>
        </w:rPr>
      </w:pPr>
    </w:p>
    <w:p w:rsidR="001C61E0" w:rsidRDefault="00E849FA" w:rsidP="002E03E2">
      <w:pPr>
        <w:pStyle w:val="ParaTab1"/>
        <w:tabs>
          <w:tab w:val="left" w:pos="1440"/>
        </w:tabs>
        <w:spacing w:line="360" w:lineRule="auto"/>
        <w:ind w:firstLine="0"/>
        <w:rPr>
          <w:rFonts w:ascii="Times New Roman" w:hAnsi="Times New Roman" w:cs="Times New Roman"/>
          <w:sz w:val="26"/>
          <w:szCs w:val="26"/>
        </w:rPr>
      </w:pPr>
      <w:r w:rsidRPr="001E51FE">
        <w:rPr>
          <w:rFonts w:ascii="Times New Roman" w:hAnsi="Times New Roman" w:cs="Times New Roman"/>
          <w:sz w:val="26"/>
          <w:szCs w:val="26"/>
        </w:rPr>
        <w:tab/>
      </w:r>
      <w:r w:rsidR="00E74F2D" w:rsidRPr="00D81442">
        <w:rPr>
          <w:rFonts w:ascii="Times New Roman" w:hAnsi="Times New Roman" w:cs="Times New Roman"/>
          <w:sz w:val="26"/>
          <w:szCs w:val="26"/>
        </w:rPr>
        <w:t xml:space="preserve">The ALJ stated that </w:t>
      </w:r>
      <w:r w:rsidRPr="00D81442">
        <w:rPr>
          <w:rFonts w:ascii="Times New Roman" w:hAnsi="Times New Roman" w:cs="Times New Roman"/>
          <w:sz w:val="26"/>
          <w:szCs w:val="26"/>
        </w:rPr>
        <w:t xml:space="preserve">the issue </w:t>
      </w:r>
      <w:r w:rsidR="00E74F2D" w:rsidRPr="0096646B">
        <w:rPr>
          <w:rFonts w:ascii="Times New Roman" w:hAnsi="Times New Roman" w:cs="Times New Roman"/>
          <w:sz w:val="26"/>
          <w:szCs w:val="26"/>
        </w:rPr>
        <w:t>raised in this proceeding w</w:t>
      </w:r>
      <w:r w:rsidRPr="0096646B">
        <w:rPr>
          <w:rFonts w:ascii="Times New Roman" w:hAnsi="Times New Roman" w:cs="Times New Roman"/>
          <w:sz w:val="26"/>
          <w:szCs w:val="26"/>
        </w:rPr>
        <w:t xml:space="preserve">as whether </w:t>
      </w:r>
      <w:r w:rsidR="00F323AE" w:rsidRPr="00D57A83">
        <w:rPr>
          <w:rFonts w:ascii="Times New Roman" w:hAnsi="Times New Roman" w:cs="Times New Roman"/>
          <w:sz w:val="26"/>
          <w:szCs w:val="26"/>
        </w:rPr>
        <w:t xml:space="preserve">PGW </w:t>
      </w:r>
      <w:r w:rsidRPr="00D57A83">
        <w:rPr>
          <w:rFonts w:ascii="Times New Roman" w:hAnsi="Times New Roman" w:cs="Times New Roman"/>
          <w:sz w:val="26"/>
          <w:szCs w:val="26"/>
        </w:rPr>
        <w:t>violated</w:t>
      </w:r>
      <w:r>
        <w:rPr>
          <w:rFonts w:ascii="Times New Roman" w:hAnsi="Times New Roman" w:cs="Times New Roman"/>
          <w:sz w:val="26"/>
          <w:szCs w:val="26"/>
        </w:rPr>
        <w:t xml:space="preserve"> Section 1501 </w:t>
      </w:r>
      <w:r w:rsidR="00E74F2D">
        <w:rPr>
          <w:rFonts w:ascii="Times New Roman" w:hAnsi="Times New Roman" w:cs="Times New Roman"/>
          <w:sz w:val="26"/>
          <w:szCs w:val="26"/>
        </w:rPr>
        <w:t xml:space="preserve">of the Code </w:t>
      </w:r>
      <w:r>
        <w:rPr>
          <w:rFonts w:ascii="Times New Roman" w:hAnsi="Times New Roman" w:cs="Times New Roman"/>
          <w:sz w:val="26"/>
          <w:szCs w:val="26"/>
        </w:rPr>
        <w:t>by allowing the arrearage</w:t>
      </w:r>
      <w:r w:rsidR="00F323AE" w:rsidRPr="00DC1A6F">
        <w:rPr>
          <w:rFonts w:ascii="Times New Roman" w:hAnsi="Times New Roman" w:cs="Times New Roman"/>
          <w:sz w:val="26"/>
          <w:szCs w:val="26"/>
        </w:rPr>
        <w:t xml:space="preserve"> for gas service at the</w:t>
      </w:r>
      <w:r>
        <w:rPr>
          <w:rFonts w:ascii="Times New Roman" w:hAnsi="Times New Roman" w:cs="Times New Roman"/>
          <w:sz w:val="26"/>
          <w:szCs w:val="26"/>
        </w:rPr>
        <w:t xml:space="preserve"> Service A</w:t>
      </w:r>
      <w:r w:rsidR="00F323AE" w:rsidRPr="00DC1A6F">
        <w:rPr>
          <w:rFonts w:ascii="Times New Roman" w:hAnsi="Times New Roman" w:cs="Times New Roman"/>
          <w:sz w:val="26"/>
          <w:szCs w:val="26"/>
        </w:rPr>
        <w:t xml:space="preserve">ddress to become so high. </w:t>
      </w:r>
      <w:r w:rsidR="001C61E0">
        <w:rPr>
          <w:rFonts w:ascii="Times New Roman" w:hAnsi="Times New Roman" w:cs="Times New Roman"/>
          <w:sz w:val="26"/>
          <w:szCs w:val="26"/>
        </w:rPr>
        <w:t>The ALJ concluded that s</w:t>
      </w:r>
      <w:r w:rsidR="00E12BF5" w:rsidRPr="00DC1A6F">
        <w:rPr>
          <w:rFonts w:ascii="Times New Roman" w:hAnsi="Times New Roman" w:cs="Times New Roman"/>
          <w:sz w:val="26"/>
          <w:szCs w:val="26"/>
        </w:rPr>
        <w:t>ubstantial</w:t>
      </w:r>
      <w:r w:rsidR="001C61E0">
        <w:rPr>
          <w:rFonts w:ascii="Times New Roman" w:hAnsi="Times New Roman" w:cs="Times New Roman"/>
          <w:sz w:val="26"/>
          <w:szCs w:val="26"/>
        </w:rPr>
        <w:t xml:space="preserve"> record evidence </w:t>
      </w:r>
      <w:r>
        <w:rPr>
          <w:rFonts w:ascii="Times New Roman" w:hAnsi="Times New Roman" w:cs="Times New Roman"/>
          <w:sz w:val="26"/>
          <w:szCs w:val="26"/>
        </w:rPr>
        <w:t>demonstrated</w:t>
      </w:r>
      <w:r w:rsidR="00E12BF5" w:rsidRPr="00DC1A6F">
        <w:rPr>
          <w:rFonts w:ascii="Times New Roman" w:hAnsi="Times New Roman" w:cs="Times New Roman"/>
          <w:sz w:val="26"/>
          <w:szCs w:val="26"/>
        </w:rPr>
        <w:t xml:space="preserve"> that </w:t>
      </w:r>
      <w:r w:rsidR="001C61E0">
        <w:rPr>
          <w:rFonts w:ascii="Times New Roman" w:hAnsi="Times New Roman" w:cs="Times New Roman"/>
          <w:sz w:val="26"/>
          <w:szCs w:val="26"/>
        </w:rPr>
        <w:t xml:space="preserve">PGW </w:t>
      </w:r>
      <w:r w:rsidR="00E74F2D">
        <w:rPr>
          <w:rFonts w:ascii="Times New Roman" w:hAnsi="Times New Roman" w:cs="Times New Roman"/>
          <w:sz w:val="26"/>
          <w:szCs w:val="26"/>
        </w:rPr>
        <w:t>violated</w:t>
      </w:r>
      <w:r w:rsidR="004908F6" w:rsidRPr="00DC1A6F">
        <w:rPr>
          <w:rFonts w:ascii="Times New Roman" w:hAnsi="Times New Roman" w:cs="Times New Roman"/>
          <w:sz w:val="26"/>
          <w:szCs w:val="26"/>
        </w:rPr>
        <w:t xml:space="preserve"> Sec</w:t>
      </w:r>
      <w:r>
        <w:rPr>
          <w:rFonts w:ascii="Times New Roman" w:hAnsi="Times New Roman" w:cs="Times New Roman"/>
          <w:sz w:val="26"/>
          <w:szCs w:val="26"/>
        </w:rPr>
        <w:t>tion 1501</w:t>
      </w:r>
      <w:r w:rsidR="004908F6" w:rsidRPr="00DC1A6F">
        <w:rPr>
          <w:rFonts w:ascii="Times New Roman" w:hAnsi="Times New Roman" w:cs="Times New Roman"/>
          <w:sz w:val="26"/>
          <w:szCs w:val="26"/>
        </w:rPr>
        <w:t xml:space="preserve"> by </w:t>
      </w:r>
      <w:r w:rsidR="002D173F" w:rsidRPr="00DC1A6F">
        <w:rPr>
          <w:rFonts w:ascii="Times New Roman" w:hAnsi="Times New Roman" w:cs="Times New Roman"/>
          <w:sz w:val="26"/>
          <w:szCs w:val="26"/>
        </w:rPr>
        <w:t>failing to adequately shut off gas</w:t>
      </w:r>
      <w:r w:rsidR="00E74F2D">
        <w:rPr>
          <w:rFonts w:ascii="Times New Roman" w:hAnsi="Times New Roman" w:cs="Times New Roman"/>
          <w:sz w:val="26"/>
          <w:szCs w:val="26"/>
        </w:rPr>
        <w:t xml:space="preserve"> </w:t>
      </w:r>
      <w:r w:rsidR="00E74F2D">
        <w:rPr>
          <w:rFonts w:ascii="Times New Roman" w:hAnsi="Times New Roman" w:cs="Times New Roman"/>
          <w:sz w:val="26"/>
          <w:szCs w:val="26"/>
        </w:rPr>
        <w:lastRenderedPageBreak/>
        <w:t xml:space="preserve">service and </w:t>
      </w:r>
      <w:r w:rsidR="004908F6" w:rsidRPr="00DC1A6F">
        <w:rPr>
          <w:rFonts w:ascii="Times New Roman" w:hAnsi="Times New Roman" w:cs="Times New Roman"/>
          <w:sz w:val="26"/>
          <w:szCs w:val="26"/>
        </w:rPr>
        <w:t>allowing the outstanding</w:t>
      </w:r>
      <w:r w:rsidR="001C61E0">
        <w:rPr>
          <w:rFonts w:ascii="Times New Roman" w:hAnsi="Times New Roman" w:cs="Times New Roman"/>
          <w:sz w:val="26"/>
          <w:szCs w:val="26"/>
        </w:rPr>
        <w:t xml:space="preserve"> balance </w:t>
      </w:r>
      <w:r w:rsidR="004908F6" w:rsidRPr="00DC1A6F">
        <w:rPr>
          <w:rFonts w:ascii="Times New Roman" w:hAnsi="Times New Roman" w:cs="Times New Roman"/>
          <w:sz w:val="26"/>
          <w:szCs w:val="26"/>
        </w:rPr>
        <w:t>to become so high.</w:t>
      </w:r>
      <w:r>
        <w:rPr>
          <w:rFonts w:ascii="Times New Roman" w:hAnsi="Times New Roman" w:cs="Times New Roman"/>
          <w:sz w:val="26"/>
          <w:szCs w:val="26"/>
        </w:rPr>
        <w:t xml:space="preserve">  I.D. at 9-10</w:t>
      </w:r>
      <w:r w:rsidR="001C61E0">
        <w:rPr>
          <w:rFonts w:ascii="Times New Roman" w:hAnsi="Times New Roman" w:cs="Times New Roman"/>
          <w:sz w:val="26"/>
          <w:szCs w:val="26"/>
        </w:rPr>
        <w:t>.  According to the ALJ:</w:t>
      </w:r>
    </w:p>
    <w:p w:rsidR="00263EED" w:rsidRPr="00DC1A6F" w:rsidRDefault="00263EED" w:rsidP="00D120D6">
      <w:pPr>
        <w:pStyle w:val="ParaTab1"/>
        <w:tabs>
          <w:tab w:val="left" w:pos="1440"/>
        </w:tabs>
        <w:spacing w:line="360" w:lineRule="auto"/>
        <w:ind w:firstLine="0"/>
        <w:rPr>
          <w:rFonts w:ascii="Times New Roman" w:hAnsi="Times New Roman" w:cs="Times New Roman"/>
          <w:sz w:val="26"/>
          <w:szCs w:val="26"/>
        </w:rPr>
      </w:pPr>
    </w:p>
    <w:p w:rsidR="006121FD" w:rsidRPr="00DC1A6F" w:rsidRDefault="006121FD" w:rsidP="00901562">
      <w:pPr>
        <w:pStyle w:val="ParaTab1"/>
        <w:tabs>
          <w:tab w:val="left" w:pos="1440"/>
        </w:tabs>
        <w:ind w:left="1440" w:right="1440" w:firstLine="0"/>
        <w:rPr>
          <w:rFonts w:ascii="Times New Roman" w:hAnsi="Times New Roman" w:cs="Times New Roman"/>
          <w:sz w:val="26"/>
          <w:szCs w:val="26"/>
        </w:rPr>
      </w:pPr>
      <w:r w:rsidRPr="00DC1A6F">
        <w:rPr>
          <w:rFonts w:ascii="Times New Roman" w:hAnsi="Times New Roman" w:cs="Times New Roman"/>
          <w:sz w:val="26"/>
          <w:szCs w:val="26"/>
        </w:rPr>
        <w:t>The main issue in this case is whether PGW’s continued provision of gas service to the Service Address</w:t>
      </w:r>
      <w:r w:rsidR="002706CE" w:rsidRPr="00DC1A6F">
        <w:rPr>
          <w:rFonts w:ascii="Times New Roman" w:hAnsi="Times New Roman" w:cs="Times New Roman"/>
          <w:sz w:val="26"/>
          <w:szCs w:val="26"/>
        </w:rPr>
        <w:t>,</w:t>
      </w:r>
      <w:r w:rsidRPr="00DC1A6F">
        <w:rPr>
          <w:rFonts w:ascii="Times New Roman" w:hAnsi="Times New Roman" w:cs="Times New Roman"/>
          <w:sz w:val="26"/>
          <w:szCs w:val="26"/>
        </w:rPr>
        <w:t xml:space="preserve"> </w:t>
      </w:r>
      <w:r w:rsidR="00141D65" w:rsidRPr="00DC1A6F">
        <w:rPr>
          <w:rFonts w:ascii="Times New Roman" w:hAnsi="Times New Roman" w:cs="Times New Roman"/>
          <w:sz w:val="26"/>
          <w:szCs w:val="26"/>
        </w:rPr>
        <w:t>despite several attempts to stop the flow of gas</w:t>
      </w:r>
      <w:r w:rsidR="002706CE" w:rsidRPr="00DC1A6F">
        <w:rPr>
          <w:rFonts w:ascii="Times New Roman" w:hAnsi="Times New Roman" w:cs="Times New Roman"/>
          <w:sz w:val="26"/>
          <w:szCs w:val="26"/>
        </w:rPr>
        <w:t>,</w:t>
      </w:r>
      <w:r w:rsidR="00141D65" w:rsidRPr="00DC1A6F">
        <w:rPr>
          <w:rFonts w:ascii="Times New Roman" w:hAnsi="Times New Roman" w:cs="Times New Roman"/>
          <w:sz w:val="26"/>
          <w:szCs w:val="26"/>
        </w:rPr>
        <w:t xml:space="preserve"> </w:t>
      </w:r>
      <w:r w:rsidRPr="00DC1A6F">
        <w:rPr>
          <w:rFonts w:ascii="Times New Roman" w:hAnsi="Times New Roman" w:cs="Times New Roman"/>
          <w:sz w:val="26"/>
          <w:szCs w:val="26"/>
        </w:rPr>
        <w:t>was reasonable given the high outstanding bill that was accumulating.</w:t>
      </w:r>
      <w:r w:rsidR="00263EED" w:rsidRPr="00DC1A6F">
        <w:rPr>
          <w:rFonts w:ascii="Times New Roman" w:hAnsi="Times New Roman" w:cs="Times New Roman"/>
          <w:sz w:val="26"/>
          <w:szCs w:val="26"/>
        </w:rPr>
        <w:t xml:space="preserve">  PGW </w:t>
      </w:r>
      <w:r w:rsidR="002706CE" w:rsidRPr="00DC1A6F">
        <w:rPr>
          <w:rFonts w:ascii="Times New Roman" w:hAnsi="Times New Roman" w:cs="Times New Roman"/>
          <w:sz w:val="26"/>
          <w:szCs w:val="26"/>
        </w:rPr>
        <w:t xml:space="preserve">made several attempts </w:t>
      </w:r>
      <w:r w:rsidR="00263EED" w:rsidRPr="00DC1A6F">
        <w:rPr>
          <w:rFonts w:ascii="Times New Roman" w:hAnsi="Times New Roman" w:cs="Times New Roman"/>
          <w:sz w:val="26"/>
          <w:szCs w:val="26"/>
        </w:rPr>
        <w:t>to stop the flow of gas to the Service Address</w:t>
      </w:r>
      <w:r w:rsidR="002706CE" w:rsidRPr="00DC1A6F">
        <w:rPr>
          <w:rFonts w:ascii="Times New Roman" w:hAnsi="Times New Roman" w:cs="Times New Roman"/>
          <w:sz w:val="26"/>
          <w:szCs w:val="26"/>
        </w:rPr>
        <w:t xml:space="preserve"> by turning off service at the “curb box” at the street in a manner which, as PGW’s witness testified, could be turned back on using tools commonly owned by plumbers or contractors.  S</w:t>
      </w:r>
      <w:r w:rsidR="00263EED" w:rsidRPr="00DC1A6F">
        <w:rPr>
          <w:rFonts w:ascii="Times New Roman" w:hAnsi="Times New Roman" w:cs="Times New Roman"/>
          <w:sz w:val="26"/>
          <w:szCs w:val="26"/>
        </w:rPr>
        <w:t xml:space="preserve">uch actions were not </w:t>
      </w:r>
      <w:r w:rsidR="00E034E7" w:rsidRPr="00DC1A6F">
        <w:rPr>
          <w:rFonts w:ascii="Times New Roman" w:hAnsi="Times New Roman" w:cs="Times New Roman"/>
          <w:sz w:val="26"/>
          <w:szCs w:val="26"/>
        </w:rPr>
        <w:t>effective</w:t>
      </w:r>
      <w:r w:rsidR="00263EED" w:rsidRPr="00DC1A6F">
        <w:rPr>
          <w:rFonts w:ascii="Times New Roman" w:hAnsi="Times New Roman" w:cs="Times New Roman"/>
          <w:sz w:val="26"/>
          <w:szCs w:val="26"/>
        </w:rPr>
        <w:t>.</w:t>
      </w:r>
    </w:p>
    <w:p w:rsidR="006121FD" w:rsidRPr="00DC1A6F" w:rsidRDefault="006121FD" w:rsidP="00901562">
      <w:pPr>
        <w:pStyle w:val="ParaTab1"/>
        <w:tabs>
          <w:tab w:val="left" w:pos="1440"/>
        </w:tabs>
        <w:ind w:left="1440" w:right="1440" w:firstLine="0"/>
        <w:rPr>
          <w:rFonts w:ascii="Times New Roman" w:hAnsi="Times New Roman" w:cs="Times New Roman"/>
          <w:sz w:val="26"/>
          <w:szCs w:val="26"/>
        </w:rPr>
      </w:pPr>
    </w:p>
    <w:p w:rsidR="000E186B" w:rsidRPr="00DC1A6F" w:rsidRDefault="001C4095" w:rsidP="00901562">
      <w:pPr>
        <w:pStyle w:val="ParaTab1"/>
        <w:tabs>
          <w:tab w:val="left" w:pos="1440"/>
        </w:tabs>
        <w:ind w:left="1440" w:right="1440" w:firstLine="0"/>
        <w:rPr>
          <w:rFonts w:ascii="Times New Roman" w:hAnsi="Times New Roman" w:cs="Times New Roman"/>
          <w:sz w:val="26"/>
          <w:szCs w:val="26"/>
        </w:rPr>
      </w:pPr>
      <w:r w:rsidRPr="00DC1A6F">
        <w:rPr>
          <w:rFonts w:ascii="Times New Roman" w:hAnsi="Times New Roman" w:cs="Times New Roman"/>
          <w:sz w:val="26"/>
          <w:szCs w:val="26"/>
        </w:rPr>
        <w:t>According to PGW Exhibit Number 1, a PGW employee visited the property eleven (11) times between June 2000 and April 2005 attempting to collect on the bill that was owed at the time or to turn off the servic</w:t>
      </w:r>
      <w:r w:rsidR="00901562">
        <w:rPr>
          <w:rFonts w:ascii="Times New Roman" w:hAnsi="Times New Roman" w:cs="Times New Roman"/>
          <w:sz w:val="26"/>
          <w:szCs w:val="26"/>
        </w:rPr>
        <w:t xml:space="preserve">e. </w:t>
      </w:r>
      <w:r w:rsidR="00A059A2">
        <w:rPr>
          <w:rFonts w:ascii="Times New Roman" w:hAnsi="Times New Roman" w:cs="Times New Roman"/>
          <w:sz w:val="26"/>
          <w:szCs w:val="26"/>
        </w:rPr>
        <w:t xml:space="preserve"> </w:t>
      </w:r>
      <w:r w:rsidR="000E186B" w:rsidRPr="00DC1A6F">
        <w:rPr>
          <w:rFonts w:ascii="Times New Roman" w:hAnsi="Times New Roman" w:cs="Times New Roman"/>
          <w:sz w:val="26"/>
          <w:szCs w:val="26"/>
        </w:rPr>
        <w:t xml:space="preserve">PGW </w:t>
      </w:r>
      <w:r w:rsidR="00D8447A" w:rsidRPr="00DC1A6F">
        <w:rPr>
          <w:rFonts w:ascii="Times New Roman" w:hAnsi="Times New Roman" w:cs="Times New Roman"/>
          <w:sz w:val="26"/>
          <w:szCs w:val="26"/>
        </w:rPr>
        <w:t>visited</w:t>
      </w:r>
      <w:r w:rsidR="000E186B" w:rsidRPr="00DC1A6F">
        <w:rPr>
          <w:rFonts w:ascii="Times New Roman" w:hAnsi="Times New Roman" w:cs="Times New Roman"/>
          <w:sz w:val="26"/>
          <w:szCs w:val="26"/>
        </w:rPr>
        <w:t xml:space="preserve"> the property </w:t>
      </w:r>
      <w:r w:rsidR="00D8447A" w:rsidRPr="00DC1A6F">
        <w:rPr>
          <w:rFonts w:ascii="Times New Roman" w:hAnsi="Times New Roman" w:cs="Times New Roman"/>
          <w:sz w:val="26"/>
          <w:szCs w:val="26"/>
        </w:rPr>
        <w:t xml:space="preserve">at the Service Address </w:t>
      </w:r>
      <w:r w:rsidR="00E034E7" w:rsidRPr="00DC1A6F">
        <w:rPr>
          <w:rFonts w:ascii="Times New Roman" w:hAnsi="Times New Roman" w:cs="Times New Roman"/>
          <w:sz w:val="26"/>
          <w:szCs w:val="26"/>
        </w:rPr>
        <w:t xml:space="preserve">at least </w:t>
      </w:r>
      <w:r w:rsidRPr="00DC1A6F">
        <w:rPr>
          <w:rFonts w:ascii="Times New Roman" w:hAnsi="Times New Roman" w:cs="Times New Roman"/>
          <w:sz w:val="26"/>
          <w:szCs w:val="26"/>
        </w:rPr>
        <w:t xml:space="preserve">three </w:t>
      </w:r>
      <w:r w:rsidR="000E186B" w:rsidRPr="00DC1A6F">
        <w:rPr>
          <w:rFonts w:ascii="Times New Roman" w:hAnsi="Times New Roman" w:cs="Times New Roman"/>
          <w:sz w:val="26"/>
          <w:szCs w:val="26"/>
        </w:rPr>
        <w:t xml:space="preserve">times to </w:t>
      </w:r>
      <w:r w:rsidRPr="00DC1A6F">
        <w:rPr>
          <w:rFonts w:ascii="Times New Roman" w:hAnsi="Times New Roman" w:cs="Times New Roman"/>
          <w:sz w:val="26"/>
          <w:szCs w:val="26"/>
        </w:rPr>
        <w:t xml:space="preserve">specifically </w:t>
      </w:r>
      <w:r w:rsidR="000E186B" w:rsidRPr="00DC1A6F">
        <w:rPr>
          <w:rFonts w:ascii="Times New Roman" w:hAnsi="Times New Roman" w:cs="Times New Roman"/>
          <w:sz w:val="26"/>
          <w:szCs w:val="26"/>
        </w:rPr>
        <w:t xml:space="preserve">shut </w:t>
      </w:r>
      <w:r w:rsidRPr="00DC1A6F">
        <w:rPr>
          <w:rFonts w:ascii="Times New Roman" w:hAnsi="Times New Roman" w:cs="Times New Roman"/>
          <w:sz w:val="26"/>
          <w:szCs w:val="26"/>
        </w:rPr>
        <w:t xml:space="preserve">off </w:t>
      </w:r>
      <w:r w:rsidR="000E186B" w:rsidRPr="00DC1A6F">
        <w:rPr>
          <w:rFonts w:ascii="Times New Roman" w:hAnsi="Times New Roman" w:cs="Times New Roman"/>
          <w:sz w:val="26"/>
          <w:szCs w:val="26"/>
        </w:rPr>
        <w:t>the service at the curb</w:t>
      </w:r>
      <w:r w:rsidRPr="00DC1A6F">
        <w:rPr>
          <w:rFonts w:ascii="Times New Roman" w:hAnsi="Times New Roman" w:cs="Times New Roman"/>
          <w:sz w:val="26"/>
          <w:szCs w:val="26"/>
        </w:rPr>
        <w:t xml:space="preserve"> only to have service turned back on by someone other than the Company.  This occurred on</w:t>
      </w:r>
      <w:r w:rsidR="000E186B" w:rsidRPr="00DC1A6F">
        <w:rPr>
          <w:rFonts w:ascii="Times New Roman" w:hAnsi="Times New Roman" w:cs="Times New Roman"/>
          <w:sz w:val="26"/>
          <w:szCs w:val="26"/>
        </w:rPr>
        <w:t xml:space="preserve">:  August 15, 2001, </w:t>
      </w:r>
      <w:r w:rsidR="00901562">
        <w:rPr>
          <w:rFonts w:ascii="Times New Roman" w:hAnsi="Times New Roman" w:cs="Times New Roman"/>
          <w:sz w:val="26"/>
          <w:szCs w:val="26"/>
        </w:rPr>
        <w:t xml:space="preserve">April 23, 2003 </w:t>
      </w:r>
      <w:r w:rsidRPr="00DC1A6F">
        <w:rPr>
          <w:rFonts w:ascii="Times New Roman" w:hAnsi="Times New Roman" w:cs="Times New Roman"/>
          <w:sz w:val="26"/>
          <w:szCs w:val="26"/>
        </w:rPr>
        <w:t>and</w:t>
      </w:r>
      <w:r w:rsidR="00D8447A" w:rsidRPr="00DC1A6F">
        <w:rPr>
          <w:rFonts w:ascii="Times New Roman" w:hAnsi="Times New Roman" w:cs="Times New Roman"/>
          <w:sz w:val="26"/>
          <w:szCs w:val="26"/>
        </w:rPr>
        <w:t xml:space="preserve"> </w:t>
      </w:r>
      <w:r w:rsidR="00901562">
        <w:rPr>
          <w:rFonts w:ascii="Times New Roman" w:hAnsi="Times New Roman" w:cs="Times New Roman"/>
          <w:sz w:val="26"/>
          <w:szCs w:val="26"/>
        </w:rPr>
        <w:t>April 6, 2005</w:t>
      </w:r>
      <w:r w:rsidRPr="00DC1A6F">
        <w:rPr>
          <w:rFonts w:ascii="Times New Roman" w:hAnsi="Times New Roman" w:cs="Times New Roman"/>
          <w:sz w:val="26"/>
          <w:szCs w:val="26"/>
        </w:rPr>
        <w:t>.</w:t>
      </w:r>
      <w:r w:rsidR="00D8447A" w:rsidRPr="00DC1A6F">
        <w:rPr>
          <w:rFonts w:ascii="Times New Roman" w:hAnsi="Times New Roman" w:cs="Times New Roman"/>
          <w:sz w:val="26"/>
          <w:szCs w:val="26"/>
        </w:rPr>
        <w:t xml:space="preserve">  Ms. </w:t>
      </w:r>
      <w:proofErr w:type="spellStart"/>
      <w:r w:rsidR="00D8447A" w:rsidRPr="00DC1A6F">
        <w:rPr>
          <w:rFonts w:ascii="Times New Roman" w:hAnsi="Times New Roman" w:cs="Times New Roman"/>
          <w:sz w:val="26"/>
          <w:szCs w:val="26"/>
        </w:rPr>
        <w:t>Cromley</w:t>
      </w:r>
      <w:proofErr w:type="spellEnd"/>
      <w:r w:rsidR="00D8447A" w:rsidRPr="00DC1A6F">
        <w:rPr>
          <w:rFonts w:ascii="Times New Roman" w:hAnsi="Times New Roman" w:cs="Times New Roman"/>
          <w:sz w:val="26"/>
          <w:szCs w:val="26"/>
        </w:rPr>
        <w:t xml:space="preserve"> testified</w:t>
      </w:r>
      <w:r w:rsidRPr="00DC1A6F">
        <w:rPr>
          <w:rFonts w:ascii="Times New Roman" w:hAnsi="Times New Roman" w:cs="Times New Roman"/>
          <w:sz w:val="26"/>
          <w:szCs w:val="26"/>
        </w:rPr>
        <w:t xml:space="preserve"> to a familiar pattern</w:t>
      </w:r>
      <w:r w:rsidR="00D8447A" w:rsidRPr="00DC1A6F">
        <w:rPr>
          <w:rFonts w:ascii="Times New Roman" w:hAnsi="Times New Roman" w:cs="Times New Roman"/>
          <w:sz w:val="26"/>
          <w:szCs w:val="26"/>
        </w:rPr>
        <w:t xml:space="preserve"> that “what occurs after PGW shuts the gas off at the curb is someone other than PGW turned the gas back on again.”  </w:t>
      </w:r>
      <w:r w:rsidRPr="00DC1A6F">
        <w:rPr>
          <w:rFonts w:ascii="Times New Roman" w:hAnsi="Times New Roman" w:cs="Times New Roman"/>
          <w:sz w:val="26"/>
          <w:szCs w:val="26"/>
        </w:rPr>
        <w:t xml:space="preserve">Finally, on June 8, 2005, </w:t>
      </w:r>
      <w:r w:rsidR="00263EED" w:rsidRPr="00DC1A6F">
        <w:rPr>
          <w:rFonts w:ascii="Times New Roman" w:hAnsi="Times New Roman" w:cs="Times New Roman"/>
          <w:sz w:val="26"/>
          <w:szCs w:val="26"/>
        </w:rPr>
        <w:t xml:space="preserve">on the fourth attempt and </w:t>
      </w:r>
      <w:r w:rsidRPr="00DC1A6F">
        <w:rPr>
          <w:rFonts w:ascii="Times New Roman" w:hAnsi="Times New Roman" w:cs="Times New Roman"/>
          <w:sz w:val="26"/>
          <w:szCs w:val="26"/>
        </w:rPr>
        <w:t xml:space="preserve">nearly four years after PGW first attempted to shut off the gas service to the Service Address, PGW was able to </w:t>
      </w:r>
      <w:r w:rsidR="00555E77" w:rsidRPr="00DC1A6F">
        <w:rPr>
          <w:rFonts w:ascii="Times New Roman" w:hAnsi="Times New Roman" w:cs="Times New Roman"/>
          <w:sz w:val="26"/>
          <w:szCs w:val="26"/>
        </w:rPr>
        <w:t xml:space="preserve">enter </w:t>
      </w:r>
      <w:r w:rsidRPr="00DC1A6F">
        <w:rPr>
          <w:rFonts w:ascii="Times New Roman" w:hAnsi="Times New Roman" w:cs="Times New Roman"/>
          <w:sz w:val="26"/>
          <w:szCs w:val="26"/>
        </w:rPr>
        <w:t>the property to turn the ga</w:t>
      </w:r>
      <w:r w:rsidR="00901562">
        <w:rPr>
          <w:rFonts w:ascii="Times New Roman" w:hAnsi="Times New Roman" w:cs="Times New Roman"/>
          <w:sz w:val="26"/>
          <w:szCs w:val="26"/>
        </w:rPr>
        <w:t xml:space="preserve">s off at the meter.  </w:t>
      </w:r>
      <w:r w:rsidRPr="00DC1A6F">
        <w:rPr>
          <w:rFonts w:ascii="Times New Roman" w:hAnsi="Times New Roman" w:cs="Times New Roman"/>
          <w:sz w:val="26"/>
          <w:szCs w:val="26"/>
        </w:rPr>
        <w:t>At that time, the account balance climbed to $22,</w:t>
      </w:r>
      <w:r w:rsidR="00901562">
        <w:rPr>
          <w:rFonts w:ascii="Times New Roman" w:hAnsi="Times New Roman" w:cs="Times New Roman"/>
          <w:sz w:val="26"/>
          <w:szCs w:val="26"/>
        </w:rPr>
        <w:t xml:space="preserve">929.38. </w:t>
      </w:r>
    </w:p>
    <w:p w:rsidR="00A94129" w:rsidRPr="00DC1A6F" w:rsidRDefault="00A94129" w:rsidP="00D120D6">
      <w:pPr>
        <w:pStyle w:val="ParaTab1"/>
        <w:tabs>
          <w:tab w:val="left" w:pos="1440"/>
        </w:tabs>
        <w:spacing w:line="360" w:lineRule="auto"/>
        <w:ind w:firstLine="0"/>
        <w:rPr>
          <w:rFonts w:ascii="Times New Roman" w:hAnsi="Times New Roman" w:cs="Times New Roman"/>
          <w:sz w:val="26"/>
          <w:szCs w:val="26"/>
        </w:rPr>
      </w:pPr>
    </w:p>
    <w:p w:rsidR="00485C3D" w:rsidRDefault="00E849FA" w:rsidP="004D2549">
      <w:pPr>
        <w:pStyle w:val="ParaTab1"/>
        <w:tabs>
          <w:tab w:val="left" w:pos="1440"/>
        </w:tabs>
        <w:spacing w:line="360" w:lineRule="auto"/>
        <w:ind w:firstLine="0"/>
        <w:rPr>
          <w:rFonts w:ascii="Times New Roman" w:hAnsi="Times New Roman" w:cs="Times New Roman"/>
          <w:sz w:val="26"/>
          <w:szCs w:val="26"/>
        </w:rPr>
      </w:pPr>
      <w:r>
        <w:rPr>
          <w:rFonts w:ascii="Times New Roman" w:hAnsi="Times New Roman" w:cs="Times New Roman"/>
          <w:sz w:val="26"/>
          <w:szCs w:val="26"/>
        </w:rPr>
        <w:t xml:space="preserve">I.D. at </w:t>
      </w:r>
      <w:r w:rsidR="00A059A2">
        <w:rPr>
          <w:rFonts w:ascii="Times New Roman" w:hAnsi="Times New Roman" w:cs="Times New Roman"/>
          <w:sz w:val="26"/>
          <w:szCs w:val="26"/>
        </w:rPr>
        <w:t>13-14</w:t>
      </w:r>
      <w:r w:rsidR="004B1D89">
        <w:rPr>
          <w:rFonts w:ascii="Times New Roman" w:hAnsi="Times New Roman" w:cs="Times New Roman"/>
          <w:sz w:val="26"/>
          <w:szCs w:val="26"/>
        </w:rPr>
        <w:t xml:space="preserve"> (record citations omitted).  </w:t>
      </w:r>
      <w:r w:rsidR="00901562">
        <w:rPr>
          <w:rFonts w:ascii="Times New Roman" w:hAnsi="Times New Roman" w:cs="Times New Roman"/>
          <w:sz w:val="26"/>
          <w:szCs w:val="26"/>
        </w:rPr>
        <w:t>The ALJ conclu</w:t>
      </w:r>
      <w:r w:rsidR="00A059A2">
        <w:rPr>
          <w:rFonts w:ascii="Times New Roman" w:hAnsi="Times New Roman" w:cs="Times New Roman"/>
          <w:sz w:val="26"/>
          <w:szCs w:val="26"/>
        </w:rPr>
        <w:t>ded that “PGW’s repeated failure to adequately stop the flow of gas to the Service Address [was] unreasonable and a violation of Section 1501 of the Public Utility Code</w:t>
      </w:r>
      <w:r w:rsidR="001E7E2D" w:rsidRPr="00DC1A6F">
        <w:rPr>
          <w:rFonts w:ascii="Times New Roman" w:hAnsi="Times New Roman" w:cs="Times New Roman"/>
          <w:sz w:val="26"/>
          <w:szCs w:val="26"/>
        </w:rPr>
        <w:t>.</w:t>
      </w:r>
      <w:r w:rsidR="00A059A2">
        <w:rPr>
          <w:rFonts w:ascii="Times New Roman" w:hAnsi="Times New Roman" w:cs="Times New Roman"/>
          <w:sz w:val="26"/>
          <w:szCs w:val="26"/>
        </w:rPr>
        <w:t xml:space="preserve">”  </w:t>
      </w:r>
      <w:proofErr w:type="gramStart"/>
      <w:r w:rsidR="00A059A2">
        <w:rPr>
          <w:rFonts w:ascii="Times New Roman" w:hAnsi="Times New Roman" w:cs="Times New Roman"/>
          <w:sz w:val="26"/>
          <w:szCs w:val="26"/>
        </w:rPr>
        <w:t>I.D. at 81</w:t>
      </w:r>
      <w:r w:rsidR="00901562">
        <w:rPr>
          <w:rFonts w:ascii="Times New Roman" w:hAnsi="Times New Roman" w:cs="Times New Roman"/>
          <w:sz w:val="26"/>
          <w:szCs w:val="26"/>
        </w:rPr>
        <w:t>.</w:t>
      </w:r>
      <w:proofErr w:type="gramEnd"/>
      <w:r w:rsidR="00901562">
        <w:rPr>
          <w:rFonts w:ascii="Times New Roman" w:hAnsi="Times New Roman" w:cs="Times New Roman"/>
          <w:sz w:val="26"/>
          <w:szCs w:val="26"/>
        </w:rPr>
        <w:t xml:space="preserve"> </w:t>
      </w:r>
      <w:r w:rsidR="004B1D89">
        <w:rPr>
          <w:rFonts w:ascii="Times New Roman" w:hAnsi="Times New Roman" w:cs="Times New Roman"/>
          <w:sz w:val="26"/>
          <w:szCs w:val="26"/>
        </w:rPr>
        <w:t xml:space="preserve"> </w:t>
      </w:r>
      <w:r w:rsidR="00A059A2">
        <w:rPr>
          <w:rFonts w:ascii="Times New Roman" w:hAnsi="Times New Roman" w:cs="Times New Roman"/>
          <w:sz w:val="26"/>
          <w:szCs w:val="26"/>
        </w:rPr>
        <w:t xml:space="preserve">Based on this conclusion, the ALJ reduced the account balance </w:t>
      </w:r>
      <w:r w:rsidR="00D668F1">
        <w:rPr>
          <w:rFonts w:ascii="Times New Roman" w:hAnsi="Times New Roman" w:cs="Times New Roman"/>
          <w:sz w:val="26"/>
          <w:szCs w:val="26"/>
        </w:rPr>
        <w:t xml:space="preserve">of </w:t>
      </w:r>
      <w:r w:rsidR="00D668F1">
        <w:rPr>
          <w:rFonts w:ascii="Times New Roman" w:hAnsi="Times New Roman" w:cs="Times New Roman"/>
          <w:spacing w:val="-3"/>
          <w:sz w:val="26"/>
          <w:szCs w:val="26"/>
        </w:rPr>
        <w:t xml:space="preserve">$23,055.08 (the balance due when PGW terminated service at the meter on June 8, 2005) </w:t>
      </w:r>
      <w:r w:rsidR="00D668F1">
        <w:rPr>
          <w:rFonts w:ascii="Times New Roman" w:hAnsi="Times New Roman" w:cs="Times New Roman"/>
          <w:sz w:val="26"/>
          <w:szCs w:val="26"/>
        </w:rPr>
        <w:t>to $3,702.97 (</w:t>
      </w:r>
      <w:r w:rsidR="00A059A2">
        <w:rPr>
          <w:rFonts w:ascii="Times New Roman" w:hAnsi="Times New Roman" w:cs="Times New Roman"/>
          <w:sz w:val="26"/>
          <w:szCs w:val="26"/>
        </w:rPr>
        <w:t>the balance due on August 15, 2001, when PGW first terminate</w:t>
      </w:r>
      <w:r w:rsidR="00D668F1">
        <w:rPr>
          <w:rFonts w:ascii="Times New Roman" w:hAnsi="Times New Roman" w:cs="Times New Roman"/>
          <w:sz w:val="26"/>
          <w:szCs w:val="26"/>
        </w:rPr>
        <w:t>d service at the curb box)</w:t>
      </w:r>
      <w:r w:rsidR="00A059A2">
        <w:rPr>
          <w:rFonts w:ascii="Times New Roman" w:hAnsi="Times New Roman" w:cs="Times New Roman"/>
          <w:sz w:val="26"/>
          <w:szCs w:val="26"/>
        </w:rPr>
        <w:t xml:space="preserve">.  </w:t>
      </w:r>
      <w:r w:rsidR="00A059A2" w:rsidRPr="00A059A2">
        <w:rPr>
          <w:rFonts w:ascii="Times New Roman" w:hAnsi="Times New Roman" w:cs="Times New Roman"/>
          <w:i/>
          <w:sz w:val="26"/>
          <w:szCs w:val="26"/>
        </w:rPr>
        <w:t>Id.</w:t>
      </w:r>
    </w:p>
    <w:p w:rsidR="00485C3D" w:rsidRDefault="00485C3D" w:rsidP="004D2549">
      <w:pPr>
        <w:pStyle w:val="ParaTab1"/>
        <w:tabs>
          <w:tab w:val="left" w:pos="1440"/>
        </w:tabs>
        <w:spacing w:line="360" w:lineRule="auto"/>
        <w:ind w:firstLine="0"/>
        <w:rPr>
          <w:rFonts w:ascii="Times New Roman" w:hAnsi="Times New Roman" w:cs="Times New Roman"/>
          <w:sz w:val="26"/>
          <w:szCs w:val="26"/>
        </w:rPr>
      </w:pPr>
    </w:p>
    <w:p w:rsidR="004D2549" w:rsidRDefault="00485C3D" w:rsidP="004D2549">
      <w:pPr>
        <w:pStyle w:val="ParaTab1"/>
        <w:tabs>
          <w:tab w:val="left" w:pos="1440"/>
        </w:tabs>
        <w:spacing w:line="360" w:lineRule="auto"/>
        <w:ind w:firstLine="0"/>
        <w:rPr>
          <w:rFonts w:ascii="Times New Roman" w:hAnsi="Times New Roman" w:cs="Times New Roman"/>
          <w:sz w:val="26"/>
          <w:szCs w:val="26"/>
        </w:rPr>
      </w:pPr>
      <w:r>
        <w:rPr>
          <w:rFonts w:ascii="Times New Roman" w:hAnsi="Times New Roman" w:cs="Times New Roman"/>
          <w:sz w:val="26"/>
          <w:szCs w:val="26"/>
        </w:rPr>
        <w:lastRenderedPageBreak/>
        <w:tab/>
        <w:t xml:space="preserve"> The ALJ </w:t>
      </w:r>
      <w:r w:rsidR="004D2549">
        <w:rPr>
          <w:rFonts w:ascii="Times New Roman" w:hAnsi="Times New Roman" w:cs="Times New Roman"/>
          <w:sz w:val="26"/>
          <w:szCs w:val="26"/>
        </w:rPr>
        <w:t>noted that his decision would not serve to reduce the amount of the lien:</w:t>
      </w:r>
    </w:p>
    <w:p w:rsidR="006E3DCE" w:rsidRPr="004D2549" w:rsidRDefault="00BE7DEC" w:rsidP="004D2549">
      <w:pPr>
        <w:pStyle w:val="ParaTab1"/>
        <w:tabs>
          <w:tab w:val="left" w:pos="1440"/>
        </w:tabs>
        <w:ind w:left="1440" w:right="1440" w:firstLine="0"/>
        <w:rPr>
          <w:rFonts w:ascii="Times New Roman" w:hAnsi="Times New Roman" w:cs="Times New Roman"/>
          <w:sz w:val="26"/>
          <w:szCs w:val="26"/>
        </w:rPr>
      </w:pPr>
      <w:r w:rsidRPr="00DC1A6F">
        <w:rPr>
          <w:rFonts w:ascii="Times New Roman" w:hAnsi="Times New Roman" w:cs="Times New Roman"/>
          <w:sz w:val="26"/>
          <w:szCs w:val="26"/>
        </w:rPr>
        <w:t xml:space="preserve">To be clear, this decision does not reduce the amount of the lien, or in any way otherwise affect the lien, since the Commission does not have authority to do that.  Ms. </w:t>
      </w:r>
      <w:proofErr w:type="spellStart"/>
      <w:r w:rsidRPr="00DC1A6F">
        <w:rPr>
          <w:rFonts w:ascii="Times New Roman" w:hAnsi="Times New Roman" w:cs="Times New Roman"/>
          <w:sz w:val="26"/>
          <w:szCs w:val="26"/>
        </w:rPr>
        <w:t>Asencio</w:t>
      </w:r>
      <w:proofErr w:type="spellEnd"/>
      <w:r w:rsidRPr="00DC1A6F">
        <w:rPr>
          <w:rFonts w:ascii="Times New Roman" w:hAnsi="Times New Roman" w:cs="Times New Roman"/>
          <w:sz w:val="26"/>
          <w:szCs w:val="26"/>
        </w:rPr>
        <w:t xml:space="preserve"> can attempt to address the size or validity of the lien based on this decision in some other forum that does have jurisdiction over such matters</w:t>
      </w:r>
      <w:r w:rsidR="00554799" w:rsidRPr="00DC1A6F">
        <w:rPr>
          <w:rFonts w:ascii="Times New Roman" w:hAnsi="Times New Roman" w:cs="Times New Roman"/>
          <w:sz w:val="26"/>
          <w:szCs w:val="26"/>
        </w:rPr>
        <w:t>, if she so desires</w:t>
      </w:r>
      <w:r w:rsidRPr="00DC1A6F">
        <w:rPr>
          <w:rFonts w:ascii="Times New Roman" w:hAnsi="Times New Roman" w:cs="Times New Roman"/>
          <w:sz w:val="26"/>
          <w:szCs w:val="26"/>
        </w:rPr>
        <w:t>.</w:t>
      </w:r>
    </w:p>
    <w:p w:rsidR="00E37293" w:rsidRPr="00DC1A6F" w:rsidRDefault="00E37293" w:rsidP="00374927">
      <w:pPr>
        <w:spacing w:line="360" w:lineRule="auto"/>
        <w:rPr>
          <w:rFonts w:ascii="Times New Roman" w:hAnsi="Times New Roman" w:cs="Times New Roman"/>
          <w:sz w:val="26"/>
          <w:szCs w:val="26"/>
        </w:rPr>
      </w:pPr>
    </w:p>
    <w:p w:rsidR="00BE7DEC" w:rsidRPr="009722D2" w:rsidRDefault="00485C3D" w:rsidP="001C035A">
      <w:pPr>
        <w:pStyle w:val="ParaTab1"/>
        <w:spacing w:line="360" w:lineRule="auto"/>
        <w:ind w:firstLine="0"/>
        <w:rPr>
          <w:rFonts w:ascii="Times New Roman" w:hAnsi="Times New Roman" w:cs="Times New Roman"/>
          <w:sz w:val="26"/>
          <w:szCs w:val="26"/>
        </w:rPr>
      </w:pPr>
      <w:proofErr w:type="gramStart"/>
      <w:r>
        <w:rPr>
          <w:rFonts w:ascii="Times New Roman" w:hAnsi="Times New Roman" w:cs="Times New Roman"/>
          <w:sz w:val="26"/>
          <w:szCs w:val="26"/>
        </w:rPr>
        <w:t>I.D. at 18</w:t>
      </w:r>
      <w:r w:rsidR="004D2549">
        <w:rPr>
          <w:rFonts w:ascii="Times New Roman" w:hAnsi="Times New Roman" w:cs="Times New Roman"/>
          <w:sz w:val="26"/>
          <w:szCs w:val="26"/>
        </w:rPr>
        <w:t>.</w:t>
      </w:r>
      <w:proofErr w:type="gramEnd"/>
      <w:r w:rsidR="004D2549">
        <w:rPr>
          <w:rFonts w:ascii="Times New Roman" w:hAnsi="Times New Roman" w:cs="Times New Roman"/>
          <w:sz w:val="26"/>
          <w:szCs w:val="26"/>
        </w:rPr>
        <w:t xml:space="preserve">  </w:t>
      </w:r>
      <w:r w:rsidR="00BE7DEC" w:rsidRPr="00DC1A6F">
        <w:rPr>
          <w:rFonts w:ascii="Times New Roman" w:hAnsi="Times New Roman" w:cs="Times New Roman"/>
          <w:sz w:val="26"/>
          <w:szCs w:val="26"/>
        </w:rPr>
        <w:t xml:space="preserve">Finally, </w:t>
      </w:r>
      <w:r w:rsidR="004D2549">
        <w:rPr>
          <w:rFonts w:ascii="Times New Roman" w:hAnsi="Times New Roman" w:cs="Times New Roman"/>
          <w:sz w:val="26"/>
          <w:szCs w:val="26"/>
        </w:rPr>
        <w:t xml:space="preserve">the ALJ concluded that the Complainant had not met her burden of proving </w:t>
      </w:r>
      <w:r w:rsidR="009722D2">
        <w:rPr>
          <w:rFonts w:ascii="Times New Roman" w:hAnsi="Times New Roman" w:cs="Times New Roman"/>
          <w:sz w:val="26"/>
          <w:szCs w:val="26"/>
        </w:rPr>
        <w:t xml:space="preserve">that PGW violated </w:t>
      </w:r>
      <w:r w:rsidR="004D2549">
        <w:rPr>
          <w:rFonts w:ascii="Times New Roman" w:hAnsi="Times New Roman" w:cs="Times New Roman"/>
          <w:sz w:val="26"/>
          <w:szCs w:val="26"/>
        </w:rPr>
        <w:t xml:space="preserve">the Code, a Commission </w:t>
      </w:r>
      <w:r w:rsidR="00CD3814">
        <w:rPr>
          <w:rFonts w:ascii="Times New Roman" w:hAnsi="Times New Roman" w:cs="Times New Roman"/>
          <w:sz w:val="26"/>
          <w:szCs w:val="26"/>
        </w:rPr>
        <w:t>R</w:t>
      </w:r>
      <w:r w:rsidR="004D2549">
        <w:rPr>
          <w:rFonts w:ascii="Times New Roman" w:hAnsi="Times New Roman" w:cs="Times New Roman"/>
          <w:sz w:val="26"/>
          <w:szCs w:val="26"/>
        </w:rPr>
        <w:t xml:space="preserve">egulation, or a Commission </w:t>
      </w:r>
      <w:r w:rsidR="00CD3814">
        <w:rPr>
          <w:rFonts w:ascii="Times New Roman" w:hAnsi="Times New Roman" w:cs="Times New Roman"/>
          <w:sz w:val="26"/>
          <w:szCs w:val="26"/>
        </w:rPr>
        <w:t>O</w:t>
      </w:r>
      <w:r w:rsidR="004D2549">
        <w:rPr>
          <w:rFonts w:ascii="Times New Roman" w:hAnsi="Times New Roman" w:cs="Times New Roman"/>
          <w:sz w:val="26"/>
          <w:szCs w:val="26"/>
        </w:rPr>
        <w:t xml:space="preserve">rder with regard to </w:t>
      </w:r>
      <w:r w:rsidR="00004F9E" w:rsidRPr="00DC1A6F">
        <w:rPr>
          <w:rFonts w:ascii="Times New Roman" w:hAnsi="Times New Roman" w:cs="Times New Roman"/>
          <w:sz w:val="26"/>
          <w:szCs w:val="26"/>
        </w:rPr>
        <w:t xml:space="preserve">other issues </w:t>
      </w:r>
      <w:r w:rsidR="004D2549">
        <w:rPr>
          <w:rFonts w:ascii="Times New Roman" w:hAnsi="Times New Roman" w:cs="Times New Roman"/>
          <w:sz w:val="26"/>
          <w:szCs w:val="26"/>
        </w:rPr>
        <w:t xml:space="preserve">that she raised </w:t>
      </w:r>
      <w:r w:rsidR="00004F9E" w:rsidRPr="00DC1A6F">
        <w:rPr>
          <w:rFonts w:ascii="Times New Roman" w:hAnsi="Times New Roman" w:cs="Times New Roman"/>
          <w:sz w:val="26"/>
          <w:szCs w:val="26"/>
        </w:rPr>
        <w:t>in her Complaint</w:t>
      </w:r>
      <w:r w:rsidR="009722D2">
        <w:rPr>
          <w:rFonts w:ascii="Times New Roman" w:hAnsi="Times New Roman" w:cs="Times New Roman"/>
          <w:sz w:val="26"/>
          <w:szCs w:val="26"/>
        </w:rPr>
        <w:t xml:space="preserve"> (fraud, identity</w:t>
      </w:r>
      <w:r w:rsidR="003907FE">
        <w:rPr>
          <w:rFonts w:ascii="Times New Roman" w:hAnsi="Times New Roman" w:cs="Times New Roman"/>
          <w:sz w:val="26"/>
          <w:szCs w:val="26"/>
        </w:rPr>
        <w:t xml:space="preserve"> theft, etc.</w:t>
      </w:r>
      <w:r w:rsidR="009722D2">
        <w:rPr>
          <w:rFonts w:ascii="Times New Roman" w:hAnsi="Times New Roman" w:cs="Times New Roman"/>
          <w:sz w:val="26"/>
          <w:szCs w:val="26"/>
        </w:rPr>
        <w:t>).</w:t>
      </w:r>
      <w:r w:rsidR="003907FE">
        <w:rPr>
          <w:rFonts w:ascii="Times New Roman" w:hAnsi="Times New Roman" w:cs="Times New Roman"/>
          <w:sz w:val="26"/>
          <w:szCs w:val="26"/>
        </w:rPr>
        <w:t xml:space="preserve">  </w:t>
      </w:r>
      <w:proofErr w:type="gramStart"/>
      <w:r w:rsidR="003907FE" w:rsidRPr="003907FE">
        <w:rPr>
          <w:rFonts w:ascii="Times New Roman" w:hAnsi="Times New Roman" w:cs="Times New Roman"/>
          <w:i/>
          <w:sz w:val="26"/>
          <w:szCs w:val="26"/>
        </w:rPr>
        <w:t>Id</w:t>
      </w:r>
      <w:r w:rsidR="003907FE">
        <w:rPr>
          <w:rFonts w:ascii="Times New Roman" w:hAnsi="Times New Roman" w:cs="Times New Roman"/>
          <w:sz w:val="26"/>
          <w:szCs w:val="26"/>
        </w:rPr>
        <w:t>. at 24.</w:t>
      </w:r>
      <w:proofErr w:type="gramEnd"/>
    </w:p>
    <w:p w:rsidR="00392EFE" w:rsidRDefault="00392EFE" w:rsidP="0032796F">
      <w:pPr>
        <w:pStyle w:val="BodyText"/>
        <w:spacing w:line="360" w:lineRule="auto"/>
        <w:jc w:val="left"/>
        <w:rPr>
          <w:sz w:val="26"/>
          <w:szCs w:val="26"/>
        </w:rPr>
      </w:pPr>
    </w:p>
    <w:p w:rsidR="00A52866" w:rsidRDefault="00A52866" w:rsidP="0032796F">
      <w:pPr>
        <w:pStyle w:val="BodyText"/>
        <w:spacing w:line="360" w:lineRule="auto"/>
        <w:jc w:val="left"/>
        <w:rPr>
          <w:b/>
          <w:sz w:val="26"/>
          <w:szCs w:val="26"/>
        </w:rPr>
      </w:pPr>
      <w:r w:rsidRPr="00A52866">
        <w:rPr>
          <w:b/>
          <w:sz w:val="26"/>
          <w:szCs w:val="26"/>
        </w:rPr>
        <w:t>Exceptions</w:t>
      </w:r>
    </w:p>
    <w:p w:rsidR="00A52866" w:rsidRDefault="00A52866" w:rsidP="0032796F">
      <w:pPr>
        <w:pStyle w:val="BodyText"/>
        <w:spacing w:line="360" w:lineRule="auto"/>
        <w:jc w:val="left"/>
        <w:rPr>
          <w:b/>
          <w:sz w:val="26"/>
          <w:szCs w:val="26"/>
        </w:rPr>
      </w:pPr>
    </w:p>
    <w:p w:rsidR="005901D9" w:rsidRDefault="005901D9" w:rsidP="0032796F">
      <w:pPr>
        <w:pStyle w:val="BodyText"/>
        <w:spacing w:line="360" w:lineRule="auto"/>
        <w:jc w:val="left"/>
        <w:rPr>
          <w:sz w:val="26"/>
          <w:szCs w:val="26"/>
        </w:rPr>
      </w:pPr>
      <w:r>
        <w:rPr>
          <w:b/>
          <w:sz w:val="26"/>
          <w:szCs w:val="26"/>
        </w:rPr>
        <w:tab/>
        <w:t xml:space="preserve"> </w:t>
      </w:r>
      <w:r>
        <w:rPr>
          <w:b/>
          <w:sz w:val="26"/>
          <w:szCs w:val="26"/>
        </w:rPr>
        <w:tab/>
      </w:r>
      <w:r w:rsidR="009722D2">
        <w:rPr>
          <w:sz w:val="26"/>
          <w:szCs w:val="26"/>
        </w:rPr>
        <w:t>In its Exceptions, PGW</w:t>
      </w:r>
      <w:r>
        <w:rPr>
          <w:sz w:val="26"/>
          <w:szCs w:val="26"/>
        </w:rPr>
        <w:t xml:space="preserve"> argues that</w:t>
      </w:r>
      <w:r w:rsidR="009722D2">
        <w:rPr>
          <w:sz w:val="26"/>
          <w:szCs w:val="26"/>
        </w:rPr>
        <w:t xml:space="preserve"> </w:t>
      </w:r>
      <w:r>
        <w:rPr>
          <w:sz w:val="26"/>
          <w:szCs w:val="26"/>
        </w:rPr>
        <w:t>the Initial Decision contains errors of law and is unsupported by substantial ev</w:t>
      </w:r>
      <w:r w:rsidR="007D723A">
        <w:rPr>
          <w:sz w:val="26"/>
          <w:szCs w:val="26"/>
        </w:rPr>
        <w:t xml:space="preserve">idence.  </w:t>
      </w:r>
      <w:proofErr w:type="gramStart"/>
      <w:r w:rsidR="007D723A">
        <w:rPr>
          <w:sz w:val="26"/>
          <w:szCs w:val="26"/>
        </w:rPr>
        <w:t>Exc. at 3.</w:t>
      </w:r>
      <w:proofErr w:type="gramEnd"/>
      <w:r w:rsidR="007D723A">
        <w:rPr>
          <w:sz w:val="26"/>
          <w:szCs w:val="26"/>
        </w:rPr>
        <w:t xml:space="preserve">  Generally</w:t>
      </w:r>
      <w:r>
        <w:rPr>
          <w:sz w:val="26"/>
          <w:szCs w:val="26"/>
        </w:rPr>
        <w:t xml:space="preserve">, PGW takes exception to: </w:t>
      </w:r>
      <w:r w:rsidR="004B1D89">
        <w:rPr>
          <w:sz w:val="26"/>
          <w:szCs w:val="26"/>
        </w:rPr>
        <w:t xml:space="preserve"> </w:t>
      </w:r>
      <w:r>
        <w:rPr>
          <w:sz w:val="26"/>
          <w:szCs w:val="26"/>
        </w:rPr>
        <w:t xml:space="preserve">(1) the </w:t>
      </w:r>
      <w:r w:rsidR="00E74F2D">
        <w:rPr>
          <w:sz w:val="26"/>
          <w:szCs w:val="26"/>
        </w:rPr>
        <w:t xml:space="preserve">ALJ’s </w:t>
      </w:r>
      <w:r>
        <w:rPr>
          <w:sz w:val="26"/>
          <w:szCs w:val="26"/>
        </w:rPr>
        <w:t>con</w:t>
      </w:r>
      <w:r w:rsidR="00E74F2D">
        <w:rPr>
          <w:sz w:val="26"/>
          <w:szCs w:val="26"/>
        </w:rPr>
        <w:t xml:space="preserve">clusion </w:t>
      </w:r>
      <w:r>
        <w:rPr>
          <w:sz w:val="26"/>
          <w:szCs w:val="26"/>
        </w:rPr>
        <w:t xml:space="preserve">that </w:t>
      </w:r>
      <w:r w:rsidR="00E74F2D">
        <w:rPr>
          <w:sz w:val="26"/>
          <w:szCs w:val="26"/>
        </w:rPr>
        <w:t xml:space="preserve">the fact that </w:t>
      </w:r>
      <w:r>
        <w:rPr>
          <w:sz w:val="26"/>
          <w:szCs w:val="26"/>
        </w:rPr>
        <w:t>PGW is not holding the Complainant personally responsible for the unpaid gas bill</w:t>
      </w:r>
      <w:r w:rsidR="00E74F2D">
        <w:rPr>
          <w:sz w:val="26"/>
          <w:szCs w:val="26"/>
        </w:rPr>
        <w:t xml:space="preserve"> is irrelevant</w:t>
      </w:r>
      <w:r>
        <w:rPr>
          <w:sz w:val="26"/>
          <w:szCs w:val="26"/>
        </w:rPr>
        <w:t xml:space="preserve">; (2) the </w:t>
      </w:r>
      <w:r w:rsidR="00E74F2D">
        <w:rPr>
          <w:sz w:val="26"/>
          <w:szCs w:val="26"/>
        </w:rPr>
        <w:t xml:space="preserve">ALJ’s </w:t>
      </w:r>
      <w:r>
        <w:rPr>
          <w:sz w:val="26"/>
          <w:szCs w:val="26"/>
        </w:rPr>
        <w:t>conclusion that PGW violated Section 1501 by failing to stop the flow of gas at the Servic</w:t>
      </w:r>
      <w:r w:rsidR="007C3A32">
        <w:rPr>
          <w:sz w:val="26"/>
          <w:szCs w:val="26"/>
        </w:rPr>
        <w:t xml:space="preserve">e Address; and (3) </w:t>
      </w:r>
      <w:r>
        <w:rPr>
          <w:sz w:val="26"/>
          <w:szCs w:val="26"/>
        </w:rPr>
        <w:t xml:space="preserve">the reduction of the amount owed for gas service to $3,702.97, which PGW asserts is not supported by substantial evidence.  </w:t>
      </w:r>
      <w:r w:rsidRPr="005901D9">
        <w:rPr>
          <w:i/>
          <w:sz w:val="26"/>
          <w:szCs w:val="26"/>
        </w:rPr>
        <w:t>Id.</w:t>
      </w:r>
      <w:r>
        <w:rPr>
          <w:sz w:val="26"/>
          <w:szCs w:val="26"/>
        </w:rPr>
        <w:t xml:space="preserve"> at 3-4.  </w:t>
      </w:r>
    </w:p>
    <w:p w:rsidR="00643A87" w:rsidRDefault="00643A87" w:rsidP="0032796F">
      <w:pPr>
        <w:pStyle w:val="BodyText"/>
        <w:spacing w:line="360" w:lineRule="auto"/>
        <w:jc w:val="left"/>
        <w:rPr>
          <w:sz w:val="26"/>
          <w:szCs w:val="26"/>
        </w:rPr>
      </w:pPr>
    </w:p>
    <w:p w:rsidR="00563BF9" w:rsidRDefault="007D723A" w:rsidP="0032796F">
      <w:pPr>
        <w:pStyle w:val="BodyText"/>
        <w:spacing w:line="360" w:lineRule="auto"/>
        <w:jc w:val="left"/>
        <w:rPr>
          <w:sz w:val="26"/>
          <w:szCs w:val="26"/>
        </w:rPr>
      </w:pPr>
      <w:r>
        <w:rPr>
          <w:sz w:val="26"/>
          <w:szCs w:val="26"/>
        </w:rPr>
        <w:tab/>
      </w:r>
      <w:r>
        <w:rPr>
          <w:sz w:val="26"/>
          <w:szCs w:val="26"/>
        </w:rPr>
        <w:tab/>
        <w:t xml:space="preserve">In </w:t>
      </w:r>
      <w:r w:rsidR="005901D9">
        <w:rPr>
          <w:sz w:val="26"/>
          <w:szCs w:val="26"/>
        </w:rPr>
        <w:t>its first Exception,</w:t>
      </w:r>
      <w:r w:rsidR="00EF26DC">
        <w:rPr>
          <w:sz w:val="26"/>
          <w:szCs w:val="26"/>
        </w:rPr>
        <w:t xml:space="preserve"> </w:t>
      </w:r>
      <w:r w:rsidR="005901D9">
        <w:rPr>
          <w:sz w:val="26"/>
          <w:szCs w:val="26"/>
        </w:rPr>
        <w:t xml:space="preserve">PGW submits that </w:t>
      </w:r>
      <w:r w:rsidR="007C3A32">
        <w:rPr>
          <w:sz w:val="26"/>
          <w:szCs w:val="26"/>
        </w:rPr>
        <w:t xml:space="preserve">it has not transferred the disputed balance to an account in the Complainant’s name, and the Complainant does not have standing to challenge the accuracy of the balance that underlies the municipal lien.  </w:t>
      </w:r>
      <w:proofErr w:type="gramStart"/>
      <w:r w:rsidR="007C3A32" w:rsidRPr="007C3A32">
        <w:rPr>
          <w:i/>
          <w:sz w:val="26"/>
          <w:szCs w:val="26"/>
        </w:rPr>
        <w:t>Id</w:t>
      </w:r>
      <w:r w:rsidR="004B1D89">
        <w:rPr>
          <w:sz w:val="26"/>
          <w:szCs w:val="26"/>
        </w:rPr>
        <w:t>. at </w:t>
      </w:r>
      <w:r w:rsidR="007C3A32">
        <w:rPr>
          <w:sz w:val="26"/>
          <w:szCs w:val="26"/>
        </w:rPr>
        <w:t>4.</w:t>
      </w:r>
      <w:proofErr w:type="gramEnd"/>
      <w:r w:rsidR="007C3A32">
        <w:rPr>
          <w:sz w:val="26"/>
          <w:szCs w:val="26"/>
        </w:rPr>
        <w:t xml:space="preserve">  PGW states that </w:t>
      </w:r>
      <w:r w:rsidR="00EF26DC">
        <w:rPr>
          <w:sz w:val="26"/>
          <w:szCs w:val="26"/>
        </w:rPr>
        <w:t xml:space="preserve">it gave the account balance “write off” status in September 2005 to enable the City to file a municipal lien against the property.  At that time, the occupant or resident who had been receiving service could have disputed the amount of the unpaid bill and/or the termination of service, and could have filed a complaint with the </w:t>
      </w:r>
      <w:r w:rsidR="00EF26DC">
        <w:rPr>
          <w:sz w:val="26"/>
          <w:szCs w:val="26"/>
        </w:rPr>
        <w:lastRenderedPageBreak/>
        <w:t xml:space="preserve">Commission. </w:t>
      </w:r>
      <w:r w:rsidR="004B1D89">
        <w:rPr>
          <w:sz w:val="26"/>
          <w:szCs w:val="26"/>
        </w:rPr>
        <w:t xml:space="preserve"> </w:t>
      </w:r>
      <w:r w:rsidR="00EF26DC">
        <w:rPr>
          <w:sz w:val="26"/>
          <w:szCs w:val="26"/>
        </w:rPr>
        <w:t xml:space="preserve">PGW points out that the Complainant did not become the owner of record until September 2009, and that the account balance that accrued from 1999 through 2005 is not her personal responsibility.  “The Complainant had no connection to the account or to the Service Address at the time of the accumulation of the disputed balance or the Municipal Lien treatment of the final bill of that account.”  </w:t>
      </w:r>
      <w:proofErr w:type="gramStart"/>
      <w:r w:rsidR="00EF26DC" w:rsidRPr="003907FE">
        <w:rPr>
          <w:i/>
          <w:sz w:val="26"/>
          <w:szCs w:val="26"/>
        </w:rPr>
        <w:t>Id</w:t>
      </w:r>
      <w:r w:rsidR="00EF26DC">
        <w:rPr>
          <w:sz w:val="26"/>
          <w:szCs w:val="26"/>
        </w:rPr>
        <w:t>. at 5.</w:t>
      </w:r>
      <w:proofErr w:type="gramEnd"/>
      <w:r w:rsidR="00EF26DC">
        <w:rPr>
          <w:sz w:val="26"/>
          <w:szCs w:val="26"/>
        </w:rPr>
        <w:t xml:space="preserve">  PGW argues that the Complainant therefore lacks standing to challenge the accuracy of the account balance underlying the lien, citing </w:t>
      </w:r>
      <w:r w:rsidR="00EF26DC" w:rsidRPr="00EF26DC">
        <w:rPr>
          <w:i/>
          <w:sz w:val="26"/>
          <w:szCs w:val="26"/>
        </w:rPr>
        <w:t>Rohrbaugh v. Pa. PUC</w:t>
      </w:r>
      <w:r w:rsidR="00EF26DC">
        <w:rPr>
          <w:sz w:val="26"/>
          <w:szCs w:val="26"/>
        </w:rPr>
        <w:t xml:space="preserve">, 556 Pa. 199, 727 A.2d 1080 (1999) (utility’s duty to provide reasonable service </w:t>
      </w:r>
      <w:r w:rsidR="003907FE">
        <w:rPr>
          <w:sz w:val="26"/>
          <w:szCs w:val="26"/>
        </w:rPr>
        <w:t xml:space="preserve">does not extend </w:t>
      </w:r>
      <w:r w:rsidR="00EF26DC">
        <w:rPr>
          <w:sz w:val="26"/>
          <w:szCs w:val="26"/>
        </w:rPr>
        <w:t xml:space="preserve">to its customer’s landlord).  According to PGW, the Initial Decision </w:t>
      </w:r>
      <w:r w:rsidR="005A0F96">
        <w:rPr>
          <w:sz w:val="26"/>
          <w:szCs w:val="26"/>
        </w:rPr>
        <w:t xml:space="preserve">goes even further </w:t>
      </w:r>
      <w:r w:rsidR="00563BF9">
        <w:rPr>
          <w:sz w:val="26"/>
          <w:szCs w:val="26"/>
        </w:rPr>
        <w:t xml:space="preserve">than </w:t>
      </w:r>
      <w:r w:rsidR="00563BF9" w:rsidRPr="00563BF9">
        <w:rPr>
          <w:i/>
          <w:sz w:val="26"/>
          <w:szCs w:val="26"/>
        </w:rPr>
        <w:t>Rohrbaugh</w:t>
      </w:r>
      <w:r w:rsidR="00563BF9">
        <w:rPr>
          <w:sz w:val="26"/>
          <w:szCs w:val="26"/>
        </w:rPr>
        <w:t xml:space="preserve"> </w:t>
      </w:r>
      <w:r w:rsidR="005A0F96">
        <w:rPr>
          <w:sz w:val="26"/>
          <w:szCs w:val="26"/>
        </w:rPr>
        <w:t xml:space="preserve">by </w:t>
      </w:r>
      <w:r w:rsidR="00EF26DC">
        <w:rPr>
          <w:sz w:val="26"/>
          <w:szCs w:val="26"/>
        </w:rPr>
        <w:t>conf</w:t>
      </w:r>
      <w:r w:rsidR="005A0F96">
        <w:rPr>
          <w:sz w:val="26"/>
          <w:szCs w:val="26"/>
        </w:rPr>
        <w:t>er</w:t>
      </w:r>
      <w:r w:rsidR="003907FE">
        <w:rPr>
          <w:sz w:val="26"/>
          <w:szCs w:val="26"/>
        </w:rPr>
        <w:t>r</w:t>
      </w:r>
      <w:r w:rsidR="005A0F96">
        <w:rPr>
          <w:sz w:val="26"/>
          <w:szCs w:val="26"/>
        </w:rPr>
        <w:t>ing</w:t>
      </w:r>
      <w:r w:rsidR="00EF26DC">
        <w:rPr>
          <w:sz w:val="26"/>
          <w:szCs w:val="26"/>
        </w:rPr>
        <w:t xml:space="preserve"> standing on the Complainant</w:t>
      </w:r>
      <w:r w:rsidR="005A0F96">
        <w:rPr>
          <w:sz w:val="26"/>
          <w:szCs w:val="26"/>
        </w:rPr>
        <w:t xml:space="preserve">, thereby </w:t>
      </w:r>
      <w:r w:rsidR="003907FE">
        <w:rPr>
          <w:sz w:val="26"/>
          <w:szCs w:val="26"/>
        </w:rPr>
        <w:t>expanding</w:t>
      </w:r>
      <w:r w:rsidR="00EF26DC">
        <w:rPr>
          <w:sz w:val="26"/>
          <w:szCs w:val="26"/>
        </w:rPr>
        <w:t xml:space="preserve"> a utility’s duty to provide reaso</w:t>
      </w:r>
      <w:r w:rsidR="005A0F96">
        <w:rPr>
          <w:sz w:val="26"/>
          <w:szCs w:val="26"/>
        </w:rPr>
        <w:t>nable service under Section 1501</w:t>
      </w:r>
      <w:r w:rsidR="007C3A32">
        <w:rPr>
          <w:sz w:val="26"/>
          <w:szCs w:val="26"/>
        </w:rPr>
        <w:t xml:space="preserve"> </w:t>
      </w:r>
      <w:r w:rsidR="005A0F96">
        <w:rPr>
          <w:sz w:val="26"/>
          <w:szCs w:val="26"/>
        </w:rPr>
        <w:t xml:space="preserve">to </w:t>
      </w:r>
      <w:r w:rsidR="005A0F96" w:rsidRPr="005A0F96">
        <w:rPr>
          <w:i/>
          <w:sz w:val="26"/>
          <w:szCs w:val="26"/>
        </w:rPr>
        <w:t>future</w:t>
      </w:r>
      <w:r w:rsidR="005A0F96">
        <w:rPr>
          <w:sz w:val="26"/>
          <w:szCs w:val="26"/>
        </w:rPr>
        <w:t xml:space="preserve"> owners of a property where service is provided.  PGW emphasizes that the Complainant did not own the property until four years after the account at issue was finalized and written off.  PGW cites a recent Commission decision for the proposition that a landlord does not have standing to challenge the accuracy of bills issued to her former tenants.  </w:t>
      </w:r>
      <w:proofErr w:type="gramStart"/>
      <w:r w:rsidR="005A0F96" w:rsidRPr="005A0F96">
        <w:rPr>
          <w:i/>
          <w:sz w:val="26"/>
          <w:szCs w:val="26"/>
        </w:rPr>
        <w:t>Faye Payne v Philadelphia Gas Works</w:t>
      </w:r>
      <w:r w:rsidR="005A0F96">
        <w:rPr>
          <w:sz w:val="26"/>
          <w:szCs w:val="26"/>
        </w:rPr>
        <w:t>, Docket No.</w:t>
      </w:r>
      <w:proofErr w:type="gramEnd"/>
      <w:r w:rsidR="005A0F96">
        <w:rPr>
          <w:sz w:val="26"/>
          <w:szCs w:val="26"/>
        </w:rPr>
        <w:t xml:space="preserve"> </w:t>
      </w:r>
    </w:p>
    <w:p w:rsidR="005901D9" w:rsidRDefault="005A0F96" w:rsidP="0032796F">
      <w:pPr>
        <w:pStyle w:val="BodyText"/>
        <w:spacing w:line="360" w:lineRule="auto"/>
        <w:jc w:val="left"/>
        <w:rPr>
          <w:sz w:val="26"/>
          <w:szCs w:val="26"/>
        </w:rPr>
      </w:pPr>
      <w:r>
        <w:rPr>
          <w:sz w:val="26"/>
          <w:szCs w:val="26"/>
        </w:rPr>
        <w:t>C-2011-2247124 (Order entered February 16, 2012)</w:t>
      </w:r>
      <w:r w:rsidR="00AF6090">
        <w:rPr>
          <w:sz w:val="26"/>
          <w:szCs w:val="26"/>
        </w:rPr>
        <w:t xml:space="preserve"> (</w:t>
      </w:r>
      <w:r w:rsidR="00AF6090" w:rsidRPr="00AF6090">
        <w:rPr>
          <w:i/>
          <w:sz w:val="26"/>
          <w:szCs w:val="26"/>
        </w:rPr>
        <w:t>Payne</w:t>
      </w:r>
      <w:r w:rsidR="00AF6090">
        <w:rPr>
          <w:sz w:val="26"/>
          <w:szCs w:val="26"/>
        </w:rPr>
        <w:t>)</w:t>
      </w:r>
      <w:r>
        <w:rPr>
          <w:sz w:val="26"/>
          <w:szCs w:val="26"/>
        </w:rPr>
        <w:t>.</w:t>
      </w:r>
      <w:r w:rsidR="007C3A32">
        <w:rPr>
          <w:sz w:val="26"/>
          <w:szCs w:val="26"/>
        </w:rPr>
        <w:t xml:space="preserve">  </w:t>
      </w:r>
      <w:r w:rsidR="007C3A32" w:rsidRPr="007C3A32">
        <w:rPr>
          <w:i/>
          <w:sz w:val="26"/>
          <w:szCs w:val="26"/>
        </w:rPr>
        <w:t>Id</w:t>
      </w:r>
      <w:r w:rsidR="007C3A32">
        <w:rPr>
          <w:sz w:val="26"/>
          <w:szCs w:val="26"/>
        </w:rPr>
        <w:t>. at 4-6.</w:t>
      </w:r>
    </w:p>
    <w:p w:rsidR="005A0F96" w:rsidRDefault="005A0F96" w:rsidP="0032796F">
      <w:pPr>
        <w:pStyle w:val="BodyText"/>
        <w:spacing w:line="360" w:lineRule="auto"/>
        <w:jc w:val="left"/>
        <w:rPr>
          <w:sz w:val="26"/>
          <w:szCs w:val="26"/>
        </w:rPr>
      </w:pPr>
    </w:p>
    <w:p w:rsidR="005A0F96" w:rsidRDefault="005A0F96" w:rsidP="0032796F">
      <w:pPr>
        <w:pStyle w:val="BodyText"/>
        <w:spacing w:line="360" w:lineRule="auto"/>
        <w:jc w:val="left"/>
        <w:rPr>
          <w:sz w:val="26"/>
          <w:szCs w:val="26"/>
        </w:rPr>
      </w:pPr>
      <w:r>
        <w:rPr>
          <w:sz w:val="26"/>
          <w:szCs w:val="26"/>
        </w:rPr>
        <w:tab/>
      </w:r>
      <w:r>
        <w:rPr>
          <w:sz w:val="26"/>
          <w:szCs w:val="26"/>
        </w:rPr>
        <w:tab/>
        <w:t>In its second Exception, PGW argues that the time to challenge the accuracy of the account balance at issue i</w:t>
      </w:r>
      <w:r w:rsidR="00563BF9">
        <w:rPr>
          <w:sz w:val="26"/>
          <w:szCs w:val="26"/>
        </w:rPr>
        <w:t>n this proceeding has passed.  PGW argues that, u</w:t>
      </w:r>
      <w:r>
        <w:rPr>
          <w:sz w:val="26"/>
          <w:szCs w:val="26"/>
        </w:rPr>
        <w:t>nder Section 3314(a) of the Code, 66 Pa.</w:t>
      </w:r>
      <w:r w:rsidR="00563BF9">
        <w:rPr>
          <w:sz w:val="26"/>
          <w:szCs w:val="26"/>
        </w:rPr>
        <w:t xml:space="preserve"> C.S. § 3314(a), challenges to a</w:t>
      </w:r>
      <w:r w:rsidR="007C3A32">
        <w:rPr>
          <w:sz w:val="26"/>
          <w:szCs w:val="26"/>
        </w:rPr>
        <w:t xml:space="preserve"> final account balance must </w:t>
      </w:r>
      <w:r>
        <w:rPr>
          <w:sz w:val="26"/>
          <w:szCs w:val="26"/>
        </w:rPr>
        <w:t>be filed within three years from the date that liability arose.  PGW submits that the Commission would have been able to review the accuracy of the account balance if the customer of record, his estate, or</w:t>
      </w:r>
      <w:r w:rsidR="00535FDF">
        <w:rPr>
          <w:sz w:val="26"/>
          <w:szCs w:val="26"/>
        </w:rPr>
        <w:t xml:space="preserve"> </w:t>
      </w:r>
      <w:r w:rsidR="003907FE">
        <w:rPr>
          <w:sz w:val="26"/>
          <w:szCs w:val="26"/>
        </w:rPr>
        <w:t xml:space="preserve">the </w:t>
      </w:r>
      <w:r w:rsidR="00535FDF">
        <w:rPr>
          <w:sz w:val="26"/>
          <w:szCs w:val="26"/>
        </w:rPr>
        <w:t>users o</w:t>
      </w:r>
      <w:r w:rsidR="003907FE">
        <w:rPr>
          <w:sz w:val="26"/>
          <w:szCs w:val="26"/>
        </w:rPr>
        <w:t xml:space="preserve">f the service </w:t>
      </w:r>
      <w:r w:rsidR="00535FDF">
        <w:rPr>
          <w:sz w:val="26"/>
          <w:szCs w:val="26"/>
        </w:rPr>
        <w:t>had filed a complaint with the Commission within three years after the issuance of the final bill in September 2005.  No party filed such a complaint.  Accordingly, PGW states t</w:t>
      </w:r>
      <w:r w:rsidR="003907FE">
        <w:rPr>
          <w:sz w:val="26"/>
          <w:szCs w:val="26"/>
        </w:rPr>
        <w:t>hat “[t]he Commission should reverse</w:t>
      </w:r>
      <w:r w:rsidR="00535FDF">
        <w:rPr>
          <w:sz w:val="26"/>
          <w:szCs w:val="26"/>
        </w:rPr>
        <w:t xml:space="preserve"> the Initial Decision in that it allows the Complainant to dispute a final bill that was issued in September 2005, where the Complainant was not the customer of record, did not own the Service Address as of September 2005 and did not file a formal complaint until May 2011.”  </w:t>
      </w:r>
      <w:proofErr w:type="gramStart"/>
      <w:r w:rsidR="00535FDF" w:rsidRPr="00535FDF">
        <w:rPr>
          <w:i/>
          <w:sz w:val="26"/>
          <w:szCs w:val="26"/>
        </w:rPr>
        <w:t>Id</w:t>
      </w:r>
      <w:r w:rsidR="00535FDF">
        <w:rPr>
          <w:sz w:val="26"/>
          <w:szCs w:val="26"/>
        </w:rPr>
        <w:t>. at 6.</w:t>
      </w:r>
      <w:proofErr w:type="gramEnd"/>
    </w:p>
    <w:p w:rsidR="00535FDF" w:rsidRDefault="00535FDF" w:rsidP="0032796F">
      <w:pPr>
        <w:pStyle w:val="BodyText"/>
        <w:spacing w:line="360" w:lineRule="auto"/>
        <w:jc w:val="left"/>
        <w:rPr>
          <w:sz w:val="26"/>
          <w:szCs w:val="26"/>
        </w:rPr>
      </w:pPr>
      <w:r>
        <w:rPr>
          <w:sz w:val="26"/>
          <w:szCs w:val="26"/>
        </w:rPr>
        <w:lastRenderedPageBreak/>
        <w:tab/>
      </w:r>
      <w:r>
        <w:rPr>
          <w:sz w:val="26"/>
          <w:szCs w:val="26"/>
        </w:rPr>
        <w:tab/>
        <w:t>In its third and fourth Exceptions, PGW argues that the ALJ’s conclusion that it violated Section 1501 by failing to stop the flow of gas prior to June 2005 is not supported by substantial evidence.  By extension, PGW argues that the reduction in the account balance to $3,702.97 also is not supported by substantial evidence.</w:t>
      </w:r>
      <w:r w:rsidR="00AF6090">
        <w:rPr>
          <w:sz w:val="26"/>
          <w:szCs w:val="26"/>
        </w:rPr>
        <w:t xml:space="preserve">  PGW submits that </w:t>
      </w:r>
      <w:r w:rsidR="00563BF9">
        <w:rPr>
          <w:sz w:val="26"/>
          <w:szCs w:val="26"/>
        </w:rPr>
        <w:t xml:space="preserve">the </w:t>
      </w:r>
      <w:r w:rsidR="00AF6090">
        <w:rPr>
          <w:sz w:val="26"/>
          <w:szCs w:val="26"/>
        </w:rPr>
        <w:t xml:space="preserve">Complainant, who had the burden of proof in this proceeding, failed to show that PGW violated the Code or a Commission Regulation or Order.  PGW states that, absent some other condition, the termination of gas service at a curb box is recognized as the normal practice in the gas utility industry.  PGW again refers to the </w:t>
      </w:r>
      <w:r w:rsidR="00AF6090" w:rsidRPr="00AF6090">
        <w:rPr>
          <w:i/>
          <w:sz w:val="26"/>
          <w:szCs w:val="26"/>
        </w:rPr>
        <w:t>Payne</w:t>
      </w:r>
      <w:r w:rsidR="00AF6090">
        <w:rPr>
          <w:sz w:val="26"/>
          <w:szCs w:val="26"/>
        </w:rPr>
        <w:t xml:space="preserve"> decision for the prop</w:t>
      </w:r>
      <w:r w:rsidR="007D723A">
        <w:rPr>
          <w:sz w:val="26"/>
          <w:szCs w:val="26"/>
        </w:rPr>
        <w:t>osition that a property owner</w:t>
      </w:r>
      <w:r w:rsidR="00AF6090">
        <w:rPr>
          <w:sz w:val="26"/>
          <w:szCs w:val="26"/>
        </w:rPr>
        <w:t xml:space="preserve"> must raise </w:t>
      </w:r>
      <w:r w:rsidR="007D723A">
        <w:rPr>
          <w:sz w:val="26"/>
          <w:szCs w:val="26"/>
        </w:rPr>
        <w:t xml:space="preserve">the argument that PGW failed to mitigate its damages (by not terminating service earlier to a tenant) </w:t>
      </w:r>
      <w:r w:rsidR="00AF6090">
        <w:rPr>
          <w:sz w:val="26"/>
          <w:szCs w:val="26"/>
        </w:rPr>
        <w:t>in the court with jurisdiction over the municipal lien.</w:t>
      </w:r>
      <w:r w:rsidR="007D723A">
        <w:rPr>
          <w:sz w:val="26"/>
          <w:szCs w:val="26"/>
        </w:rPr>
        <w:t xml:space="preserve">  </w:t>
      </w:r>
      <w:r w:rsidR="007D723A" w:rsidRPr="007D723A">
        <w:rPr>
          <w:i/>
          <w:sz w:val="26"/>
          <w:szCs w:val="26"/>
        </w:rPr>
        <w:t>Id</w:t>
      </w:r>
      <w:r w:rsidR="007D723A">
        <w:rPr>
          <w:sz w:val="26"/>
          <w:szCs w:val="26"/>
        </w:rPr>
        <w:t>. at 7-9.</w:t>
      </w:r>
    </w:p>
    <w:p w:rsidR="00AF6090" w:rsidRDefault="00AF6090" w:rsidP="0032796F">
      <w:pPr>
        <w:pStyle w:val="BodyText"/>
        <w:spacing w:line="360" w:lineRule="auto"/>
        <w:jc w:val="left"/>
        <w:rPr>
          <w:sz w:val="26"/>
          <w:szCs w:val="26"/>
        </w:rPr>
      </w:pPr>
    </w:p>
    <w:p w:rsidR="00AF6090" w:rsidRPr="003907FE" w:rsidRDefault="00AF6090" w:rsidP="0032796F">
      <w:pPr>
        <w:pStyle w:val="BodyText"/>
        <w:spacing w:line="360" w:lineRule="auto"/>
        <w:jc w:val="left"/>
        <w:rPr>
          <w:b/>
          <w:sz w:val="26"/>
          <w:szCs w:val="26"/>
        </w:rPr>
      </w:pPr>
      <w:r w:rsidRPr="003907FE">
        <w:rPr>
          <w:b/>
          <w:sz w:val="26"/>
          <w:szCs w:val="26"/>
        </w:rPr>
        <w:t>Disposition</w:t>
      </w:r>
    </w:p>
    <w:p w:rsidR="00AF6090" w:rsidRDefault="00AF6090" w:rsidP="0032796F">
      <w:pPr>
        <w:pStyle w:val="BodyText"/>
        <w:spacing w:line="360" w:lineRule="auto"/>
        <w:jc w:val="left"/>
        <w:rPr>
          <w:sz w:val="26"/>
          <w:szCs w:val="26"/>
        </w:rPr>
      </w:pPr>
    </w:p>
    <w:p w:rsidR="007B0DDF" w:rsidRDefault="00AF6090" w:rsidP="0032796F">
      <w:pPr>
        <w:pStyle w:val="BodyText"/>
        <w:spacing w:line="360" w:lineRule="auto"/>
        <w:jc w:val="left"/>
        <w:rPr>
          <w:sz w:val="26"/>
          <w:szCs w:val="26"/>
        </w:rPr>
      </w:pPr>
      <w:r>
        <w:rPr>
          <w:sz w:val="26"/>
          <w:szCs w:val="26"/>
        </w:rPr>
        <w:tab/>
      </w:r>
      <w:r>
        <w:rPr>
          <w:sz w:val="26"/>
          <w:szCs w:val="26"/>
        </w:rPr>
        <w:tab/>
        <w:t xml:space="preserve">After careful consideration of the record, we shall grant PGW’s Exceptions, reverse the ALJ’s Initial Decision, and dismiss the Complaint.  </w:t>
      </w:r>
    </w:p>
    <w:p w:rsidR="007B0DDF" w:rsidRDefault="007B0DDF" w:rsidP="0032796F">
      <w:pPr>
        <w:pStyle w:val="BodyText"/>
        <w:spacing w:line="360" w:lineRule="auto"/>
        <w:jc w:val="left"/>
        <w:rPr>
          <w:sz w:val="26"/>
          <w:szCs w:val="26"/>
        </w:rPr>
      </w:pPr>
    </w:p>
    <w:p w:rsidR="005D5E6C" w:rsidRDefault="007B0DDF" w:rsidP="0032796F">
      <w:pPr>
        <w:pStyle w:val="BodyText"/>
        <w:spacing w:line="360" w:lineRule="auto"/>
        <w:jc w:val="left"/>
        <w:rPr>
          <w:sz w:val="26"/>
          <w:szCs w:val="26"/>
        </w:rPr>
      </w:pPr>
      <w:r>
        <w:rPr>
          <w:sz w:val="26"/>
          <w:szCs w:val="26"/>
        </w:rPr>
        <w:tab/>
        <w:t xml:space="preserve"> </w:t>
      </w:r>
      <w:r>
        <w:rPr>
          <w:sz w:val="26"/>
          <w:szCs w:val="26"/>
        </w:rPr>
        <w:tab/>
      </w:r>
      <w:r w:rsidR="00AF6090">
        <w:rPr>
          <w:sz w:val="26"/>
          <w:szCs w:val="26"/>
        </w:rPr>
        <w:t xml:space="preserve">We shall </w:t>
      </w:r>
      <w:r w:rsidR="007178CA">
        <w:rPr>
          <w:sz w:val="26"/>
          <w:szCs w:val="26"/>
        </w:rPr>
        <w:t xml:space="preserve">first </w:t>
      </w:r>
      <w:r w:rsidR="00AF6090">
        <w:rPr>
          <w:sz w:val="26"/>
          <w:szCs w:val="26"/>
        </w:rPr>
        <w:t xml:space="preserve">address PGW’s argument </w:t>
      </w:r>
      <w:r w:rsidR="003278BE">
        <w:rPr>
          <w:sz w:val="26"/>
          <w:szCs w:val="26"/>
        </w:rPr>
        <w:t>in its third and fourth Exceptions</w:t>
      </w:r>
      <w:r w:rsidR="007178CA">
        <w:rPr>
          <w:sz w:val="26"/>
          <w:szCs w:val="26"/>
        </w:rPr>
        <w:t>,</w:t>
      </w:r>
      <w:r w:rsidR="003278BE">
        <w:rPr>
          <w:sz w:val="26"/>
          <w:szCs w:val="26"/>
        </w:rPr>
        <w:t xml:space="preserve"> </w:t>
      </w:r>
      <w:r w:rsidR="00AF6090">
        <w:rPr>
          <w:sz w:val="26"/>
          <w:szCs w:val="26"/>
        </w:rPr>
        <w:t xml:space="preserve">that the ALJ’s conclusion that PGW violated </w:t>
      </w:r>
      <w:r w:rsidR="00374927">
        <w:rPr>
          <w:sz w:val="26"/>
          <w:szCs w:val="26"/>
        </w:rPr>
        <w:t>Section 1501 is not supported by substant</w:t>
      </w:r>
      <w:r w:rsidR="00053844">
        <w:rPr>
          <w:sz w:val="26"/>
          <w:szCs w:val="26"/>
        </w:rPr>
        <w:t xml:space="preserve">ial evidence.  </w:t>
      </w:r>
      <w:r w:rsidR="00374927">
        <w:rPr>
          <w:sz w:val="26"/>
          <w:szCs w:val="26"/>
        </w:rPr>
        <w:t>The ALJ held that “[a]</w:t>
      </w:r>
      <w:proofErr w:type="spellStart"/>
      <w:r w:rsidR="00374927" w:rsidRPr="00DC1A6F">
        <w:rPr>
          <w:sz w:val="26"/>
          <w:szCs w:val="26"/>
        </w:rPr>
        <w:t>ttempting</w:t>
      </w:r>
      <w:proofErr w:type="spellEnd"/>
      <w:r w:rsidR="00374927" w:rsidRPr="00DC1A6F">
        <w:rPr>
          <w:sz w:val="26"/>
          <w:szCs w:val="26"/>
        </w:rPr>
        <w:t xml:space="preserve"> to stop the flow of gas to the Service Address by turni</w:t>
      </w:r>
      <w:r w:rsidR="00374927">
        <w:rPr>
          <w:sz w:val="26"/>
          <w:szCs w:val="26"/>
        </w:rPr>
        <w:t>ng off service at the ‘</w:t>
      </w:r>
      <w:r w:rsidR="00374927" w:rsidRPr="00DC1A6F">
        <w:rPr>
          <w:sz w:val="26"/>
          <w:szCs w:val="26"/>
        </w:rPr>
        <w:t>curb box</w:t>
      </w:r>
      <w:r w:rsidR="00374927">
        <w:rPr>
          <w:sz w:val="26"/>
          <w:szCs w:val="26"/>
        </w:rPr>
        <w:t>’</w:t>
      </w:r>
      <w:r w:rsidR="00374927" w:rsidRPr="00DC1A6F">
        <w:rPr>
          <w:sz w:val="26"/>
          <w:szCs w:val="26"/>
        </w:rPr>
        <w:t xml:space="preserve"> using a tool that can be easily obtained by a third party, </w:t>
      </w:r>
      <w:r w:rsidR="00374927">
        <w:rPr>
          <w:sz w:val="26"/>
          <w:szCs w:val="26"/>
        </w:rPr>
        <w:t>and not using ‘special locks’</w:t>
      </w:r>
      <w:r w:rsidR="00374927" w:rsidRPr="00DC1A6F">
        <w:rPr>
          <w:sz w:val="26"/>
          <w:szCs w:val="26"/>
        </w:rPr>
        <w:t xml:space="preserve"> sooner, constitutes unreasonable service.</w:t>
      </w:r>
      <w:r w:rsidR="0021415D">
        <w:rPr>
          <w:sz w:val="26"/>
          <w:szCs w:val="26"/>
        </w:rPr>
        <w:t xml:space="preserve">”  </w:t>
      </w:r>
      <w:proofErr w:type="gramStart"/>
      <w:r w:rsidR="0021415D">
        <w:rPr>
          <w:sz w:val="26"/>
          <w:szCs w:val="26"/>
        </w:rPr>
        <w:t>I.D. at 14</w:t>
      </w:r>
      <w:r>
        <w:rPr>
          <w:sz w:val="26"/>
          <w:szCs w:val="26"/>
        </w:rPr>
        <w:t>.</w:t>
      </w:r>
      <w:proofErr w:type="gramEnd"/>
      <w:r>
        <w:rPr>
          <w:sz w:val="26"/>
          <w:szCs w:val="26"/>
        </w:rPr>
        <w:t xml:space="preserve">  </w:t>
      </w:r>
      <w:r w:rsidR="005D5E6C">
        <w:rPr>
          <w:sz w:val="26"/>
          <w:szCs w:val="26"/>
        </w:rPr>
        <w:t>We agree with PGW that this conclusion is not</w:t>
      </w:r>
      <w:r w:rsidR="00B81F3B">
        <w:rPr>
          <w:sz w:val="26"/>
          <w:szCs w:val="26"/>
        </w:rPr>
        <w:t xml:space="preserve"> supported by record evidence. </w:t>
      </w:r>
      <w:r w:rsidR="000B4EF1">
        <w:rPr>
          <w:sz w:val="26"/>
          <w:szCs w:val="26"/>
        </w:rPr>
        <w:t xml:space="preserve">  </w:t>
      </w:r>
    </w:p>
    <w:p w:rsidR="005D5E6C" w:rsidRDefault="005D5E6C" w:rsidP="0032796F">
      <w:pPr>
        <w:pStyle w:val="BodyText"/>
        <w:spacing w:line="360" w:lineRule="auto"/>
        <w:jc w:val="left"/>
        <w:rPr>
          <w:sz w:val="26"/>
          <w:szCs w:val="26"/>
        </w:rPr>
      </w:pPr>
    </w:p>
    <w:p w:rsidR="006524E9" w:rsidRDefault="005D5E6C" w:rsidP="0032796F">
      <w:pPr>
        <w:pStyle w:val="BodyText"/>
        <w:spacing w:line="360" w:lineRule="auto"/>
        <w:jc w:val="left"/>
        <w:rPr>
          <w:sz w:val="26"/>
          <w:szCs w:val="26"/>
        </w:rPr>
      </w:pPr>
      <w:r>
        <w:rPr>
          <w:sz w:val="26"/>
          <w:szCs w:val="26"/>
        </w:rPr>
        <w:tab/>
        <w:t xml:space="preserve"> </w:t>
      </w:r>
      <w:r>
        <w:rPr>
          <w:sz w:val="26"/>
          <w:szCs w:val="26"/>
        </w:rPr>
        <w:tab/>
      </w:r>
      <w:r w:rsidR="000B4EF1">
        <w:rPr>
          <w:sz w:val="26"/>
          <w:szCs w:val="26"/>
        </w:rPr>
        <w:t xml:space="preserve">The ALJ </w:t>
      </w:r>
      <w:r w:rsidR="007B0DDF">
        <w:rPr>
          <w:sz w:val="26"/>
          <w:szCs w:val="26"/>
        </w:rPr>
        <w:t>stated</w:t>
      </w:r>
      <w:r w:rsidR="000B4EF1">
        <w:rPr>
          <w:sz w:val="26"/>
          <w:szCs w:val="26"/>
        </w:rPr>
        <w:t xml:space="preserve"> that it would have been reasonable for PGW to “turn service off at the curb box in a manner that cannot be easily turned back on by a third party.”  </w:t>
      </w:r>
      <w:proofErr w:type="gramStart"/>
      <w:r w:rsidR="000B4EF1">
        <w:rPr>
          <w:sz w:val="26"/>
          <w:szCs w:val="26"/>
        </w:rPr>
        <w:t>I.D. at 15.</w:t>
      </w:r>
      <w:proofErr w:type="gramEnd"/>
      <w:r w:rsidR="007B0DDF">
        <w:rPr>
          <w:sz w:val="26"/>
          <w:szCs w:val="26"/>
        </w:rPr>
        <w:t xml:space="preserve">  However, t</w:t>
      </w:r>
      <w:r w:rsidR="000B4EF1">
        <w:rPr>
          <w:sz w:val="26"/>
          <w:szCs w:val="26"/>
        </w:rPr>
        <w:t>he r</w:t>
      </w:r>
      <w:r w:rsidR="007B0DDF">
        <w:rPr>
          <w:sz w:val="26"/>
          <w:szCs w:val="26"/>
        </w:rPr>
        <w:t xml:space="preserve">ecord does not support the ALJ’s assumption that there is </w:t>
      </w:r>
      <w:r w:rsidR="000B4EF1">
        <w:rPr>
          <w:sz w:val="26"/>
          <w:szCs w:val="26"/>
        </w:rPr>
        <w:t xml:space="preserve">a different </w:t>
      </w:r>
      <w:r w:rsidR="007466CE">
        <w:rPr>
          <w:sz w:val="26"/>
          <w:szCs w:val="26"/>
        </w:rPr>
        <w:t xml:space="preserve">and more secure means of </w:t>
      </w:r>
      <w:r w:rsidR="007B0DDF">
        <w:rPr>
          <w:sz w:val="26"/>
          <w:szCs w:val="26"/>
        </w:rPr>
        <w:t>terminat</w:t>
      </w:r>
      <w:r w:rsidR="007466CE">
        <w:rPr>
          <w:sz w:val="26"/>
          <w:szCs w:val="26"/>
        </w:rPr>
        <w:t>ing</w:t>
      </w:r>
      <w:r w:rsidR="000B4EF1">
        <w:rPr>
          <w:sz w:val="26"/>
          <w:szCs w:val="26"/>
        </w:rPr>
        <w:t xml:space="preserve"> </w:t>
      </w:r>
      <w:r>
        <w:rPr>
          <w:sz w:val="26"/>
          <w:szCs w:val="26"/>
        </w:rPr>
        <w:t xml:space="preserve">natural gas utility </w:t>
      </w:r>
      <w:r w:rsidR="000B4EF1">
        <w:rPr>
          <w:sz w:val="26"/>
          <w:szCs w:val="26"/>
        </w:rPr>
        <w:t xml:space="preserve">service </w:t>
      </w:r>
      <w:r w:rsidR="007B0DDF">
        <w:rPr>
          <w:sz w:val="26"/>
          <w:szCs w:val="26"/>
        </w:rPr>
        <w:t xml:space="preserve">at a curb box.  </w:t>
      </w:r>
      <w:r w:rsidR="007710D2" w:rsidRPr="007710D2">
        <w:rPr>
          <w:i/>
          <w:sz w:val="26"/>
          <w:szCs w:val="26"/>
        </w:rPr>
        <w:t>See</w:t>
      </w:r>
      <w:r w:rsidR="007178CA">
        <w:rPr>
          <w:i/>
          <w:sz w:val="26"/>
          <w:szCs w:val="26"/>
        </w:rPr>
        <w:t>,</w:t>
      </w:r>
      <w:r w:rsidR="007710D2">
        <w:rPr>
          <w:sz w:val="26"/>
          <w:szCs w:val="26"/>
        </w:rPr>
        <w:t xml:space="preserve"> Tr. at 37 (“When we shut the gas off at the curb box, Your Honor, we are </w:t>
      </w:r>
      <w:r w:rsidR="007710D2">
        <w:rPr>
          <w:sz w:val="26"/>
          <w:szCs w:val="26"/>
        </w:rPr>
        <w:lastRenderedPageBreak/>
        <w:t>shutting it off because we can’t get in.  And that’s an actual device PGW turns to shut the gas off and stop it from moving.”)</w:t>
      </w:r>
      <w:r w:rsidR="007178CA">
        <w:rPr>
          <w:sz w:val="26"/>
          <w:szCs w:val="26"/>
        </w:rPr>
        <w:t>;</w:t>
      </w:r>
      <w:r w:rsidR="006524E9">
        <w:rPr>
          <w:sz w:val="26"/>
          <w:szCs w:val="26"/>
        </w:rPr>
        <w:t xml:space="preserve"> </w:t>
      </w:r>
      <w:r w:rsidR="007178CA">
        <w:rPr>
          <w:sz w:val="26"/>
          <w:szCs w:val="26"/>
        </w:rPr>
        <w:t xml:space="preserve">and </w:t>
      </w:r>
      <w:r w:rsidR="00563BF9">
        <w:rPr>
          <w:sz w:val="26"/>
          <w:szCs w:val="26"/>
        </w:rPr>
        <w:t>43 (“</w:t>
      </w:r>
      <w:r w:rsidR="006524E9">
        <w:rPr>
          <w:sz w:val="26"/>
          <w:szCs w:val="26"/>
        </w:rPr>
        <w:t>PGW has a tool that you just turn it one way to turn it on, one way to turn it off.  And plumbers may have the keys to turn i</w:t>
      </w:r>
      <w:r w:rsidR="00563BF9">
        <w:rPr>
          <w:sz w:val="26"/>
          <w:szCs w:val="26"/>
        </w:rPr>
        <w:t>t back on, other contractors.”)</w:t>
      </w:r>
      <w:r w:rsidR="007178CA">
        <w:rPr>
          <w:sz w:val="26"/>
          <w:szCs w:val="26"/>
        </w:rPr>
        <w:t xml:space="preserve">.  </w:t>
      </w:r>
      <w:r w:rsidR="007178CA">
        <w:rPr>
          <w:i/>
          <w:sz w:val="26"/>
          <w:szCs w:val="26"/>
        </w:rPr>
        <w:t>See also</w:t>
      </w:r>
      <w:r w:rsidR="00563BF9">
        <w:rPr>
          <w:sz w:val="26"/>
          <w:szCs w:val="26"/>
        </w:rPr>
        <w:t xml:space="preserve">, </w:t>
      </w:r>
      <w:r w:rsidR="007178CA" w:rsidRPr="002E03E2">
        <w:rPr>
          <w:i/>
          <w:sz w:val="26"/>
          <w:szCs w:val="26"/>
        </w:rPr>
        <w:t>id</w:t>
      </w:r>
      <w:r w:rsidR="007178CA">
        <w:rPr>
          <w:sz w:val="26"/>
          <w:szCs w:val="26"/>
        </w:rPr>
        <w:t xml:space="preserve">. </w:t>
      </w:r>
      <w:proofErr w:type="gramStart"/>
      <w:r w:rsidR="007178CA">
        <w:rPr>
          <w:sz w:val="26"/>
          <w:szCs w:val="26"/>
        </w:rPr>
        <w:t>at</w:t>
      </w:r>
      <w:proofErr w:type="gramEnd"/>
      <w:r w:rsidR="007178CA">
        <w:rPr>
          <w:sz w:val="26"/>
          <w:szCs w:val="26"/>
        </w:rPr>
        <w:t xml:space="preserve"> </w:t>
      </w:r>
      <w:r w:rsidR="006524E9">
        <w:rPr>
          <w:sz w:val="26"/>
          <w:szCs w:val="26"/>
        </w:rPr>
        <w:t>48-49.</w:t>
      </w:r>
      <w:r w:rsidR="00AE6035">
        <w:rPr>
          <w:sz w:val="26"/>
          <w:szCs w:val="26"/>
        </w:rPr>
        <w:t xml:space="preserve">  </w:t>
      </w:r>
      <w:r w:rsidR="005E5EE0">
        <w:rPr>
          <w:sz w:val="26"/>
          <w:szCs w:val="26"/>
        </w:rPr>
        <w:t>The record therefore dem</w:t>
      </w:r>
      <w:r w:rsidR="00563BF9">
        <w:rPr>
          <w:sz w:val="26"/>
          <w:szCs w:val="26"/>
        </w:rPr>
        <w:t xml:space="preserve">onstrates that, when PGW was unable to gain access to the Service Address </w:t>
      </w:r>
      <w:r w:rsidR="005E5EE0">
        <w:rPr>
          <w:sz w:val="26"/>
          <w:szCs w:val="26"/>
        </w:rPr>
        <w:t>to terminate service at the meter, the only practica</w:t>
      </w:r>
      <w:r w:rsidR="00563BF9">
        <w:rPr>
          <w:sz w:val="26"/>
          <w:szCs w:val="26"/>
        </w:rPr>
        <w:t>l means of terminating service to the Service Address wa</w:t>
      </w:r>
      <w:r w:rsidR="005E5EE0">
        <w:rPr>
          <w:sz w:val="26"/>
          <w:szCs w:val="26"/>
        </w:rPr>
        <w:t xml:space="preserve">s to shut off the gas supply at </w:t>
      </w:r>
      <w:r w:rsidR="007466CE">
        <w:rPr>
          <w:sz w:val="26"/>
          <w:szCs w:val="26"/>
        </w:rPr>
        <w:t>the curb box.</w:t>
      </w:r>
    </w:p>
    <w:p w:rsidR="006524E9" w:rsidRDefault="006524E9" w:rsidP="0032796F">
      <w:pPr>
        <w:pStyle w:val="BodyText"/>
        <w:spacing w:line="360" w:lineRule="auto"/>
        <w:jc w:val="left"/>
        <w:rPr>
          <w:sz w:val="26"/>
          <w:szCs w:val="26"/>
        </w:rPr>
      </w:pPr>
    </w:p>
    <w:p w:rsidR="005D5E6C" w:rsidRDefault="006524E9" w:rsidP="0032796F">
      <w:pPr>
        <w:pStyle w:val="BodyText"/>
        <w:spacing w:line="360" w:lineRule="auto"/>
        <w:jc w:val="left"/>
        <w:rPr>
          <w:sz w:val="26"/>
          <w:szCs w:val="26"/>
        </w:rPr>
      </w:pPr>
      <w:r>
        <w:rPr>
          <w:sz w:val="26"/>
          <w:szCs w:val="26"/>
        </w:rPr>
        <w:tab/>
        <w:t xml:space="preserve"> </w:t>
      </w:r>
      <w:r>
        <w:rPr>
          <w:sz w:val="26"/>
          <w:szCs w:val="26"/>
        </w:rPr>
        <w:tab/>
      </w:r>
      <w:r w:rsidR="007B0DDF">
        <w:rPr>
          <w:sz w:val="26"/>
          <w:szCs w:val="26"/>
        </w:rPr>
        <w:t xml:space="preserve">The ALJ also opined that it would have been reasonable for PGW “to gain access to the property sooner” to shut off service at the meter.  </w:t>
      </w:r>
      <w:r w:rsidR="00B81F3B">
        <w:rPr>
          <w:sz w:val="26"/>
          <w:szCs w:val="26"/>
        </w:rPr>
        <w:t>However, t</w:t>
      </w:r>
      <w:r w:rsidR="007B0DDF">
        <w:rPr>
          <w:sz w:val="26"/>
          <w:szCs w:val="26"/>
        </w:rPr>
        <w:t xml:space="preserve">he record shows that PGW made eleven site visits to the property prior to June 8, 2005, in an effort to gain access to the residence to terminate service at the meter.   </w:t>
      </w:r>
      <w:proofErr w:type="gramStart"/>
      <w:r w:rsidR="007B0DDF">
        <w:rPr>
          <w:sz w:val="26"/>
          <w:szCs w:val="26"/>
        </w:rPr>
        <w:t xml:space="preserve">I.D. at 13; PGW </w:t>
      </w:r>
      <w:proofErr w:type="spellStart"/>
      <w:r w:rsidR="007B0DDF">
        <w:rPr>
          <w:sz w:val="26"/>
          <w:szCs w:val="26"/>
        </w:rPr>
        <w:t>Exh</w:t>
      </w:r>
      <w:proofErr w:type="spellEnd"/>
      <w:r w:rsidR="007B0DDF">
        <w:rPr>
          <w:sz w:val="26"/>
          <w:szCs w:val="26"/>
        </w:rPr>
        <w:t>.</w:t>
      </w:r>
      <w:proofErr w:type="gramEnd"/>
      <w:r w:rsidR="007B0DDF">
        <w:rPr>
          <w:sz w:val="26"/>
          <w:szCs w:val="26"/>
        </w:rPr>
        <w:t xml:space="preserve"> 1; Tr. </w:t>
      </w:r>
      <w:r w:rsidR="00563BF9">
        <w:rPr>
          <w:sz w:val="26"/>
          <w:szCs w:val="26"/>
        </w:rPr>
        <w:t xml:space="preserve">at </w:t>
      </w:r>
      <w:r w:rsidR="007B0DDF">
        <w:rPr>
          <w:sz w:val="26"/>
          <w:szCs w:val="26"/>
        </w:rPr>
        <w:t xml:space="preserve">27-28.  </w:t>
      </w:r>
      <w:r>
        <w:rPr>
          <w:sz w:val="26"/>
          <w:szCs w:val="26"/>
        </w:rPr>
        <w:t xml:space="preserve">The record also shows that PGW sent numerous notices </w:t>
      </w:r>
      <w:r w:rsidR="00563BF9">
        <w:rPr>
          <w:sz w:val="26"/>
          <w:szCs w:val="26"/>
        </w:rPr>
        <w:t xml:space="preserve">to the Service Address </w:t>
      </w:r>
      <w:r>
        <w:rPr>
          <w:sz w:val="26"/>
          <w:szCs w:val="26"/>
        </w:rPr>
        <w:t>stating that it wanted to get in</w:t>
      </w:r>
      <w:r w:rsidR="005E5EE0">
        <w:rPr>
          <w:sz w:val="26"/>
          <w:szCs w:val="26"/>
        </w:rPr>
        <w:t>side to terminate service</w:t>
      </w:r>
      <w:r>
        <w:rPr>
          <w:sz w:val="26"/>
          <w:szCs w:val="26"/>
        </w:rPr>
        <w:t xml:space="preserve">.  </w:t>
      </w:r>
      <w:proofErr w:type="gramStart"/>
      <w:r>
        <w:rPr>
          <w:sz w:val="26"/>
          <w:szCs w:val="26"/>
        </w:rPr>
        <w:t xml:space="preserve">Tr. at 38; PGW </w:t>
      </w:r>
      <w:proofErr w:type="spellStart"/>
      <w:r>
        <w:rPr>
          <w:sz w:val="26"/>
          <w:szCs w:val="26"/>
        </w:rPr>
        <w:t>Exh</w:t>
      </w:r>
      <w:proofErr w:type="spellEnd"/>
      <w:r>
        <w:rPr>
          <w:sz w:val="26"/>
          <w:szCs w:val="26"/>
        </w:rPr>
        <w:t>.</w:t>
      </w:r>
      <w:proofErr w:type="gramEnd"/>
      <w:r>
        <w:rPr>
          <w:sz w:val="26"/>
          <w:szCs w:val="26"/>
        </w:rPr>
        <w:t xml:space="preserve"> 5.  </w:t>
      </w:r>
      <w:r w:rsidR="005E5EE0">
        <w:rPr>
          <w:sz w:val="26"/>
          <w:szCs w:val="26"/>
        </w:rPr>
        <w:t>T</w:t>
      </w:r>
      <w:r w:rsidR="00374927">
        <w:rPr>
          <w:sz w:val="26"/>
          <w:szCs w:val="26"/>
        </w:rPr>
        <w:t>he logical implication of the ALJ’</w:t>
      </w:r>
      <w:r w:rsidR="00A27662">
        <w:rPr>
          <w:sz w:val="26"/>
          <w:szCs w:val="26"/>
        </w:rPr>
        <w:t>s conclusion seems to be</w:t>
      </w:r>
      <w:r w:rsidR="00374927">
        <w:rPr>
          <w:sz w:val="26"/>
          <w:szCs w:val="26"/>
        </w:rPr>
        <w:t xml:space="preserve"> </w:t>
      </w:r>
      <w:r w:rsidR="005D5E6C">
        <w:rPr>
          <w:sz w:val="26"/>
          <w:szCs w:val="26"/>
        </w:rPr>
        <w:t xml:space="preserve">either </w:t>
      </w:r>
      <w:r w:rsidR="00374927">
        <w:rPr>
          <w:sz w:val="26"/>
          <w:szCs w:val="26"/>
        </w:rPr>
        <w:t xml:space="preserve">that PGW </w:t>
      </w:r>
      <w:r w:rsidR="000B4EF1">
        <w:rPr>
          <w:sz w:val="26"/>
          <w:szCs w:val="26"/>
        </w:rPr>
        <w:t>should have</w:t>
      </w:r>
      <w:r w:rsidR="005D5E6C">
        <w:rPr>
          <w:sz w:val="26"/>
          <w:szCs w:val="26"/>
        </w:rPr>
        <w:t xml:space="preserve"> gained access with a forc</w:t>
      </w:r>
      <w:r w:rsidR="000B4EF1">
        <w:rPr>
          <w:sz w:val="26"/>
          <w:szCs w:val="26"/>
        </w:rPr>
        <w:t>ed entry,</w:t>
      </w:r>
      <w:r w:rsidR="005E5EE0">
        <w:rPr>
          <w:rStyle w:val="FootnoteReference"/>
          <w:sz w:val="26"/>
          <w:szCs w:val="26"/>
        </w:rPr>
        <w:footnoteReference w:id="7"/>
      </w:r>
      <w:r w:rsidR="000B4EF1">
        <w:rPr>
          <w:sz w:val="26"/>
          <w:szCs w:val="26"/>
        </w:rPr>
        <w:t xml:space="preserve"> or that </w:t>
      </w:r>
      <w:r w:rsidR="005D5E6C">
        <w:rPr>
          <w:sz w:val="26"/>
          <w:szCs w:val="26"/>
        </w:rPr>
        <w:t xml:space="preserve">PGW could have gained access to the meter had it conducted more than eleven site visits </w:t>
      </w:r>
      <w:r w:rsidR="003278BE">
        <w:rPr>
          <w:sz w:val="26"/>
          <w:szCs w:val="26"/>
        </w:rPr>
        <w:t xml:space="preserve">and sent more notices </w:t>
      </w:r>
      <w:r w:rsidR="005D5E6C">
        <w:rPr>
          <w:sz w:val="26"/>
          <w:szCs w:val="26"/>
        </w:rPr>
        <w:t>to the Service Address</w:t>
      </w:r>
      <w:r w:rsidR="00374927">
        <w:rPr>
          <w:sz w:val="26"/>
          <w:szCs w:val="26"/>
        </w:rPr>
        <w:t>.</w:t>
      </w:r>
      <w:r w:rsidR="00053844">
        <w:rPr>
          <w:sz w:val="26"/>
          <w:szCs w:val="26"/>
        </w:rPr>
        <w:t xml:space="preserve">  </w:t>
      </w:r>
      <w:r w:rsidR="005D5E6C">
        <w:rPr>
          <w:sz w:val="26"/>
          <w:szCs w:val="26"/>
        </w:rPr>
        <w:t xml:space="preserve">The first alternative clearly would be unacceptable, and the likelihood that the second alternative would have been successful is speculative at best.  </w:t>
      </w:r>
    </w:p>
    <w:p w:rsidR="003278BE" w:rsidRDefault="00053844" w:rsidP="0032796F">
      <w:pPr>
        <w:pStyle w:val="BodyText"/>
        <w:spacing w:line="360" w:lineRule="auto"/>
        <w:jc w:val="left"/>
        <w:rPr>
          <w:sz w:val="26"/>
          <w:szCs w:val="26"/>
        </w:rPr>
      </w:pPr>
      <w:r>
        <w:rPr>
          <w:sz w:val="26"/>
          <w:szCs w:val="26"/>
        </w:rPr>
        <w:tab/>
      </w:r>
      <w:r>
        <w:rPr>
          <w:sz w:val="26"/>
          <w:szCs w:val="26"/>
        </w:rPr>
        <w:tab/>
      </w:r>
    </w:p>
    <w:p w:rsidR="00AC6B93" w:rsidRDefault="003278BE" w:rsidP="0032796F">
      <w:pPr>
        <w:pStyle w:val="BodyText"/>
        <w:spacing w:line="360" w:lineRule="auto"/>
        <w:jc w:val="left"/>
        <w:rPr>
          <w:sz w:val="26"/>
          <w:szCs w:val="26"/>
        </w:rPr>
      </w:pPr>
      <w:r>
        <w:rPr>
          <w:sz w:val="26"/>
          <w:szCs w:val="26"/>
        </w:rPr>
        <w:tab/>
      </w:r>
      <w:r>
        <w:rPr>
          <w:sz w:val="26"/>
          <w:szCs w:val="26"/>
        </w:rPr>
        <w:tab/>
        <w:t xml:space="preserve">Having determined that the ALJ’s conclusion that PGW violated Section 1501 is not supported by substantial evidence, </w:t>
      </w:r>
      <w:r w:rsidR="003442D4">
        <w:rPr>
          <w:sz w:val="26"/>
          <w:szCs w:val="26"/>
        </w:rPr>
        <w:t xml:space="preserve">the Complaint must be dismissed.  However, </w:t>
      </w:r>
      <w:r>
        <w:rPr>
          <w:sz w:val="26"/>
          <w:szCs w:val="26"/>
        </w:rPr>
        <w:t>we</w:t>
      </w:r>
      <w:r w:rsidR="00563BF9">
        <w:rPr>
          <w:sz w:val="26"/>
          <w:szCs w:val="26"/>
        </w:rPr>
        <w:t xml:space="preserve"> </w:t>
      </w:r>
      <w:r w:rsidR="00084AD1">
        <w:rPr>
          <w:sz w:val="26"/>
          <w:szCs w:val="26"/>
        </w:rPr>
        <w:t xml:space="preserve">also </w:t>
      </w:r>
      <w:r w:rsidR="00563BF9">
        <w:rPr>
          <w:sz w:val="26"/>
          <w:szCs w:val="26"/>
        </w:rPr>
        <w:t xml:space="preserve">will address PGW’s </w:t>
      </w:r>
      <w:r w:rsidR="007178CA">
        <w:rPr>
          <w:sz w:val="26"/>
          <w:szCs w:val="26"/>
        </w:rPr>
        <w:t>other</w:t>
      </w:r>
      <w:r w:rsidR="00563BF9">
        <w:rPr>
          <w:sz w:val="26"/>
          <w:szCs w:val="26"/>
        </w:rPr>
        <w:t xml:space="preserve"> Exception</w:t>
      </w:r>
      <w:r w:rsidR="007178CA">
        <w:rPr>
          <w:sz w:val="26"/>
          <w:szCs w:val="26"/>
        </w:rPr>
        <w:t>s</w:t>
      </w:r>
      <w:r>
        <w:rPr>
          <w:sz w:val="26"/>
          <w:szCs w:val="26"/>
        </w:rPr>
        <w:t xml:space="preserve"> in summary fashion.  With regard to PGW’s first Exception, we agree that the Complainant does not have standing</w:t>
      </w:r>
      <w:r w:rsidR="00AC6B93">
        <w:rPr>
          <w:sz w:val="26"/>
          <w:szCs w:val="26"/>
        </w:rPr>
        <w:t xml:space="preserve"> to contest the </w:t>
      </w:r>
      <w:r w:rsidR="002A544F">
        <w:rPr>
          <w:sz w:val="26"/>
          <w:szCs w:val="26"/>
        </w:rPr>
        <w:t xml:space="preserve">unpaid </w:t>
      </w:r>
      <w:r w:rsidR="00AC6B93">
        <w:rPr>
          <w:sz w:val="26"/>
          <w:szCs w:val="26"/>
        </w:rPr>
        <w:t xml:space="preserve">utility </w:t>
      </w:r>
      <w:r w:rsidR="002A544F">
        <w:rPr>
          <w:sz w:val="26"/>
          <w:szCs w:val="26"/>
        </w:rPr>
        <w:t xml:space="preserve">charges </w:t>
      </w:r>
      <w:r>
        <w:rPr>
          <w:sz w:val="26"/>
          <w:szCs w:val="26"/>
        </w:rPr>
        <w:t xml:space="preserve">that accrued </w:t>
      </w:r>
      <w:r w:rsidR="00AC6B93">
        <w:rPr>
          <w:sz w:val="26"/>
          <w:szCs w:val="26"/>
        </w:rPr>
        <w:t xml:space="preserve">between 1999 and </w:t>
      </w:r>
      <w:r w:rsidR="002A544F">
        <w:rPr>
          <w:sz w:val="26"/>
          <w:szCs w:val="26"/>
        </w:rPr>
        <w:t>2005</w:t>
      </w:r>
      <w:r>
        <w:rPr>
          <w:sz w:val="26"/>
          <w:szCs w:val="26"/>
        </w:rPr>
        <w:t xml:space="preserve">. </w:t>
      </w:r>
      <w:r w:rsidRPr="003278BE">
        <w:rPr>
          <w:sz w:val="26"/>
          <w:szCs w:val="26"/>
        </w:rPr>
        <w:t xml:space="preserve"> </w:t>
      </w:r>
      <w:r w:rsidR="00AC6B93">
        <w:rPr>
          <w:sz w:val="26"/>
          <w:szCs w:val="26"/>
        </w:rPr>
        <w:t xml:space="preserve">During the period in question, she was not the customer of record, nor was she the property owner.  </w:t>
      </w:r>
      <w:r>
        <w:rPr>
          <w:sz w:val="26"/>
          <w:szCs w:val="26"/>
        </w:rPr>
        <w:lastRenderedPageBreak/>
        <w:t xml:space="preserve">The Complainant testified that she was not familiar with the conditions at the property until 2006, after her mother passed away.  </w:t>
      </w:r>
      <w:r w:rsidR="003F08D2">
        <w:rPr>
          <w:sz w:val="26"/>
          <w:szCs w:val="26"/>
        </w:rPr>
        <w:t xml:space="preserve">Tr. at </w:t>
      </w:r>
      <w:r w:rsidR="001251FA">
        <w:rPr>
          <w:sz w:val="26"/>
          <w:szCs w:val="26"/>
        </w:rPr>
        <w:t>11-12, 15</w:t>
      </w:r>
      <w:r w:rsidR="003F08D2">
        <w:rPr>
          <w:sz w:val="26"/>
          <w:szCs w:val="26"/>
        </w:rPr>
        <w:t>-16.</w:t>
      </w:r>
      <w:r w:rsidR="001251FA">
        <w:rPr>
          <w:sz w:val="26"/>
          <w:szCs w:val="26"/>
        </w:rPr>
        <w:t xml:space="preserve">  </w:t>
      </w:r>
      <w:r>
        <w:rPr>
          <w:sz w:val="26"/>
          <w:szCs w:val="26"/>
        </w:rPr>
        <w:t xml:space="preserve">Her </w:t>
      </w:r>
      <w:r w:rsidR="001251FA">
        <w:rPr>
          <w:sz w:val="26"/>
          <w:szCs w:val="26"/>
        </w:rPr>
        <w:t xml:space="preserve">knowledge of conditions at </w:t>
      </w:r>
      <w:r w:rsidR="00CA78C2">
        <w:rPr>
          <w:sz w:val="26"/>
          <w:szCs w:val="26"/>
        </w:rPr>
        <w:t xml:space="preserve">the </w:t>
      </w:r>
      <w:r w:rsidR="002A544F">
        <w:rPr>
          <w:sz w:val="26"/>
          <w:szCs w:val="26"/>
        </w:rPr>
        <w:t xml:space="preserve">property </w:t>
      </w:r>
      <w:r w:rsidR="001251FA">
        <w:rPr>
          <w:sz w:val="26"/>
          <w:szCs w:val="26"/>
        </w:rPr>
        <w:t xml:space="preserve">therefore </w:t>
      </w:r>
      <w:r w:rsidR="00AC6B93">
        <w:rPr>
          <w:sz w:val="26"/>
          <w:szCs w:val="26"/>
        </w:rPr>
        <w:t xml:space="preserve">began </w:t>
      </w:r>
      <w:r w:rsidR="002A544F">
        <w:rPr>
          <w:sz w:val="26"/>
          <w:szCs w:val="26"/>
        </w:rPr>
        <w:t xml:space="preserve">after the account balance </w:t>
      </w:r>
      <w:r w:rsidR="00AC6B93">
        <w:rPr>
          <w:sz w:val="26"/>
          <w:szCs w:val="26"/>
        </w:rPr>
        <w:t xml:space="preserve">already </w:t>
      </w:r>
      <w:r w:rsidR="002A544F">
        <w:rPr>
          <w:sz w:val="26"/>
          <w:szCs w:val="26"/>
        </w:rPr>
        <w:t xml:space="preserve">had been written off and the lien </w:t>
      </w:r>
      <w:r>
        <w:rPr>
          <w:sz w:val="26"/>
          <w:szCs w:val="26"/>
        </w:rPr>
        <w:t>placed on the property</w:t>
      </w:r>
      <w:r w:rsidR="002A544F">
        <w:rPr>
          <w:sz w:val="26"/>
          <w:szCs w:val="26"/>
        </w:rPr>
        <w:t xml:space="preserve"> in 2005</w:t>
      </w:r>
      <w:r>
        <w:rPr>
          <w:sz w:val="26"/>
          <w:szCs w:val="26"/>
        </w:rPr>
        <w:t>.  The Complainant’s testimony of s</w:t>
      </w:r>
      <w:r w:rsidR="002A544F">
        <w:rPr>
          <w:sz w:val="26"/>
          <w:szCs w:val="26"/>
        </w:rPr>
        <w:t xml:space="preserve">teps she took beginning in 2006 to monitor the property </w:t>
      </w:r>
      <w:r>
        <w:rPr>
          <w:sz w:val="26"/>
          <w:szCs w:val="26"/>
        </w:rPr>
        <w:t>is irrele</w:t>
      </w:r>
      <w:r w:rsidR="002A544F">
        <w:rPr>
          <w:sz w:val="26"/>
          <w:szCs w:val="26"/>
        </w:rPr>
        <w:t>vant to the issue of her standing to contest an account balance for utility service provided between 1999 an</w:t>
      </w:r>
      <w:r w:rsidR="001251FA">
        <w:rPr>
          <w:sz w:val="26"/>
          <w:szCs w:val="26"/>
        </w:rPr>
        <w:t>d 2005</w:t>
      </w:r>
      <w:r>
        <w:rPr>
          <w:sz w:val="26"/>
          <w:szCs w:val="26"/>
        </w:rPr>
        <w:t>.</w:t>
      </w:r>
      <w:r w:rsidR="002A544F">
        <w:rPr>
          <w:rStyle w:val="FootnoteReference"/>
          <w:sz w:val="26"/>
          <w:szCs w:val="26"/>
        </w:rPr>
        <w:footnoteReference w:id="8"/>
      </w:r>
      <w:r w:rsidR="00AC6B93">
        <w:rPr>
          <w:sz w:val="26"/>
          <w:szCs w:val="26"/>
        </w:rPr>
        <w:t xml:space="preserve">  The Complainant </w:t>
      </w:r>
      <w:r w:rsidR="003442D4">
        <w:rPr>
          <w:sz w:val="26"/>
          <w:szCs w:val="26"/>
        </w:rPr>
        <w:t xml:space="preserve">also </w:t>
      </w:r>
      <w:r w:rsidR="00AC6B93">
        <w:rPr>
          <w:sz w:val="26"/>
          <w:szCs w:val="26"/>
        </w:rPr>
        <w:t xml:space="preserve">did not present any evidence of steps that her mother, the property owner during the period in question, took to monitor the conditions at the property after she moved out in 1998.  The record is completely devoid of any evidence of what measures Shirley </w:t>
      </w:r>
      <w:proofErr w:type="spellStart"/>
      <w:r w:rsidR="00AC6B93">
        <w:rPr>
          <w:sz w:val="26"/>
          <w:szCs w:val="26"/>
        </w:rPr>
        <w:t>Asencio</w:t>
      </w:r>
      <w:proofErr w:type="spellEnd"/>
      <w:r w:rsidR="00AC6B93">
        <w:rPr>
          <w:sz w:val="26"/>
          <w:szCs w:val="26"/>
        </w:rPr>
        <w:t xml:space="preserve"> t</w:t>
      </w:r>
      <w:r w:rsidR="003442D4">
        <w:rPr>
          <w:sz w:val="26"/>
          <w:szCs w:val="26"/>
        </w:rPr>
        <w:t xml:space="preserve">ook, if any, to control </w:t>
      </w:r>
      <w:r w:rsidR="001251FA">
        <w:rPr>
          <w:sz w:val="26"/>
          <w:szCs w:val="26"/>
        </w:rPr>
        <w:t xml:space="preserve">the conditions of </w:t>
      </w:r>
      <w:r w:rsidR="003442D4">
        <w:rPr>
          <w:sz w:val="26"/>
          <w:szCs w:val="26"/>
        </w:rPr>
        <w:t xml:space="preserve">her </w:t>
      </w:r>
      <w:r w:rsidR="00AC6B93">
        <w:rPr>
          <w:sz w:val="26"/>
          <w:szCs w:val="26"/>
        </w:rPr>
        <w:t>property before service was permanently terminated in 2005.</w:t>
      </w:r>
      <w:r w:rsidR="00FC02D1">
        <w:rPr>
          <w:sz w:val="26"/>
          <w:szCs w:val="26"/>
        </w:rPr>
        <w:t xml:space="preserve">  This </w:t>
      </w:r>
      <w:r w:rsidR="00030F37">
        <w:rPr>
          <w:sz w:val="26"/>
          <w:szCs w:val="26"/>
        </w:rPr>
        <w:t xml:space="preserve">reasoning </w:t>
      </w:r>
      <w:r w:rsidR="00FC02D1">
        <w:rPr>
          <w:sz w:val="26"/>
          <w:szCs w:val="26"/>
        </w:rPr>
        <w:t xml:space="preserve">is consistent with </w:t>
      </w:r>
      <w:r w:rsidR="00FC02D1" w:rsidRPr="002E03E2">
        <w:rPr>
          <w:i/>
          <w:sz w:val="26"/>
          <w:szCs w:val="26"/>
        </w:rPr>
        <w:t>Payne</w:t>
      </w:r>
      <w:r w:rsidR="00FC02D1">
        <w:rPr>
          <w:sz w:val="26"/>
          <w:szCs w:val="26"/>
        </w:rPr>
        <w:t xml:space="preserve">, </w:t>
      </w:r>
      <w:r w:rsidR="00FC02D1" w:rsidRPr="002E03E2">
        <w:rPr>
          <w:i/>
          <w:sz w:val="26"/>
          <w:szCs w:val="26"/>
        </w:rPr>
        <w:t>supra</w:t>
      </w:r>
      <w:r w:rsidR="00FC02D1">
        <w:rPr>
          <w:sz w:val="26"/>
          <w:szCs w:val="26"/>
        </w:rPr>
        <w:t>.</w:t>
      </w:r>
    </w:p>
    <w:p w:rsidR="00D57A83" w:rsidRPr="00C45269" w:rsidRDefault="00D57A83" w:rsidP="002E03E2">
      <w:pPr>
        <w:pStyle w:val="BodyText"/>
        <w:spacing w:line="360" w:lineRule="auto"/>
        <w:ind w:firstLine="1440"/>
        <w:jc w:val="left"/>
        <w:rPr>
          <w:sz w:val="26"/>
          <w:szCs w:val="26"/>
        </w:rPr>
      </w:pPr>
    </w:p>
    <w:p w:rsidR="00D57A83" w:rsidRPr="002E03E2" w:rsidRDefault="00D57A83" w:rsidP="002E03E2">
      <w:pPr>
        <w:pStyle w:val="PlainText"/>
        <w:spacing w:line="360" w:lineRule="auto"/>
        <w:ind w:firstLine="1440"/>
        <w:rPr>
          <w:rFonts w:ascii="Times New Roman" w:hAnsi="Times New Roman"/>
          <w:sz w:val="26"/>
          <w:szCs w:val="26"/>
        </w:rPr>
      </w:pPr>
      <w:r w:rsidRPr="002E03E2">
        <w:rPr>
          <w:rFonts w:ascii="Times New Roman" w:hAnsi="Times New Roman"/>
          <w:sz w:val="26"/>
          <w:szCs w:val="26"/>
        </w:rPr>
        <w:t xml:space="preserve">Finally, in its second Exception, PGW argues that the instant claim is barred by the three-year statute of limitations in Section 3314(a) of the Code, 66 Pa. C.S. </w:t>
      </w:r>
      <w:r w:rsidR="00C472D8">
        <w:rPr>
          <w:rFonts w:ascii="Times New Roman" w:hAnsi="Times New Roman"/>
          <w:sz w:val="26"/>
          <w:szCs w:val="26"/>
        </w:rPr>
        <w:br/>
      </w:r>
      <w:r w:rsidRPr="002E03E2">
        <w:rPr>
          <w:rFonts w:ascii="Times New Roman" w:hAnsi="Times New Roman"/>
          <w:sz w:val="26"/>
          <w:szCs w:val="26"/>
        </w:rPr>
        <w:t xml:space="preserve">§ 3314(a).  We note that Section 1312(a) of the Code, 66 Pa. C.S. § 1312(a), prohibits the Commission from ordering a refund of amounts paid by a patron more than four years before the filing of a complaint.  We need not address these provisions in detail; the instant Complaint, filed on June 28, 2011, concerns billing for natural gas service to the Service Address between 1999 and 2005.  Under these circumstances, </w:t>
      </w:r>
      <w:r>
        <w:rPr>
          <w:rFonts w:ascii="Times New Roman" w:hAnsi="Times New Roman"/>
          <w:sz w:val="26"/>
          <w:szCs w:val="26"/>
        </w:rPr>
        <w:t xml:space="preserve">even assuming, </w:t>
      </w:r>
      <w:r>
        <w:rPr>
          <w:rFonts w:ascii="Times New Roman" w:hAnsi="Times New Roman"/>
          <w:i/>
          <w:sz w:val="26"/>
          <w:szCs w:val="26"/>
        </w:rPr>
        <w:t xml:space="preserve">arguendo, </w:t>
      </w:r>
      <w:r>
        <w:rPr>
          <w:rFonts w:ascii="Times New Roman" w:hAnsi="Times New Roman"/>
          <w:sz w:val="26"/>
          <w:szCs w:val="26"/>
        </w:rPr>
        <w:t xml:space="preserve">that the Complainant has </w:t>
      </w:r>
      <w:proofErr w:type="gramStart"/>
      <w:r>
        <w:rPr>
          <w:rFonts w:ascii="Times New Roman" w:hAnsi="Times New Roman"/>
          <w:sz w:val="26"/>
          <w:szCs w:val="26"/>
        </w:rPr>
        <w:t>standing,</w:t>
      </w:r>
      <w:proofErr w:type="gramEnd"/>
      <w:r>
        <w:rPr>
          <w:rFonts w:ascii="Times New Roman" w:hAnsi="Times New Roman"/>
          <w:sz w:val="26"/>
          <w:szCs w:val="26"/>
        </w:rPr>
        <w:t xml:space="preserve"> </w:t>
      </w:r>
      <w:r w:rsidRPr="002E03E2">
        <w:rPr>
          <w:rFonts w:ascii="Times New Roman" w:hAnsi="Times New Roman"/>
          <w:sz w:val="26"/>
          <w:szCs w:val="26"/>
        </w:rPr>
        <w:t xml:space="preserve">we cannot grant relief to the Complainant. </w:t>
      </w:r>
    </w:p>
    <w:p w:rsidR="00C45269" w:rsidRPr="00C45269" w:rsidRDefault="00C45269" w:rsidP="00C45269">
      <w:pPr>
        <w:spacing w:line="360" w:lineRule="auto"/>
        <w:rPr>
          <w:rFonts w:ascii="Times New Roman" w:hAnsi="Times New Roman" w:cs="Times New Roman"/>
          <w:sz w:val="26"/>
          <w:szCs w:val="26"/>
        </w:rPr>
      </w:pPr>
    </w:p>
    <w:p w:rsidR="00C45269" w:rsidRPr="00C45269" w:rsidRDefault="00C45269" w:rsidP="00C45269">
      <w:pPr>
        <w:spacing w:line="360" w:lineRule="auto"/>
        <w:jc w:val="center"/>
        <w:rPr>
          <w:rFonts w:ascii="Times New Roman" w:hAnsi="Times New Roman" w:cs="Times New Roman"/>
          <w:b/>
          <w:sz w:val="26"/>
          <w:szCs w:val="26"/>
        </w:rPr>
      </w:pPr>
      <w:r w:rsidRPr="00C45269">
        <w:rPr>
          <w:rFonts w:ascii="Times New Roman" w:hAnsi="Times New Roman" w:cs="Times New Roman"/>
          <w:b/>
          <w:sz w:val="26"/>
          <w:szCs w:val="26"/>
        </w:rPr>
        <w:t>Conclusion</w:t>
      </w:r>
    </w:p>
    <w:p w:rsidR="00C45269" w:rsidRPr="00C45269" w:rsidRDefault="00C45269" w:rsidP="00C45269">
      <w:pPr>
        <w:spacing w:line="360" w:lineRule="auto"/>
        <w:rPr>
          <w:rFonts w:ascii="Times New Roman" w:hAnsi="Times New Roman" w:cs="Times New Roman"/>
          <w:sz w:val="26"/>
          <w:szCs w:val="26"/>
        </w:rPr>
      </w:pPr>
    </w:p>
    <w:p w:rsidR="00C45269" w:rsidRPr="00C45269" w:rsidRDefault="00C45269" w:rsidP="00C45269">
      <w:pPr>
        <w:spacing w:line="360" w:lineRule="auto"/>
        <w:rPr>
          <w:rFonts w:ascii="Times New Roman" w:hAnsi="Times New Roman" w:cs="Times New Roman"/>
          <w:b/>
          <w:sz w:val="26"/>
          <w:szCs w:val="26"/>
        </w:rPr>
      </w:pPr>
      <w:r w:rsidRPr="00C45269">
        <w:rPr>
          <w:rFonts w:ascii="Times New Roman" w:hAnsi="Times New Roman" w:cs="Times New Roman"/>
          <w:sz w:val="26"/>
          <w:szCs w:val="26"/>
        </w:rPr>
        <w:tab/>
      </w:r>
      <w:r w:rsidRPr="00C45269">
        <w:rPr>
          <w:rFonts w:ascii="Times New Roman" w:hAnsi="Times New Roman" w:cs="Times New Roman"/>
          <w:sz w:val="26"/>
          <w:szCs w:val="26"/>
        </w:rPr>
        <w:tab/>
        <w:t>For the reasons stated abov</w:t>
      </w:r>
      <w:r>
        <w:rPr>
          <w:rFonts w:ascii="Times New Roman" w:hAnsi="Times New Roman" w:cs="Times New Roman"/>
          <w:sz w:val="26"/>
          <w:szCs w:val="26"/>
        </w:rPr>
        <w:t>e, we will grant PGW</w:t>
      </w:r>
      <w:r w:rsidRPr="00C45269">
        <w:rPr>
          <w:rFonts w:ascii="Times New Roman" w:hAnsi="Times New Roman" w:cs="Times New Roman"/>
          <w:sz w:val="26"/>
          <w:szCs w:val="26"/>
        </w:rPr>
        <w:t>’</w:t>
      </w:r>
      <w:r>
        <w:rPr>
          <w:rFonts w:ascii="Times New Roman" w:hAnsi="Times New Roman" w:cs="Times New Roman"/>
          <w:sz w:val="26"/>
          <w:szCs w:val="26"/>
        </w:rPr>
        <w:t>s Exceptions, reverse</w:t>
      </w:r>
      <w:r w:rsidRPr="00C45269">
        <w:rPr>
          <w:rFonts w:ascii="Times New Roman" w:hAnsi="Times New Roman" w:cs="Times New Roman"/>
          <w:sz w:val="26"/>
          <w:szCs w:val="26"/>
        </w:rPr>
        <w:t xml:space="preserve"> the ALJ’s Initial Decision, and dismiss the Complaint, consistent with this Opinion and Order; </w:t>
      </w:r>
      <w:r w:rsidRPr="00C45269">
        <w:rPr>
          <w:rFonts w:ascii="Times New Roman" w:hAnsi="Times New Roman" w:cs="Times New Roman"/>
          <w:b/>
          <w:sz w:val="26"/>
          <w:szCs w:val="26"/>
        </w:rPr>
        <w:t>THEREFORE,</w:t>
      </w:r>
    </w:p>
    <w:p w:rsidR="00C45269" w:rsidRPr="00C45269" w:rsidRDefault="00C45269" w:rsidP="00C45269">
      <w:pPr>
        <w:spacing w:line="360" w:lineRule="auto"/>
        <w:rPr>
          <w:rFonts w:ascii="Times New Roman" w:hAnsi="Times New Roman" w:cs="Times New Roman"/>
          <w:b/>
          <w:sz w:val="26"/>
          <w:szCs w:val="26"/>
        </w:rPr>
      </w:pPr>
      <w:r w:rsidRPr="00C45269">
        <w:rPr>
          <w:rFonts w:ascii="Times New Roman" w:hAnsi="Times New Roman" w:cs="Times New Roman"/>
          <w:b/>
          <w:sz w:val="26"/>
          <w:szCs w:val="26"/>
        </w:rPr>
        <w:lastRenderedPageBreak/>
        <w:tab/>
      </w:r>
      <w:r w:rsidRPr="00C45269">
        <w:rPr>
          <w:rFonts w:ascii="Times New Roman" w:hAnsi="Times New Roman" w:cs="Times New Roman"/>
          <w:b/>
          <w:sz w:val="26"/>
          <w:szCs w:val="26"/>
        </w:rPr>
        <w:tab/>
        <w:t>IT IS ORDERED:</w:t>
      </w:r>
    </w:p>
    <w:p w:rsidR="00C45269" w:rsidRPr="00C45269" w:rsidRDefault="00C45269" w:rsidP="00C45269">
      <w:pPr>
        <w:spacing w:line="360" w:lineRule="auto"/>
        <w:ind w:firstLine="1440"/>
        <w:outlineLvl w:val="0"/>
        <w:rPr>
          <w:rFonts w:ascii="Times New Roman" w:hAnsi="Times New Roman" w:cs="Times New Roman"/>
          <w:sz w:val="26"/>
          <w:szCs w:val="26"/>
        </w:rPr>
      </w:pPr>
    </w:p>
    <w:p w:rsidR="00C45269" w:rsidRDefault="00C45269" w:rsidP="00C45269">
      <w:pPr>
        <w:pStyle w:val="ListParagraph"/>
        <w:numPr>
          <w:ilvl w:val="0"/>
          <w:numId w:val="22"/>
        </w:numPr>
        <w:autoSpaceDE/>
        <w:autoSpaceDN/>
        <w:spacing w:line="360" w:lineRule="auto"/>
        <w:ind w:left="0" w:firstLine="1440"/>
        <w:contextualSpacing/>
        <w:outlineLvl w:val="0"/>
        <w:rPr>
          <w:rFonts w:ascii="Times New Roman" w:hAnsi="Times New Roman" w:cs="Times New Roman"/>
          <w:sz w:val="26"/>
          <w:szCs w:val="26"/>
        </w:rPr>
      </w:pPr>
      <w:r w:rsidRPr="00C45269">
        <w:rPr>
          <w:rFonts w:ascii="Times New Roman" w:hAnsi="Times New Roman" w:cs="Times New Roman"/>
          <w:sz w:val="26"/>
          <w:szCs w:val="26"/>
        </w:rPr>
        <w:t xml:space="preserve">That the Exceptions filed on </w:t>
      </w:r>
      <w:r>
        <w:rPr>
          <w:rFonts w:ascii="Times New Roman" w:hAnsi="Times New Roman" w:cs="Times New Roman"/>
          <w:sz w:val="26"/>
          <w:szCs w:val="26"/>
        </w:rPr>
        <w:t xml:space="preserve">August 13, 2012, by </w:t>
      </w:r>
      <w:r w:rsidRPr="00DC1A6F">
        <w:rPr>
          <w:rFonts w:ascii="Times New Roman" w:hAnsi="Times New Roman" w:cs="Times New Roman"/>
          <w:sz w:val="26"/>
          <w:szCs w:val="26"/>
        </w:rPr>
        <w:t xml:space="preserve">Philadelphia Gas Works </w:t>
      </w:r>
      <w:r>
        <w:rPr>
          <w:rFonts w:ascii="Times New Roman" w:hAnsi="Times New Roman" w:cs="Times New Roman"/>
          <w:sz w:val="26"/>
          <w:szCs w:val="26"/>
        </w:rPr>
        <w:t xml:space="preserve">to the Initial Decision </w:t>
      </w:r>
      <w:r w:rsidRPr="00DC1A6F">
        <w:rPr>
          <w:rFonts w:ascii="Times New Roman" w:hAnsi="Times New Roman" w:cs="Times New Roman"/>
          <w:sz w:val="26"/>
          <w:szCs w:val="26"/>
        </w:rPr>
        <w:t>of Administr</w:t>
      </w:r>
      <w:r>
        <w:rPr>
          <w:rFonts w:ascii="Times New Roman" w:hAnsi="Times New Roman" w:cs="Times New Roman"/>
          <w:sz w:val="26"/>
          <w:szCs w:val="26"/>
        </w:rPr>
        <w:t xml:space="preserve">ative Law Judge </w:t>
      </w:r>
      <w:r w:rsidRPr="00DC1A6F">
        <w:rPr>
          <w:rFonts w:ascii="Times New Roman" w:hAnsi="Times New Roman" w:cs="Times New Roman"/>
          <w:sz w:val="26"/>
          <w:szCs w:val="26"/>
        </w:rPr>
        <w:t>Joel H.</w:t>
      </w:r>
      <w:r w:rsidR="004102CF">
        <w:rPr>
          <w:rFonts w:ascii="Times New Roman" w:hAnsi="Times New Roman" w:cs="Times New Roman"/>
          <w:sz w:val="26"/>
          <w:szCs w:val="26"/>
        </w:rPr>
        <w:t xml:space="preserve"> </w:t>
      </w:r>
      <w:proofErr w:type="spellStart"/>
      <w:r w:rsidR="004102CF">
        <w:rPr>
          <w:rFonts w:ascii="Times New Roman" w:hAnsi="Times New Roman" w:cs="Times New Roman"/>
          <w:sz w:val="26"/>
          <w:szCs w:val="26"/>
        </w:rPr>
        <w:t>Cheskis</w:t>
      </w:r>
      <w:proofErr w:type="spellEnd"/>
      <w:r w:rsidR="004102CF">
        <w:rPr>
          <w:rFonts w:ascii="Times New Roman" w:hAnsi="Times New Roman" w:cs="Times New Roman"/>
          <w:sz w:val="26"/>
          <w:szCs w:val="26"/>
        </w:rPr>
        <w:t xml:space="preserve"> issued on July </w:t>
      </w:r>
      <w:r>
        <w:rPr>
          <w:rFonts w:ascii="Times New Roman" w:hAnsi="Times New Roman" w:cs="Times New Roman"/>
          <w:sz w:val="26"/>
          <w:szCs w:val="26"/>
        </w:rPr>
        <w:t>6, 2012, are granted</w:t>
      </w:r>
      <w:r w:rsidR="007B045C">
        <w:rPr>
          <w:rFonts w:ascii="Times New Roman" w:hAnsi="Times New Roman" w:cs="Times New Roman"/>
          <w:sz w:val="26"/>
          <w:szCs w:val="26"/>
        </w:rPr>
        <w:t xml:space="preserve">, </w:t>
      </w:r>
      <w:r>
        <w:rPr>
          <w:rFonts w:ascii="Times New Roman" w:hAnsi="Times New Roman" w:cs="Times New Roman"/>
          <w:sz w:val="26"/>
          <w:szCs w:val="26"/>
        </w:rPr>
        <w:t>consistent with this Opinion and Order.</w:t>
      </w:r>
    </w:p>
    <w:p w:rsidR="00CA78C2" w:rsidRDefault="00CA78C2" w:rsidP="00CA78C2">
      <w:pPr>
        <w:pStyle w:val="ListParagraph"/>
        <w:autoSpaceDE/>
        <w:autoSpaceDN/>
        <w:spacing w:line="360" w:lineRule="auto"/>
        <w:ind w:left="1440"/>
        <w:contextualSpacing/>
        <w:outlineLvl w:val="0"/>
        <w:rPr>
          <w:rFonts w:ascii="Times New Roman" w:hAnsi="Times New Roman" w:cs="Times New Roman"/>
          <w:sz w:val="26"/>
          <w:szCs w:val="26"/>
        </w:rPr>
      </w:pPr>
    </w:p>
    <w:p w:rsidR="00CA78C2" w:rsidRPr="00C45269" w:rsidRDefault="00CA78C2" w:rsidP="00C45269">
      <w:pPr>
        <w:pStyle w:val="ListParagraph"/>
        <w:numPr>
          <w:ilvl w:val="0"/>
          <w:numId w:val="22"/>
        </w:numPr>
        <w:autoSpaceDE/>
        <w:autoSpaceDN/>
        <w:spacing w:line="360" w:lineRule="auto"/>
        <w:ind w:left="0" w:firstLine="1440"/>
        <w:contextualSpacing/>
        <w:outlineLvl w:val="0"/>
        <w:rPr>
          <w:rFonts w:ascii="Times New Roman" w:hAnsi="Times New Roman" w:cs="Times New Roman"/>
          <w:sz w:val="26"/>
          <w:szCs w:val="26"/>
        </w:rPr>
      </w:pPr>
      <w:r>
        <w:rPr>
          <w:rFonts w:ascii="Times New Roman" w:hAnsi="Times New Roman" w:cs="Times New Roman"/>
          <w:sz w:val="26"/>
          <w:szCs w:val="26"/>
        </w:rPr>
        <w:t>That the Initial Decision of A</w:t>
      </w:r>
      <w:r w:rsidRPr="00DC1A6F">
        <w:rPr>
          <w:rFonts w:ascii="Times New Roman" w:hAnsi="Times New Roman" w:cs="Times New Roman"/>
          <w:sz w:val="26"/>
          <w:szCs w:val="26"/>
        </w:rPr>
        <w:t>dministr</w:t>
      </w:r>
      <w:r>
        <w:rPr>
          <w:rFonts w:ascii="Times New Roman" w:hAnsi="Times New Roman" w:cs="Times New Roman"/>
          <w:sz w:val="26"/>
          <w:szCs w:val="26"/>
        </w:rPr>
        <w:t xml:space="preserve">ative Law Judge </w:t>
      </w:r>
      <w:r w:rsidRPr="00DC1A6F">
        <w:rPr>
          <w:rFonts w:ascii="Times New Roman" w:hAnsi="Times New Roman" w:cs="Times New Roman"/>
          <w:sz w:val="26"/>
          <w:szCs w:val="26"/>
        </w:rPr>
        <w:t>Joel H.</w:t>
      </w:r>
      <w:r>
        <w:rPr>
          <w:rFonts w:ascii="Times New Roman" w:hAnsi="Times New Roman" w:cs="Times New Roman"/>
          <w:sz w:val="26"/>
          <w:szCs w:val="26"/>
        </w:rPr>
        <w:t xml:space="preserve"> </w:t>
      </w:r>
      <w:proofErr w:type="spellStart"/>
      <w:r>
        <w:rPr>
          <w:rFonts w:ascii="Times New Roman" w:hAnsi="Times New Roman" w:cs="Times New Roman"/>
          <w:sz w:val="26"/>
          <w:szCs w:val="26"/>
        </w:rPr>
        <w:t>Cheskis</w:t>
      </w:r>
      <w:proofErr w:type="spellEnd"/>
      <w:r>
        <w:rPr>
          <w:rFonts w:ascii="Times New Roman" w:hAnsi="Times New Roman" w:cs="Times New Roman"/>
          <w:sz w:val="26"/>
          <w:szCs w:val="26"/>
        </w:rPr>
        <w:t xml:space="preserve"> issued on July 6, </w:t>
      </w:r>
      <w:r w:rsidR="00DD57AC">
        <w:rPr>
          <w:rFonts w:ascii="Times New Roman" w:hAnsi="Times New Roman" w:cs="Times New Roman"/>
          <w:sz w:val="26"/>
          <w:szCs w:val="26"/>
        </w:rPr>
        <w:t xml:space="preserve">2012, is reversed to the extent </w:t>
      </w:r>
      <w:r>
        <w:rPr>
          <w:rFonts w:ascii="Times New Roman" w:hAnsi="Times New Roman" w:cs="Times New Roman"/>
          <w:sz w:val="26"/>
          <w:szCs w:val="26"/>
        </w:rPr>
        <w:t>consistent with this Opinion and Order.</w:t>
      </w:r>
    </w:p>
    <w:p w:rsidR="00C45269" w:rsidRPr="00C45269" w:rsidRDefault="00C45269" w:rsidP="00C45269">
      <w:pPr>
        <w:pStyle w:val="ListParagraph"/>
        <w:spacing w:line="360" w:lineRule="auto"/>
        <w:ind w:left="1440"/>
        <w:outlineLvl w:val="0"/>
        <w:rPr>
          <w:rFonts w:ascii="Times New Roman" w:hAnsi="Times New Roman" w:cs="Times New Roman"/>
          <w:sz w:val="26"/>
          <w:szCs w:val="26"/>
        </w:rPr>
      </w:pPr>
    </w:p>
    <w:p w:rsidR="00C45269" w:rsidRPr="00C45269" w:rsidRDefault="00C45269" w:rsidP="00C45269">
      <w:pPr>
        <w:pStyle w:val="ListParagraph"/>
        <w:numPr>
          <w:ilvl w:val="0"/>
          <w:numId w:val="22"/>
        </w:numPr>
        <w:autoSpaceDE/>
        <w:autoSpaceDN/>
        <w:spacing w:line="360" w:lineRule="auto"/>
        <w:ind w:left="0" w:firstLine="1440"/>
        <w:contextualSpacing/>
        <w:outlineLvl w:val="0"/>
        <w:rPr>
          <w:rFonts w:ascii="Times New Roman" w:hAnsi="Times New Roman" w:cs="Times New Roman"/>
          <w:sz w:val="26"/>
          <w:szCs w:val="26"/>
        </w:rPr>
      </w:pPr>
      <w:r w:rsidRPr="00C45269">
        <w:rPr>
          <w:rFonts w:ascii="Times New Roman" w:hAnsi="Times New Roman" w:cs="Times New Roman"/>
          <w:sz w:val="26"/>
          <w:szCs w:val="26"/>
        </w:rPr>
        <w:t>That</w:t>
      </w:r>
      <w:r>
        <w:rPr>
          <w:rFonts w:ascii="Times New Roman" w:hAnsi="Times New Roman" w:cs="Times New Roman"/>
          <w:sz w:val="26"/>
          <w:szCs w:val="26"/>
        </w:rPr>
        <w:t xml:space="preserve"> the Formal Complaint </w:t>
      </w:r>
      <w:r w:rsidR="002673D4">
        <w:rPr>
          <w:rFonts w:ascii="Times New Roman" w:hAnsi="Times New Roman" w:cs="Times New Roman"/>
          <w:sz w:val="26"/>
          <w:szCs w:val="26"/>
        </w:rPr>
        <w:t>of D</w:t>
      </w:r>
      <w:r w:rsidR="0050232C">
        <w:rPr>
          <w:rFonts w:ascii="Times New Roman" w:hAnsi="Times New Roman" w:cs="Times New Roman"/>
          <w:sz w:val="26"/>
          <w:szCs w:val="26"/>
        </w:rPr>
        <w:t>e</w:t>
      </w:r>
      <w:r w:rsidR="002673D4">
        <w:rPr>
          <w:rFonts w:ascii="Times New Roman" w:hAnsi="Times New Roman" w:cs="Times New Roman"/>
          <w:sz w:val="26"/>
          <w:szCs w:val="26"/>
        </w:rPr>
        <w:t>lores</w:t>
      </w:r>
      <w:r>
        <w:rPr>
          <w:rFonts w:ascii="Times New Roman" w:hAnsi="Times New Roman" w:cs="Times New Roman"/>
          <w:sz w:val="26"/>
          <w:szCs w:val="26"/>
        </w:rPr>
        <w:t xml:space="preserve"> </w:t>
      </w:r>
      <w:proofErr w:type="spellStart"/>
      <w:r>
        <w:rPr>
          <w:rFonts w:ascii="Times New Roman" w:hAnsi="Times New Roman" w:cs="Times New Roman"/>
          <w:sz w:val="26"/>
          <w:szCs w:val="26"/>
        </w:rPr>
        <w:t>Asencio</w:t>
      </w:r>
      <w:proofErr w:type="spellEnd"/>
      <w:r>
        <w:rPr>
          <w:rFonts w:ascii="Times New Roman" w:hAnsi="Times New Roman" w:cs="Times New Roman"/>
          <w:sz w:val="26"/>
          <w:szCs w:val="26"/>
        </w:rPr>
        <w:t xml:space="preserve"> at Docket No. C</w:t>
      </w:r>
      <w:r>
        <w:rPr>
          <w:rFonts w:ascii="Times New Roman" w:hAnsi="Times New Roman" w:cs="Times New Roman"/>
          <w:sz w:val="26"/>
          <w:szCs w:val="26"/>
        </w:rPr>
        <w:noBreakHyphen/>
        <w:t>2011-2251832</w:t>
      </w:r>
      <w:r w:rsidRPr="00C45269">
        <w:rPr>
          <w:rFonts w:ascii="Times New Roman" w:hAnsi="Times New Roman" w:cs="Times New Roman"/>
          <w:sz w:val="26"/>
          <w:szCs w:val="26"/>
        </w:rPr>
        <w:t xml:space="preserve"> is dismissed.</w:t>
      </w:r>
    </w:p>
    <w:p w:rsidR="00C45269" w:rsidRPr="00C45269" w:rsidRDefault="00C45269" w:rsidP="00C45269">
      <w:pPr>
        <w:pStyle w:val="ListParagraph"/>
        <w:spacing w:line="360" w:lineRule="auto"/>
        <w:ind w:left="1440"/>
        <w:outlineLvl w:val="0"/>
        <w:rPr>
          <w:rFonts w:ascii="Times New Roman" w:hAnsi="Times New Roman" w:cs="Times New Roman"/>
          <w:sz w:val="26"/>
          <w:szCs w:val="26"/>
        </w:rPr>
      </w:pPr>
    </w:p>
    <w:p w:rsidR="00C45269" w:rsidRPr="00C45269" w:rsidRDefault="00C45269" w:rsidP="00C45269">
      <w:pPr>
        <w:pStyle w:val="ListParagraph"/>
        <w:numPr>
          <w:ilvl w:val="0"/>
          <w:numId w:val="22"/>
        </w:numPr>
        <w:autoSpaceDE/>
        <w:autoSpaceDN/>
        <w:spacing w:line="360" w:lineRule="auto"/>
        <w:ind w:left="0" w:firstLine="1440"/>
        <w:contextualSpacing/>
        <w:outlineLvl w:val="0"/>
        <w:rPr>
          <w:rFonts w:ascii="Times New Roman" w:hAnsi="Times New Roman" w:cs="Times New Roman"/>
          <w:sz w:val="26"/>
          <w:szCs w:val="26"/>
        </w:rPr>
      </w:pPr>
      <w:r w:rsidRPr="00C45269">
        <w:rPr>
          <w:rFonts w:ascii="Times New Roman" w:hAnsi="Times New Roman" w:cs="Times New Roman"/>
          <w:sz w:val="26"/>
          <w:szCs w:val="26"/>
        </w:rPr>
        <w:t>That the Secretary’s Bureau shall mark this proceeding closed.</w:t>
      </w:r>
    </w:p>
    <w:p w:rsidR="00C45269" w:rsidRPr="00C45269" w:rsidRDefault="00C45269" w:rsidP="002E03E2">
      <w:pPr>
        <w:pStyle w:val="ListParagraph"/>
        <w:spacing w:line="360" w:lineRule="auto"/>
        <w:rPr>
          <w:rFonts w:ascii="Times New Roman" w:hAnsi="Times New Roman" w:cs="Times New Roman"/>
          <w:sz w:val="26"/>
          <w:szCs w:val="26"/>
        </w:rPr>
      </w:pPr>
    </w:p>
    <w:p w:rsidR="00C45269" w:rsidRPr="00C45269" w:rsidRDefault="00BB1689" w:rsidP="00C45269">
      <w:pPr>
        <w:spacing w:line="360" w:lineRule="auto"/>
        <w:ind w:left="5040" w:firstLine="720"/>
        <w:outlineLvl w:val="0"/>
        <w:rPr>
          <w:rFonts w:ascii="Times New Roman" w:hAnsi="Times New Roman" w:cs="Times New Roman"/>
          <w:b/>
          <w:sz w:val="26"/>
          <w:szCs w:val="26"/>
        </w:rPr>
      </w:pPr>
      <w:r>
        <w:rPr>
          <w:noProof/>
        </w:rPr>
        <w:drawing>
          <wp:anchor distT="0" distB="0" distL="114300" distR="114300" simplePos="0" relativeHeight="251658240" behindDoc="1" locked="0" layoutInCell="1" allowOverlap="1" wp14:anchorId="083C6D9E" wp14:editId="1145FCA6">
            <wp:simplePos x="0" y="0"/>
            <wp:positionH relativeFrom="column">
              <wp:posOffset>3282950</wp:posOffset>
            </wp:positionH>
            <wp:positionV relativeFrom="paragraph">
              <wp:posOffset>109855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45269" w:rsidRPr="00C45269">
        <w:rPr>
          <w:rFonts w:ascii="Times New Roman" w:hAnsi="Times New Roman" w:cs="Times New Roman"/>
          <w:b/>
          <w:sz w:val="26"/>
          <w:szCs w:val="26"/>
        </w:rPr>
        <w:t>BY THE COMMISSION,</w:t>
      </w:r>
    </w:p>
    <w:p w:rsidR="00C45269" w:rsidRPr="00C45269" w:rsidRDefault="00C45269" w:rsidP="00C45269">
      <w:pPr>
        <w:spacing w:line="360" w:lineRule="auto"/>
        <w:outlineLvl w:val="0"/>
        <w:rPr>
          <w:rFonts w:ascii="Times New Roman" w:hAnsi="Times New Roman" w:cs="Times New Roman"/>
          <w:sz w:val="26"/>
          <w:szCs w:val="26"/>
        </w:rPr>
      </w:pPr>
    </w:p>
    <w:p w:rsidR="00C45269" w:rsidRPr="00C45269" w:rsidRDefault="00C45269" w:rsidP="00C45269">
      <w:pPr>
        <w:spacing w:line="360" w:lineRule="auto"/>
        <w:outlineLvl w:val="0"/>
        <w:rPr>
          <w:rFonts w:ascii="Times New Roman" w:hAnsi="Times New Roman" w:cs="Times New Roman"/>
          <w:sz w:val="26"/>
          <w:szCs w:val="26"/>
        </w:rPr>
      </w:pPr>
    </w:p>
    <w:p w:rsidR="00C45269" w:rsidRPr="00C45269" w:rsidRDefault="00C45269" w:rsidP="00C45269">
      <w:pPr>
        <w:ind w:left="5040" w:firstLine="720"/>
        <w:outlineLvl w:val="0"/>
        <w:rPr>
          <w:rFonts w:ascii="Times New Roman" w:hAnsi="Times New Roman" w:cs="Times New Roman"/>
          <w:sz w:val="26"/>
          <w:szCs w:val="26"/>
        </w:rPr>
      </w:pPr>
      <w:r w:rsidRPr="00C45269">
        <w:rPr>
          <w:rFonts w:ascii="Times New Roman" w:hAnsi="Times New Roman" w:cs="Times New Roman"/>
          <w:sz w:val="26"/>
          <w:szCs w:val="26"/>
        </w:rPr>
        <w:t>Rosemary Chiavetta</w:t>
      </w:r>
    </w:p>
    <w:p w:rsidR="00C45269" w:rsidRPr="00C45269" w:rsidRDefault="00C45269" w:rsidP="00C45269">
      <w:pPr>
        <w:ind w:left="5040" w:firstLine="720"/>
        <w:outlineLvl w:val="0"/>
        <w:rPr>
          <w:rFonts w:ascii="Times New Roman" w:hAnsi="Times New Roman" w:cs="Times New Roman"/>
          <w:sz w:val="26"/>
          <w:szCs w:val="26"/>
        </w:rPr>
      </w:pPr>
      <w:r w:rsidRPr="00C45269">
        <w:rPr>
          <w:rFonts w:ascii="Times New Roman" w:hAnsi="Times New Roman" w:cs="Times New Roman"/>
          <w:sz w:val="26"/>
          <w:szCs w:val="26"/>
        </w:rPr>
        <w:t>Secretary</w:t>
      </w:r>
    </w:p>
    <w:p w:rsidR="00C45269" w:rsidRPr="00C45269" w:rsidRDefault="00C45269" w:rsidP="00C45269">
      <w:pPr>
        <w:spacing w:line="360" w:lineRule="auto"/>
        <w:outlineLvl w:val="0"/>
        <w:rPr>
          <w:rFonts w:ascii="Times New Roman" w:hAnsi="Times New Roman" w:cs="Times New Roman"/>
          <w:sz w:val="26"/>
          <w:szCs w:val="26"/>
        </w:rPr>
      </w:pPr>
    </w:p>
    <w:p w:rsidR="00C45269" w:rsidRPr="00C45269" w:rsidRDefault="00C45269" w:rsidP="00C45269">
      <w:pPr>
        <w:spacing w:line="360" w:lineRule="auto"/>
        <w:outlineLvl w:val="0"/>
        <w:rPr>
          <w:rFonts w:ascii="Times New Roman" w:hAnsi="Times New Roman" w:cs="Times New Roman"/>
          <w:sz w:val="26"/>
          <w:szCs w:val="26"/>
        </w:rPr>
      </w:pPr>
      <w:r w:rsidRPr="00C45269">
        <w:rPr>
          <w:rFonts w:ascii="Times New Roman" w:hAnsi="Times New Roman" w:cs="Times New Roman"/>
          <w:sz w:val="26"/>
          <w:szCs w:val="26"/>
        </w:rPr>
        <w:t>(SEAL)</w:t>
      </w:r>
    </w:p>
    <w:p w:rsidR="00C45269" w:rsidRPr="00C45269" w:rsidRDefault="00AC10AA" w:rsidP="00C45269">
      <w:pPr>
        <w:spacing w:line="360" w:lineRule="auto"/>
        <w:outlineLvl w:val="0"/>
        <w:rPr>
          <w:rFonts w:ascii="Times New Roman" w:hAnsi="Times New Roman" w:cs="Times New Roman"/>
          <w:sz w:val="26"/>
          <w:szCs w:val="26"/>
        </w:rPr>
      </w:pPr>
      <w:r>
        <w:rPr>
          <w:rFonts w:ascii="Times New Roman" w:hAnsi="Times New Roman" w:cs="Times New Roman"/>
          <w:sz w:val="26"/>
          <w:szCs w:val="26"/>
        </w:rPr>
        <w:t>ORDER ADOPTED: December 20</w:t>
      </w:r>
      <w:r w:rsidR="00C45269" w:rsidRPr="00C45269">
        <w:rPr>
          <w:rFonts w:ascii="Times New Roman" w:hAnsi="Times New Roman" w:cs="Times New Roman"/>
          <w:sz w:val="26"/>
          <w:szCs w:val="26"/>
        </w:rPr>
        <w:t>, 2012</w:t>
      </w:r>
    </w:p>
    <w:p w:rsidR="00C45269" w:rsidRPr="00C45269" w:rsidRDefault="00C45269" w:rsidP="00C45269">
      <w:pPr>
        <w:spacing w:line="360" w:lineRule="auto"/>
        <w:outlineLvl w:val="0"/>
        <w:rPr>
          <w:rFonts w:ascii="Times New Roman" w:hAnsi="Times New Roman" w:cs="Times New Roman"/>
          <w:sz w:val="26"/>
          <w:szCs w:val="26"/>
        </w:rPr>
      </w:pPr>
      <w:r w:rsidRPr="00C45269">
        <w:rPr>
          <w:rFonts w:ascii="Times New Roman" w:hAnsi="Times New Roman" w:cs="Times New Roman"/>
          <w:sz w:val="26"/>
          <w:szCs w:val="26"/>
        </w:rPr>
        <w:t>ORDER ENTERED:</w:t>
      </w:r>
      <w:r w:rsidR="00BB1689">
        <w:rPr>
          <w:rFonts w:ascii="Times New Roman" w:hAnsi="Times New Roman" w:cs="Times New Roman"/>
          <w:sz w:val="26"/>
          <w:szCs w:val="26"/>
        </w:rPr>
        <w:t xml:space="preserve">  December 20, 2012</w:t>
      </w:r>
      <w:bookmarkStart w:id="0" w:name="_GoBack"/>
      <w:bookmarkEnd w:id="0"/>
    </w:p>
    <w:p w:rsidR="00C45269" w:rsidRPr="00C45269" w:rsidRDefault="00C45269" w:rsidP="00C45269">
      <w:pPr>
        <w:jc w:val="both"/>
        <w:rPr>
          <w:rFonts w:ascii="Times New Roman" w:hAnsi="Times New Roman" w:cs="Times New Roman"/>
          <w:sz w:val="26"/>
          <w:szCs w:val="26"/>
        </w:rPr>
      </w:pPr>
    </w:p>
    <w:p w:rsidR="00ED185B" w:rsidRPr="00C45269" w:rsidRDefault="00ED185B" w:rsidP="0032796F">
      <w:pPr>
        <w:pStyle w:val="ParaTab1"/>
        <w:tabs>
          <w:tab w:val="clear" w:pos="-720"/>
          <w:tab w:val="left" w:pos="720"/>
          <w:tab w:val="left" w:pos="5040"/>
        </w:tabs>
        <w:ind w:firstLine="0"/>
        <w:rPr>
          <w:rFonts w:ascii="Times New Roman" w:hAnsi="Times New Roman" w:cs="Times New Roman"/>
          <w:sz w:val="26"/>
          <w:szCs w:val="26"/>
        </w:rPr>
      </w:pPr>
    </w:p>
    <w:sectPr w:rsidR="00ED185B" w:rsidRPr="00C45269" w:rsidSect="0012478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9C2" w:rsidRDefault="00A309C2">
      <w:pPr>
        <w:spacing w:line="20" w:lineRule="exact"/>
        <w:rPr>
          <w:sz w:val="20"/>
          <w:szCs w:val="20"/>
        </w:rPr>
      </w:pPr>
    </w:p>
  </w:endnote>
  <w:endnote w:type="continuationSeparator" w:id="0">
    <w:p w:rsidR="00A309C2" w:rsidRDefault="00A309C2">
      <w:pPr>
        <w:pStyle w:val="ParaTab1"/>
        <w:rPr>
          <w:sz w:val="20"/>
          <w:szCs w:val="20"/>
        </w:rPr>
      </w:pPr>
      <w:r>
        <w:rPr>
          <w:sz w:val="20"/>
          <w:szCs w:val="20"/>
        </w:rPr>
        <w:t xml:space="preserve"> </w:t>
      </w:r>
    </w:p>
  </w:endnote>
  <w:endnote w:type="continuationNotice" w:id="1">
    <w:p w:rsidR="00A309C2" w:rsidRDefault="00A309C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6C4" w:rsidRDefault="004076C4"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76C4" w:rsidRDefault="004076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6C4" w:rsidRPr="007A0F08" w:rsidRDefault="004076C4" w:rsidP="000B64FB">
    <w:pPr>
      <w:pStyle w:val="Footer"/>
      <w:jc w:val="center"/>
      <w:rPr>
        <w:rFonts w:ascii="Times New Roman" w:hAnsi="Times New Roman" w:cs="Times New Roman"/>
        <w:sz w:val="26"/>
        <w:szCs w:val="26"/>
      </w:rPr>
    </w:pPr>
    <w:r w:rsidRPr="007A0F08">
      <w:rPr>
        <w:rFonts w:ascii="Times New Roman" w:hAnsi="Times New Roman" w:cs="Times New Roman"/>
        <w:sz w:val="26"/>
        <w:szCs w:val="26"/>
      </w:rPr>
      <w:fldChar w:fldCharType="begin"/>
    </w:r>
    <w:r w:rsidRPr="007A0F08">
      <w:rPr>
        <w:rFonts w:ascii="Times New Roman" w:hAnsi="Times New Roman" w:cs="Times New Roman"/>
        <w:sz w:val="26"/>
        <w:szCs w:val="26"/>
      </w:rPr>
      <w:instrText xml:space="preserve"> PAGE   \* MERGEFORMAT </w:instrText>
    </w:r>
    <w:r w:rsidRPr="007A0F08">
      <w:rPr>
        <w:rFonts w:ascii="Times New Roman" w:hAnsi="Times New Roman" w:cs="Times New Roman"/>
        <w:sz w:val="26"/>
        <w:szCs w:val="26"/>
      </w:rPr>
      <w:fldChar w:fldCharType="separate"/>
    </w:r>
    <w:r w:rsidR="00BB1689">
      <w:rPr>
        <w:rFonts w:ascii="Times New Roman" w:hAnsi="Times New Roman" w:cs="Times New Roman"/>
        <w:noProof/>
        <w:sz w:val="26"/>
        <w:szCs w:val="26"/>
      </w:rPr>
      <w:t>15</w:t>
    </w:r>
    <w:r w:rsidRPr="007A0F08">
      <w:rPr>
        <w:rFonts w:ascii="Times New Roman" w:hAnsi="Times New Roman" w:cs="Times New Roman"/>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9C2" w:rsidRDefault="00A309C2">
      <w:pPr>
        <w:pStyle w:val="ParaTab1"/>
        <w:rPr>
          <w:sz w:val="20"/>
          <w:szCs w:val="20"/>
        </w:rPr>
      </w:pPr>
      <w:r>
        <w:rPr>
          <w:sz w:val="20"/>
          <w:szCs w:val="20"/>
        </w:rPr>
        <w:separator/>
      </w:r>
    </w:p>
  </w:footnote>
  <w:footnote w:type="continuationSeparator" w:id="0">
    <w:p w:rsidR="00A309C2" w:rsidRDefault="00A309C2" w:rsidP="005F0157">
      <w:pPr>
        <w:pStyle w:val="ParaTab1"/>
        <w:ind w:firstLine="0"/>
        <w:rPr>
          <w:sz w:val="20"/>
          <w:szCs w:val="20"/>
        </w:rPr>
      </w:pPr>
      <w:r>
        <w:rPr>
          <w:sz w:val="20"/>
          <w:szCs w:val="20"/>
        </w:rPr>
        <w:t>(..</w:t>
      </w:r>
    </w:p>
  </w:footnote>
  <w:footnote w:id="1">
    <w:p w:rsidR="004076C4" w:rsidRPr="00DC1A6F" w:rsidRDefault="004076C4" w:rsidP="00DC1A6F">
      <w:pPr>
        <w:pStyle w:val="FootnoteText"/>
        <w:ind w:firstLine="720"/>
        <w:rPr>
          <w:rFonts w:ascii="Times New Roman" w:hAnsi="Times New Roman" w:cs="Times New Roman"/>
          <w:sz w:val="26"/>
          <w:szCs w:val="26"/>
        </w:rPr>
      </w:pPr>
      <w:r w:rsidRPr="00DC1A6F">
        <w:rPr>
          <w:rStyle w:val="FootnoteReference"/>
          <w:rFonts w:ascii="Times New Roman" w:hAnsi="Times New Roman" w:cs="Times New Roman"/>
          <w:sz w:val="26"/>
          <w:szCs w:val="26"/>
        </w:rPr>
        <w:footnoteRef/>
      </w:r>
      <w:r w:rsidRPr="00DC1A6F">
        <w:rPr>
          <w:rFonts w:ascii="Times New Roman" w:hAnsi="Times New Roman" w:cs="Times New Roman"/>
          <w:sz w:val="26"/>
          <w:szCs w:val="26"/>
        </w:rPr>
        <w:t xml:space="preserve"> </w:t>
      </w:r>
      <w:r w:rsidRPr="00DC1A6F">
        <w:rPr>
          <w:rFonts w:ascii="Times New Roman" w:hAnsi="Times New Roman" w:cs="Times New Roman"/>
          <w:sz w:val="26"/>
          <w:szCs w:val="26"/>
        </w:rPr>
        <w:tab/>
        <w:t xml:space="preserve">By Secretarial Letter issued on July 17, 2012, PGW was given an extension of </w:t>
      </w:r>
      <w:r>
        <w:rPr>
          <w:rFonts w:ascii="Times New Roman" w:hAnsi="Times New Roman" w:cs="Times New Roman"/>
          <w:sz w:val="26"/>
          <w:szCs w:val="26"/>
        </w:rPr>
        <w:t xml:space="preserve">time to August 13, 2012, to file </w:t>
      </w:r>
      <w:r w:rsidRPr="00DC1A6F">
        <w:rPr>
          <w:rFonts w:ascii="Times New Roman" w:hAnsi="Times New Roman" w:cs="Times New Roman"/>
          <w:sz w:val="26"/>
          <w:szCs w:val="26"/>
        </w:rPr>
        <w:t>Exceptions to the Initial Decision.</w:t>
      </w:r>
    </w:p>
  </w:footnote>
  <w:footnote w:id="2">
    <w:p w:rsidR="004076C4" w:rsidRPr="000C7189" w:rsidRDefault="004076C4" w:rsidP="000C7189">
      <w:pPr>
        <w:pStyle w:val="FootnoteText"/>
        <w:ind w:firstLine="720"/>
        <w:rPr>
          <w:rFonts w:ascii="Times New Roman" w:hAnsi="Times New Roman" w:cs="Times New Roman"/>
          <w:sz w:val="26"/>
          <w:szCs w:val="26"/>
        </w:rPr>
      </w:pPr>
      <w:r w:rsidRPr="000C7189">
        <w:rPr>
          <w:rStyle w:val="FootnoteReference"/>
          <w:rFonts w:ascii="Times New Roman" w:hAnsi="Times New Roman" w:cs="Times New Roman"/>
          <w:sz w:val="26"/>
          <w:szCs w:val="26"/>
        </w:rPr>
        <w:footnoteRef/>
      </w:r>
      <w:r w:rsidRPr="000C7189">
        <w:rPr>
          <w:rFonts w:ascii="Times New Roman" w:hAnsi="Times New Roman" w:cs="Times New Roman"/>
          <w:sz w:val="26"/>
          <w:szCs w:val="26"/>
        </w:rPr>
        <w:t xml:space="preserve"> </w:t>
      </w:r>
      <w:r w:rsidRPr="000C7189">
        <w:rPr>
          <w:rFonts w:ascii="Times New Roman" w:hAnsi="Times New Roman" w:cs="Times New Roman"/>
          <w:sz w:val="26"/>
          <w:szCs w:val="26"/>
        </w:rPr>
        <w:tab/>
        <w:t>The Complaint also raised the issue of an unpaid water bill issued by the Philadelphia Water Department for $2,580.  The Complainant did not pursue the issue of the unpaid water bill in the evidentiary hearing, and this issue was not addressed by the ALJ’s Initial Decision.</w:t>
      </w:r>
    </w:p>
  </w:footnote>
  <w:footnote w:id="3">
    <w:p w:rsidR="004076C4" w:rsidRPr="00E7437D" w:rsidRDefault="004076C4" w:rsidP="00E7437D">
      <w:pPr>
        <w:pStyle w:val="FootnoteText"/>
        <w:ind w:firstLine="720"/>
        <w:rPr>
          <w:rFonts w:ascii="Times New Roman" w:hAnsi="Times New Roman" w:cs="Times New Roman"/>
          <w:sz w:val="26"/>
          <w:szCs w:val="26"/>
        </w:rPr>
      </w:pPr>
      <w:r w:rsidRPr="00E7437D">
        <w:rPr>
          <w:rStyle w:val="FootnoteReference"/>
          <w:rFonts w:ascii="Times New Roman" w:hAnsi="Times New Roman" w:cs="Times New Roman"/>
          <w:sz w:val="26"/>
          <w:szCs w:val="26"/>
        </w:rPr>
        <w:footnoteRef/>
      </w:r>
      <w:r w:rsidRPr="00E7437D">
        <w:rPr>
          <w:rFonts w:ascii="Times New Roman" w:hAnsi="Times New Roman" w:cs="Times New Roman"/>
          <w:sz w:val="26"/>
          <w:szCs w:val="26"/>
        </w:rPr>
        <w:t xml:space="preserve"> </w:t>
      </w:r>
      <w:r w:rsidRPr="00E7437D">
        <w:rPr>
          <w:rFonts w:ascii="Times New Roman" w:hAnsi="Times New Roman" w:cs="Times New Roman"/>
          <w:sz w:val="26"/>
          <w:szCs w:val="26"/>
        </w:rPr>
        <w:tab/>
        <w:t xml:space="preserve">The copy of the deed for the sale of the property to Shirley </w:t>
      </w:r>
      <w:proofErr w:type="spellStart"/>
      <w:r w:rsidRPr="00E7437D">
        <w:rPr>
          <w:rFonts w:ascii="Times New Roman" w:hAnsi="Times New Roman" w:cs="Times New Roman"/>
          <w:sz w:val="26"/>
          <w:szCs w:val="26"/>
        </w:rPr>
        <w:t>Asencio</w:t>
      </w:r>
      <w:proofErr w:type="spellEnd"/>
      <w:r w:rsidRPr="00E7437D">
        <w:rPr>
          <w:rFonts w:ascii="Times New Roman" w:hAnsi="Times New Roman" w:cs="Times New Roman"/>
          <w:sz w:val="26"/>
          <w:szCs w:val="26"/>
        </w:rPr>
        <w:t>, which was introduced into the record by PGW, is dated August 31, 1978.</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PGW </w:t>
      </w:r>
      <w:proofErr w:type="spellStart"/>
      <w:r>
        <w:rPr>
          <w:rFonts w:ascii="Times New Roman" w:hAnsi="Times New Roman" w:cs="Times New Roman"/>
          <w:sz w:val="26"/>
          <w:szCs w:val="26"/>
        </w:rPr>
        <w:t>Exh</w:t>
      </w:r>
      <w:proofErr w:type="spellEnd"/>
      <w:r>
        <w:rPr>
          <w:rFonts w:ascii="Times New Roman" w:hAnsi="Times New Roman" w:cs="Times New Roman"/>
          <w:sz w:val="26"/>
          <w:szCs w:val="26"/>
        </w:rPr>
        <w:t>.</w:t>
      </w:r>
      <w:proofErr w:type="gramEnd"/>
      <w:r>
        <w:rPr>
          <w:rFonts w:ascii="Times New Roman" w:hAnsi="Times New Roman" w:cs="Times New Roman"/>
          <w:sz w:val="26"/>
          <w:szCs w:val="26"/>
        </w:rPr>
        <w:t xml:space="preserve"> 9.</w:t>
      </w:r>
    </w:p>
  </w:footnote>
  <w:footnote w:id="4">
    <w:p w:rsidR="004076C4" w:rsidRPr="00EA0FA7" w:rsidRDefault="004076C4" w:rsidP="00EA0FA7">
      <w:pPr>
        <w:pStyle w:val="FootnoteText"/>
        <w:ind w:firstLine="720"/>
        <w:rPr>
          <w:rFonts w:ascii="Times New Roman" w:hAnsi="Times New Roman" w:cs="Times New Roman"/>
          <w:sz w:val="26"/>
          <w:szCs w:val="26"/>
        </w:rPr>
      </w:pPr>
      <w:r w:rsidRPr="00EA0FA7">
        <w:rPr>
          <w:rStyle w:val="FootnoteReference"/>
          <w:rFonts w:ascii="Times New Roman" w:hAnsi="Times New Roman" w:cs="Times New Roman"/>
          <w:sz w:val="26"/>
          <w:szCs w:val="26"/>
        </w:rPr>
        <w:footnoteRef/>
      </w:r>
      <w:r w:rsidRPr="00EA0FA7">
        <w:rPr>
          <w:rFonts w:ascii="Times New Roman" w:hAnsi="Times New Roman" w:cs="Times New Roman"/>
          <w:sz w:val="26"/>
          <w:szCs w:val="26"/>
        </w:rPr>
        <w:t xml:space="preserve"> </w:t>
      </w:r>
      <w:r w:rsidRPr="00EA0FA7">
        <w:rPr>
          <w:rFonts w:ascii="Times New Roman" w:hAnsi="Times New Roman" w:cs="Times New Roman"/>
          <w:sz w:val="26"/>
          <w:szCs w:val="26"/>
        </w:rPr>
        <w:tab/>
        <w:t xml:space="preserve">PGW’s witness did not review the records associated with the prior account in the name of Shirley </w:t>
      </w:r>
      <w:proofErr w:type="spellStart"/>
      <w:r w:rsidRPr="00EA0FA7">
        <w:rPr>
          <w:rFonts w:ascii="Times New Roman" w:hAnsi="Times New Roman" w:cs="Times New Roman"/>
          <w:sz w:val="26"/>
          <w:szCs w:val="26"/>
        </w:rPr>
        <w:t>Asencio</w:t>
      </w:r>
      <w:proofErr w:type="spellEnd"/>
      <w:r w:rsidRPr="00EA0FA7">
        <w:rPr>
          <w:rFonts w:ascii="Times New Roman" w:hAnsi="Times New Roman" w:cs="Times New Roman"/>
          <w:sz w:val="26"/>
          <w:szCs w:val="26"/>
        </w:rPr>
        <w:t>, and did not pro</w:t>
      </w:r>
      <w:r>
        <w:rPr>
          <w:rFonts w:ascii="Times New Roman" w:hAnsi="Times New Roman" w:cs="Times New Roman"/>
          <w:sz w:val="26"/>
          <w:szCs w:val="26"/>
        </w:rPr>
        <w:t>vide information regarding the reason for, or date of, the termination of service in her name</w:t>
      </w:r>
      <w:r w:rsidRPr="00EA0FA7">
        <w:rPr>
          <w:rFonts w:ascii="Times New Roman" w:hAnsi="Times New Roman" w:cs="Times New Roman"/>
          <w:sz w:val="26"/>
          <w:szCs w:val="26"/>
        </w:rPr>
        <w:t>.</w:t>
      </w:r>
      <w:r>
        <w:rPr>
          <w:rFonts w:ascii="Times New Roman" w:hAnsi="Times New Roman" w:cs="Times New Roman"/>
          <w:sz w:val="26"/>
          <w:szCs w:val="26"/>
        </w:rPr>
        <w:t xml:space="preserve">  </w:t>
      </w:r>
      <w:proofErr w:type="gramStart"/>
      <w:r>
        <w:rPr>
          <w:rFonts w:ascii="Times New Roman" w:hAnsi="Times New Roman" w:cs="Times New Roman"/>
          <w:sz w:val="26"/>
          <w:szCs w:val="26"/>
        </w:rPr>
        <w:t>Tr. at 31.</w:t>
      </w:r>
      <w:proofErr w:type="gramEnd"/>
    </w:p>
  </w:footnote>
  <w:footnote w:id="5">
    <w:p w:rsidR="004076C4" w:rsidRDefault="004076C4" w:rsidP="00AC6B51">
      <w:pPr>
        <w:pStyle w:val="FootnoteText"/>
        <w:ind w:firstLine="720"/>
      </w:pPr>
      <w:r w:rsidRPr="00010558">
        <w:rPr>
          <w:rStyle w:val="FootnoteReference"/>
          <w:rFonts w:ascii="Times New Roman" w:hAnsi="Times New Roman" w:cs="Times New Roman"/>
          <w:sz w:val="26"/>
          <w:szCs w:val="26"/>
        </w:rPr>
        <w:footnoteRef/>
      </w:r>
      <w:r w:rsidRPr="00010558">
        <w:rPr>
          <w:rFonts w:ascii="Times New Roman" w:hAnsi="Times New Roman" w:cs="Times New Roman"/>
          <w:sz w:val="26"/>
          <w:szCs w:val="26"/>
        </w:rPr>
        <w:t xml:space="preserve"> </w:t>
      </w:r>
      <w:r>
        <w:rPr>
          <w:rFonts w:ascii="Times New Roman" w:hAnsi="Times New Roman" w:cs="Times New Roman"/>
          <w:sz w:val="26"/>
          <w:szCs w:val="26"/>
        </w:rPr>
        <w:tab/>
      </w:r>
      <w:r w:rsidRPr="00010558">
        <w:rPr>
          <w:rFonts w:ascii="Times New Roman" w:hAnsi="Times New Roman" w:cs="Times New Roman"/>
          <w:spacing w:val="-3"/>
          <w:sz w:val="26"/>
          <w:szCs w:val="26"/>
        </w:rPr>
        <w:t>O</w:t>
      </w:r>
      <w:r w:rsidRPr="00DC1A6F">
        <w:rPr>
          <w:rFonts w:ascii="Times New Roman" w:hAnsi="Times New Roman" w:cs="Times New Roman"/>
          <w:spacing w:val="-3"/>
          <w:sz w:val="26"/>
          <w:szCs w:val="26"/>
        </w:rPr>
        <w:t>n</w:t>
      </w:r>
      <w:r>
        <w:rPr>
          <w:rFonts w:ascii="Times New Roman" w:hAnsi="Times New Roman" w:cs="Times New Roman"/>
          <w:spacing w:val="-3"/>
          <w:sz w:val="26"/>
          <w:szCs w:val="26"/>
        </w:rPr>
        <w:t xml:space="preserve"> May 10, 2010, the meter was removed and </w:t>
      </w:r>
      <w:r w:rsidRPr="00DC1A6F">
        <w:rPr>
          <w:rFonts w:ascii="Times New Roman" w:hAnsi="Times New Roman" w:cs="Times New Roman"/>
          <w:spacing w:val="-3"/>
          <w:sz w:val="26"/>
          <w:szCs w:val="26"/>
        </w:rPr>
        <w:t>tested by PGW and found to be in work</w:t>
      </w:r>
      <w:r>
        <w:rPr>
          <w:rFonts w:ascii="Times New Roman" w:hAnsi="Times New Roman" w:cs="Times New Roman"/>
          <w:spacing w:val="-3"/>
          <w:sz w:val="26"/>
          <w:szCs w:val="26"/>
        </w:rPr>
        <w:t xml:space="preserve">ing order.  </w:t>
      </w:r>
      <w:r w:rsidRPr="0013734A">
        <w:rPr>
          <w:rFonts w:ascii="Times New Roman" w:hAnsi="Times New Roman" w:cs="Times New Roman"/>
          <w:spacing w:val="-3"/>
          <w:sz w:val="26"/>
          <w:szCs w:val="26"/>
        </w:rPr>
        <w:t>On June 30, 2011, t</w:t>
      </w:r>
      <w:r>
        <w:rPr>
          <w:rFonts w:ascii="Times New Roman" w:hAnsi="Times New Roman" w:cs="Times New Roman"/>
          <w:spacing w:val="-3"/>
          <w:sz w:val="26"/>
          <w:szCs w:val="26"/>
        </w:rPr>
        <w:t xml:space="preserve">he meter again was tested </w:t>
      </w:r>
      <w:r w:rsidRPr="0013734A">
        <w:rPr>
          <w:rFonts w:ascii="Times New Roman" w:hAnsi="Times New Roman" w:cs="Times New Roman"/>
          <w:spacing w:val="-3"/>
          <w:sz w:val="26"/>
          <w:szCs w:val="26"/>
        </w:rPr>
        <w:t xml:space="preserve">and found to be in working order.  </w:t>
      </w:r>
      <w:proofErr w:type="gramStart"/>
      <w:r w:rsidRPr="0013734A">
        <w:rPr>
          <w:rFonts w:ascii="Times New Roman" w:hAnsi="Times New Roman" w:cs="Times New Roman"/>
          <w:spacing w:val="-3"/>
          <w:sz w:val="26"/>
          <w:szCs w:val="26"/>
        </w:rPr>
        <w:t xml:space="preserve">PGW </w:t>
      </w:r>
      <w:proofErr w:type="spellStart"/>
      <w:r w:rsidRPr="0013734A">
        <w:rPr>
          <w:rFonts w:ascii="Times New Roman" w:hAnsi="Times New Roman" w:cs="Times New Roman"/>
          <w:spacing w:val="-3"/>
          <w:sz w:val="26"/>
          <w:szCs w:val="26"/>
        </w:rPr>
        <w:t>Exh</w:t>
      </w:r>
      <w:proofErr w:type="spellEnd"/>
      <w:r w:rsidRPr="0013734A">
        <w:rPr>
          <w:rFonts w:ascii="Times New Roman" w:hAnsi="Times New Roman" w:cs="Times New Roman"/>
          <w:spacing w:val="-3"/>
          <w:sz w:val="26"/>
          <w:szCs w:val="26"/>
        </w:rPr>
        <w:t>.</w:t>
      </w:r>
      <w:proofErr w:type="gramEnd"/>
      <w:r w:rsidRPr="0013734A">
        <w:rPr>
          <w:rFonts w:ascii="Times New Roman" w:hAnsi="Times New Roman" w:cs="Times New Roman"/>
          <w:spacing w:val="-3"/>
          <w:sz w:val="26"/>
          <w:szCs w:val="26"/>
        </w:rPr>
        <w:t xml:space="preserve"> No. 4; Tr. </w:t>
      </w:r>
      <w:proofErr w:type="gramStart"/>
      <w:r w:rsidR="00B81F3B">
        <w:rPr>
          <w:rFonts w:ascii="Times New Roman" w:hAnsi="Times New Roman" w:cs="Times New Roman"/>
          <w:spacing w:val="-3"/>
          <w:sz w:val="26"/>
          <w:szCs w:val="26"/>
        </w:rPr>
        <w:t xml:space="preserve">at  </w:t>
      </w:r>
      <w:r w:rsidRPr="0013734A">
        <w:rPr>
          <w:rFonts w:ascii="Times New Roman" w:hAnsi="Times New Roman" w:cs="Times New Roman"/>
          <w:spacing w:val="-3"/>
          <w:sz w:val="26"/>
          <w:szCs w:val="26"/>
        </w:rPr>
        <w:t>36</w:t>
      </w:r>
      <w:proofErr w:type="gramEnd"/>
      <w:r w:rsidRPr="0013734A">
        <w:rPr>
          <w:rFonts w:ascii="Times New Roman" w:hAnsi="Times New Roman" w:cs="Times New Roman"/>
          <w:spacing w:val="-3"/>
          <w:sz w:val="26"/>
          <w:szCs w:val="26"/>
        </w:rPr>
        <w:t>.</w:t>
      </w:r>
    </w:p>
  </w:footnote>
  <w:footnote w:id="6">
    <w:p w:rsidR="004076C4" w:rsidRPr="006D479C" w:rsidRDefault="004076C4" w:rsidP="006D479C">
      <w:pPr>
        <w:pStyle w:val="FootnoteText"/>
        <w:ind w:firstLine="720"/>
        <w:rPr>
          <w:rFonts w:ascii="Times New Roman" w:hAnsi="Times New Roman" w:cs="Times New Roman"/>
          <w:sz w:val="26"/>
          <w:szCs w:val="26"/>
        </w:rPr>
      </w:pPr>
      <w:r w:rsidRPr="006D479C">
        <w:rPr>
          <w:rStyle w:val="FootnoteReference"/>
          <w:rFonts w:ascii="Times New Roman" w:hAnsi="Times New Roman" w:cs="Times New Roman"/>
          <w:sz w:val="26"/>
          <w:szCs w:val="26"/>
        </w:rPr>
        <w:footnoteRef/>
      </w:r>
      <w:r w:rsidRPr="006D479C">
        <w:rPr>
          <w:rFonts w:ascii="Times New Roman" w:hAnsi="Times New Roman" w:cs="Times New Roman"/>
          <w:sz w:val="26"/>
          <w:szCs w:val="26"/>
        </w:rPr>
        <w:t xml:space="preserve"> </w:t>
      </w:r>
      <w:r w:rsidRPr="006D479C">
        <w:rPr>
          <w:rFonts w:ascii="Times New Roman" w:hAnsi="Times New Roman" w:cs="Times New Roman"/>
          <w:sz w:val="26"/>
          <w:szCs w:val="26"/>
        </w:rPr>
        <w:tab/>
        <w:t xml:space="preserve">The ALJ found that the Complainant visited the property about once a month after it was boarded up after the fire in </w:t>
      </w:r>
      <w:r w:rsidRPr="00F14204">
        <w:rPr>
          <w:rFonts w:ascii="Times New Roman" w:hAnsi="Times New Roman" w:cs="Times New Roman"/>
          <w:i/>
          <w:sz w:val="26"/>
          <w:szCs w:val="26"/>
        </w:rPr>
        <w:t>1997</w:t>
      </w:r>
      <w:r w:rsidRPr="006D479C">
        <w:rPr>
          <w:rFonts w:ascii="Times New Roman" w:hAnsi="Times New Roman" w:cs="Times New Roman"/>
          <w:sz w:val="26"/>
          <w:szCs w:val="26"/>
        </w:rPr>
        <w:t xml:space="preserve">.  </w:t>
      </w:r>
      <w:proofErr w:type="gramStart"/>
      <w:r w:rsidRPr="006D479C">
        <w:rPr>
          <w:rFonts w:ascii="Times New Roman" w:hAnsi="Times New Roman" w:cs="Times New Roman"/>
          <w:sz w:val="26"/>
          <w:szCs w:val="26"/>
        </w:rPr>
        <w:t>I.D. at 4</w:t>
      </w:r>
      <w:r>
        <w:rPr>
          <w:rFonts w:ascii="Times New Roman" w:hAnsi="Times New Roman" w:cs="Times New Roman"/>
          <w:sz w:val="26"/>
          <w:szCs w:val="26"/>
        </w:rPr>
        <w:t>, Findings of Fact 6, 8 and 9.</w:t>
      </w:r>
      <w:proofErr w:type="gramEnd"/>
      <w:r>
        <w:rPr>
          <w:rFonts w:ascii="Times New Roman" w:hAnsi="Times New Roman" w:cs="Times New Roman"/>
          <w:sz w:val="26"/>
          <w:szCs w:val="26"/>
        </w:rPr>
        <w:t xml:space="preserve"> </w:t>
      </w:r>
      <w:r w:rsidRPr="006D479C">
        <w:rPr>
          <w:rFonts w:ascii="Times New Roman" w:hAnsi="Times New Roman" w:cs="Times New Roman"/>
          <w:sz w:val="26"/>
          <w:szCs w:val="26"/>
        </w:rPr>
        <w:t xml:space="preserve">This finding is not supported by the record.  The Complainant testified that she visited the property about once a month after her mother died in </w:t>
      </w:r>
      <w:r w:rsidRPr="00F14204">
        <w:rPr>
          <w:rFonts w:ascii="Times New Roman" w:hAnsi="Times New Roman" w:cs="Times New Roman"/>
          <w:i/>
          <w:sz w:val="26"/>
          <w:szCs w:val="26"/>
        </w:rPr>
        <w:t>2006</w:t>
      </w:r>
      <w:r w:rsidRPr="006D479C">
        <w:rPr>
          <w:rFonts w:ascii="Times New Roman" w:hAnsi="Times New Roman" w:cs="Times New Roman"/>
          <w:sz w:val="26"/>
          <w:szCs w:val="26"/>
        </w:rPr>
        <w:t>.  Tr. at 11-12</w:t>
      </w:r>
      <w:r>
        <w:rPr>
          <w:rFonts w:ascii="Times New Roman" w:hAnsi="Times New Roman" w:cs="Times New Roman"/>
          <w:sz w:val="26"/>
          <w:szCs w:val="26"/>
        </w:rPr>
        <w:t>, 15-16</w:t>
      </w:r>
      <w:r w:rsidRPr="006D479C">
        <w:rPr>
          <w:rFonts w:ascii="Times New Roman" w:hAnsi="Times New Roman" w:cs="Times New Roman"/>
          <w:sz w:val="26"/>
          <w:szCs w:val="26"/>
        </w:rPr>
        <w:t>.</w:t>
      </w:r>
    </w:p>
  </w:footnote>
  <w:footnote w:id="7">
    <w:p w:rsidR="004076C4" w:rsidRPr="005E5EE0" w:rsidRDefault="004076C4" w:rsidP="005E5EE0">
      <w:pPr>
        <w:pStyle w:val="FootnoteText"/>
        <w:ind w:firstLine="720"/>
        <w:rPr>
          <w:rFonts w:ascii="Times New Roman" w:hAnsi="Times New Roman" w:cs="Times New Roman"/>
          <w:sz w:val="26"/>
          <w:szCs w:val="26"/>
        </w:rPr>
      </w:pPr>
      <w:r w:rsidRPr="005E5EE0">
        <w:rPr>
          <w:rStyle w:val="FootnoteReference"/>
          <w:rFonts w:ascii="Times New Roman" w:hAnsi="Times New Roman" w:cs="Times New Roman"/>
          <w:sz w:val="26"/>
          <w:szCs w:val="26"/>
        </w:rPr>
        <w:footnoteRef/>
      </w:r>
      <w:r w:rsidRPr="005E5EE0">
        <w:rPr>
          <w:rFonts w:ascii="Times New Roman" w:hAnsi="Times New Roman" w:cs="Times New Roman"/>
          <w:sz w:val="26"/>
          <w:szCs w:val="26"/>
        </w:rPr>
        <w:t xml:space="preserve"> </w:t>
      </w:r>
      <w:r w:rsidRPr="005E5EE0">
        <w:rPr>
          <w:rFonts w:ascii="Times New Roman" w:hAnsi="Times New Roman" w:cs="Times New Roman"/>
          <w:sz w:val="26"/>
          <w:szCs w:val="26"/>
        </w:rPr>
        <w:tab/>
        <w:t xml:space="preserve">In response to a report of a gas leak, PGW used forced entry to gain access to the property next door </w:t>
      </w:r>
      <w:r>
        <w:rPr>
          <w:rFonts w:ascii="Times New Roman" w:hAnsi="Times New Roman" w:cs="Times New Roman"/>
          <w:sz w:val="26"/>
          <w:szCs w:val="26"/>
        </w:rPr>
        <w:t>to the Service Address on May 10</w:t>
      </w:r>
      <w:r w:rsidRPr="005E5EE0">
        <w:rPr>
          <w:rFonts w:ascii="Times New Roman" w:hAnsi="Times New Roman" w:cs="Times New Roman"/>
          <w:sz w:val="26"/>
          <w:szCs w:val="26"/>
        </w:rPr>
        <w:t>, 2010.</w:t>
      </w:r>
      <w:r w:rsidR="00AC6AA4">
        <w:rPr>
          <w:rFonts w:ascii="Times New Roman" w:hAnsi="Times New Roman" w:cs="Times New Roman"/>
          <w:sz w:val="26"/>
          <w:szCs w:val="26"/>
        </w:rPr>
        <w:t xml:space="preserve">  </w:t>
      </w:r>
      <w:proofErr w:type="gramStart"/>
      <w:r w:rsidR="00AC6AA4">
        <w:rPr>
          <w:rFonts w:ascii="Times New Roman" w:hAnsi="Times New Roman" w:cs="Times New Roman"/>
          <w:sz w:val="26"/>
          <w:szCs w:val="26"/>
        </w:rPr>
        <w:t xml:space="preserve">Tr. at 36; PGW </w:t>
      </w:r>
      <w:proofErr w:type="spellStart"/>
      <w:r w:rsidR="00AC6AA4">
        <w:rPr>
          <w:rFonts w:ascii="Times New Roman" w:hAnsi="Times New Roman" w:cs="Times New Roman"/>
          <w:sz w:val="26"/>
          <w:szCs w:val="26"/>
        </w:rPr>
        <w:t>Exh</w:t>
      </w:r>
      <w:proofErr w:type="spellEnd"/>
      <w:r w:rsidR="00AC6AA4">
        <w:rPr>
          <w:rFonts w:ascii="Times New Roman" w:hAnsi="Times New Roman" w:cs="Times New Roman"/>
          <w:sz w:val="26"/>
          <w:szCs w:val="26"/>
        </w:rPr>
        <w:t>.</w:t>
      </w:r>
      <w:proofErr w:type="gramEnd"/>
      <w:r w:rsidR="00AC6AA4">
        <w:rPr>
          <w:rFonts w:ascii="Times New Roman" w:hAnsi="Times New Roman" w:cs="Times New Roman"/>
          <w:sz w:val="26"/>
          <w:szCs w:val="26"/>
        </w:rPr>
        <w:t> </w:t>
      </w:r>
      <w:r>
        <w:rPr>
          <w:rFonts w:ascii="Times New Roman" w:hAnsi="Times New Roman" w:cs="Times New Roman"/>
          <w:sz w:val="26"/>
          <w:szCs w:val="26"/>
        </w:rPr>
        <w:t>4 at 6-7.</w:t>
      </w:r>
    </w:p>
  </w:footnote>
  <w:footnote w:id="8">
    <w:p w:rsidR="004076C4" w:rsidRPr="002A544F" w:rsidRDefault="004076C4" w:rsidP="002A544F">
      <w:pPr>
        <w:pStyle w:val="FootnoteText"/>
        <w:ind w:firstLine="720"/>
        <w:rPr>
          <w:rFonts w:ascii="Times New Roman" w:hAnsi="Times New Roman" w:cs="Times New Roman"/>
          <w:sz w:val="26"/>
          <w:szCs w:val="26"/>
        </w:rPr>
      </w:pPr>
      <w:r w:rsidRPr="002A544F">
        <w:rPr>
          <w:rStyle w:val="FootnoteReference"/>
          <w:rFonts w:ascii="Times New Roman" w:hAnsi="Times New Roman" w:cs="Times New Roman"/>
          <w:sz w:val="26"/>
          <w:szCs w:val="26"/>
        </w:rPr>
        <w:footnoteRef/>
      </w:r>
      <w:r w:rsidRPr="002A544F">
        <w:rPr>
          <w:rFonts w:ascii="Times New Roman" w:hAnsi="Times New Roman" w:cs="Times New Roman"/>
          <w:sz w:val="26"/>
          <w:szCs w:val="26"/>
        </w:rPr>
        <w:t xml:space="preserve"> </w:t>
      </w:r>
      <w:r w:rsidRPr="002A544F">
        <w:rPr>
          <w:rFonts w:ascii="Times New Roman" w:hAnsi="Times New Roman" w:cs="Times New Roman"/>
          <w:sz w:val="26"/>
          <w:szCs w:val="26"/>
        </w:rPr>
        <w:tab/>
        <w:t>As the current prop</w:t>
      </w:r>
      <w:r>
        <w:rPr>
          <w:rFonts w:ascii="Times New Roman" w:hAnsi="Times New Roman" w:cs="Times New Roman"/>
          <w:sz w:val="26"/>
          <w:szCs w:val="26"/>
        </w:rPr>
        <w:t xml:space="preserve">erty owner, the Complainant may have </w:t>
      </w:r>
      <w:r w:rsidRPr="002A544F">
        <w:rPr>
          <w:rFonts w:ascii="Times New Roman" w:hAnsi="Times New Roman" w:cs="Times New Roman"/>
          <w:sz w:val="26"/>
          <w:szCs w:val="26"/>
        </w:rPr>
        <w:t>standing to contest the amount of the municipal lien in the appropriate forum.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1E0"/>
    <w:multiLevelType w:val="hybridMultilevel"/>
    <w:tmpl w:val="96560C26"/>
    <w:lvl w:ilvl="0" w:tplc="2A8A4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B23BC8"/>
    <w:multiLevelType w:val="hybridMultilevel"/>
    <w:tmpl w:val="2F9E14EC"/>
    <w:lvl w:ilvl="0" w:tplc="F76CA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FB1769"/>
    <w:multiLevelType w:val="hybridMultilevel"/>
    <w:tmpl w:val="11C4F2FA"/>
    <w:lvl w:ilvl="0" w:tplc="BA749E0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5D94956"/>
    <w:multiLevelType w:val="hybridMultilevel"/>
    <w:tmpl w:val="0570F7D2"/>
    <w:lvl w:ilvl="0" w:tplc="E29E5018">
      <w:start w:val="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E5EB5"/>
    <w:multiLevelType w:val="hybridMultilevel"/>
    <w:tmpl w:val="DD8CFF8A"/>
    <w:lvl w:ilvl="0" w:tplc="A452675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7A537E"/>
    <w:multiLevelType w:val="hybridMultilevel"/>
    <w:tmpl w:val="1958BD78"/>
    <w:lvl w:ilvl="0" w:tplc="6E9A6E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18702BF"/>
    <w:multiLevelType w:val="hybridMultilevel"/>
    <w:tmpl w:val="92289600"/>
    <w:lvl w:ilvl="0" w:tplc="B54497A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2670E42"/>
    <w:multiLevelType w:val="hybridMultilevel"/>
    <w:tmpl w:val="E77AD034"/>
    <w:lvl w:ilvl="0" w:tplc="F76CA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CAD2045"/>
    <w:multiLevelType w:val="hybridMultilevel"/>
    <w:tmpl w:val="1C703CA2"/>
    <w:lvl w:ilvl="0" w:tplc="FC2A746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F030B3D"/>
    <w:multiLevelType w:val="hybridMultilevel"/>
    <w:tmpl w:val="A9047418"/>
    <w:lvl w:ilvl="0" w:tplc="C716438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BCA4CC9"/>
    <w:multiLevelType w:val="hybridMultilevel"/>
    <w:tmpl w:val="03427BAE"/>
    <w:lvl w:ilvl="0" w:tplc="0409000F">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3">
    <w:nsid w:val="4D964665"/>
    <w:multiLevelType w:val="hybridMultilevel"/>
    <w:tmpl w:val="4D7E3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5">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802C63"/>
    <w:multiLevelType w:val="hybridMultilevel"/>
    <w:tmpl w:val="CF5C7E70"/>
    <w:lvl w:ilvl="0" w:tplc="D96A518C">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007316B"/>
    <w:multiLevelType w:val="hybridMultilevel"/>
    <w:tmpl w:val="6100CC98"/>
    <w:lvl w:ilvl="0" w:tplc="506A7A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C35381"/>
    <w:multiLevelType w:val="hybridMultilevel"/>
    <w:tmpl w:val="E9DEA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C6466D"/>
    <w:multiLevelType w:val="hybridMultilevel"/>
    <w:tmpl w:val="CF5C7E70"/>
    <w:lvl w:ilvl="0" w:tplc="D96A518C">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2A86613"/>
    <w:multiLevelType w:val="hybridMultilevel"/>
    <w:tmpl w:val="9528B860"/>
    <w:lvl w:ilvl="0" w:tplc="CB4240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DF75337"/>
    <w:multiLevelType w:val="hybridMultilevel"/>
    <w:tmpl w:val="AFF6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15"/>
  </w:num>
  <w:num w:numId="5">
    <w:abstractNumId w:val="0"/>
  </w:num>
  <w:num w:numId="6">
    <w:abstractNumId w:val="10"/>
  </w:num>
  <w:num w:numId="7">
    <w:abstractNumId w:val="13"/>
  </w:num>
  <w:num w:numId="8">
    <w:abstractNumId w:val="18"/>
  </w:num>
  <w:num w:numId="9">
    <w:abstractNumId w:val="21"/>
  </w:num>
  <w:num w:numId="10">
    <w:abstractNumId w:val="7"/>
  </w:num>
  <w:num w:numId="11">
    <w:abstractNumId w:val="19"/>
  </w:num>
  <w:num w:numId="12">
    <w:abstractNumId w:val="17"/>
  </w:num>
  <w:num w:numId="13">
    <w:abstractNumId w:val="5"/>
  </w:num>
  <w:num w:numId="14">
    <w:abstractNumId w:val="20"/>
  </w:num>
  <w:num w:numId="15">
    <w:abstractNumId w:val="8"/>
  </w:num>
  <w:num w:numId="16">
    <w:abstractNumId w:val="4"/>
  </w:num>
  <w:num w:numId="17">
    <w:abstractNumId w:val="6"/>
  </w:num>
  <w:num w:numId="18">
    <w:abstractNumId w:val="2"/>
  </w:num>
  <w:num w:numId="19">
    <w:abstractNumId w:val="3"/>
  </w:num>
  <w:num w:numId="20">
    <w:abstractNumId w:val="1"/>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220E"/>
    <w:rsid w:val="00004F97"/>
    <w:rsid w:val="00004F9E"/>
    <w:rsid w:val="00005A6D"/>
    <w:rsid w:val="00005A89"/>
    <w:rsid w:val="00010558"/>
    <w:rsid w:val="00016202"/>
    <w:rsid w:val="00016881"/>
    <w:rsid w:val="00016FCF"/>
    <w:rsid w:val="00017060"/>
    <w:rsid w:val="00020A80"/>
    <w:rsid w:val="000234FD"/>
    <w:rsid w:val="000238A7"/>
    <w:rsid w:val="0002580A"/>
    <w:rsid w:val="00026436"/>
    <w:rsid w:val="00026ED2"/>
    <w:rsid w:val="000272CD"/>
    <w:rsid w:val="00030F37"/>
    <w:rsid w:val="0003733C"/>
    <w:rsid w:val="00037831"/>
    <w:rsid w:val="000428A4"/>
    <w:rsid w:val="0004353F"/>
    <w:rsid w:val="00044360"/>
    <w:rsid w:val="000443C2"/>
    <w:rsid w:val="00044EB2"/>
    <w:rsid w:val="00045FEF"/>
    <w:rsid w:val="0004639F"/>
    <w:rsid w:val="0004672F"/>
    <w:rsid w:val="0005019C"/>
    <w:rsid w:val="000516A9"/>
    <w:rsid w:val="00051734"/>
    <w:rsid w:val="00053844"/>
    <w:rsid w:val="000539F5"/>
    <w:rsid w:val="00054061"/>
    <w:rsid w:val="00054E63"/>
    <w:rsid w:val="000555B0"/>
    <w:rsid w:val="000558AF"/>
    <w:rsid w:val="000567B6"/>
    <w:rsid w:val="00060599"/>
    <w:rsid w:val="000615B8"/>
    <w:rsid w:val="00064684"/>
    <w:rsid w:val="00066AF1"/>
    <w:rsid w:val="00070C88"/>
    <w:rsid w:val="00071C51"/>
    <w:rsid w:val="000730C7"/>
    <w:rsid w:val="0007344B"/>
    <w:rsid w:val="0007411C"/>
    <w:rsid w:val="00074FDA"/>
    <w:rsid w:val="00081F3A"/>
    <w:rsid w:val="0008279A"/>
    <w:rsid w:val="00082B0F"/>
    <w:rsid w:val="00084AD1"/>
    <w:rsid w:val="00086680"/>
    <w:rsid w:val="00091575"/>
    <w:rsid w:val="00092299"/>
    <w:rsid w:val="00092F70"/>
    <w:rsid w:val="00097214"/>
    <w:rsid w:val="000A3D1B"/>
    <w:rsid w:val="000A6966"/>
    <w:rsid w:val="000A72D8"/>
    <w:rsid w:val="000A7D36"/>
    <w:rsid w:val="000B0627"/>
    <w:rsid w:val="000B0829"/>
    <w:rsid w:val="000B1613"/>
    <w:rsid w:val="000B3727"/>
    <w:rsid w:val="000B3C86"/>
    <w:rsid w:val="000B495F"/>
    <w:rsid w:val="000B4EF1"/>
    <w:rsid w:val="000B64FB"/>
    <w:rsid w:val="000C1849"/>
    <w:rsid w:val="000C2D4D"/>
    <w:rsid w:val="000C3EB9"/>
    <w:rsid w:val="000C4D25"/>
    <w:rsid w:val="000C696A"/>
    <w:rsid w:val="000C6A1D"/>
    <w:rsid w:val="000C7189"/>
    <w:rsid w:val="000C779C"/>
    <w:rsid w:val="000D2E02"/>
    <w:rsid w:val="000D3E8E"/>
    <w:rsid w:val="000D4C90"/>
    <w:rsid w:val="000D592B"/>
    <w:rsid w:val="000E186B"/>
    <w:rsid w:val="000E1C79"/>
    <w:rsid w:val="000E21E1"/>
    <w:rsid w:val="000E4193"/>
    <w:rsid w:val="000E43C8"/>
    <w:rsid w:val="000E4757"/>
    <w:rsid w:val="000E7B8F"/>
    <w:rsid w:val="000F0283"/>
    <w:rsid w:val="000F0DC5"/>
    <w:rsid w:val="000F15A2"/>
    <w:rsid w:val="000F65AF"/>
    <w:rsid w:val="000F69F1"/>
    <w:rsid w:val="000F7094"/>
    <w:rsid w:val="000F77AD"/>
    <w:rsid w:val="001109AB"/>
    <w:rsid w:val="0011154D"/>
    <w:rsid w:val="00117502"/>
    <w:rsid w:val="00117FE0"/>
    <w:rsid w:val="0012042C"/>
    <w:rsid w:val="001210D3"/>
    <w:rsid w:val="00124780"/>
    <w:rsid w:val="001251FA"/>
    <w:rsid w:val="001266B8"/>
    <w:rsid w:val="00126DF2"/>
    <w:rsid w:val="0013598D"/>
    <w:rsid w:val="00136BB9"/>
    <w:rsid w:val="00137330"/>
    <w:rsid w:val="0013734A"/>
    <w:rsid w:val="0014025B"/>
    <w:rsid w:val="00141D65"/>
    <w:rsid w:val="0014421D"/>
    <w:rsid w:val="00145617"/>
    <w:rsid w:val="00150A55"/>
    <w:rsid w:val="001545A6"/>
    <w:rsid w:val="00155746"/>
    <w:rsid w:val="0015688E"/>
    <w:rsid w:val="00157500"/>
    <w:rsid w:val="0016025C"/>
    <w:rsid w:val="001631F2"/>
    <w:rsid w:val="001649A5"/>
    <w:rsid w:val="00166348"/>
    <w:rsid w:val="00180D9A"/>
    <w:rsid w:val="0018161A"/>
    <w:rsid w:val="00184710"/>
    <w:rsid w:val="00190CE1"/>
    <w:rsid w:val="001913E2"/>
    <w:rsid w:val="00193F05"/>
    <w:rsid w:val="00193F5D"/>
    <w:rsid w:val="001955C7"/>
    <w:rsid w:val="00196175"/>
    <w:rsid w:val="001968B9"/>
    <w:rsid w:val="001A0B89"/>
    <w:rsid w:val="001A1D15"/>
    <w:rsid w:val="001A1D8D"/>
    <w:rsid w:val="001A223D"/>
    <w:rsid w:val="001A4AE7"/>
    <w:rsid w:val="001A526C"/>
    <w:rsid w:val="001A5326"/>
    <w:rsid w:val="001A5EBD"/>
    <w:rsid w:val="001A725C"/>
    <w:rsid w:val="001B5FAA"/>
    <w:rsid w:val="001C035A"/>
    <w:rsid w:val="001C2B31"/>
    <w:rsid w:val="001C4095"/>
    <w:rsid w:val="001C4F54"/>
    <w:rsid w:val="001C61E0"/>
    <w:rsid w:val="001C6C2C"/>
    <w:rsid w:val="001D1AD1"/>
    <w:rsid w:val="001D2138"/>
    <w:rsid w:val="001D7501"/>
    <w:rsid w:val="001D7774"/>
    <w:rsid w:val="001D7B3E"/>
    <w:rsid w:val="001E3A07"/>
    <w:rsid w:val="001E41ED"/>
    <w:rsid w:val="001E51FE"/>
    <w:rsid w:val="001E56A5"/>
    <w:rsid w:val="001E59C3"/>
    <w:rsid w:val="001E617A"/>
    <w:rsid w:val="001E7E2D"/>
    <w:rsid w:val="001E7EE4"/>
    <w:rsid w:val="001F0AD3"/>
    <w:rsid w:val="001F0D5B"/>
    <w:rsid w:val="001F110F"/>
    <w:rsid w:val="001F4628"/>
    <w:rsid w:val="001F5045"/>
    <w:rsid w:val="001F7A4A"/>
    <w:rsid w:val="002003A6"/>
    <w:rsid w:val="002024DF"/>
    <w:rsid w:val="0020646D"/>
    <w:rsid w:val="00206667"/>
    <w:rsid w:val="00213880"/>
    <w:rsid w:val="0021415D"/>
    <w:rsid w:val="00214514"/>
    <w:rsid w:val="00216D90"/>
    <w:rsid w:val="00217E7B"/>
    <w:rsid w:val="0022061E"/>
    <w:rsid w:val="00220BB0"/>
    <w:rsid w:val="00221E51"/>
    <w:rsid w:val="00221FB2"/>
    <w:rsid w:val="00222EC7"/>
    <w:rsid w:val="002241FE"/>
    <w:rsid w:val="00225E6B"/>
    <w:rsid w:val="002309E0"/>
    <w:rsid w:val="00234024"/>
    <w:rsid w:val="002352E8"/>
    <w:rsid w:val="0023722B"/>
    <w:rsid w:val="00237426"/>
    <w:rsid w:val="00240BC7"/>
    <w:rsid w:val="00240EF8"/>
    <w:rsid w:val="00242845"/>
    <w:rsid w:val="00244D8B"/>
    <w:rsid w:val="00247574"/>
    <w:rsid w:val="00247841"/>
    <w:rsid w:val="00250EC0"/>
    <w:rsid w:val="00254E27"/>
    <w:rsid w:val="00255497"/>
    <w:rsid w:val="002559BB"/>
    <w:rsid w:val="00255E38"/>
    <w:rsid w:val="00257AD4"/>
    <w:rsid w:val="002624B6"/>
    <w:rsid w:val="0026398B"/>
    <w:rsid w:val="00263EED"/>
    <w:rsid w:val="0026574C"/>
    <w:rsid w:val="002673D4"/>
    <w:rsid w:val="002706CE"/>
    <w:rsid w:val="00272A1B"/>
    <w:rsid w:val="00272C05"/>
    <w:rsid w:val="0027423F"/>
    <w:rsid w:val="00274791"/>
    <w:rsid w:val="0027587A"/>
    <w:rsid w:val="002768A0"/>
    <w:rsid w:val="00276EA1"/>
    <w:rsid w:val="00280393"/>
    <w:rsid w:val="00280A4C"/>
    <w:rsid w:val="00281054"/>
    <w:rsid w:val="002814CA"/>
    <w:rsid w:val="0028197D"/>
    <w:rsid w:val="00281D25"/>
    <w:rsid w:val="0028223C"/>
    <w:rsid w:val="00282314"/>
    <w:rsid w:val="0028258E"/>
    <w:rsid w:val="0028267D"/>
    <w:rsid w:val="002838AA"/>
    <w:rsid w:val="002842AC"/>
    <w:rsid w:val="00284A79"/>
    <w:rsid w:val="0028579C"/>
    <w:rsid w:val="00285D70"/>
    <w:rsid w:val="00292C8C"/>
    <w:rsid w:val="00293108"/>
    <w:rsid w:val="002931C8"/>
    <w:rsid w:val="0029521C"/>
    <w:rsid w:val="00296137"/>
    <w:rsid w:val="00297751"/>
    <w:rsid w:val="002A01C4"/>
    <w:rsid w:val="002A4333"/>
    <w:rsid w:val="002A544F"/>
    <w:rsid w:val="002A62ED"/>
    <w:rsid w:val="002B0786"/>
    <w:rsid w:val="002B135F"/>
    <w:rsid w:val="002B4BB0"/>
    <w:rsid w:val="002B5E52"/>
    <w:rsid w:val="002B78D7"/>
    <w:rsid w:val="002C3C80"/>
    <w:rsid w:val="002C6CFC"/>
    <w:rsid w:val="002D0575"/>
    <w:rsid w:val="002D0730"/>
    <w:rsid w:val="002D13B6"/>
    <w:rsid w:val="002D173F"/>
    <w:rsid w:val="002D4B8D"/>
    <w:rsid w:val="002D4BCF"/>
    <w:rsid w:val="002D6203"/>
    <w:rsid w:val="002D6750"/>
    <w:rsid w:val="002E03E2"/>
    <w:rsid w:val="002E149C"/>
    <w:rsid w:val="002E3051"/>
    <w:rsid w:val="002E35A1"/>
    <w:rsid w:val="002E40C6"/>
    <w:rsid w:val="002E5C7F"/>
    <w:rsid w:val="002E7FA3"/>
    <w:rsid w:val="002F23C9"/>
    <w:rsid w:val="002F4C37"/>
    <w:rsid w:val="002F55A8"/>
    <w:rsid w:val="002F5CD5"/>
    <w:rsid w:val="002F7DBF"/>
    <w:rsid w:val="0030247F"/>
    <w:rsid w:val="003032D4"/>
    <w:rsid w:val="00304B12"/>
    <w:rsid w:val="00305550"/>
    <w:rsid w:val="00305FB4"/>
    <w:rsid w:val="0030643B"/>
    <w:rsid w:val="003133AC"/>
    <w:rsid w:val="0031518E"/>
    <w:rsid w:val="003176BE"/>
    <w:rsid w:val="00317FA2"/>
    <w:rsid w:val="003220FF"/>
    <w:rsid w:val="00322E0F"/>
    <w:rsid w:val="00324EA1"/>
    <w:rsid w:val="00325CB2"/>
    <w:rsid w:val="003278BE"/>
    <w:rsid w:val="0032796F"/>
    <w:rsid w:val="00332C31"/>
    <w:rsid w:val="003372C6"/>
    <w:rsid w:val="00337CDB"/>
    <w:rsid w:val="00337CF1"/>
    <w:rsid w:val="00340712"/>
    <w:rsid w:val="003442D4"/>
    <w:rsid w:val="00344BB9"/>
    <w:rsid w:val="003452CA"/>
    <w:rsid w:val="00345E0E"/>
    <w:rsid w:val="00346260"/>
    <w:rsid w:val="0034744D"/>
    <w:rsid w:val="00350437"/>
    <w:rsid w:val="00353C2C"/>
    <w:rsid w:val="00355016"/>
    <w:rsid w:val="0035770A"/>
    <w:rsid w:val="00361B40"/>
    <w:rsid w:val="00362634"/>
    <w:rsid w:val="00362B96"/>
    <w:rsid w:val="00362FFE"/>
    <w:rsid w:val="003630EC"/>
    <w:rsid w:val="00363273"/>
    <w:rsid w:val="00365D37"/>
    <w:rsid w:val="00370006"/>
    <w:rsid w:val="00370882"/>
    <w:rsid w:val="00371787"/>
    <w:rsid w:val="0037190D"/>
    <w:rsid w:val="00371DF8"/>
    <w:rsid w:val="00372D01"/>
    <w:rsid w:val="00373D26"/>
    <w:rsid w:val="00374927"/>
    <w:rsid w:val="00376195"/>
    <w:rsid w:val="00376D13"/>
    <w:rsid w:val="00377F32"/>
    <w:rsid w:val="0038029E"/>
    <w:rsid w:val="003833BD"/>
    <w:rsid w:val="003837C0"/>
    <w:rsid w:val="0038454F"/>
    <w:rsid w:val="0039047F"/>
    <w:rsid w:val="003907FE"/>
    <w:rsid w:val="00391F41"/>
    <w:rsid w:val="003921FB"/>
    <w:rsid w:val="00392EFE"/>
    <w:rsid w:val="00396AE4"/>
    <w:rsid w:val="00397008"/>
    <w:rsid w:val="003A28F8"/>
    <w:rsid w:val="003A30F7"/>
    <w:rsid w:val="003A3BD7"/>
    <w:rsid w:val="003A580A"/>
    <w:rsid w:val="003A5811"/>
    <w:rsid w:val="003A65C4"/>
    <w:rsid w:val="003A74C3"/>
    <w:rsid w:val="003B031F"/>
    <w:rsid w:val="003B23AA"/>
    <w:rsid w:val="003B37E6"/>
    <w:rsid w:val="003B429E"/>
    <w:rsid w:val="003B4D2C"/>
    <w:rsid w:val="003B53CF"/>
    <w:rsid w:val="003B55A0"/>
    <w:rsid w:val="003B6A94"/>
    <w:rsid w:val="003B76BF"/>
    <w:rsid w:val="003C0109"/>
    <w:rsid w:val="003C18AE"/>
    <w:rsid w:val="003C19A1"/>
    <w:rsid w:val="003C2EE1"/>
    <w:rsid w:val="003C433A"/>
    <w:rsid w:val="003C5005"/>
    <w:rsid w:val="003C5897"/>
    <w:rsid w:val="003C6042"/>
    <w:rsid w:val="003C6EF3"/>
    <w:rsid w:val="003C7452"/>
    <w:rsid w:val="003D02B1"/>
    <w:rsid w:val="003D1AA5"/>
    <w:rsid w:val="003D1DE7"/>
    <w:rsid w:val="003D408B"/>
    <w:rsid w:val="003D6062"/>
    <w:rsid w:val="003E01A1"/>
    <w:rsid w:val="003E7F6E"/>
    <w:rsid w:val="003F08D2"/>
    <w:rsid w:val="003F125F"/>
    <w:rsid w:val="003F35CF"/>
    <w:rsid w:val="003F5E4D"/>
    <w:rsid w:val="003F6A4D"/>
    <w:rsid w:val="0040152C"/>
    <w:rsid w:val="00403C23"/>
    <w:rsid w:val="00403EE1"/>
    <w:rsid w:val="00405CE9"/>
    <w:rsid w:val="004076C4"/>
    <w:rsid w:val="004102CF"/>
    <w:rsid w:val="004115BA"/>
    <w:rsid w:val="0041397D"/>
    <w:rsid w:val="00414F80"/>
    <w:rsid w:val="00416CDC"/>
    <w:rsid w:val="00417760"/>
    <w:rsid w:val="00417A48"/>
    <w:rsid w:val="00417C4C"/>
    <w:rsid w:val="004226F7"/>
    <w:rsid w:val="00423E03"/>
    <w:rsid w:val="004245ED"/>
    <w:rsid w:val="00431105"/>
    <w:rsid w:val="00435583"/>
    <w:rsid w:val="00436089"/>
    <w:rsid w:val="004367BE"/>
    <w:rsid w:val="00436AD3"/>
    <w:rsid w:val="00440B5A"/>
    <w:rsid w:val="0044205D"/>
    <w:rsid w:val="0044658F"/>
    <w:rsid w:val="004468E5"/>
    <w:rsid w:val="0044735D"/>
    <w:rsid w:val="004502EA"/>
    <w:rsid w:val="00450C6E"/>
    <w:rsid w:val="0045181C"/>
    <w:rsid w:val="00451A59"/>
    <w:rsid w:val="00454F97"/>
    <w:rsid w:val="0045506F"/>
    <w:rsid w:val="004560EA"/>
    <w:rsid w:val="00461B36"/>
    <w:rsid w:val="00462091"/>
    <w:rsid w:val="0046231D"/>
    <w:rsid w:val="00462542"/>
    <w:rsid w:val="00462DD3"/>
    <w:rsid w:val="00463BEB"/>
    <w:rsid w:val="00465678"/>
    <w:rsid w:val="00471358"/>
    <w:rsid w:val="00481682"/>
    <w:rsid w:val="00483815"/>
    <w:rsid w:val="00485C3D"/>
    <w:rsid w:val="00487B37"/>
    <w:rsid w:val="004908F6"/>
    <w:rsid w:val="004946F6"/>
    <w:rsid w:val="004955E6"/>
    <w:rsid w:val="00496BFA"/>
    <w:rsid w:val="004976C0"/>
    <w:rsid w:val="00497F0C"/>
    <w:rsid w:val="004A1185"/>
    <w:rsid w:val="004A3918"/>
    <w:rsid w:val="004A77F9"/>
    <w:rsid w:val="004B0990"/>
    <w:rsid w:val="004B0FF0"/>
    <w:rsid w:val="004B1D89"/>
    <w:rsid w:val="004B235D"/>
    <w:rsid w:val="004B3362"/>
    <w:rsid w:val="004B4098"/>
    <w:rsid w:val="004B7AA0"/>
    <w:rsid w:val="004C0C95"/>
    <w:rsid w:val="004C4447"/>
    <w:rsid w:val="004C5E98"/>
    <w:rsid w:val="004D23E8"/>
    <w:rsid w:val="004D2549"/>
    <w:rsid w:val="004D3082"/>
    <w:rsid w:val="004D3324"/>
    <w:rsid w:val="004D4340"/>
    <w:rsid w:val="004E0DD0"/>
    <w:rsid w:val="004E234B"/>
    <w:rsid w:val="004E732B"/>
    <w:rsid w:val="004E7587"/>
    <w:rsid w:val="004E7962"/>
    <w:rsid w:val="004E7BE3"/>
    <w:rsid w:val="004F0576"/>
    <w:rsid w:val="004F3216"/>
    <w:rsid w:val="004F3843"/>
    <w:rsid w:val="004F4257"/>
    <w:rsid w:val="004F7B16"/>
    <w:rsid w:val="0050232C"/>
    <w:rsid w:val="00503931"/>
    <w:rsid w:val="00506D69"/>
    <w:rsid w:val="00511F84"/>
    <w:rsid w:val="005120AF"/>
    <w:rsid w:val="00513B2B"/>
    <w:rsid w:val="00513E70"/>
    <w:rsid w:val="00513FB2"/>
    <w:rsid w:val="005144A4"/>
    <w:rsid w:val="00515BEF"/>
    <w:rsid w:val="0052020F"/>
    <w:rsid w:val="00520D1C"/>
    <w:rsid w:val="005211C3"/>
    <w:rsid w:val="00522445"/>
    <w:rsid w:val="00523055"/>
    <w:rsid w:val="00523182"/>
    <w:rsid w:val="00530558"/>
    <w:rsid w:val="00531CA6"/>
    <w:rsid w:val="00532BF8"/>
    <w:rsid w:val="00534201"/>
    <w:rsid w:val="00535FDF"/>
    <w:rsid w:val="0054086E"/>
    <w:rsid w:val="00544C76"/>
    <w:rsid w:val="0054748C"/>
    <w:rsid w:val="005476BB"/>
    <w:rsid w:val="0055022D"/>
    <w:rsid w:val="00550DD7"/>
    <w:rsid w:val="00551376"/>
    <w:rsid w:val="00552343"/>
    <w:rsid w:val="00553260"/>
    <w:rsid w:val="00553A15"/>
    <w:rsid w:val="00554503"/>
    <w:rsid w:val="00554799"/>
    <w:rsid w:val="005554F3"/>
    <w:rsid w:val="0055553D"/>
    <w:rsid w:val="00555E77"/>
    <w:rsid w:val="005601DA"/>
    <w:rsid w:val="005603AE"/>
    <w:rsid w:val="00560781"/>
    <w:rsid w:val="005608BE"/>
    <w:rsid w:val="00560FDB"/>
    <w:rsid w:val="00562480"/>
    <w:rsid w:val="00563BF9"/>
    <w:rsid w:val="005646CE"/>
    <w:rsid w:val="005670AC"/>
    <w:rsid w:val="00567106"/>
    <w:rsid w:val="00571E28"/>
    <w:rsid w:val="00573692"/>
    <w:rsid w:val="00573B26"/>
    <w:rsid w:val="005763D4"/>
    <w:rsid w:val="005763F8"/>
    <w:rsid w:val="0057782D"/>
    <w:rsid w:val="00583359"/>
    <w:rsid w:val="0058419B"/>
    <w:rsid w:val="00586C74"/>
    <w:rsid w:val="005876F3"/>
    <w:rsid w:val="005901D9"/>
    <w:rsid w:val="0059255B"/>
    <w:rsid w:val="005A0F96"/>
    <w:rsid w:val="005A27D0"/>
    <w:rsid w:val="005A2EBB"/>
    <w:rsid w:val="005A3CA3"/>
    <w:rsid w:val="005A6C09"/>
    <w:rsid w:val="005A72B9"/>
    <w:rsid w:val="005B15A1"/>
    <w:rsid w:val="005B268F"/>
    <w:rsid w:val="005B29B8"/>
    <w:rsid w:val="005B445D"/>
    <w:rsid w:val="005B4F80"/>
    <w:rsid w:val="005B7811"/>
    <w:rsid w:val="005C4537"/>
    <w:rsid w:val="005C4709"/>
    <w:rsid w:val="005D00A9"/>
    <w:rsid w:val="005D3BF0"/>
    <w:rsid w:val="005D57F2"/>
    <w:rsid w:val="005D5E6C"/>
    <w:rsid w:val="005D6811"/>
    <w:rsid w:val="005E0973"/>
    <w:rsid w:val="005E2ED7"/>
    <w:rsid w:val="005E4B0B"/>
    <w:rsid w:val="005E4E37"/>
    <w:rsid w:val="005E52B9"/>
    <w:rsid w:val="005E5B8A"/>
    <w:rsid w:val="005E5EE0"/>
    <w:rsid w:val="005E6D00"/>
    <w:rsid w:val="005F0157"/>
    <w:rsid w:val="005F1181"/>
    <w:rsid w:val="005F39CF"/>
    <w:rsid w:val="005F4950"/>
    <w:rsid w:val="005F706C"/>
    <w:rsid w:val="006006A6"/>
    <w:rsid w:val="00600BCC"/>
    <w:rsid w:val="00600FFD"/>
    <w:rsid w:val="0060383F"/>
    <w:rsid w:val="00604212"/>
    <w:rsid w:val="00604FE9"/>
    <w:rsid w:val="00605038"/>
    <w:rsid w:val="00606442"/>
    <w:rsid w:val="006078DF"/>
    <w:rsid w:val="00611DAB"/>
    <w:rsid w:val="006121FD"/>
    <w:rsid w:val="006138B2"/>
    <w:rsid w:val="006154EA"/>
    <w:rsid w:val="00615756"/>
    <w:rsid w:val="006164B4"/>
    <w:rsid w:val="00617F4A"/>
    <w:rsid w:val="00623771"/>
    <w:rsid w:val="00624D1C"/>
    <w:rsid w:val="006256AA"/>
    <w:rsid w:val="00630848"/>
    <w:rsid w:val="0063148D"/>
    <w:rsid w:val="006349C0"/>
    <w:rsid w:val="00636A5F"/>
    <w:rsid w:val="006372E7"/>
    <w:rsid w:val="00641663"/>
    <w:rsid w:val="006418C3"/>
    <w:rsid w:val="00643A87"/>
    <w:rsid w:val="00646975"/>
    <w:rsid w:val="00646FCC"/>
    <w:rsid w:val="006479D7"/>
    <w:rsid w:val="00647B59"/>
    <w:rsid w:val="00650B19"/>
    <w:rsid w:val="006516BE"/>
    <w:rsid w:val="006518BE"/>
    <w:rsid w:val="0065237F"/>
    <w:rsid w:val="006524E9"/>
    <w:rsid w:val="006547B8"/>
    <w:rsid w:val="006557AC"/>
    <w:rsid w:val="006573C5"/>
    <w:rsid w:val="006579D5"/>
    <w:rsid w:val="006608FD"/>
    <w:rsid w:val="00660A20"/>
    <w:rsid w:val="0066241C"/>
    <w:rsid w:val="00662491"/>
    <w:rsid w:val="00663D74"/>
    <w:rsid w:val="00664278"/>
    <w:rsid w:val="00665FD7"/>
    <w:rsid w:val="0067453E"/>
    <w:rsid w:val="00675488"/>
    <w:rsid w:val="0067658B"/>
    <w:rsid w:val="00677F9E"/>
    <w:rsid w:val="006807F4"/>
    <w:rsid w:val="00681178"/>
    <w:rsid w:val="00681452"/>
    <w:rsid w:val="00683E8E"/>
    <w:rsid w:val="0068420E"/>
    <w:rsid w:val="00686575"/>
    <w:rsid w:val="00687985"/>
    <w:rsid w:val="006904C2"/>
    <w:rsid w:val="00691254"/>
    <w:rsid w:val="00692736"/>
    <w:rsid w:val="00694CC4"/>
    <w:rsid w:val="006A17F7"/>
    <w:rsid w:val="006A2440"/>
    <w:rsid w:val="006A4FFB"/>
    <w:rsid w:val="006A6645"/>
    <w:rsid w:val="006A688C"/>
    <w:rsid w:val="006B0C3A"/>
    <w:rsid w:val="006B161B"/>
    <w:rsid w:val="006B1A49"/>
    <w:rsid w:val="006B2F56"/>
    <w:rsid w:val="006B4CA1"/>
    <w:rsid w:val="006C351C"/>
    <w:rsid w:val="006C3A45"/>
    <w:rsid w:val="006C47CE"/>
    <w:rsid w:val="006C5054"/>
    <w:rsid w:val="006D116B"/>
    <w:rsid w:val="006D1FD0"/>
    <w:rsid w:val="006D2826"/>
    <w:rsid w:val="006D479C"/>
    <w:rsid w:val="006D7821"/>
    <w:rsid w:val="006E0A31"/>
    <w:rsid w:val="006E1C59"/>
    <w:rsid w:val="006E3DCE"/>
    <w:rsid w:val="006E5AB5"/>
    <w:rsid w:val="006E721C"/>
    <w:rsid w:val="006F06B2"/>
    <w:rsid w:val="006F1BCF"/>
    <w:rsid w:val="006F1C9F"/>
    <w:rsid w:val="006F244B"/>
    <w:rsid w:val="006F2E0F"/>
    <w:rsid w:val="006F61E8"/>
    <w:rsid w:val="0070145E"/>
    <w:rsid w:val="00701B4E"/>
    <w:rsid w:val="00702EF3"/>
    <w:rsid w:val="00706D5E"/>
    <w:rsid w:val="00707BE7"/>
    <w:rsid w:val="00713374"/>
    <w:rsid w:val="0071467B"/>
    <w:rsid w:val="007178CA"/>
    <w:rsid w:val="00717DD4"/>
    <w:rsid w:val="00721A8E"/>
    <w:rsid w:val="00722965"/>
    <w:rsid w:val="0072315A"/>
    <w:rsid w:val="00724976"/>
    <w:rsid w:val="00724E24"/>
    <w:rsid w:val="00725BA8"/>
    <w:rsid w:val="007275E4"/>
    <w:rsid w:val="00730DA5"/>
    <w:rsid w:val="00735143"/>
    <w:rsid w:val="007404E1"/>
    <w:rsid w:val="00742992"/>
    <w:rsid w:val="00742E76"/>
    <w:rsid w:val="00743500"/>
    <w:rsid w:val="007466CE"/>
    <w:rsid w:val="00746CCB"/>
    <w:rsid w:val="0075010A"/>
    <w:rsid w:val="007515E8"/>
    <w:rsid w:val="00751EB2"/>
    <w:rsid w:val="00752F82"/>
    <w:rsid w:val="007546FC"/>
    <w:rsid w:val="007549F5"/>
    <w:rsid w:val="00754C95"/>
    <w:rsid w:val="0075658E"/>
    <w:rsid w:val="007567F6"/>
    <w:rsid w:val="00756BB4"/>
    <w:rsid w:val="00756D04"/>
    <w:rsid w:val="00757041"/>
    <w:rsid w:val="00760015"/>
    <w:rsid w:val="00766EC1"/>
    <w:rsid w:val="007678A9"/>
    <w:rsid w:val="0077043E"/>
    <w:rsid w:val="007710D2"/>
    <w:rsid w:val="007760FB"/>
    <w:rsid w:val="007810D0"/>
    <w:rsid w:val="007870AE"/>
    <w:rsid w:val="007875EE"/>
    <w:rsid w:val="00787A79"/>
    <w:rsid w:val="007909D2"/>
    <w:rsid w:val="00791099"/>
    <w:rsid w:val="0079257C"/>
    <w:rsid w:val="00792AD4"/>
    <w:rsid w:val="00792F0E"/>
    <w:rsid w:val="00796F9C"/>
    <w:rsid w:val="00797AF6"/>
    <w:rsid w:val="007A0434"/>
    <w:rsid w:val="007A0F08"/>
    <w:rsid w:val="007A2B0A"/>
    <w:rsid w:val="007A4BA9"/>
    <w:rsid w:val="007B045C"/>
    <w:rsid w:val="007B0DDF"/>
    <w:rsid w:val="007B13A2"/>
    <w:rsid w:val="007B2ACE"/>
    <w:rsid w:val="007B5973"/>
    <w:rsid w:val="007C0782"/>
    <w:rsid w:val="007C166F"/>
    <w:rsid w:val="007C2B81"/>
    <w:rsid w:val="007C3A32"/>
    <w:rsid w:val="007C6B7B"/>
    <w:rsid w:val="007D0C0D"/>
    <w:rsid w:val="007D178D"/>
    <w:rsid w:val="007D21D5"/>
    <w:rsid w:val="007D237F"/>
    <w:rsid w:val="007D4351"/>
    <w:rsid w:val="007D47BE"/>
    <w:rsid w:val="007D723A"/>
    <w:rsid w:val="007E1AC5"/>
    <w:rsid w:val="007E2F40"/>
    <w:rsid w:val="007E4845"/>
    <w:rsid w:val="007E7052"/>
    <w:rsid w:val="007F29A6"/>
    <w:rsid w:val="007F576B"/>
    <w:rsid w:val="007F5B4F"/>
    <w:rsid w:val="007F6277"/>
    <w:rsid w:val="007F6B89"/>
    <w:rsid w:val="0080198C"/>
    <w:rsid w:val="00814003"/>
    <w:rsid w:val="00814230"/>
    <w:rsid w:val="0081560D"/>
    <w:rsid w:val="00815630"/>
    <w:rsid w:val="00816732"/>
    <w:rsid w:val="00817B3F"/>
    <w:rsid w:val="00821A6B"/>
    <w:rsid w:val="0082262F"/>
    <w:rsid w:val="00822CF2"/>
    <w:rsid w:val="0082300F"/>
    <w:rsid w:val="00823DFB"/>
    <w:rsid w:val="00824144"/>
    <w:rsid w:val="008249D3"/>
    <w:rsid w:val="008252A8"/>
    <w:rsid w:val="00826037"/>
    <w:rsid w:val="00826A33"/>
    <w:rsid w:val="00831258"/>
    <w:rsid w:val="0083199B"/>
    <w:rsid w:val="0083246E"/>
    <w:rsid w:val="00833FB8"/>
    <w:rsid w:val="00834BF2"/>
    <w:rsid w:val="0083553E"/>
    <w:rsid w:val="008405E5"/>
    <w:rsid w:val="00842612"/>
    <w:rsid w:val="0084333D"/>
    <w:rsid w:val="008436CD"/>
    <w:rsid w:val="00843C2B"/>
    <w:rsid w:val="00844412"/>
    <w:rsid w:val="008475EC"/>
    <w:rsid w:val="00851D26"/>
    <w:rsid w:val="00852085"/>
    <w:rsid w:val="00852DC7"/>
    <w:rsid w:val="00860A1A"/>
    <w:rsid w:val="0086350D"/>
    <w:rsid w:val="00865B8E"/>
    <w:rsid w:val="008711C6"/>
    <w:rsid w:val="00871F95"/>
    <w:rsid w:val="00873329"/>
    <w:rsid w:val="008735ED"/>
    <w:rsid w:val="00873E34"/>
    <w:rsid w:val="008843AE"/>
    <w:rsid w:val="00885185"/>
    <w:rsid w:val="00885580"/>
    <w:rsid w:val="008878B6"/>
    <w:rsid w:val="00891262"/>
    <w:rsid w:val="008941CB"/>
    <w:rsid w:val="00895853"/>
    <w:rsid w:val="0089783C"/>
    <w:rsid w:val="00897895"/>
    <w:rsid w:val="00897B60"/>
    <w:rsid w:val="00897C02"/>
    <w:rsid w:val="00897D6A"/>
    <w:rsid w:val="008A0E9A"/>
    <w:rsid w:val="008A0FCA"/>
    <w:rsid w:val="008A2B12"/>
    <w:rsid w:val="008A2E24"/>
    <w:rsid w:val="008A4221"/>
    <w:rsid w:val="008A5601"/>
    <w:rsid w:val="008A5C5A"/>
    <w:rsid w:val="008A5EFE"/>
    <w:rsid w:val="008B7E91"/>
    <w:rsid w:val="008C07B5"/>
    <w:rsid w:val="008C2597"/>
    <w:rsid w:val="008C2EC3"/>
    <w:rsid w:val="008D0086"/>
    <w:rsid w:val="008D072D"/>
    <w:rsid w:val="008D0D6E"/>
    <w:rsid w:val="008D1001"/>
    <w:rsid w:val="008D3243"/>
    <w:rsid w:val="008D3827"/>
    <w:rsid w:val="008D55FF"/>
    <w:rsid w:val="008D645C"/>
    <w:rsid w:val="008E197C"/>
    <w:rsid w:val="008E20A6"/>
    <w:rsid w:val="008E24CB"/>
    <w:rsid w:val="008E2FB6"/>
    <w:rsid w:val="008E381A"/>
    <w:rsid w:val="008E3C97"/>
    <w:rsid w:val="008E4647"/>
    <w:rsid w:val="008E68A0"/>
    <w:rsid w:val="008E7D6E"/>
    <w:rsid w:val="008F0715"/>
    <w:rsid w:val="008F0BDC"/>
    <w:rsid w:val="008F1000"/>
    <w:rsid w:val="008F1052"/>
    <w:rsid w:val="008F1DE7"/>
    <w:rsid w:val="008F2C4D"/>
    <w:rsid w:val="00900B23"/>
    <w:rsid w:val="00901562"/>
    <w:rsid w:val="00901DE1"/>
    <w:rsid w:val="0090215F"/>
    <w:rsid w:val="00903D5A"/>
    <w:rsid w:val="0090566C"/>
    <w:rsid w:val="00907F98"/>
    <w:rsid w:val="009100E6"/>
    <w:rsid w:val="009118F5"/>
    <w:rsid w:val="00923267"/>
    <w:rsid w:val="00924493"/>
    <w:rsid w:val="00926D97"/>
    <w:rsid w:val="0093296F"/>
    <w:rsid w:val="00935843"/>
    <w:rsid w:val="00937D4D"/>
    <w:rsid w:val="009454DF"/>
    <w:rsid w:val="00945A29"/>
    <w:rsid w:val="009464F7"/>
    <w:rsid w:val="009473BF"/>
    <w:rsid w:val="0095206B"/>
    <w:rsid w:val="00953CEC"/>
    <w:rsid w:val="00955A92"/>
    <w:rsid w:val="00956246"/>
    <w:rsid w:val="009568BE"/>
    <w:rsid w:val="009568F8"/>
    <w:rsid w:val="00956CFD"/>
    <w:rsid w:val="00957417"/>
    <w:rsid w:val="00960F3C"/>
    <w:rsid w:val="00961E95"/>
    <w:rsid w:val="0096422B"/>
    <w:rsid w:val="00965752"/>
    <w:rsid w:val="0096621B"/>
    <w:rsid w:val="0096646B"/>
    <w:rsid w:val="0096660E"/>
    <w:rsid w:val="00966E87"/>
    <w:rsid w:val="0096774C"/>
    <w:rsid w:val="009722D2"/>
    <w:rsid w:val="009728A5"/>
    <w:rsid w:val="00974D94"/>
    <w:rsid w:val="009777CA"/>
    <w:rsid w:val="0098095E"/>
    <w:rsid w:val="0098215A"/>
    <w:rsid w:val="00982C63"/>
    <w:rsid w:val="00984405"/>
    <w:rsid w:val="009860B5"/>
    <w:rsid w:val="0098732E"/>
    <w:rsid w:val="00990854"/>
    <w:rsid w:val="009959E2"/>
    <w:rsid w:val="009A22E8"/>
    <w:rsid w:val="009A271D"/>
    <w:rsid w:val="009A2A19"/>
    <w:rsid w:val="009A4689"/>
    <w:rsid w:val="009A5B94"/>
    <w:rsid w:val="009B0788"/>
    <w:rsid w:val="009B4366"/>
    <w:rsid w:val="009B5BE8"/>
    <w:rsid w:val="009B6264"/>
    <w:rsid w:val="009C187E"/>
    <w:rsid w:val="009C1C1B"/>
    <w:rsid w:val="009C1E4E"/>
    <w:rsid w:val="009C2BEA"/>
    <w:rsid w:val="009C3D99"/>
    <w:rsid w:val="009D6F59"/>
    <w:rsid w:val="009D7DBB"/>
    <w:rsid w:val="009D7EA2"/>
    <w:rsid w:val="009E01CA"/>
    <w:rsid w:val="009E535C"/>
    <w:rsid w:val="009E63EE"/>
    <w:rsid w:val="009F0947"/>
    <w:rsid w:val="009F4EFC"/>
    <w:rsid w:val="009F6495"/>
    <w:rsid w:val="00A011C6"/>
    <w:rsid w:val="00A01DFB"/>
    <w:rsid w:val="00A04DC0"/>
    <w:rsid w:val="00A059A2"/>
    <w:rsid w:val="00A0661D"/>
    <w:rsid w:val="00A07F0A"/>
    <w:rsid w:val="00A10169"/>
    <w:rsid w:val="00A11397"/>
    <w:rsid w:val="00A118DA"/>
    <w:rsid w:val="00A132AC"/>
    <w:rsid w:val="00A15982"/>
    <w:rsid w:val="00A207AC"/>
    <w:rsid w:val="00A20FA0"/>
    <w:rsid w:val="00A219E8"/>
    <w:rsid w:val="00A21A44"/>
    <w:rsid w:val="00A22A17"/>
    <w:rsid w:val="00A259E4"/>
    <w:rsid w:val="00A273BA"/>
    <w:rsid w:val="00A274B2"/>
    <w:rsid w:val="00A27662"/>
    <w:rsid w:val="00A309C2"/>
    <w:rsid w:val="00A3571A"/>
    <w:rsid w:val="00A36647"/>
    <w:rsid w:val="00A37555"/>
    <w:rsid w:val="00A4017E"/>
    <w:rsid w:val="00A40879"/>
    <w:rsid w:val="00A42430"/>
    <w:rsid w:val="00A43019"/>
    <w:rsid w:val="00A44386"/>
    <w:rsid w:val="00A52866"/>
    <w:rsid w:val="00A56F0E"/>
    <w:rsid w:val="00A57AD6"/>
    <w:rsid w:val="00A6058C"/>
    <w:rsid w:val="00A61BB4"/>
    <w:rsid w:val="00A61F3B"/>
    <w:rsid w:val="00A63A84"/>
    <w:rsid w:val="00A641CA"/>
    <w:rsid w:val="00A64966"/>
    <w:rsid w:val="00A64F37"/>
    <w:rsid w:val="00A64F6C"/>
    <w:rsid w:val="00A66F25"/>
    <w:rsid w:val="00A70AE0"/>
    <w:rsid w:val="00A839FD"/>
    <w:rsid w:val="00A854C7"/>
    <w:rsid w:val="00A862CE"/>
    <w:rsid w:val="00A90C82"/>
    <w:rsid w:val="00A94129"/>
    <w:rsid w:val="00A9452C"/>
    <w:rsid w:val="00AA6107"/>
    <w:rsid w:val="00AB17F8"/>
    <w:rsid w:val="00AB1ADD"/>
    <w:rsid w:val="00AB2673"/>
    <w:rsid w:val="00AB26F3"/>
    <w:rsid w:val="00AB2C81"/>
    <w:rsid w:val="00AB371F"/>
    <w:rsid w:val="00AB6003"/>
    <w:rsid w:val="00AB738C"/>
    <w:rsid w:val="00AB7DC6"/>
    <w:rsid w:val="00AC0CAA"/>
    <w:rsid w:val="00AC10AA"/>
    <w:rsid w:val="00AC4F20"/>
    <w:rsid w:val="00AC611D"/>
    <w:rsid w:val="00AC6AA4"/>
    <w:rsid w:val="00AC6B51"/>
    <w:rsid w:val="00AC6B93"/>
    <w:rsid w:val="00AD297D"/>
    <w:rsid w:val="00AD32B5"/>
    <w:rsid w:val="00AD3D8F"/>
    <w:rsid w:val="00AD3DD1"/>
    <w:rsid w:val="00AD4529"/>
    <w:rsid w:val="00AD517C"/>
    <w:rsid w:val="00AD66A8"/>
    <w:rsid w:val="00AE0497"/>
    <w:rsid w:val="00AE0C16"/>
    <w:rsid w:val="00AE1D53"/>
    <w:rsid w:val="00AE27BD"/>
    <w:rsid w:val="00AE4FDE"/>
    <w:rsid w:val="00AE6035"/>
    <w:rsid w:val="00AE7828"/>
    <w:rsid w:val="00AF3E72"/>
    <w:rsid w:val="00AF4C95"/>
    <w:rsid w:val="00AF59D6"/>
    <w:rsid w:val="00AF6090"/>
    <w:rsid w:val="00AF7132"/>
    <w:rsid w:val="00B014A0"/>
    <w:rsid w:val="00B033A3"/>
    <w:rsid w:val="00B036ED"/>
    <w:rsid w:val="00B04380"/>
    <w:rsid w:val="00B0670F"/>
    <w:rsid w:val="00B07ECF"/>
    <w:rsid w:val="00B10725"/>
    <w:rsid w:val="00B13330"/>
    <w:rsid w:val="00B14349"/>
    <w:rsid w:val="00B17C13"/>
    <w:rsid w:val="00B23E4C"/>
    <w:rsid w:val="00B33BA2"/>
    <w:rsid w:val="00B34C6C"/>
    <w:rsid w:val="00B3694D"/>
    <w:rsid w:val="00B37763"/>
    <w:rsid w:val="00B4250A"/>
    <w:rsid w:val="00B42737"/>
    <w:rsid w:val="00B4433D"/>
    <w:rsid w:val="00B46C9B"/>
    <w:rsid w:val="00B4776E"/>
    <w:rsid w:val="00B5047C"/>
    <w:rsid w:val="00B52B50"/>
    <w:rsid w:val="00B5384E"/>
    <w:rsid w:val="00B5790A"/>
    <w:rsid w:val="00B61D9E"/>
    <w:rsid w:val="00B62415"/>
    <w:rsid w:val="00B62966"/>
    <w:rsid w:val="00B633EA"/>
    <w:rsid w:val="00B64AC9"/>
    <w:rsid w:val="00B66062"/>
    <w:rsid w:val="00B715CE"/>
    <w:rsid w:val="00B72D65"/>
    <w:rsid w:val="00B8094A"/>
    <w:rsid w:val="00B81F3B"/>
    <w:rsid w:val="00B83323"/>
    <w:rsid w:val="00B833DE"/>
    <w:rsid w:val="00B860D6"/>
    <w:rsid w:val="00B904F0"/>
    <w:rsid w:val="00B909DD"/>
    <w:rsid w:val="00B9241B"/>
    <w:rsid w:val="00B93D4C"/>
    <w:rsid w:val="00B9521C"/>
    <w:rsid w:val="00B97556"/>
    <w:rsid w:val="00BA4173"/>
    <w:rsid w:val="00BA4C36"/>
    <w:rsid w:val="00BA5DBD"/>
    <w:rsid w:val="00BB10C8"/>
    <w:rsid w:val="00BB1689"/>
    <w:rsid w:val="00BB1C62"/>
    <w:rsid w:val="00BB5E4E"/>
    <w:rsid w:val="00BB6A38"/>
    <w:rsid w:val="00BB7192"/>
    <w:rsid w:val="00BB7FA2"/>
    <w:rsid w:val="00BC1294"/>
    <w:rsid w:val="00BC3A65"/>
    <w:rsid w:val="00BC3FE5"/>
    <w:rsid w:val="00BC59FE"/>
    <w:rsid w:val="00BC6899"/>
    <w:rsid w:val="00BC7344"/>
    <w:rsid w:val="00BD04B9"/>
    <w:rsid w:val="00BD0800"/>
    <w:rsid w:val="00BD23F7"/>
    <w:rsid w:val="00BD44D3"/>
    <w:rsid w:val="00BD56B5"/>
    <w:rsid w:val="00BD5BFE"/>
    <w:rsid w:val="00BE047B"/>
    <w:rsid w:val="00BE10C5"/>
    <w:rsid w:val="00BE24E6"/>
    <w:rsid w:val="00BE2ACA"/>
    <w:rsid w:val="00BE2C30"/>
    <w:rsid w:val="00BE7DEC"/>
    <w:rsid w:val="00BF075A"/>
    <w:rsid w:val="00BF082D"/>
    <w:rsid w:val="00BF1A27"/>
    <w:rsid w:val="00BF1CFB"/>
    <w:rsid w:val="00BF2133"/>
    <w:rsid w:val="00C008E0"/>
    <w:rsid w:val="00C00FCA"/>
    <w:rsid w:val="00C0443F"/>
    <w:rsid w:val="00C059C3"/>
    <w:rsid w:val="00C15039"/>
    <w:rsid w:val="00C150A1"/>
    <w:rsid w:val="00C17974"/>
    <w:rsid w:val="00C2585A"/>
    <w:rsid w:val="00C25F23"/>
    <w:rsid w:val="00C30781"/>
    <w:rsid w:val="00C3078F"/>
    <w:rsid w:val="00C33FA8"/>
    <w:rsid w:val="00C363E6"/>
    <w:rsid w:val="00C3759B"/>
    <w:rsid w:val="00C422FC"/>
    <w:rsid w:val="00C42508"/>
    <w:rsid w:val="00C42777"/>
    <w:rsid w:val="00C432A1"/>
    <w:rsid w:val="00C43B6A"/>
    <w:rsid w:val="00C44F5A"/>
    <w:rsid w:val="00C45269"/>
    <w:rsid w:val="00C461BD"/>
    <w:rsid w:val="00C472D8"/>
    <w:rsid w:val="00C47F13"/>
    <w:rsid w:val="00C506F5"/>
    <w:rsid w:val="00C508CE"/>
    <w:rsid w:val="00C52F27"/>
    <w:rsid w:val="00C562AF"/>
    <w:rsid w:val="00C57CB6"/>
    <w:rsid w:val="00C61354"/>
    <w:rsid w:val="00C627C5"/>
    <w:rsid w:val="00C628F3"/>
    <w:rsid w:val="00C64213"/>
    <w:rsid w:val="00C6484A"/>
    <w:rsid w:val="00C677CB"/>
    <w:rsid w:val="00C6794F"/>
    <w:rsid w:val="00C71C5B"/>
    <w:rsid w:val="00C73C53"/>
    <w:rsid w:val="00C80393"/>
    <w:rsid w:val="00C80594"/>
    <w:rsid w:val="00C868F8"/>
    <w:rsid w:val="00C86A11"/>
    <w:rsid w:val="00C86B5C"/>
    <w:rsid w:val="00C870AF"/>
    <w:rsid w:val="00C879E5"/>
    <w:rsid w:val="00C87F4F"/>
    <w:rsid w:val="00C90415"/>
    <w:rsid w:val="00C905D9"/>
    <w:rsid w:val="00C93358"/>
    <w:rsid w:val="00CA0D64"/>
    <w:rsid w:val="00CA2AE7"/>
    <w:rsid w:val="00CA2FE0"/>
    <w:rsid w:val="00CA41A4"/>
    <w:rsid w:val="00CA53D9"/>
    <w:rsid w:val="00CA6DDA"/>
    <w:rsid w:val="00CA78C2"/>
    <w:rsid w:val="00CB02B8"/>
    <w:rsid w:val="00CB2050"/>
    <w:rsid w:val="00CB34A2"/>
    <w:rsid w:val="00CB4704"/>
    <w:rsid w:val="00CB4B38"/>
    <w:rsid w:val="00CB6152"/>
    <w:rsid w:val="00CB7ACD"/>
    <w:rsid w:val="00CB7F09"/>
    <w:rsid w:val="00CC1E58"/>
    <w:rsid w:val="00CC4E31"/>
    <w:rsid w:val="00CC766B"/>
    <w:rsid w:val="00CD285B"/>
    <w:rsid w:val="00CD3814"/>
    <w:rsid w:val="00CF50F3"/>
    <w:rsid w:val="00CF5A83"/>
    <w:rsid w:val="00D00C91"/>
    <w:rsid w:val="00D01298"/>
    <w:rsid w:val="00D02B6B"/>
    <w:rsid w:val="00D02DA3"/>
    <w:rsid w:val="00D05838"/>
    <w:rsid w:val="00D05E42"/>
    <w:rsid w:val="00D120D6"/>
    <w:rsid w:val="00D13809"/>
    <w:rsid w:val="00D155C4"/>
    <w:rsid w:val="00D158B6"/>
    <w:rsid w:val="00D17EF4"/>
    <w:rsid w:val="00D20526"/>
    <w:rsid w:val="00D2065E"/>
    <w:rsid w:val="00D21F5B"/>
    <w:rsid w:val="00D21FB7"/>
    <w:rsid w:val="00D232AF"/>
    <w:rsid w:val="00D2450D"/>
    <w:rsid w:val="00D3061F"/>
    <w:rsid w:val="00D31FD1"/>
    <w:rsid w:val="00D3322D"/>
    <w:rsid w:val="00D3448C"/>
    <w:rsid w:val="00D416F0"/>
    <w:rsid w:val="00D470F5"/>
    <w:rsid w:val="00D51F41"/>
    <w:rsid w:val="00D57A83"/>
    <w:rsid w:val="00D61CEB"/>
    <w:rsid w:val="00D624FB"/>
    <w:rsid w:val="00D63669"/>
    <w:rsid w:val="00D64007"/>
    <w:rsid w:val="00D668F1"/>
    <w:rsid w:val="00D678B4"/>
    <w:rsid w:val="00D71D77"/>
    <w:rsid w:val="00D71EAF"/>
    <w:rsid w:val="00D77792"/>
    <w:rsid w:val="00D81442"/>
    <w:rsid w:val="00D815E6"/>
    <w:rsid w:val="00D81C95"/>
    <w:rsid w:val="00D82030"/>
    <w:rsid w:val="00D8243B"/>
    <w:rsid w:val="00D83169"/>
    <w:rsid w:val="00D837CB"/>
    <w:rsid w:val="00D83BCC"/>
    <w:rsid w:val="00D8447A"/>
    <w:rsid w:val="00D84DAF"/>
    <w:rsid w:val="00D854D2"/>
    <w:rsid w:val="00D858D8"/>
    <w:rsid w:val="00D86A79"/>
    <w:rsid w:val="00D86E21"/>
    <w:rsid w:val="00D907F8"/>
    <w:rsid w:val="00D93358"/>
    <w:rsid w:val="00D95EE9"/>
    <w:rsid w:val="00D97C37"/>
    <w:rsid w:val="00DA20C0"/>
    <w:rsid w:val="00DA25FA"/>
    <w:rsid w:val="00DA3459"/>
    <w:rsid w:val="00DA397B"/>
    <w:rsid w:val="00DA4F61"/>
    <w:rsid w:val="00DA50DF"/>
    <w:rsid w:val="00DA5A29"/>
    <w:rsid w:val="00DA6B7B"/>
    <w:rsid w:val="00DA798E"/>
    <w:rsid w:val="00DA7BE6"/>
    <w:rsid w:val="00DB19A8"/>
    <w:rsid w:val="00DB31ED"/>
    <w:rsid w:val="00DB5107"/>
    <w:rsid w:val="00DB5586"/>
    <w:rsid w:val="00DB6B78"/>
    <w:rsid w:val="00DC1A6F"/>
    <w:rsid w:val="00DC6628"/>
    <w:rsid w:val="00DC74EB"/>
    <w:rsid w:val="00DD2344"/>
    <w:rsid w:val="00DD2E98"/>
    <w:rsid w:val="00DD3889"/>
    <w:rsid w:val="00DD3EA8"/>
    <w:rsid w:val="00DD57AC"/>
    <w:rsid w:val="00DD685A"/>
    <w:rsid w:val="00DD6A40"/>
    <w:rsid w:val="00DD6A7D"/>
    <w:rsid w:val="00DD791B"/>
    <w:rsid w:val="00DE0129"/>
    <w:rsid w:val="00DE0467"/>
    <w:rsid w:val="00DE3E7D"/>
    <w:rsid w:val="00DF0451"/>
    <w:rsid w:val="00DF0A2E"/>
    <w:rsid w:val="00DF5F19"/>
    <w:rsid w:val="00DF6E03"/>
    <w:rsid w:val="00E009E7"/>
    <w:rsid w:val="00E01221"/>
    <w:rsid w:val="00E014D8"/>
    <w:rsid w:val="00E02C7A"/>
    <w:rsid w:val="00E034E7"/>
    <w:rsid w:val="00E053E2"/>
    <w:rsid w:val="00E06D93"/>
    <w:rsid w:val="00E12260"/>
    <w:rsid w:val="00E12835"/>
    <w:rsid w:val="00E12BF5"/>
    <w:rsid w:val="00E14C30"/>
    <w:rsid w:val="00E1535E"/>
    <w:rsid w:val="00E167CA"/>
    <w:rsid w:val="00E1736A"/>
    <w:rsid w:val="00E21D3A"/>
    <w:rsid w:val="00E26BBB"/>
    <w:rsid w:val="00E3435D"/>
    <w:rsid w:val="00E3656B"/>
    <w:rsid w:val="00E37293"/>
    <w:rsid w:val="00E42083"/>
    <w:rsid w:val="00E42981"/>
    <w:rsid w:val="00E43B23"/>
    <w:rsid w:val="00E43E0B"/>
    <w:rsid w:val="00E43F40"/>
    <w:rsid w:val="00E43FD4"/>
    <w:rsid w:val="00E44E8B"/>
    <w:rsid w:val="00E4576F"/>
    <w:rsid w:val="00E464A8"/>
    <w:rsid w:val="00E4683E"/>
    <w:rsid w:val="00E47035"/>
    <w:rsid w:val="00E47073"/>
    <w:rsid w:val="00E47B6B"/>
    <w:rsid w:val="00E50199"/>
    <w:rsid w:val="00E507BA"/>
    <w:rsid w:val="00E507BC"/>
    <w:rsid w:val="00E50BF9"/>
    <w:rsid w:val="00E50E67"/>
    <w:rsid w:val="00E53618"/>
    <w:rsid w:val="00E53F66"/>
    <w:rsid w:val="00E54BEE"/>
    <w:rsid w:val="00E57A80"/>
    <w:rsid w:val="00E60F37"/>
    <w:rsid w:val="00E62672"/>
    <w:rsid w:val="00E63D42"/>
    <w:rsid w:val="00E64403"/>
    <w:rsid w:val="00E6576C"/>
    <w:rsid w:val="00E7161D"/>
    <w:rsid w:val="00E7410F"/>
    <w:rsid w:val="00E7437D"/>
    <w:rsid w:val="00E7480E"/>
    <w:rsid w:val="00E74F2D"/>
    <w:rsid w:val="00E75BAE"/>
    <w:rsid w:val="00E7758E"/>
    <w:rsid w:val="00E80F16"/>
    <w:rsid w:val="00E8367A"/>
    <w:rsid w:val="00E83947"/>
    <w:rsid w:val="00E83CF4"/>
    <w:rsid w:val="00E843C8"/>
    <w:rsid w:val="00E849D5"/>
    <w:rsid w:val="00E849FA"/>
    <w:rsid w:val="00E8650B"/>
    <w:rsid w:val="00E92F24"/>
    <w:rsid w:val="00E94046"/>
    <w:rsid w:val="00E95787"/>
    <w:rsid w:val="00E95B19"/>
    <w:rsid w:val="00E96EB4"/>
    <w:rsid w:val="00E97924"/>
    <w:rsid w:val="00EA0FA7"/>
    <w:rsid w:val="00EA3C79"/>
    <w:rsid w:val="00EA4D6F"/>
    <w:rsid w:val="00EA5B45"/>
    <w:rsid w:val="00EB13EA"/>
    <w:rsid w:val="00EB1A73"/>
    <w:rsid w:val="00EB1CE0"/>
    <w:rsid w:val="00EB1D9F"/>
    <w:rsid w:val="00EB7D52"/>
    <w:rsid w:val="00EC129B"/>
    <w:rsid w:val="00EC2AB9"/>
    <w:rsid w:val="00EC36F8"/>
    <w:rsid w:val="00EC3BC4"/>
    <w:rsid w:val="00EC6999"/>
    <w:rsid w:val="00EC6EA7"/>
    <w:rsid w:val="00EC6FC1"/>
    <w:rsid w:val="00EC7184"/>
    <w:rsid w:val="00EC7808"/>
    <w:rsid w:val="00ED185B"/>
    <w:rsid w:val="00ED3EE6"/>
    <w:rsid w:val="00ED53D2"/>
    <w:rsid w:val="00ED552D"/>
    <w:rsid w:val="00ED7F0B"/>
    <w:rsid w:val="00EE0C87"/>
    <w:rsid w:val="00EE42D0"/>
    <w:rsid w:val="00EE49DB"/>
    <w:rsid w:val="00EE5A0F"/>
    <w:rsid w:val="00EE5A67"/>
    <w:rsid w:val="00EE7AF8"/>
    <w:rsid w:val="00EF26DC"/>
    <w:rsid w:val="00EF401D"/>
    <w:rsid w:val="00EF4261"/>
    <w:rsid w:val="00EF5C82"/>
    <w:rsid w:val="00EF7F14"/>
    <w:rsid w:val="00F00524"/>
    <w:rsid w:val="00F0084D"/>
    <w:rsid w:val="00F01676"/>
    <w:rsid w:val="00F117B7"/>
    <w:rsid w:val="00F11E9F"/>
    <w:rsid w:val="00F1260E"/>
    <w:rsid w:val="00F1278A"/>
    <w:rsid w:val="00F14204"/>
    <w:rsid w:val="00F1656B"/>
    <w:rsid w:val="00F206A3"/>
    <w:rsid w:val="00F207EF"/>
    <w:rsid w:val="00F20F26"/>
    <w:rsid w:val="00F22A5F"/>
    <w:rsid w:val="00F243B7"/>
    <w:rsid w:val="00F2498B"/>
    <w:rsid w:val="00F25D35"/>
    <w:rsid w:val="00F30A4A"/>
    <w:rsid w:val="00F323AE"/>
    <w:rsid w:val="00F3410A"/>
    <w:rsid w:val="00F34DB3"/>
    <w:rsid w:val="00F35039"/>
    <w:rsid w:val="00F35BA9"/>
    <w:rsid w:val="00F46CF4"/>
    <w:rsid w:val="00F51F67"/>
    <w:rsid w:val="00F55769"/>
    <w:rsid w:val="00F55E97"/>
    <w:rsid w:val="00F56A5F"/>
    <w:rsid w:val="00F625B5"/>
    <w:rsid w:val="00F66811"/>
    <w:rsid w:val="00F66D5C"/>
    <w:rsid w:val="00F679D5"/>
    <w:rsid w:val="00F71724"/>
    <w:rsid w:val="00F7325B"/>
    <w:rsid w:val="00F733BA"/>
    <w:rsid w:val="00F76DA9"/>
    <w:rsid w:val="00F76E37"/>
    <w:rsid w:val="00F77131"/>
    <w:rsid w:val="00F80488"/>
    <w:rsid w:val="00F81161"/>
    <w:rsid w:val="00F820C3"/>
    <w:rsid w:val="00F82CFD"/>
    <w:rsid w:val="00F83F6E"/>
    <w:rsid w:val="00F84FD3"/>
    <w:rsid w:val="00F87000"/>
    <w:rsid w:val="00F8759B"/>
    <w:rsid w:val="00F90C0F"/>
    <w:rsid w:val="00F913E1"/>
    <w:rsid w:val="00F91D7D"/>
    <w:rsid w:val="00F92040"/>
    <w:rsid w:val="00F953F3"/>
    <w:rsid w:val="00F960F5"/>
    <w:rsid w:val="00FA0D59"/>
    <w:rsid w:val="00FA6AC0"/>
    <w:rsid w:val="00FB095A"/>
    <w:rsid w:val="00FB0DA4"/>
    <w:rsid w:val="00FB13C0"/>
    <w:rsid w:val="00FB170C"/>
    <w:rsid w:val="00FB49CE"/>
    <w:rsid w:val="00FB61AC"/>
    <w:rsid w:val="00FC02D1"/>
    <w:rsid w:val="00FC0540"/>
    <w:rsid w:val="00FC1F33"/>
    <w:rsid w:val="00FC2F6D"/>
    <w:rsid w:val="00FC35CA"/>
    <w:rsid w:val="00FC3954"/>
    <w:rsid w:val="00FC747B"/>
    <w:rsid w:val="00FC751D"/>
    <w:rsid w:val="00FD04E2"/>
    <w:rsid w:val="00FD10E9"/>
    <w:rsid w:val="00FD2F17"/>
    <w:rsid w:val="00FD5710"/>
    <w:rsid w:val="00FD57C2"/>
    <w:rsid w:val="00FD6728"/>
    <w:rsid w:val="00FE2711"/>
    <w:rsid w:val="00FE49D6"/>
    <w:rsid w:val="00FE63B9"/>
    <w:rsid w:val="00FE6A4D"/>
    <w:rsid w:val="00FE7185"/>
    <w:rsid w:val="00FF1631"/>
    <w:rsid w:val="00FF1BDE"/>
    <w:rsid w:val="00FF3C84"/>
    <w:rsid w:val="00FF4859"/>
    <w:rsid w:val="00FF5A79"/>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96621B"/>
    <w:pPr>
      <w:keepNext/>
      <w:tabs>
        <w:tab w:val="left" w:pos="-720"/>
      </w:tabs>
      <w:suppressAutoHyphens/>
      <w:autoSpaceDE/>
      <w:autoSpaceDN/>
      <w:spacing w:line="360" w:lineRule="auto"/>
      <w:outlineLvl w:val="0"/>
    </w:pPr>
    <w:rPr>
      <w:rFonts w:ascii="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124780"/>
    <w:rPr>
      <w:rFonts w:ascii="CG Times" w:hAnsi="CG Times" w:cs="CG Times"/>
      <w:sz w:val="24"/>
      <w:szCs w:val="24"/>
    </w:rPr>
  </w:style>
  <w:style w:type="paragraph" w:customStyle="1" w:styleId="Style">
    <w:name w:val="Style"/>
    <w:rsid w:val="003133AC"/>
    <w:pPr>
      <w:widowControl w:val="0"/>
      <w:autoSpaceDE w:val="0"/>
      <w:autoSpaceDN w:val="0"/>
      <w:adjustRightInd w:val="0"/>
    </w:pPr>
    <w:rPr>
      <w:sz w:val="24"/>
      <w:szCs w:val="24"/>
    </w:rPr>
  </w:style>
  <w:style w:type="character" w:customStyle="1" w:styleId="HeaderChar">
    <w:name w:val="Header Char"/>
    <w:link w:val="Header"/>
    <w:uiPriority w:val="99"/>
    <w:rsid w:val="003133AC"/>
    <w:rPr>
      <w:rFonts w:ascii="CG Times" w:hAnsi="CG Times" w:cs="CG Times"/>
      <w:sz w:val="24"/>
      <w:szCs w:val="24"/>
    </w:rPr>
  </w:style>
  <w:style w:type="character" w:customStyle="1" w:styleId="FootnoteTextChar">
    <w:name w:val="Footnote Text Char"/>
    <w:link w:val="FootnoteText"/>
    <w:rsid w:val="00392EFE"/>
    <w:rPr>
      <w:rFonts w:ascii="CG Times" w:hAnsi="CG Times" w:cs="CG Times"/>
      <w:sz w:val="24"/>
      <w:szCs w:val="24"/>
    </w:rPr>
  </w:style>
  <w:style w:type="paragraph" w:styleId="BodyText">
    <w:name w:val="Body Text"/>
    <w:basedOn w:val="Normal"/>
    <w:link w:val="BodyTextChar"/>
    <w:rsid w:val="00392EFE"/>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link w:val="BodyText"/>
    <w:rsid w:val="00392EFE"/>
    <w:rPr>
      <w:sz w:val="24"/>
    </w:rPr>
  </w:style>
  <w:style w:type="paragraph" w:styleId="ListParagraph">
    <w:name w:val="List Paragraph"/>
    <w:basedOn w:val="Normal"/>
    <w:uiPriority w:val="34"/>
    <w:qFormat/>
    <w:rsid w:val="00C150A1"/>
    <w:pPr>
      <w:ind w:left="720"/>
    </w:pPr>
  </w:style>
  <w:style w:type="table" w:styleId="TableGrid">
    <w:name w:val="Table Grid"/>
    <w:basedOn w:val="TableNormal"/>
    <w:rsid w:val="00514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96621B"/>
    <w:rPr>
      <w:b/>
      <w:sz w:val="26"/>
    </w:rPr>
  </w:style>
  <w:style w:type="character" w:customStyle="1" w:styleId="term1">
    <w:name w:val="term1"/>
    <w:rsid w:val="0096621B"/>
    <w:rPr>
      <w:b/>
      <w:bCs/>
    </w:rPr>
  </w:style>
  <w:style w:type="character" w:styleId="Emphasis">
    <w:name w:val="Emphasis"/>
    <w:qFormat/>
    <w:rsid w:val="0096621B"/>
    <w:rPr>
      <w:i/>
      <w:iCs/>
    </w:rPr>
  </w:style>
  <w:style w:type="paragraph" w:styleId="PlainText">
    <w:name w:val="Plain Text"/>
    <w:basedOn w:val="Normal"/>
    <w:link w:val="PlainTextChar"/>
    <w:uiPriority w:val="99"/>
    <w:unhideWhenUsed/>
    <w:rsid w:val="00D57A83"/>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D57A83"/>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96621B"/>
    <w:pPr>
      <w:keepNext/>
      <w:tabs>
        <w:tab w:val="left" w:pos="-720"/>
      </w:tabs>
      <w:suppressAutoHyphens/>
      <w:autoSpaceDE/>
      <w:autoSpaceDN/>
      <w:spacing w:line="360" w:lineRule="auto"/>
      <w:outlineLvl w:val="0"/>
    </w:pPr>
    <w:rPr>
      <w:rFonts w:ascii="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124780"/>
    <w:rPr>
      <w:rFonts w:ascii="CG Times" w:hAnsi="CG Times" w:cs="CG Times"/>
      <w:sz w:val="24"/>
      <w:szCs w:val="24"/>
    </w:rPr>
  </w:style>
  <w:style w:type="paragraph" w:customStyle="1" w:styleId="Style">
    <w:name w:val="Style"/>
    <w:rsid w:val="003133AC"/>
    <w:pPr>
      <w:widowControl w:val="0"/>
      <w:autoSpaceDE w:val="0"/>
      <w:autoSpaceDN w:val="0"/>
      <w:adjustRightInd w:val="0"/>
    </w:pPr>
    <w:rPr>
      <w:sz w:val="24"/>
      <w:szCs w:val="24"/>
    </w:rPr>
  </w:style>
  <w:style w:type="character" w:customStyle="1" w:styleId="HeaderChar">
    <w:name w:val="Header Char"/>
    <w:link w:val="Header"/>
    <w:uiPriority w:val="99"/>
    <w:rsid w:val="003133AC"/>
    <w:rPr>
      <w:rFonts w:ascii="CG Times" w:hAnsi="CG Times" w:cs="CG Times"/>
      <w:sz w:val="24"/>
      <w:szCs w:val="24"/>
    </w:rPr>
  </w:style>
  <w:style w:type="character" w:customStyle="1" w:styleId="FootnoteTextChar">
    <w:name w:val="Footnote Text Char"/>
    <w:link w:val="FootnoteText"/>
    <w:rsid w:val="00392EFE"/>
    <w:rPr>
      <w:rFonts w:ascii="CG Times" w:hAnsi="CG Times" w:cs="CG Times"/>
      <w:sz w:val="24"/>
      <w:szCs w:val="24"/>
    </w:rPr>
  </w:style>
  <w:style w:type="paragraph" w:styleId="BodyText">
    <w:name w:val="Body Text"/>
    <w:basedOn w:val="Normal"/>
    <w:link w:val="BodyTextChar"/>
    <w:rsid w:val="00392EFE"/>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link w:val="BodyText"/>
    <w:rsid w:val="00392EFE"/>
    <w:rPr>
      <w:sz w:val="24"/>
    </w:rPr>
  </w:style>
  <w:style w:type="paragraph" w:styleId="ListParagraph">
    <w:name w:val="List Paragraph"/>
    <w:basedOn w:val="Normal"/>
    <w:uiPriority w:val="34"/>
    <w:qFormat/>
    <w:rsid w:val="00C150A1"/>
    <w:pPr>
      <w:ind w:left="720"/>
    </w:pPr>
  </w:style>
  <w:style w:type="table" w:styleId="TableGrid">
    <w:name w:val="Table Grid"/>
    <w:basedOn w:val="TableNormal"/>
    <w:rsid w:val="00514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96621B"/>
    <w:rPr>
      <w:b/>
      <w:sz w:val="26"/>
    </w:rPr>
  </w:style>
  <w:style w:type="character" w:customStyle="1" w:styleId="term1">
    <w:name w:val="term1"/>
    <w:rsid w:val="0096621B"/>
    <w:rPr>
      <w:b/>
      <w:bCs/>
    </w:rPr>
  </w:style>
  <w:style w:type="character" w:styleId="Emphasis">
    <w:name w:val="Emphasis"/>
    <w:qFormat/>
    <w:rsid w:val="0096621B"/>
    <w:rPr>
      <w:i/>
      <w:iCs/>
    </w:rPr>
  </w:style>
  <w:style w:type="paragraph" w:styleId="PlainText">
    <w:name w:val="Plain Text"/>
    <w:basedOn w:val="Normal"/>
    <w:link w:val="PlainTextChar"/>
    <w:uiPriority w:val="99"/>
    <w:unhideWhenUsed/>
    <w:rsid w:val="00D57A83"/>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D57A83"/>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683748">
      <w:bodyDiv w:val="1"/>
      <w:marLeft w:val="0"/>
      <w:marRight w:val="0"/>
      <w:marTop w:val="0"/>
      <w:marBottom w:val="0"/>
      <w:divBdr>
        <w:top w:val="none" w:sz="0" w:space="0" w:color="auto"/>
        <w:left w:val="none" w:sz="0" w:space="0" w:color="auto"/>
        <w:bottom w:val="none" w:sz="0" w:space="0" w:color="auto"/>
        <w:right w:val="none" w:sz="0" w:space="0" w:color="auto"/>
      </w:divBdr>
    </w:div>
    <w:div w:id="149029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B30E4-05B6-4D63-8AB8-80C8240C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15</Pages>
  <Words>4078</Words>
  <Characters>23246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27270</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Hinds, Margaret</cp:lastModifiedBy>
  <cp:revision>10</cp:revision>
  <cp:lastPrinted>2012-12-20T17:07:00Z</cp:lastPrinted>
  <dcterms:created xsi:type="dcterms:W3CDTF">2012-11-09T16:03:00Z</dcterms:created>
  <dcterms:modified xsi:type="dcterms:W3CDTF">2012-12-20T17:07:00Z</dcterms:modified>
</cp:coreProperties>
</file>