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601F5F" w:rsidRDefault="00601F5F" w:rsidP="00CF4780">
      <w:r>
        <w:t>Selena Ricks for Mortgage Shoppers</w:t>
      </w:r>
      <w:r>
        <w:tab/>
      </w:r>
      <w:r>
        <w:tab/>
        <w:t>:</w:t>
      </w:r>
    </w:p>
    <w:p w:rsidR="00CF4780" w:rsidRDefault="00601F5F" w:rsidP="00CF4780">
      <w:proofErr w:type="gramStart"/>
      <w:r>
        <w:t>Financial, Inc.</w:t>
      </w:r>
      <w:proofErr w:type="gramEnd"/>
      <w:r w:rsidR="00717239">
        <w:tab/>
      </w:r>
      <w:r w:rsidR="00717239">
        <w:tab/>
      </w:r>
      <w:r w:rsidR="00717239">
        <w:tab/>
      </w:r>
      <w:r w:rsidR="00CF4780">
        <w:tab/>
      </w:r>
      <w:r>
        <w:tab/>
      </w:r>
      <w:r w:rsidR="00CF4780">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w:t>
      </w:r>
      <w:r w:rsidR="007575B7">
        <w:t>3</w:t>
      </w:r>
      <w:r w:rsidR="00601F5F">
        <w:t>25257</w:t>
      </w:r>
    </w:p>
    <w:p w:rsidR="00CF4780" w:rsidRDefault="00CF4780" w:rsidP="00CF4780">
      <w:r>
        <w:tab/>
      </w:r>
      <w:r>
        <w:tab/>
      </w:r>
      <w:r>
        <w:tab/>
      </w:r>
      <w:r>
        <w:tab/>
      </w:r>
      <w:r>
        <w:tab/>
      </w:r>
      <w:r>
        <w:tab/>
        <w:t>:</w:t>
      </w:r>
    </w:p>
    <w:p w:rsidR="00CF4780" w:rsidRDefault="00601F5F" w:rsidP="00CF4780">
      <w:r>
        <w:t xml:space="preserve">PECO Energy </w:t>
      </w:r>
      <w:r w:rsidR="007575B7">
        <w:t>Company</w:t>
      </w:r>
      <w:r>
        <w:tab/>
      </w:r>
      <w:r w:rsidR="00CF4780">
        <w:tab/>
      </w:r>
      <w:r w:rsidR="00CF4780">
        <w:tab/>
        <w:t>:</w:t>
      </w:r>
    </w:p>
    <w:p w:rsidR="00CF4780" w:rsidRDefault="00CF4780" w:rsidP="00CF4780"/>
    <w:p w:rsidR="00CF4780" w:rsidRDefault="00CF4780" w:rsidP="00CF4780"/>
    <w:p w:rsidR="008B22BE" w:rsidRDefault="008B22BE" w:rsidP="008B22BE">
      <w:pPr>
        <w:tabs>
          <w:tab w:val="center" w:pos="3960"/>
        </w:tabs>
        <w:suppressAutoHyphens/>
        <w:ind w:right="-720"/>
        <w:jc w:val="center"/>
      </w:pPr>
    </w:p>
    <w:p w:rsidR="00007CCF" w:rsidRDefault="00EC47BC" w:rsidP="008B22BE">
      <w:pPr>
        <w:tabs>
          <w:tab w:val="center" w:pos="4320"/>
        </w:tabs>
        <w:suppressAutoHyphens/>
        <w:ind w:right="-720"/>
        <w:jc w:val="center"/>
        <w:rPr>
          <w:b/>
          <w:bCs/>
          <w:spacing w:val="-3"/>
          <w:u w:val="single"/>
        </w:rPr>
      </w:pPr>
      <w:r>
        <w:rPr>
          <w:b/>
          <w:bCs/>
          <w:spacing w:val="-3"/>
          <w:u w:val="single"/>
        </w:rPr>
        <w:t>INITIAL DECISION GRANTING PRE</w:t>
      </w:r>
      <w:r w:rsidR="0024241A">
        <w:rPr>
          <w:b/>
          <w:bCs/>
          <w:spacing w:val="-3"/>
          <w:u w:val="single"/>
        </w:rPr>
        <w:t>L</w:t>
      </w:r>
      <w:r>
        <w:rPr>
          <w:b/>
          <w:bCs/>
          <w:spacing w:val="-3"/>
          <w:u w:val="single"/>
        </w:rPr>
        <w:t>IMINARY</w:t>
      </w:r>
    </w:p>
    <w:p w:rsidR="00EC47BC" w:rsidRPr="00F83F79" w:rsidRDefault="00EC47BC" w:rsidP="008B22BE">
      <w:pPr>
        <w:tabs>
          <w:tab w:val="center" w:pos="4320"/>
        </w:tabs>
        <w:suppressAutoHyphens/>
        <w:ind w:right="-720"/>
        <w:jc w:val="center"/>
        <w:rPr>
          <w:b/>
          <w:bCs/>
          <w:spacing w:val="-3"/>
        </w:rPr>
      </w:pPr>
      <w:r>
        <w:rPr>
          <w:b/>
          <w:bCs/>
          <w:spacing w:val="-3"/>
          <w:u w:val="single"/>
        </w:rPr>
        <w:t>OBJECTIONS AND DISMISSING COMPLAINT</w:t>
      </w:r>
    </w:p>
    <w:p w:rsidR="00F83F79" w:rsidRPr="00F83F79" w:rsidRDefault="00F83F79" w:rsidP="00F83F79">
      <w:pPr>
        <w:tabs>
          <w:tab w:val="left" w:pos="-720"/>
        </w:tabs>
        <w:suppressAutoHyphens/>
        <w:autoSpaceDE w:val="0"/>
        <w:autoSpaceDN w:val="0"/>
        <w:spacing w:line="360" w:lineRule="auto"/>
        <w:ind w:firstLine="1440"/>
        <w:rPr>
          <w:spacing w:val="-3"/>
        </w:rPr>
      </w:pPr>
    </w:p>
    <w:p w:rsidR="00115FAC" w:rsidRPr="00115FAC" w:rsidRDefault="00115FAC" w:rsidP="00115FAC">
      <w:pPr>
        <w:autoSpaceDE w:val="0"/>
        <w:autoSpaceDN w:val="0"/>
        <w:jc w:val="center"/>
      </w:pPr>
      <w:r w:rsidRPr="00115FAC">
        <w:t>Before</w:t>
      </w:r>
    </w:p>
    <w:p w:rsidR="00115FAC" w:rsidRPr="00115FAC" w:rsidRDefault="00115FAC" w:rsidP="00115FAC">
      <w:pPr>
        <w:autoSpaceDE w:val="0"/>
        <w:autoSpaceDN w:val="0"/>
        <w:jc w:val="center"/>
      </w:pPr>
      <w:r w:rsidRPr="00115FAC">
        <w:t>Dennis J. Buckley</w:t>
      </w:r>
    </w:p>
    <w:p w:rsidR="00115FAC" w:rsidRPr="00115FAC" w:rsidRDefault="00115FAC" w:rsidP="00115FAC">
      <w:pPr>
        <w:autoSpaceDE w:val="0"/>
        <w:autoSpaceDN w:val="0"/>
        <w:jc w:val="center"/>
      </w:pPr>
      <w:r w:rsidRPr="00115FAC">
        <w:t>Administrative Law Judge</w:t>
      </w:r>
    </w:p>
    <w:p w:rsidR="00F83F79" w:rsidRDefault="00F83F79" w:rsidP="00F83F79">
      <w:pPr>
        <w:tabs>
          <w:tab w:val="left" w:pos="-720"/>
        </w:tabs>
        <w:suppressAutoHyphens/>
        <w:autoSpaceDE w:val="0"/>
        <w:autoSpaceDN w:val="0"/>
        <w:spacing w:line="360" w:lineRule="auto"/>
        <w:ind w:right="-720"/>
      </w:pPr>
    </w:p>
    <w:p w:rsidR="00F83F79" w:rsidRPr="00F83F79" w:rsidRDefault="00F83F79" w:rsidP="008B22BE">
      <w:pPr>
        <w:tabs>
          <w:tab w:val="left" w:pos="-720"/>
        </w:tabs>
        <w:suppressAutoHyphens/>
        <w:autoSpaceDE w:val="0"/>
        <w:autoSpaceDN w:val="0"/>
        <w:spacing w:line="360" w:lineRule="auto"/>
      </w:pPr>
      <w:r w:rsidRPr="00F83F79">
        <w:tab/>
      </w:r>
      <w:r w:rsidRPr="00F83F79">
        <w:tab/>
        <w:t xml:space="preserve">This </w:t>
      </w:r>
      <w:r w:rsidR="00480441">
        <w:t xml:space="preserve">Initial Decision </w:t>
      </w:r>
      <w:r w:rsidRPr="00F83F79">
        <w:t xml:space="preserve">grants the Preliminary Objections filed by </w:t>
      </w:r>
      <w:r w:rsidR="00601F5F">
        <w:t>PECO Energy Company</w:t>
      </w:r>
      <w:r w:rsidRPr="00F83F79">
        <w:t xml:space="preserve"> (</w:t>
      </w:r>
      <w:r w:rsidR="00601F5F">
        <w:t>PECO</w:t>
      </w:r>
      <w:r w:rsidRPr="00F83F79">
        <w:t xml:space="preserve"> or Respondent) in this case </w:t>
      </w:r>
      <w:r w:rsidR="00F05EAC">
        <w:t xml:space="preserve">to the formal Complaint filed by </w:t>
      </w:r>
      <w:r w:rsidR="00F05EAC" w:rsidRPr="00F05EAC">
        <w:t>Selena Ricks in her capacity as owner of Mortgage Shoppers Financial, Inc. (Complainant).</w:t>
      </w:r>
      <w:r w:rsidR="005F3559">
        <w:rPr>
          <w:rStyle w:val="FootnoteReference"/>
        </w:rPr>
        <w:footnoteReference w:id="1"/>
      </w:r>
      <w:r w:rsidR="00F05EAC" w:rsidRPr="00F05EAC">
        <w:t xml:space="preserve">  </w:t>
      </w:r>
      <w:r w:rsidR="00F05EAC">
        <w:t xml:space="preserve">The Preliminary Objections ask that the Complaint be dismissed </w:t>
      </w:r>
      <w:r w:rsidRPr="00F83F79">
        <w:t xml:space="preserve">on grounds </w:t>
      </w:r>
      <w:r w:rsidR="008B22BE">
        <w:t>of lack of legal sufficiency</w:t>
      </w:r>
      <w:r w:rsidRPr="00F83F79">
        <w:t>.</w:t>
      </w:r>
    </w:p>
    <w:p w:rsidR="00F83F79" w:rsidRDefault="00F83F79" w:rsidP="000962F2">
      <w:pPr>
        <w:spacing w:line="360" w:lineRule="auto"/>
        <w:ind w:firstLine="1440"/>
      </w:pPr>
    </w:p>
    <w:p w:rsidR="00F83F79" w:rsidRPr="00F83F79" w:rsidRDefault="00F83F79" w:rsidP="00F83F79">
      <w:pPr>
        <w:spacing w:line="360" w:lineRule="auto"/>
        <w:jc w:val="center"/>
        <w:rPr>
          <w:u w:val="single"/>
        </w:rPr>
      </w:pPr>
      <w:r>
        <w:rPr>
          <w:u w:val="single"/>
        </w:rPr>
        <w:t>HISTORY</w:t>
      </w:r>
    </w:p>
    <w:p w:rsidR="00F83F79" w:rsidRDefault="00F83F79" w:rsidP="000962F2">
      <w:pPr>
        <w:spacing w:line="360" w:lineRule="auto"/>
        <w:ind w:firstLine="1440"/>
      </w:pPr>
    </w:p>
    <w:p w:rsidR="00FC016D" w:rsidRDefault="000962F2" w:rsidP="000962F2">
      <w:pPr>
        <w:spacing w:line="360" w:lineRule="auto"/>
        <w:ind w:firstLine="1440"/>
      </w:pPr>
      <w:r w:rsidRPr="007F27A1">
        <w:t xml:space="preserve">On </w:t>
      </w:r>
      <w:r w:rsidR="00FC016D">
        <w:t xml:space="preserve">September 13, 2012, Selena Ricks </w:t>
      </w:r>
      <w:r w:rsidRPr="007F27A1">
        <w:t xml:space="preserve">filed a formal Complaint </w:t>
      </w:r>
      <w:r w:rsidR="00FC016D">
        <w:t xml:space="preserve">in her capacity as owner of </w:t>
      </w:r>
      <w:r w:rsidR="004A3F84">
        <w:t>Complainant.</w:t>
      </w:r>
      <w:r w:rsidR="00FC016D">
        <w:t xml:space="preserve">  According to the records of the Pennsylvania Department of State</w:t>
      </w:r>
      <w:r w:rsidR="005F3559">
        <w:t>’s</w:t>
      </w:r>
      <w:r w:rsidR="00FC016D">
        <w:t xml:space="preserve"> Corporation Bureau, Ms. Ricks is also the President of </w:t>
      </w:r>
      <w:r w:rsidR="00FC016D" w:rsidRPr="00FC016D">
        <w:t>Mor</w:t>
      </w:r>
      <w:r w:rsidR="00FC016D">
        <w:t>tgage Shoppers Financial, Inc., which is an active, non-stock</w:t>
      </w:r>
      <w:r w:rsidR="00480441">
        <w:t xml:space="preserve"> Pennsylvania c</w:t>
      </w:r>
      <w:r w:rsidR="00FC016D">
        <w:t xml:space="preserve">orporation.  </w:t>
      </w:r>
    </w:p>
    <w:p w:rsidR="00FC016D" w:rsidRDefault="00FC016D" w:rsidP="000962F2">
      <w:pPr>
        <w:spacing w:line="360" w:lineRule="auto"/>
        <w:ind w:firstLine="1440"/>
      </w:pPr>
    </w:p>
    <w:p w:rsidR="004A3F84" w:rsidRDefault="00775D75" w:rsidP="000962F2">
      <w:pPr>
        <w:spacing w:line="360" w:lineRule="auto"/>
        <w:ind w:firstLine="1440"/>
      </w:pPr>
      <w:r>
        <w:t>C</w:t>
      </w:r>
      <w:r w:rsidR="00D82CCD">
        <w:t xml:space="preserve">omplainant contends that </w:t>
      </w:r>
      <w:r w:rsidR="004A3F84">
        <w:t xml:space="preserve">PECO has refused to provide a payment arrangement </w:t>
      </w:r>
      <w:r w:rsidR="00DA7CD3">
        <w:t xml:space="preserve">for an overdue account </w:t>
      </w:r>
      <w:r w:rsidR="004A3F84">
        <w:t xml:space="preserve">and asks that the Commission impose a payment arrangement of </w:t>
      </w:r>
      <w:r w:rsidR="00DA7CD3">
        <w:t xml:space="preserve">an </w:t>
      </w:r>
      <w:r w:rsidR="00DA7CD3">
        <w:lastRenderedPageBreak/>
        <w:t xml:space="preserve">initial payment of </w:t>
      </w:r>
      <w:r w:rsidR="004A3F84">
        <w:t>$453</w:t>
      </w:r>
      <w:r w:rsidR="00B42DBB">
        <w:t>.00</w:t>
      </w:r>
      <w:r w:rsidR="004A3F84">
        <w:t xml:space="preserve"> followed by payments of $165</w:t>
      </w:r>
      <w:r w:rsidR="00B42DBB">
        <w:t>.00</w:t>
      </w:r>
      <w:r w:rsidR="004A3F84">
        <w:t xml:space="preserve"> per month plus current charges until the arrearage is paid.  Complainant anticipates that this would take twelve months.</w:t>
      </w:r>
    </w:p>
    <w:p w:rsidR="004A3F84" w:rsidRDefault="004A3F84" w:rsidP="000962F2">
      <w:pPr>
        <w:spacing w:line="360" w:lineRule="auto"/>
        <w:ind w:firstLine="1440"/>
      </w:pPr>
    </w:p>
    <w:p w:rsidR="00775D75" w:rsidRDefault="004A3F84" w:rsidP="000962F2">
      <w:pPr>
        <w:spacing w:line="360" w:lineRule="auto"/>
        <w:ind w:firstLine="1440"/>
      </w:pPr>
      <w:r>
        <w:t>T</w:t>
      </w:r>
      <w:r w:rsidR="001B4A47">
        <w:t xml:space="preserve">he Complaint was served on </w:t>
      </w:r>
      <w:r>
        <w:t>September 20, 2012</w:t>
      </w:r>
      <w:r w:rsidR="00D82CCD">
        <w:t xml:space="preserve">, and on </w:t>
      </w:r>
      <w:r>
        <w:t>September 26, 2012</w:t>
      </w:r>
      <w:r w:rsidR="00D82CCD">
        <w:t xml:space="preserve">, </w:t>
      </w:r>
      <w:r>
        <w:t>PECO</w:t>
      </w:r>
      <w:r w:rsidR="00775D75">
        <w:t xml:space="preserve"> </w:t>
      </w:r>
      <w:r w:rsidR="00D82CCD">
        <w:t xml:space="preserve">filed an Answer </w:t>
      </w:r>
      <w:r>
        <w:t>and New Matter, properly endorsed with a Notice to Plead</w:t>
      </w:r>
      <w:r w:rsidR="001B4A47">
        <w:t xml:space="preserve">.  </w:t>
      </w:r>
      <w:r w:rsidR="00D82CCD">
        <w:t>In that Answer, P</w:t>
      </w:r>
      <w:r>
        <w:t>ECO denied any violation of the Public Utility Cod</w:t>
      </w:r>
      <w:r w:rsidR="005F3559">
        <w:t>e</w:t>
      </w:r>
      <w:r>
        <w:t xml:space="preserve"> (Code) and asserted that because Complainant is a commercial enterprise, it is not entitled to a payment arrangement</w:t>
      </w:r>
      <w:r w:rsidR="00D82CCD">
        <w:t>.</w:t>
      </w:r>
      <w:r w:rsidR="00DC155E">
        <w:t xml:space="preserve">  In its New Matter, PECO contends that the Complaint in this case should be dismissed for failure </w:t>
      </w:r>
      <w:r w:rsidR="00DA7CD3">
        <w:t xml:space="preserve">on the part of the Complainant </w:t>
      </w:r>
      <w:r w:rsidR="00DC155E">
        <w:t>to be represented by an attorney in an adversarial proceeding.</w:t>
      </w:r>
      <w:r w:rsidR="00DA7CD3">
        <w:t xml:space="preserve">  </w:t>
      </w:r>
      <w:r w:rsidR="00DA7CD3" w:rsidRPr="00DA7CD3">
        <w:t>To date, no responsive pleading has been filed by the Complainant to</w:t>
      </w:r>
      <w:r w:rsidR="00DA7CD3">
        <w:t xml:space="preserve"> PECO’s New Matter.</w:t>
      </w:r>
    </w:p>
    <w:p w:rsidR="00D82CCD" w:rsidRDefault="00775D75" w:rsidP="000962F2">
      <w:pPr>
        <w:spacing w:line="360" w:lineRule="auto"/>
        <w:ind w:firstLine="1440"/>
      </w:pPr>
      <w:r>
        <w:t xml:space="preserve"> </w:t>
      </w:r>
    </w:p>
    <w:p w:rsidR="006C095B" w:rsidRDefault="00D82CCD" w:rsidP="000962F2">
      <w:pPr>
        <w:spacing w:line="360" w:lineRule="auto"/>
        <w:ind w:firstLine="1440"/>
      </w:pPr>
      <w:r>
        <w:t xml:space="preserve">Also on </w:t>
      </w:r>
      <w:r w:rsidR="00DC155E">
        <w:t>September 2</w:t>
      </w:r>
      <w:r w:rsidR="00DA7CD3">
        <w:t>6</w:t>
      </w:r>
      <w:r w:rsidR="00DC155E">
        <w:t>, 2012</w:t>
      </w:r>
      <w:r>
        <w:t xml:space="preserve">, </w:t>
      </w:r>
      <w:r w:rsidR="00DC155E">
        <w:t>PECO</w:t>
      </w:r>
      <w:r w:rsidR="00775D75">
        <w:t xml:space="preserve"> </w:t>
      </w:r>
      <w:r>
        <w:t>filed Preliminary Objections to the Complaint.  The Preliminary Objections were properly endorsed with a Notice to Plead.  To date, no responsive pleading has been f</w:t>
      </w:r>
      <w:r w:rsidR="001060C5">
        <w:t>iled by the Complainant to the P</w:t>
      </w:r>
      <w:r>
        <w:t xml:space="preserve">reliminary Objections.  </w:t>
      </w:r>
      <w:r w:rsidR="008B22BE" w:rsidRPr="008B22BE">
        <w:t>In its Preliminary Objections, PECO requested that the Complainant’s demand for a Commission</w:t>
      </w:r>
      <w:r w:rsidR="003C31C3">
        <w:t xml:space="preserve"> </w:t>
      </w:r>
      <w:r w:rsidR="008B22BE" w:rsidRPr="008B22BE">
        <w:t>directed payment arrangement be denied because Complainant, as a commercial customer, has no legally enforceable right to a payment arrangement.</w:t>
      </w:r>
      <w:r w:rsidR="00B42DBB">
        <w:t xml:space="preserve">  Therefore, the Complaint is not legally sufficient.</w:t>
      </w:r>
    </w:p>
    <w:p w:rsidR="006C095B" w:rsidRDefault="006C095B" w:rsidP="000962F2">
      <w:pPr>
        <w:spacing w:line="360" w:lineRule="auto"/>
        <w:ind w:firstLine="1440"/>
      </w:pPr>
    </w:p>
    <w:p w:rsidR="006C095B" w:rsidRDefault="006C095B" w:rsidP="000962F2">
      <w:pPr>
        <w:spacing w:line="360" w:lineRule="auto"/>
        <w:ind w:firstLine="1440"/>
      </w:pPr>
      <w:r w:rsidRPr="006C095B">
        <w:t>This case was assigned to me as Motion Judge on</w:t>
      </w:r>
      <w:r>
        <w:t xml:space="preserve"> October 9, 2012.</w:t>
      </w:r>
    </w:p>
    <w:p w:rsidR="006C095B" w:rsidRDefault="006C095B" w:rsidP="000962F2">
      <w:pPr>
        <w:spacing w:line="360" w:lineRule="auto"/>
        <w:ind w:firstLine="1440"/>
      </w:pPr>
    </w:p>
    <w:p w:rsidR="008B22BE" w:rsidRDefault="006C095B" w:rsidP="006C095B">
      <w:pPr>
        <w:spacing w:line="360" w:lineRule="auto"/>
        <w:jc w:val="center"/>
      </w:pPr>
      <w:r>
        <w:rPr>
          <w:u w:val="single"/>
        </w:rPr>
        <w:t>FINDINGS OF FACT</w:t>
      </w:r>
    </w:p>
    <w:p w:rsidR="006C095B" w:rsidRDefault="006C095B" w:rsidP="006C095B">
      <w:pPr>
        <w:spacing w:line="360" w:lineRule="auto"/>
      </w:pPr>
    </w:p>
    <w:p w:rsidR="006C095B" w:rsidRDefault="006C095B" w:rsidP="006C095B">
      <w:pPr>
        <w:spacing w:line="360" w:lineRule="auto"/>
      </w:pPr>
      <w:r>
        <w:tab/>
      </w:r>
      <w:r>
        <w:tab/>
        <w:t>1.</w:t>
      </w:r>
      <w:r>
        <w:tab/>
        <w:t xml:space="preserve">Complainant in this case is </w:t>
      </w:r>
      <w:r w:rsidRPr="006C095B">
        <w:t>Mortgage Shoppers Financial, Inc.</w:t>
      </w:r>
      <w:r>
        <w:t>,</w:t>
      </w:r>
      <w:r w:rsidRPr="006C095B">
        <w:t xml:space="preserve"> an active, non-stock Pennsylvania corporation</w:t>
      </w:r>
      <w:r>
        <w:t xml:space="preserve"> with an address at 2829 </w:t>
      </w:r>
      <w:proofErr w:type="spellStart"/>
      <w:r>
        <w:t>Edgmont</w:t>
      </w:r>
      <w:proofErr w:type="spellEnd"/>
      <w:r>
        <w:t xml:space="preserve"> Avenue, Chester, Pennsylvania.</w:t>
      </w:r>
    </w:p>
    <w:p w:rsidR="00EC47BC" w:rsidRDefault="00EC47BC" w:rsidP="006C095B">
      <w:pPr>
        <w:spacing w:line="360" w:lineRule="auto"/>
      </w:pPr>
    </w:p>
    <w:p w:rsidR="00EC47BC" w:rsidRDefault="00EC47BC" w:rsidP="006C095B">
      <w:pPr>
        <w:spacing w:line="360" w:lineRule="auto"/>
      </w:pPr>
      <w:r>
        <w:tab/>
      </w:r>
      <w:r>
        <w:tab/>
        <w:t>2.</w:t>
      </w:r>
      <w:r>
        <w:tab/>
      </w:r>
      <w:r w:rsidRPr="00EC47BC">
        <w:t>According to the</w:t>
      </w:r>
      <w:r>
        <w:t xml:space="preserve"> on-line</w:t>
      </w:r>
      <w:r w:rsidRPr="00EC47BC">
        <w:t xml:space="preserve"> records of the Pennsylvania Department of State’s Corporation Bureau,</w:t>
      </w:r>
      <w:r>
        <w:t xml:space="preserve"> Selena </w:t>
      </w:r>
      <w:r w:rsidRPr="00EC47BC">
        <w:t xml:space="preserve">Ricks is the </w:t>
      </w:r>
      <w:r>
        <w:t xml:space="preserve">owner and </w:t>
      </w:r>
      <w:r w:rsidRPr="00EC47BC">
        <w:t xml:space="preserve">President of </w:t>
      </w:r>
      <w:r>
        <w:t>Complainant</w:t>
      </w:r>
      <w:r w:rsidRPr="00EC47BC">
        <w:t>.</w:t>
      </w:r>
    </w:p>
    <w:p w:rsidR="00EC47BC" w:rsidRDefault="00EC47BC" w:rsidP="006C095B">
      <w:pPr>
        <w:spacing w:line="360" w:lineRule="auto"/>
      </w:pPr>
    </w:p>
    <w:p w:rsidR="00EC47BC" w:rsidRDefault="00EC47BC" w:rsidP="006C095B">
      <w:pPr>
        <w:spacing w:line="360" w:lineRule="auto"/>
      </w:pPr>
      <w:r>
        <w:lastRenderedPageBreak/>
        <w:tab/>
      </w:r>
      <w:r>
        <w:tab/>
        <w:t>3.</w:t>
      </w:r>
      <w:r>
        <w:tab/>
      </w:r>
      <w:r w:rsidRPr="00EC47BC">
        <w:t xml:space="preserve">According to the on-line records of the Disciplinary Board of the Supreme Court of Pennsylvania, Selena Ricks is not an attorney licensed to practice law in the Commonwealth.  </w:t>
      </w:r>
    </w:p>
    <w:p w:rsidR="006C095B" w:rsidRDefault="006C095B" w:rsidP="006C095B">
      <w:pPr>
        <w:spacing w:line="360" w:lineRule="auto"/>
      </w:pPr>
    </w:p>
    <w:p w:rsidR="006C095B" w:rsidRDefault="006C095B" w:rsidP="006C095B">
      <w:pPr>
        <w:spacing w:line="360" w:lineRule="auto"/>
      </w:pPr>
      <w:r>
        <w:tab/>
      </w:r>
      <w:r>
        <w:tab/>
      </w:r>
      <w:r w:rsidR="00EC47BC">
        <w:t>4</w:t>
      </w:r>
      <w:r>
        <w:t>.</w:t>
      </w:r>
      <w:r>
        <w:tab/>
        <w:t xml:space="preserve">Respondent in this case is PECO Energy </w:t>
      </w:r>
      <w:proofErr w:type="gramStart"/>
      <w:r>
        <w:t>Company,</w:t>
      </w:r>
      <w:proofErr w:type="gramEnd"/>
      <w:r>
        <w:t xml:space="preserve"> a jurisdictional electric distribution company that previously served Complainant.</w:t>
      </w:r>
    </w:p>
    <w:p w:rsidR="006C095B" w:rsidRDefault="006C095B" w:rsidP="006C095B">
      <w:pPr>
        <w:spacing w:line="360" w:lineRule="auto"/>
      </w:pPr>
    </w:p>
    <w:p w:rsidR="00BB5DE3" w:rsidRDefault="006C095B" w:rsidP="006C095B">
      <w:pPr>
        <w:spacing w:line="360" w:lineRule="auto"/>
      </w:pPr>
      <w:r>
        <w:tab/>
      </w:r>
      <w:r>
        <w:tab/>
      </w:r>
      <w:r w:rsidR="00EC47BC">
        <w:t>5</w:t>
      </w:r>
      <w:r>
        <w:t>.</w:t>
      </w:r>
      <w:r>
        <w:tab/>
        <w:t>On August 30, 2012, PECO terminated service to Complainant due to unpaid bills amounting to $2,451.41.  PECO Answer at 3</w:t>
      </w:r>
      <w:r w:rsidR="00BB5DE3">
        <w:t xml:space="preserve">; PECO Preliminary Objections at 2, </w:t>
      </w:r>
    </w:p>
    <w:p w:rsidR="006C095B" w:rsidRDefault="00BB5DE3" w:rsidP="006C095B">
      <w:pPr>
        <w:spacing w:line="360" w:lineRule="auto"/>
      </w:pPr>
      <w:proofErr w:type="gramStart"/>
      <w:r>
        <w:t>¶ 3</w:t>
      </w:r>
      <w:r w:rsidR="006C095B">
        <w:t>.</w:t>
      </w:r>
      <w:proofErr w:type="gramEnd"/>
    </w:p>
    <w:p w:rsidR="006C095B" w:rsidRDefault="006C095B" w:rsidP="006C095B">
      <w:pPr>
        <w:spacing w:line="360" w:lineRule="auto"/>
      </w:pPr>
    </w:p>
    <w:p w:rsidR="00BB5DE3" w:rsidRDefault="006C095B" w:rsidP="006C095B">
      <w:pPr>
        <w:spacing w:line="360" w:lineRule="auto"/>
      </w:pPr>
      <w:r>
        <w:tab/>
      </w:r>
      <w:r>
        <w:tab/>
      </w:r>
      <w:r w:rsidR="00EC47BC">
        <w:t>6</w:t>
      </w:r>
      <w:r>
        <w:t>.</w:t>
      </w:r>
      <w:r>
        <w:tab/>
        <w:t xml:space="preserve">On </w:t>
      </w:r>
      <w:r w:rsidRPr="006C095B">
        <w:t>September 13, 2012, Selena Ricks filed a formal Complaint in her capacity as owner of Complainant</w:t>
      </w:r>
      <w:r>
        <w:t>, asking that the Commission impose a payment arrangement in this matter</w:t>
      </w:r>
      <w:r w:rsidRPr="006C095B">
        <w:t xml:space="preserve">.  </w:t>
      </w:r>
    </w:p>
    <w:p w:rsidR="00EC47BC" w:rsidRDefault="00EC47BC" w:rsidP="006C095B">
      <w:pPr>
        <w:spacing w:line="360" w:lineRule="auto"/>
      </w:pPr>
    </w:p>
    <w:p w:rsidR="00BB5DE3" w:rsidRDefault="00BB5DE3" w:rsidP="006C095B">
      <w:pPr>
        <w:spacing w:line="360" w:lineRule="auto"/>
      </w:pPr>
      <w:r>
        <w:tab/>
      </w:r>
      <w:r>
        <w:tab/>
      </w:r>
      <w:r w:rsidR="00EC47BC">
        <w:t>7</w:t>
      </w:r>
      <w:r>
        <w:t>.</w:t>
      </w:r>
      <w:r>
        <w:tab/>
        <w:t>O</w:t>
      </w:r>
      <w:r w:rsidRPr="00BB5DE3">
        <w:t>n September 26, 2012, PECO filed Preliminary Objections to the Complaint</w:t>
      </w:r>
      <w:r>
        <w:t xml:space="preserve">, </w:t>
      </w:r>
      <w:r w:rsidRPr="00BB5DE3">
        <w:t>properly endorsed with a Notice to Plead</w:t>
      </w:r>
      <w:r>
        <w:t xml:space="preserve">, </w:t>
      </w:r>
      <w:r w:rsidRPr="00BB5DE3">
        <w:t>request</w:t>
      </w:r>
      <w:r>
        <w:t xml:space="preserve">ing </w:t>
      </w:r>
      <w:r w:rsidRPr="00BB5DE3">
        <w:t xml:space="preserve">that the Complainant’s demand for a Commission directed payment arrangement </w:t>
      </w:r>
      <w:proofErr w:type="gramStart"/>
      <w:r w:rsidRPr="00BB5DE3">
        <w:t>be</w:t>
      </w:r>
      <w:proofErr w:type="gramEnd"/>
      <w:r w:rsidRPr="00BB5DE3">
        <w:t xml:space="preserve"> denied because Complainant, as a commercial customer, has no legally enforceable right to a payment arrangement</w:t>
      </w:r>
      <w:r>
        <w:t>.  T</w:t>
      </w:r>
      <w:r w:rsidRPr="00BB5DE3">
        <w:t>herefore, the Complaint is not legally sufficient.</w:t>
      </w:r>
      <w:r>
        <w:t xml:space="preserve">  </w:t>
      </w:r>
      <w:proofErr w:type="gramStart"/>
      <w:r>
        <w:t>PECO Preliminary Objections at 4, ¶ 14.</w:t>
      </w:r>
      <w:proofErr w:type="gramEnd"/>
    </w:p>
    <w:p w:rsidR="00BB5DE3" w:rsidRDefault="00BB5DE3" w:rsidP="006C095B">
      <w:pPr>
        <w:spacing w:line="360" w:lineRule="auto"/>
      </w:pPr>
    </w:p>
    <w:p w:rsidR="00BB5DE3" w:rsidRDefault="00BB5DE3" w:rsidP="006C095B">
      <w:pPr>
        <w:spacing w:line="360" w:lineRule="auto"/>
      </w:pPr>
      <w:r>
        <w:tab/>
      </w:r>
      <w:r>
        <w:tab/>
      </w:r>
      <w:r w:rsidR="00EC47BC">
        <w:t>8</w:t>
      </w:r>
      <w:r>
        <w:t>.</w:t>
      </w:r>
      <w:r>
        <w:tab/>
      </w:r>
      <w:r w:rsidRPr="00BB5DE3">
        <w:t xml:space="preserve">To date, no responsive pleading has been filed by the Complainant to </w:t>
      </w:r>
      <w:r>
        <w:t>PECO’s</w:t>
      </w:r>
      <w:r w:rsidRPr="00BB5DE3">
        <w:t xml:space="preserve"> Preliminary Objections.</w:t>
      </w:r>
    </w:p>
    <w:p w:rsidR="00BB5DE3" w:rsidRDefault="00BB5DE3" w:rsidP="006C095B">
      <w:pPr>
        <w:spacing w:line="360" w:lineRule="auto"/>
      </w:pPr>
    </w:p>
    <w:p w:rsidR="00F814C8" w:rsidRDefault="00F814C8" w:rsidP="00F814C8">
      <w:pPr>
        <w:spacing w:line="360" w:lineRule="auto"/>
        <w:jc w:val="center"/>
        <w:rPr>
          <w:u w:val="single"/>
        </w:rPr>
      </w:pPr>
      <w:r>
        <w:rPr>
          <w:u w:val="single"/>
        </w:rPr>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ind w:left="720" w:firstLine="720"/>
      </w:pPr>
      <w:r>
        <w:lastRenderedPageBreak/>
        <w:t>Preliminary objections are limited to the following:</w:t>
      </w:r>
    </w:p>
    <w:p w:rsidR="00F814C8" w:rsidRDefault="00F814C8" w:rsidP="00F814C8">
      <w:pPr>
        <w:spacing w:line="360" w:lineRule="auto"/>
      </w:pPr>
    </w:p>
    <w:p w:rsidR="00F814C8" w:rsidRDefault="00F814C8" w:rsidP="00F814C8">
      <w:pPr>
        <w:ind w:left="1440" w:right="1440"/>
        <w:rPr>
          <w:b/>
        </w:rPr>
      </w:pPr>
      <w:r>
        <w:rPr>
          <w:b/>
        </w:rPr>
        <w:t>§ 5.101.  Preliminary objections.</w:t>
      </w:r>
    </w:p>
    <w:p w:rsidR="00D82CCD" w:rsidRDefault="00D82CCD" w:rsidP="00F814C8">
      <w:pPr>
        <w:ind w:left="1440" w:right="1440"/>
      </w:pPr>
    </w:p>
    <w:p w:rsidR="00F814C8" w:rsidRDefault="00F814C8" w:rsidP="00F814C8">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814C8" w:rsidRDefault="00F814C8" w:rsidP="00F814C8">
      <w:pPr>
        <w:ind w:left="1440" w:right="1440"/>
        <w:rPr>
          <w:i/>
        </w:rPr>
      </w:pPr>
    </w:p>
    <w:p w:rsidR="00F814C8" w:rsidRDefault="00F814C8" w:rsidP="00F814C8">
      <w:pPr>
        <w:ind w:left="1440" w:right="1440"/>
      </w:pPr>
      <w:r>
        <w:t>(1)  Lack of Commission jurisdiction or improper service of the pleading initiating the proceeding.</w:t>
      </w:r>
    </w:p>
    <w:p w:rsidR="00F814C8" w:rsidRDefault="00F814C8" w:rsidP="00F814C8">
      <w:pPr>
        <w:ind w:left="1440" w:right="1440"/>
      </w:pPr>
    </w:p>
    <w:p w:rsidR="00F814C8" w:rsidRDefault="00F814C8" w:rsidP="00F814C8">
      <w:pPr>
        <w:ind w:left="1440" w:right="1440"/>
      </w:pPr>
      <w:r>
        <w:t>(2)  Failure of a pleading to conform to this chapter or the inclusion of scandalous or impertinent matter.</w:t>
      </w:r>
    </w:p>
    <w:p w:rsidR="00F814C8" w:rsidRDefault="00F814C8" w:rsidP="00F814C8">
      <w:pPr>
        <w:ind w:left="1440" w:right="1440"/>
      </w:pPr>
    </w:p>
    <w:p w:rsidR="00F814C8" w:rsidRDefault="00F814C8" w:rsidP="00F814C8">
      <w:pPr>
        <w:ind w:left="1440" w:right="1440"/>
      </w:pPr>
      <w:r>
        <w:t>(3)  Insufficient specificity of a pleading.</w:t>
      </w:r>
    </w:p>
    <w:p w:rsidR="00F814C8" w:rsidRDefault="00F814C8" w:rsidP="00F814C8">
      <w:pPr>
        <w:ind w:left="1440" w:right="1440"/>
      </w:pPr>
    </w:p>
    <w:p w:rsidR="00F814C8" w:rsidRDefault="00F814C8" w:rsidP="00F814C8">
      <w:pPr>
        <w:ind w:left="1440" w:right="1440"/>
      </w:pPr>
      <w:r>
        <w:t>(4)  Legal insufficiency of a pleading.</w:t>
      </w:r>
    </w:p>
    <w:p w:rsidR="00F814C8" w:rsidRDefault="00F814C8" w:rsidP="00F814C8">
      <w:pPr>
        <w:ind w:left="1440" w:right="1440"/>
      </w:pPr>
    </w:p>
    <w:p w:rsidR="00F814C8" w:rsidRDefault="00F814C8" w:rsidP="00F814C8">
      <w:pPr>
        <w:ind w:left="1440" w:right="1440"/>
      </w:pPr>
      <w:r>
        <w:t xml:space="preserve">(5) </w:t>
      </w:r>
      <w:r w:rsidR="00E37207">
        <w:t xml:space="preserve"> </w:t>
      </w:r>
      <w:r>
        <w:t>Lack of capacity to sue, nonjoinder of a necessary party or misjoinder of a cause of action.</w:t>
      </w:r>
    </w:p>
    <w:p w:rsidR="00F814C8" w:rsidRDefault="00F814C8" w:rsidP="00F814C8">
      <w:pPr>
        <w:ind w:left="1440" w:right="1440"/>
      </w:pPr>
    </w:p>
    <w:p w:rsidR="00F814C8" w:rsidRDefault="00F814C8" w:rsidP="00F814C8">
      <w:pPr>
        <w:ind w:left="1440" w:right="1440"/>
      </w:pPr>
      <w:r>
        <w:t>(6)  Pendency of a prior proceeding or agreement for alternative dispute resolution.</w:t>
      </w:r>
    </w:p>
    <w:p w:rsidR="00F814C8" w:rsidRDefault="00F814C8" w:rsidP="00F814C8">
      <w:pPr>
        <w:spacing w:line="360" w:lineRule="auto"/>
      </w:pPr>
      <w:r>
        <w:tab/>
      </w:r>
      <w:r>
        <w:tab/>
      </w:r>
    </w:p>
    <w:p w:rsidR="00F814C8" w:rsidRDefault="00F814C8" w:rsidP="00F814C8">
      <w:pPr>
        <w:spacing w:line="360" w:lineRule="auto"/>
      </w:pPr>
      <w:r>
        <w:tab/>
      </w:r>
      <w:r>
        <w:tab/>
        <w:t>When considering preliminary objection</w:t>
      </w:r>
      <w:r w:rsidR="00271FF8">
        <w:t>s</w:t>
      </w:r>
      <w:r>
        <w:t xml:space="preserve">, the Commission must determine “whether the law says with certainty, based on well-pleading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w:t>
      </w:r>
      <w:r w:rsidR="0090680D">
        <w:t>Cmwlth</w:t>
      </w:r>
      <w:r>
        <w:t xml:space="preserve">. 2002).”  </w:t>
      </w:r>
      <w:r w:rsidRPr="00F87999">
        <w:rPr>
          <w:i/>
        </w:rPr>
        <w:t xml:space="preserve">Dept. of Auditor General, et al. v. State Employees’ Retirement System, et al., </w:t>
      </w:r>
      <w:r>
        <w:t xml:space="preserve">836 A.2d 1053, 1064 (Pa. Cmwlth. 2003).  </w:t>
      </w:r>
      <w:r>
        <w:rPr>
          <w:i/>
        </w:rPr>
        <w:t xml:space="preserve"> </w:t>
      </w:r>
    </w:p>
    <w:p w:rsidR="00F814C8" w:rsidRDefault="00F814C8" w:rsidP="00F814C8">
      <w:pPr>
        <w:spacing w:line="360" w:lineRule="auto"/>
      </w:pPr>
    </w:p>
    <w:p w:rsidR="000962F2" w:rsidRPr="007F27A1" w:rsidRDefault="000962F2" w:rsidP="000962F2">
      <w:pPr>
        <w:tabs>
          <w:tab w:val="left" w:pos="-1440"/>
          <w:tab w:val="left" w:pos="-720"/>
        </w:tabs>
        <w:suppressAutoHyphens/>
        <w:spacing w:line="360" w:lineRule="auto"/>
        <w:ind w:firstLine="1440"/>
      </w:pPr>
      <w:r w:rsidRPr="007F27A1">
        <w:t xml:space="preserve">Commission preliminary motion practice is comparable to Pennsylvania civil practice respecting the filing of preliminary objections.  </w:t>
      </w:r>
      <w:r w:rsidRPr="007F27A1">
        <w:rPr>
          <w:i/>
        </w:rPr>
        <w:t xml:space="preserve">Equitable Small Transportation Intervenors v. Equitable Gas Company, </w:t>
      </w:r>
      <w:r w:rsidRPr="007F27A1">
        <w:t>1994 Pa. PUC LEXIS 69, Docket No. C-00935435 (July 18, 1994).</w:t>
      </w:r>
    </w:p>
    <w:p w:rsidR="000962F2" w:rsidRPr="007F27A1" w:rsidRDefault="000962F2" w:rsidP="000962F2">
      <w:pPr>
        <w:tabs>
          <w:tab w:val="left" w:pos="-1440"/>
          <w:tab w:val="left" w:pos="-720"/>
        </w:tabs>
        <w:suppressAutoHyphens/>
        <w:spacing w:line="360" w:lineRule="auto"/>
        <w:ind w:firstLine="1440"/>
      </w:pPr>
      <w:r w:rsidRPr="007F27A1">
        <w:lastRenderedPageBreak/>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w:t>
      </w:r>
      <w:proofErr w:type="spellStart"/>
      <w:r w:rsidRPr="007F27A1">
        <w:rPr>
          <w:i/>
        </w:rPr>
        <w:t>Martorano</w:t>
      </w:r>
      <w:proofErr w:type="spellEnd"/>
      <w:r w:rsidRPr="007F27A1">
        <w:rPr>
          <w:i/>
        </w:rPr>
        <w:t xml:space="preserve">, </w:t>
      </w:r>
      <w:r w:rsidRPr="007F27A1">
        <w:t xml:space="preserve">427 Pa. 581, 235 A.2d 602(1967).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A.2d 548 (1989), </w:t>
      </w:r>
      <w:proofErr w:type="spellStart"/>
      <w:r w:rsidRPr="007F27A1">
        <w:rPr>
          <w:i/>
        </w:rPr>
        <w:t>Edan</w:t>
      </w:r>
      <w:proofErr w:type="spellEnd"/>
      <w:r w:rsidRPr="007F27A1">
        <w:rPr>
          <w:i/>
        </w:rPr>
        <w:t xml:space="preserve"> Transportation Corp. v. PUC, </w:t>
      </w:r>
      <w:r w:rsidRPr="007F27A1">
        <w:t xml:space="preserve">154 Pa.Cmwlth.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 xml:space="preserve">Interstate </w:t>
      </w:r>
      <w:proofErr w:type="spellStart"/>
      <w:r w:rsidRPr="001D56D9">
        <w:rPr>
          <w:i/>
        </w:rPr>
        <w:t>Traveller</w:t>
      </w:r>
      <w:proofErr w:type="spellEnd"/>
      <w:r w:rsidRPr="001D56D9">
        <w:rPr>
          <w:i/>
        </w:rPr>
        <w:t xml:space="preserve"> Services, Inc. v. Pa. Dept. of Environment Resources,</w:t>
      </w:r>
      <w:r>
        <w:t xml:space="preserve"> 406 A.2d 1020 (Pa. 1979); </w:t>
      </w:r>
      <w:r w:rsidRPr="001D56D9">
        <w:rPr>
          <w:i/>
        </w:rPr>
        <w:t xml:space="preserve">Rivera v. Philadelphia Theological Seminary of St. Charles </w:t>
      </w:r>
      <w:proofErr w:type="spellStart"/>
      <w:r w:rsidRPr="001D56D9">
        <w:rPr>
          <w:i/>
        </w:rPr>
        <w:t>Borromeo</w:t>
      </w:r>
      <w:proofErr w:type="spellEnd"/>
      <w:r w:rsidRPr="001D56D9">
        <w:rPr>
          <w:i/>
        </w:rPr>
        <w:t>, Inc.</w:t>
      </w:r>
      <w:r>
        <w:t xml:space="preserve">, 595 A.2d 172 (Pa. Super 1991).  The Commission follows this standard.  </w:t>
      </w:r>
      <w:r>
        <w:rPr>
          <w:i/>
        </w:rPr>
        <w:t>Montague v. Philadelphia Electric Company,</w:t>
      </w:r>
      <w:r>
        <w:t xml:space="preserve"> 66 Pa.</w:t>
      </w:r>
      <w:r w:rsidR="00934BA5">
        <w:t xml:space="preserve"> </w:t>
      </w:r>
      <w:r>
        <w:t>PUC 24 (1988).</w:t>
      </w:r>
    </w:p>
    <w:p w:rsidR="000962F2" w:rsidRDefault="000962F2" w:rsidP="000962F2">
      <w:pPr>
        <w:tabs>
          <w:tab w:val="left" w:pos="-1440"/>
          <w:tab w:val="left" w:pos="-720"/>
        </w:tabs>
        <w:suppressAutoHyphens/>
        <w:spacing w:line="360" w:lineRule="auto"/>
        <w:ind w:firstLine="1440"/>
      </w:pPr>
    </w:p>
    <w:p w:rsidR="000962F2" w:rsidRDefault="00D82CCD" w:rsidP="000962F2">
      <w:pPr>
        <w:tabs>
          <w:tab w:val="left" w:pos="-1440"/>
          <w:tab w:val="left" w:pos="-720"/>
        </w:tabs>
        <w:suppressAutoHyphens/>
        <w:spacing w:line="360" w:lineRule="auto"/>
        <w:ind w:firstLine="1440"/>
      </w:pPr>
      <w:r>
        <w:t>However, t</w:t>
      </w:r>
      <w:r w:rsidR="000962F2">
        <w:t xml:space="preserve">he Commission must view </w:t>
      </w:r>
      <w:r>
        <w:t>a</w:t>
      </w:r>
      <w:r w:rsidR="000962F2">
        <w:t xml:space="preserve"> complaint in the light most favorable to Complainant and should dismiss </w:t>
      </w:r>
      <w:r>
        <w:t>a</w:t>
      </w:r>
      <w:r w:rsidR="000962F2">
        <w:t xml:space="preserve"> complaint only if it appears that the Complainant would not be entitled to relief </w:t>
      </w:r>
      <w:r w:rsidR="000962F2" w:rsidRPr="00D82CCD">
        <w:rPr>
          <w:i/>
        </w:rPr>
        <w:t>under any circumstances</w:t>
      </w:r>
      <w:r w:rsidR="000962F2">
        <w:t xml:space="preserve"> as a matter of law.  </w:t>
      </w:r>
      <w:r w:rsidR="000962F2">
        <w:rPr>
          <w:i/>
        </w:rPr>
        <w:t xml:space="preserve">Equitable Small Transportation Intervenors v. Equitable Gas Company, </w:t>
      </w:r>
      <w:r w:rsidR="000962F2">
        <w:t>1994 Pa PUC LEXIS 69, Docket No. C-00935435 (1994).</w:t>
      </w:r>
      <w:r>
        <w:t xml:space="preserve"> (emphasis added)</w:t>
      </w:r>
    </w:p>
    <w:p w:rsidR="00D82CCD" w:rsidRDefault="00D82CCD" w:rsidP="000962F2">
      <w:pPr>
        <w:tabs>
          <w:tab w:val="left" w:pos="-1440"/>
          <w:tab w:val="left" w:pos="-720"/>
        </w:tabs>
        <w:suppressAutoHyphens/>
        <w:spacing w:line="360" w:lineRule="auto"/>
        <w:ind w:firstLine="1440"/>
      </w:pPr>
    </w:p>
    <w:p w:rsidR="00D82CCD" w:rsidRPr="00D82CCD" w:rsidRDefault="00D82CCD" w:rsidP="00D82CCD">
      <w:pPr>
        <w:tabs>
          <w:tab w:val="left" w:pos="-1440"/>
          <w:tab w:val="left" w:pos="-720"/>
        </w:tabs>
        <w:suppressAutoHyphens/>
        <w:spacing w:line="360" w:lineRule="auto"/>
        <w:ind w:firstLine="1440"/>
      </w:pPr>
      <w:r>
        <w:t>In this case, the</w:t>
      </w:r>
      <w:r w:rsidRPr="00D82CCD">
        <w:t xml:space="preserve"> Complainant is seeking </w:t>
      </w:r>
      <w:r w:rsidR="00DC155E">
        <w:t xml:space="preserve">a Commission-directed payment arrangement on terms provided by the Complainant.  </w:t>
      </w:r>
      <w:r w:rsidR="008B22BE" w:rsidRPr="008B22BE">
        <w:t>Complainant asks that the Commission impose a payment arrangement of $453</w:t>
      </w:r>
      <w:r w:rsidR="008B22BE">
        <w:t>.00</w:t>
      </w:r>
      <w:r w:rsidR="008B22BE" w:rsidRPr="008B22BE">
        <w:t xml:space="preserve"> followed by payments of $165</w:t>
      </w:r>
      <w:r w:rsidR="008B22BE">
        <w:t>.00</w:t>
      </w:r>
      <w:r w:rsidR="008B22BE" w:rsidRPr="008B22BE">
        <w:t xml:space="preserve"> per month plus current charges until the arrearage is paid.  Complainant anticipates that this would </w:t>
      </w:r>
      <w:r w:rsidR="008A2E30">
        <w:t>remove the arrearage in</w:t>
      </w:r>
      <w:r w:rsidR="008B22BE" w:rsidRPr="008B22BE">
        <w:t xml:space="preserve"> twelve months.</w:t>
      </w:r>
      <w:r w:rsidR="008B22BE">
        <w:t xml:space="preserve">  For its part, PECO </w:t>
      </w:r>
      <w:r w:rsidR="008A2E30">
        <w:t>points out</w:t>
      </w:r>
      <w:r w:rsidR="003C31C3">
        <w:t xml:space="preserve"> </w:t>
      </w:r>
      <w:r w:rsidR="008B22BE">
        <w:t xml:space="preserve">that this </w:t>
      </w:r>
      <w:r w:rsidR="008A2E30">
        <w:t xml:space="preserve">very </w:t>
      </w:r>
      <w:r w:rsidR="003C31C3">
        <w:t>issue w</w:t>
      </w:r>
      <w:r w:rsidR="008B22BE">
        <w:t>as previously considered and rejected by the Commission’s Bureau of Consumer Services (BCS) at Case No. 003014578.  In that informal Complaint case, PECO maintained that it requires $2,378.00 from Complainant</w:t>
      </w:r>
      <w:r w:rsidR="008A2E30">
        <w:t xml:space="preserve"> up-front</w:t>
      </w:r>
      <w:r w:rsidR="008B22BE">
        <w:t xml:space="preserve">, which is the past due amount on the account, and a $75.00 reconnection </w:t>
      </w:r>
      <w:r w:rsidR="008B22BE">
        <w:lastRenderedPageBreak/>
        <w:t>fee</w:t>
      </w:r>
      <w:r w:rsidR="00B42DBB">
        <w:t xml:space="preserve"> in order to reconnect service</w:t>
      </w:r>
      <w:r w:rsidR="008B22BE">
        <w:t>.</w:t>
      </w:r>
      <w:r w:rsidR="008A2E30">
        <w:rPr>
          <w:rStyle w:val="FootnoteReference"/>
        </w:rPr>
        <w:footnoteReference w:id="2"/>
      </w:r>
      <w:r w:rsidR="009648D0">
        <w:t xml:space="preserve">  </w:t>
      </w:r>
      <w:r w:rsidR="003C31C3">
        <w:t>PECO argue</w:t>
      </w:r>
      <w:r w:rsidR="009C6066">
        <w:t>s</w:t>
      </w:r>
      <w:r w:rsidR="003C31C3">
        <w:t xml:space="preserve"> </w:t>
      </w:r>
      <w:r w:rsidR="003C31C3" w:rsidRPr="003C31C3">
        <w:t xml:space="preserve">that as a commercial customer, Complainant is not entitled to a Commission directed payment arrangement.  </w:t>
      </w:r>
      <w:proofErr w:type="gramStart"/>
      <w:r w:rsidR="008E5B6A">
        <w:t xml:space="preserve">PECO New Matter at 3, Exhibit 4; </w:t>
      </w:r>
      <w:r w:rsidR="008E5B6A" w:rsidRPr="008E5B6A">
        <w:t>PECO Preliminary Objections at 4, ¶ 14.</w:t>
      </w:r>
      <w:proofErr w:type="gramEnd"/>
    </w:p>
    <w:p w:rsidR="00D82CCD" w:rsidRDefault="00D82CCD" w:rsidP="000962F2">
      <w:pPr>
        <w:tabs>
          <w:tab w:val="left" w:pos="-1440"/>
          <w:tab w:val="left" w:pos="-720"/>
        </w:tabs>
        <w:suppressAutoHyphens/>
        <w:spacing w:line="360" w:lineRule="auto"/>
        <w:ind w:firstLine="1440"/>
      </w:pPr>
    </w:p>
    <w:p w:rsidR="008E5B6A" w:rsidRDefault="003C31C3" w:rsidP="00D061A5">
      <w:pPr>
        <w:tabs>
          <w:tab w:val="left" w:pos="-1440"/>
          <w:tab w:val="left" w:pos="-720"/>
        </w:tabs>
        <w:suppressAutoHyphens/>
        <w:spacing w:line="360" w:lineRule="auto"/>
        <w:ind w:firstLine="1440"/>
      </w:pPr>
      <w:r>
        <w:t>I</w:t>
      </w:r>
      <w:r w:rsidR="009648D0">
        <w:t xml:space="preserve">n its New Matter, PECO </w:t>
      </w:r>
      <w:r>
        <w:t xml:space="preserve">also </w:t>
      </w:r>
      <w:r w:rsidR="009648D0">
        <w:t xml:space="preserve">argues that, as a commercial customer, Complainant is required to be represented by counsel in adversarial proceedings before the Commission.  </w:t>
      </w:r>
      <w:proofErr w:type="gramStart"/>
      <w:r w:rsidR="009648D0">
        <w:t>52 Pa. Code § 1.22.</w:t>
      </w:r>
      <w:proofErr w:type="gramEnd"/>
      <w:r w:rsidR="009648D0">
        <w:t xml:space="preserve">  In view of the fact that Ms. Ricks is not an attorney, PECO asks that </w:t>
      </w:r>
      <w:r w:rsidR="00E37207">
        <w:t xml:space="preserve">a date certain be established for an attorney to file the Complaint or that </w:t>
      </w:r>
      <w:r w:rsidR="009648D0">
        <w:t xml:space="preserve">the Complaint be dismissed, citing </w:t>
      </w:r>
      <w:r w:rsidR="009648D0" w:rsidRPr="009648D0">
        <w:rPr>
          <w:i/>
        </w:rPr>
        <w:t>In Re: Checker Cab</w:t>
      </w:r>
      <w:r w:rsidR="009648D0">
        <w:t xml:space="preserve">, 49 Pa. PUC 159, 160 (1975), and </w:t>
      </w:r>
      <w:r w:rsidR="009648D0" w:rsidRPr="009648D0">
        <w:rPr>
          <w:i/>
        </w:rPr>
        <w:t>Moore v. I. Berman and Cross, Inc.</w:t>
      </w:r>
      <w:r w:rsidR="009648D0">
        <w:t xml:space="preserve">, </w:t>
      </w:r>
      <w:r w:rsidR="0097747F">
        <w:t xml:space="preserve">49 </w:t>
      </w:r>
      <w:r w:rsidR="009648D0">
        <w:t>Pa. PUC 427, 428 (1975).</w:t>
      </w:r>
      <w:r w:rsidR="00E37207">
        <w:rPr>
          <w:rStyle w:val="FootnoteReference"/>
        </w:rPr>
        <w:footnoteReference w:id="3"/>
      </w:r>
      <w:r w:rsidR="008C6208">
        <w:t xml:space="preserve">  </w:t>
      </w:r>
      <w:r w:rsidR="00E37207">
        <w:t>PECO New Matter at 4-6.</w:t>
      </w:r>
    </w:p>
    <w:p w:rsidR="00E37207" w:rsidRDefault="00E37207" w:rsidP="00D061A5">
      <w:pPr>
        <w:tabs>
          <w:tab w:val="left" w:pos="-1440"/>
          <w:tab w:val="left" w:pos="-720"/>
        </w:tabs>
        <w:suppressAutoHyphens/>
        <w:spacing w:line="360" w:lineRule="auto"/>
        <w:ind w:firstLine="1440"/>
      </w:pPr>
    </w:p>
    <w:p w:rsidR="008E5B6A" w:rsidRDefault="008E5B6A" w:rsidP="00D061A5">
      <w:pPr>
        <w:tabs>
          <w:tab w:val="left" w:pos="-1440"/>
          <w:tab w:val="left" w:pos="-720"/>
        </w:tabs>
        <w:suppressAutoHyphens/>
        <w:spacing w:line="360" w:lineRule="auto"/>
        <w:ind w:firstLine="1440"/>
      </w:pPr>
      <w:r>
        <w:t>T</w:t>
      </w:r>
      <w:r w:rsidR="0097747F">
        <w:t xml:space="preserve">hough PECO is correct that a corporation must </w:t>
      </w:r>
      <w:r w:rsidR="0097747F" w:rsidRPr="0097747F">
        <w:t>be represented by counsel in adversarial proceedings before the Commission</w:t>
      </w:r>
      <w:r>
        <w:t>,</w:t>
      </w:r>
      <w:r w:rsidR="0097747F">
        <w:t xml:space="preserve"> PECO’s case citations are not entirely on-point. </w:t>
      </w:r>
      <w:r w:rsidR="0097747F" w:rsidRPr="0097747F">
        <w:t xml:space="preserve"> </w:t>
      </w:r>
      <w:r w:rsidR="008C6208">
        <w:t xml:space="preserve">In the case of </w:t>
      </w:r>
      <w:r w:rsidR="008C6208" w:rsidRPr="0097747F">
        <w:rPr>
          <w:i/>
        </w:rPr>
        <w:t xml:space="preserve">In </w:t>
      </w:r>
      <w:r w:rsidR="0097747F" w:rsidRPr="0097747F">
        <w:rPr>
          <w:i/>
        </w:rPr>
        <w:t>Re: Checker Cab</w:t>
      </w:r>
      <w:r w:rsidR="0097747F">
        <w:t xml:space="preserve">, the primary issue was insufficiency of the complaint, not lack of representation by counsel, though the Commission did order that a legally sufficient </w:t>
      </w:r>
      <w:r w:rsidR="00EA6E21">
        <w:t xml:space="preserve">amended </w:t>
      </w:r>
      <w:r w:rsidR="0097747F">
        <w:t xml:space="preserve">complaint be filed by an attorney.  In the case of </w:t>
      </w:r>
      <w:r w:rsidR="0097747F" w:rsidRPr="0097747F">
        <w:rPr>
          <w:i/>
        </w:rPr>
        <w:t>Moore v. I. Berman and Cross, Inc</w:t>
      </w:r>
      <w:r w:rsidR="0097747F" w:rsidRPr="0097747F">
        <w:t>.,</w:t>
      </w:r>
      <w:r w:rsidR="0097747F">
        <w:t xml:space="preserve"> the issue of non-representation by counsel was not raised until </w:t>
      </w:r>
      <w:r w:rsidR="008A2E30">
        <w:t xml:space="preserve">the </w:t>
      </w:r>
      <w:r w:rsidR="0097747F">
        <w:t xml:space="preserve">hearing, at which point the parties settled.  </w:t>
      </w:r>
    </w:p>
    <w:p w:rsidR="008E5B6A" w:rsidRDefault="008E5B6A" w:rsidP="00D061A5">
      <w:pPr>
        <w:tabs>
          <w:tab w:val="left" w:pos="-1440"/>
          <w:tab w:val="left" w:pos="-720"/>
        </w:tabs>
        <w:suppressAutoHyphens/>
        <w:spacing w:line="360" w:lineRule="auto"/>
        <w:ind w:firstLine="1440"/>
      </w:pPr>
    </w:p>
    <w:p w:rsidR="009648D0" w:rsidRDefault="00E37207" w:rsidP="00D061A5">
      <w:pPr>
        <w:tabs>
          <w:tab w:val="left" w:pos="-1440"/>
          <w:tab w:val="left" w:pos="-720"/>
        </w:tabs>
        <w:suppressAutoHyphens/>
        <w:spacing w:line="360" w:lineRule="auto"/>
        <w:ind w:firstLine="1440"/>
      </w:pPr>
      <w:r>
        <w:t>I</w:t>
      </w:r>
      <w:r w:rsidR="0097747F">
        <w:t xml:space="preserve">n this case, there is no question with respect to the </w:t>
      </w:r>
      <w:r w:rsidR="0097747F" w:rsidRPr="008E5B6A">
        <w:rPr>
          <w:i/>
        </w:rPr>
        <w:t xml:space="preserve">factual </w:t>
      </w:r>
      <w:r w:rsidR="0097747F">
        <w:t>sufficiency of the Complaint</w:t>
      </w:r>
      <w:r w:rsidR="008A2E30">
        <w:t xml:space="preserve"> or the state of the law</w:t>
      </w:r>
      <w:r w:rsidR="0097747F">
        <w:t>, and it would not be a prudent use of the resources of the parties or the Commission to dismiss the Complaint because it was not filed by an attorney.</w:t>
      </w:r>
      <w:r w:rsidR="0097747F">
        <w:rPr>
          <w:rStyle w:val="FootnoteReference"/>
        </w:rPr>
        <w:footnoteReference w:id="4"/>
      </w:r>
      <w:r w:rsidR="0097747F">
        <w:t xml:space="preserve">  </w:t>
      </w:r>
      <w:r w:rsidR="00D90478">
        <w:t>F</w:t>
      </w:r>
      <w:r w:rsidR="0097747F">
        <w:t xml:space="preserve">ormal Complaints are accepted by the Commission even </w:t>
      </w:r>
      <w:r w:rsidR="00D90478">
        <w:t>if the party must eventually be represented by counsel at hearing</w:t>
      </w:r>
      <w:r w:rsidR="006546E3">
        <w:t>.  Customarily, an</w:t>
      </w:r>
      <w:r w:rsidR="0097747F">
        <w:t xml:space="preserve"> A</w:t>
      </w:r>
      <w:r w:rsidR="006546E3">
        <w:t xml:space="preserve">dministrative </w:t>
      </w:r>
      <w:r w:rsidR="0097747F">
        <w:t>L</w:t>
      </w:r>
      <w:r w:rsidR="006546E3">
        <w:t xml:space="preserve">aw </w:t>
      </w:r>
      <w:r w:rsidR="0097747F">
        <w:t>J</w:t>
      </w:r>
      <w:r w:rsidR="006546E3">
        <w:t>udge</w:t>
      </w:r>
      <w:r w:rsidR="0097747F">
        <w:t xml:space="preserve"> in his or her Prehearing Order directs that a party must retain counsel in order</w:t>
      </w:r>
      <w:r w:rsidR="00641E1B">
        <w:t xml:space="preserve"> for that party</w:t>
      </w:r>
      <w:r w:rsidR="0097747F">
        <w:t xml:space="preserve"> to </w:t>
      </w:r>
      <w:r w:rsidRPr="00F34247">
        <w:rPr>
          <w:i/>
        </w:rPr>
        <w:t>further</w:t>
      </w:r>
      <w:r>
        <w:t xml:space="preserve"> </w:t>
      </w:r>
      <w:r w:rsidR="0097747F">
        <w:t>participate in a</w:t>
      </w:r>
      <w:r>
        <w:t xml:space="preserve"> case</w:t>
      </w:r>
      <w:r w:rsidR="0097747F">
        <w:t>.</w:t>
      </w:r>
      <w:r>
        <w:t xml:space="preserve">  </w:t>
      </w:r>
    </w:p>
    <w:p w:rsidR="00D90478" w:rsidRDefault="00D90478" w:rsidP="00D061A5">
      <w:pPr>
        <w:tabs>
          <w:tab w:val="left" w:pos="-1440"/>
          <w:tab w:val="left" w:pos="-720"/>
        </w:tabs>
        <w:suppressAutoHyphens/>
        <w:spacing w:line="360" w:lineRule="auto"/>
        <w:ind w:firstLine="1440"/>
      </w:pPr>
    </w:p>
    <w:p w:rsidR="00E76BC3" w:rsidRDefault="006546E3" w:rsidP="00D061A5">
      <w:pPr>
        <w:tabs>
          <w:tab w:val="left" w:pos="-1440"/>
          <w:tab w:val="left" w:pos="-720"/>
        </w:tabs>
        <w:suppressAutoHyphens/>
        <w:spacing w:line="360" w:lineRule="auto"/>
        <w:ind w:firstLine="1440"/>
      </w:pPr>
      <w:r>
        <w:lastRenderedPageBreak/>
        <w:t>The heart of this matter is not the issue of representation; it is the lack of legal sufficiency in the Complaint</w:t>
      </w:r>
      <w:r w:rsidR="008A2E30">
        <w:t xml:space="preserve"> as is correctly raised in PECO’s Preliminary Objections</w:t>
      </w:r>
      <w:r w:rsidR="008C290A">
        <w:t xml:space="preserve"> citing</w:t>
      </w:r>
      <w:r w:rsidR="008C290A" w:rsidRPr="008C290A">
        <w:t xml:space="preserve"> 52 Pa. Code § 5.101(a)(</w:t>
      </w:r>
      <w:r w:rsidR="008C290A">
        <w:t>4</w:t>
      </w:r>
      <w:r w:rsidR="008C290A" w:rsidRPr="008C290A">
        <w:t>)</w:t>
      </w:r>
      <w:r>
        <w:t xml:space="preserve">.  </w:t>
      </w:r>
      <w:r w:rsidR="00BB5DE3">
        <w:t xml:space="preserve">I note that even absent the filing of any response to PECO’s Preliminary Objections, there </w:t>
      </w:r>
      <w:r w:rsidR="00F05EAC">
        <w:t>are</w:t>
      </w:r>
      <w:r w:rsidR="00BB5DE3">
        <w:t xml:space="preserve"> no factual issue</w:t>
      </w:r>
      <w:r w:rsidR="00F05EAC">
        <w:t>s</w:t>
      </w:r>
      <w:r w:rsidR="00BB5DE3">
        <w:t xml:space="preserve"> in this case.  Both parties agree that Complainant was disconnected </w:t>
      </w:r>
      <w:r w:rsidR="008E5B6A">
        <w:t xml:space="preserve">by PECO </w:t>
      </w:r>
      <w:r w:rsidR="00BB5DE3">
        <w:t xml:space="preserve">due to an arrearage of approximately $2,453.00 and that the parties cannot agree on a mutually acceptable payment arrangement.  </w:t>
      </w:r>
      <w:r w:rsidR="00D82CCD">
        <w:t>In</w:t>
      </w:r>
      <w:r w:rsidR="00E76BC3">
        <w:t xml:space="preserve"> both its New Matter and in</w:t>
      </w:r>
      <w:r w:rsidR="00D82CCD">
        <w:t xml:space="preserve"> its Preliminary Objections, </w:t>
      </w:r>
      <w:r w:rsidR="00E76BC3">
        <w:t>PECO</w:t>
      </w:r>
      <w:r w:rsidR="00D82CCD">
        <w:t xml:space="preserve"> </w:t>
      </w:r>
      <w:r w:rsidR="00E76BC3">
        <w:t>correctly contends that as a commercial customer, Complainant is not entitled to a Commission directed payment arrangement</w:t>
      </w:r>
      <w:r w:rsidR="008A2E30">
        <w:t xml:space="preserve"> as a matter of law</w:t>
      </w:r>
      <w:r w:rsidR="00E76BC3">
        <w:t>.  New Matter at 5, ¶ 3; Preliminary Objections at 4, ¶¶ 13-16.</w:t>
      </w:r>
    </w:p>
    <w:p w:rsidR="00E76BC3" w:rsidRDefault="00E76BC3" w:rsidP="00D061A5">
      <w:pPr>
        <w:tabs>
          <w:tab w:val="left" w:pos="-1440"/>
          <w:tab w:val="left" w:pos="-720"/>
        </w:tabs>
        <w:suppressAutoHyphens/>
        <w:spacing w:line="360" w:lineRule="auto"/>
        <w:ind w:firstLine="1440"/>
      </w:pPr>
    </w:p>
    <w:p w:rsidR="00E76BC3" w:rsidRDefault="00E76BC3" w:rsidP="00E76BC3">
      <w:pPr>
        <w:tabs>
          <w:tab w:val="left" w:pos="-1440"/>
          <w:tab w:val="left" w:pos="-720"/>
        </w:tabs>
        <w:suppressAutoHyphens/>
        <w:spacing w:line="360" w:lineRule="auto"/>
        <w:ind w:firstLine="1440"/>
      </w:pPr>
      <w:r>
        <w:t xml:space="preserve">The Responsible Utility Customer Protection Act, 66 Pa. C.S. §§ 1401, </w:t>
      </w:r>
      <w:r w:rsidRPr="00641E1B">
        <w:rPr>
          <w:i/>
        </w:rPr>
        <w:t>et seq</w:t>
      </w:r>
      <w:r>
        <w:t>. (the Act) provides strict guidelines that the Commission must follow in handling customer complaints. 66 Pa. C.S. § 1405(a) provides in pertinent part that "[t]he commission is authorized to establish payment agreements between a public utility, customers and applicants within the limits established by this chapter." 66 Pa. C.S. § 1403 defines a "</w:t>
      </w:r>
      <w:r w:rsidR="0024311B">
        <w:t>customer</w:t>
      </w:r>
      <w:r>
        <w:t>" as "[a] natural person</w:t>
      </w:r>
      <w:r w:rsidR="0024311B">
        <w:t xml:space="preserve"> in whose name a</w:t>
      </w:r>
      <w:r>
        <w:t xml:space="preserve"> residential service </w:t>
      </w:r>
      <w:r w:rsidR="0024311B">
        <w:t>account is listed and who is primarily responsible for payment of bills rendered for the service or any adult occupant whose name appears on the mortgage, deed or lease of the property for which the residential utility service is requested.</w:t>
      </w:r>
      <w:r>
        <w:t xml:space="preserve">" Commercial customers do not fall within either of these </w:t>
      </w:r>
      <w:r w:rsidR="00EA6E21">
        <w:t>limitations</w:t>
      </w:r>
      <w:r>
        <w:t>. Clearly, commercial customers are not entitled to a Commission authorized payment agreement under the Act.</w:t>
      </w:r>
    </w:p>
    <w:p w:rsidR="00E76BC3" w:rsidRDefault="00E76BC3" w:rsidP="00E76BC3">
      <w:pPr>
        <w:tabs>
          <w:tab w:val="left" w:pos="-1440"/>
          <w:tab w:val="left" w:pos="-720"/>
        </w:tabs>
        <w:suppressAutoHyphens/>
        <w:spacing w:line="360" w:lineRule="auto"/>
        <w:ind w:firstLine="1440"/>
      </w:pPr>
    </w:p>
    <w:p w:rsidR="00E76BC3" w:rsidRDefault="00E76BC3" w:rsidP="00E76BC3">
      <w:pPr>
        <w:tabs>
          <w:tab w:val="left" w:pos="-1440"/>
          <w:tab w:val="left" w:pos="-720"/>
        </w:tabs>
        <w:suppressAutoHyphens/>
        <w:spacing w:line="360" w:lineRule="auto"/>
        <w:ind w:firstLine="1440"/>
      </w:pPr>
      <w:r>
        <w:t>Additionally, the Commission has repeatedly held that a customer with a commercial account for public utility service does not fall within the Commission</w:t>
      </w:r>
      <w:r w:rsidR="00EA6E21">
        <w:t>’s</w:t>
      </w:r>
      <w:r>
        <w:t xml:space="preserve"> regulations at 52 Pa. Code Chapter 56 and </w:t>
      </w:r>
      <w:r w:rsidR="00EA6E21">
        <w:t xml:space="preserve">so </w:t>
      </w:r>
      <w:r>
        <w:t xml:space="preserve">is not entitled to a payment arrangement or other protections applicable to residential accounts under the Commission regulations. </w:t>
      </w:r>
      <w:r w:rsidRPr="00E76BC3">
        <w:rPr>
          <w:i/>
        </w:rPr>
        <w:t>Bio/Data Corporation v. PECO Energy Co</w:t>
      </w:r>
      <w:r>
        <w:t xml:space="preserve">., Docket No. </w:t>
      </w:r>
      <w:proofErr w:type="gramStart"/>
      <w:r>
        <w:t xml:space="preserve">C-20026698 (Order entered July 30, 2002); </w:t>
      </w:r>
      <w:r w:rsidRPr="00E76BC3">
        <w:rPr>
          <w:i/>
        </w:rPr>
        <w:t>Lebanon Valley Enterprises, Inc. v. Metropolitan Edison Co</w:t>
      </w:r>
      <w:r>
        <w:t>., Docket No.</w:t>
      </w:r>
      <w:proofErr w:type="gramEnd"/>
      <w:r>
        <w:t xml:space="preserve"> C-00015522 (Order entered October 15, 2001); </w:t>
      </w:r>
      <w:r w:rsidRPr="00E76BC3">
        <w:rPr>
          <w:i/>
        </w:rPr>
        <w:t>Kayla's Place Inc. v. Duquesne Light Co</w:t>
      </w:r>
      <w:r>
        <w:t xml:space="preserve">., Docket No. </w:t>
      </w:r>
      <w:proofErr w:type="gramStart"/>
      <w:r>
        <w:t xml:space="preserve">C-00981711 (Order entered May 24, 1999); </w:t>
      </w:r>
      <w:r w:rsidRPr="00E76BC3">
        <w:rPr>
          <w:i/>
        </w:rPr>
        <w:t>Kenny v. Duquesne Light Co</w:t>
      </w:r>
      <w:r>
        <w:t>., Docket No.</w:t>
      </w:r>
      <w:proofErr w:type="gramEnd"/>
      <w:r>
        <w:t xml:space="preserve"> C-00967789 (Order entered November 27, 1996); see also, 52 Pa. Code § 56.1.</w:t>
      </w:r>
    </w:p>
    <w:p w:rsidR="00E76BC3" w:rsidRDefault="00E76BC3" w:rsidP="00E76BC3">
      <w:pPr>
        <w:tabs>
          <w:tab w:val="left" w:pos="-1440"/>
          <w:tab w:val="left" w:pos="-720"/>
        </w:tabs>
        <w:suppressAutoHyphens/>
        <w:spacing w:line="360" w:lineRule="auto"/>
        <w:ind w:firstLine="1440"/>
      </w:pPr>
    </w:p>
    <w:p w:rsidR="00E76BC3" w:rsidRPr="00E76BC3" w:rsidRDefault="00E76BC3" w:rsidP="00E76BC3">
      <w:pPr>
        <w:tabs>
          <w:tab w:val="left" w:pos="-1440"/>
          <w:tab w:val="left" w:pos="-720"/>
        </w:tabs>
        <w:suppressAutoHyphens/>
        <w:spacing w:line="360" w:lineRule="auto"/>
        <w:jc w:val="center"/>
        <w:rPr>
          <w:u w:val="single"/>
        </w:rPr>
      </w:pPr>
      <w:r w:rsidRPr="00E76BC3">
        <w:rPr>
          <w:u w:val="single"/>
        </w:rPr>
        <w:lastRenderedPageBreak/>
        <w:t>CONCLUSIONS OF LAW</w:t>
      </w:r>
    </w:p>
    <w:p w:rsidR="00E76BC3" w:rsidRDefault="00E76BC3" w:rsidP="00E76BC3">
      <w:pPr>
        <w:tabs>
          <w:tab w:val="left" w:pos="-1440"/>
          <w:tab w:val="left" w:pos="-720"/>
        </w:tabs>
        <w:suppressAutoHyphens/>
        <w:spacing w:line="360" w:lineRule="auto"/>
        <w:ind w:firstLine="1440"/>
      </w:pPr>
    </w:p>
    <w:p w:rsidR="00E76BC3" w:rsidRDefault="00E76BC3" w:rsidP="00E76BC3">
      <w:pPr>
        <w:tabs>
          <w:tab w:val="left" w:pos="-1440"/>
          <w:tab w:val="left" w:pos="-720"/>
        </w:tabs>
        <w:suppressAutoHyphens/>
        <w:spacing w:line="360" w:lineRule="auto"/>
        <w:ind w:firstLine="1440"/>
      </w:pPr>
      <w:r>
        <w:t>1.</w:t>
      </w:r>
      <w:r>
        <w:tab/>
        <w:t xml:space="preserve">The Commission has jurisdiction over the subject matter and the parties to this proceeding. </w:t>
      </w:r>
      <w:proofErr w:type="gramStart"/>
      <w:r>
        <w:t>66 Pa. C.S. § 701.</w:t>
      </w:r>
      <w:proofErr w:type="gramEnd"/>
    </w:p>
    <w:p w:rsidR="00E34978" w:rsidRDefault="00E34978" w:rsidP="00E76BC3">
      <w:pPr>
        <w:tabs>
          <w:tab w:val="left" w:pos="-1440"/>
          <w:tab w:val="left" w:pos="-720"/>
        </w:tabs>
        <w:suppressAutoHyphens/>
        <w:spacing w:line="360" w:lineRule="auto"/>
        <w:ind w:firstLine="1440"/>
      </w:pPr>
    </w:p>
    <w:p w:rsidR="00E34978" w:rsidRPr="00E34978" w:rsidRDefault="00E34978" w:rsidP="00E34978">
      <w:pPr>
        <w:tabs>
          <w:tab w:val="left" w:pos="-1440"/>
          <w:tab w:val="left" w:pos="-720"/>
        </w:tabs>
        <w:suppressAutoHyphens/>
        <w:spacing w:line="360" w:lineRule="auto"/>
        <w:ind w:firstLine="1440"/>
      </w:pPr>
      <w:r>
        <w:t>2</w:t>
      </w:r>
      <w:r w:rsidRPr="00E34978">
        <w:t>.</w:t>
      </w:r>
      <w:r w:rsidRPr="00E34978">
        <w:tab/>
        <w:t xml:space="preserve">Commission regulations provide for the filing of preliminary objections. </w:t>
      </w:r>
      <w:proofErr w:type="gramStart"/>
      <w:r w:rsidRPr="00E34978">
        <w:t>52 Pa. Code § 5.101.</w:t>
      </w:r>
      <w:proofErr w:type="gramEnd"/>
      <w:r w:rsidRPr="00E34978">
        <w:br/>
      </w:r>
      <w:r w:rsidRPr="00E34978">
        <w:br/>
      </w:r>
      <w:r w:rsidRPr="00E34978">
        <w:tab/>
      </w:r>
      <w:r w:rsidRPr="00E34978">
        <w:tab/>
      </w:r>
      <w:r>
        <w:t>3</w:t>
      </w:r>
      <w:r w:rsidRPr="00E34978">
        <w:t>.</w:t>
      </w:r>
      <w:r w:rsidRPr="00E34978">
        <w:tab/>
        <w:t xml:space="preserve">A preliminary objection in civil practice seeking dismissal of a pleading will be granted only where relief is clearly warranted and free from doubt.  </w:t>
      </w:r>
      <w:proofErr w:type="gramStart"/>
      <w:r w:rsidRPr="00E34978">
        <w:rPr>
          <w:i/>
        </w:rPr>
        <w:t>Interstate Traveler Services, Inc. v. Pa. Dept. of Environmental Resources</w:t>
      </w:r>
      <w:r w:rsidRPr="00E34978">
        <w:t>, 406 A.2d 1020 (Pa. 1979).</w:t>
      </w:r>
      <w:proofErr w:type="gramEnd"/>
      <w:r w:rsidRPr="00E34978">
        <w:t> </w:t>
      </w:r>
      <w:r w:rsidRPr="00E34978">
        <w:br/>
      </w:r>
      <w:r w:rsidRPr="00E34978">
        <w:br/>
      </w:r>
      <w:r w:rsidRPr="00E34978">
        <w:tab/>
      </w:r>
      <w:r w:rsidRPr="00E34978">
        <w:tab/>
      </w:r>
      <w:r>
        <w:t>4</w:t>
      </w:r>
      <w:r w:rsidRPr="00E34978">
        <w:t>.</w:t>
      </w:r>
      <w:r w:rsidRPr="00E34978">
        <w:tab/>
        <w:t xml:space="preserve">The preliminary objection may be granted only if the moving party prevails as a matter of law.  </w:t>
      </w:r>
      <w:proofErr w:type="gramStart"/>
      <w:r w:rsidRPr="00E34978">
        <w:rPr>
          <w:i/>
        </w:rPr>
        <w:t>Roc v. Flaherty</w:t>
      </w:r>
      <w:r w:rsidRPr="00E34978">
        <w:t xml:space="preserve">, 527 </w:t>
      </w:r>
      <w:r>
        <w:t>A.2d 211 (Pa.Cmwlth. 1985).</w:t>
      </w:r>
      <w:proofErr w:type="gramEnd"/>
      <w:r>
        <w:br/>
      </w:r>
      <w:r>
        <w:br/>
      </w:r>
      <w:r>
        <w:tab/>
      </w:r>
      <w:r>
        <w:tab/>
        <w:t>5</w:t>
      </w:r>
      <w:r w:rsidRPr="00E34978">
        <w:t>.</w:t>
      </w:r>
      <w:r w:rsidRPr="00E34978">
        <w:tab/>
        <w:t xml:space="preserve">Any doubt must be resolved in favor of the non-moving party by refusing to sustain the preliminary objections.  </w:t>
      </w:r>
      <w:r w:rsidRPr="00E34978">
        <w:rPr>
          <w:i/>
        </w:rPr>
        <w:t>Dept. of Auditor General, et al. v. State Employees' Retirement System, et al.</w:t>
      </w:r>
      <w:r w:rsidRPr="00E34978">
        <w:t xml:space="preserve">, 836 A.2d 1053, 1064 (Pa. Cmwlth. 2003) citing, </w:t>
      </w:r>
      <w:r w:rsidRPr="00E34978">
        <w:rPr>
          <w:i/>
        </w:rPr>
        <w:t>Boyd v. Ward</w:t>
      </w:r>
      <w:r w:rsidRPr="00E34978">
        <w:t>, 802 A.2d 705 (Pa. Cmwlth. 2002).</w:t>
      </w:r>
    </w:p>
    <w:p w:rsidR="00E76BC3" w:rsidRDefault="00E76BC3" w:rsidP="00E76BC3">
      <w:pPr>
        <w:tabs>
          <w:tab w:val="left" w:pos="-1440"/>
          <w:tab w:val="left" w:pos="-720"/>
        </w:tabs>
        <w:suppressAutoHyphens/>
        <w:spacing w:line="360" w:lineRule="auto"/>
        <w:ind w:firstLine="1440"/>
      </w:pPr>
    </w:p>
    <w:p w:rsidR="00E76BC3" w:rsidRDefault="00E34978" w:rsidP="00E76BC3">
      <w:pPr>
        <w:tabs>
          <w:tab w:val="left" w:pos="-1440"/>
          <w:tab w:val="left" w:pos="-720"/>
        </w:tabs>
        <w:suppressAutoHyphens/>
        <w:spacing w:line="360" w:lineRule="auto"/>
        <w:ind w:firstLine="1440"/>
      </w:pPr>
      <w:r>
        <w:t>6</w:t>
      </w:r>
      <w:r w:rsidR="00E76BC3">
        <w:t>.</w:t>
      </w:r>
      <w:r w:rsidR="00E76BC3">
        <w:tab/>
        <w:t xml:space="preserve">Commercial customers are not entitled to a payment arrangement under the Responsible Utility Customer Protection Act. </w:t>
      </w:r>
      <w:proofErr w:type="gramStart"/>
      <w:r w:rsidR="00E76BC3">
        <w:t>66 Pa. C.S. §§ 1403, 1405(a).</w:t>
      </w:r>
      <w:proofErr w:type="gramEnd"/>
    </w:p>
    <w:p w:rsidR="00E76BC3" w:rsidRDefault="00E76BC3" w:rsidP="00E76BC3">
      <w:pPr>
        <w:tabs>
          <w:tab w:val="left" w:pos="-1440"/>
          <w:tab w:val="left" w:pos="-720"/>
        </w:tabs>
        <w:suppressAutoHyphens/>
        <w:spacing w:line="360" w:lineRule="auto"/>
        <w:ind w:firstLine="1440"/>
      </w:pPr>
    </w:p>
    <w:p w:rsidR="00E76BC3" w:rsidRDefault="00E34978" w:rsidP="00E76BC3">
      <w:pPr>
        <w:tabs>
          <w:tab w:val="left" w:pos="-1440"/>
          <w:tab w:val="left" w:pos="-720"/>
        </w:tabs>
        <w:suppressAutoHyphens/>
        <w:spacing w:line="360" w:lineRule="auto"/>
        <w:ind w:firstLine="1440"/>
      </w:pPr>
      <w:r>
        <w:t>7</w:t>
      </w:r>
      <w:r w:rsidR="00E76BC3">
        <w:t>.</w:t>
      </w:r>
      <w:r w:rsidR="00E76BC3">
        <w:tab/>
        <w:t>Commercial customers are not entitled to a payment arrangement or other protections applicable to residential accounts under the Commission regulations at 52 Pa. Code Chapter 56.</w:t>
      </w:r>
      <w:r w:rsidR="008C290A" w:rsidRPr="008C290A">
        <w:t xml:space="preserve"> </w:t>
      </w:r>
      <w:r w:rsidR="008C290A">
        <w:t xml:space="preserve"> </w:t>
      </w:r>
      <w:proofErr w:type="gramStart"/>
      <w:r w:rsidR="008C290A" w:rsidRPr="008C290A">
        <w:t>52 Pa. Code § 56.1.</w:t>
      </w:r>
      <w:proofErr w:type="gramEnd"/>
    </w:p>
    <w:p w:rsidR="00D90478" w:rsidRDefault="00D90478" w:rsidP="00E76BC3">
      <w:pPr>
        <w:tabs>
          <w:tab w:val="left" w:pos="-1440"/>
          <w:tab w:val="left" w:pos="-720"/>
        </w:tabs>
        <w:suppressAutoHyphens/>
        <w:spacing w:line="360" w:lineRule="auto"/>
        <w:ind w:firstLine="1440"/>
      </w:pPr>
    </w:p>
    <w:p w:rsidR="008A2E30" w:rsidRDefault="008A2E30" w:rsidP="001E3ED5">
      <w:pPr>
        <w:tabs>
          <w:tab w:val="left" w:pos="-1440"/>
          <w:tab w:val="left" w:pos="-720"/>
        </w:tabs>
        <w:suppressAutoHyphens/>
        <w:spacing w:line="360" w:lineRule="auto"/>
        <w:ind w:firstLine="1440"/>
      </w:pPr>
      <w:r w:rsidRPr="008A2E30">
        <w:t xml:space="preserve">The Complainant is a commercial customer, and as such is not entitled to a Commission directed payment arrangement under the Act or under the Commission's regulations.  There is no genuine issue as to a material fact in this case and PECO is entitled to judgment in its favor as a matter of law.  </w:t>
      </w:r>
      <w:r w:rsidR="008E5B6A">
        <w:t>Finally, a</w:t>
      </w:r>
      <w:r w:rsidR="001E3ED5">
        <w:t xml:space="preserve">lthough </w:t>
      </w:r>
      <w:r w:rsidR="0076191C">
        <w:t>Complainant’s</w:t>
      </w:r>
      <w:r w:rsidR="001E3ED5">
        <w:t xml:space="preserve"> </w:t>
      </w:r>
      <w:r w:rsidR="00471DEB">
        <w:t xml:space="preserve">request for a </w:t>
      </w:r>
      <w:r w:rsidR="00471DEB">
        <w:lastRenderedPageBreak/>
        <w:t xml:space="preserve">Commission-directed payment arrangement must be denied, the services of the </w:t>
      </w:r>
      <w:r w:rsidR="005370C0" w:rsidRPr="005370C0">
        <w:t xml:space="preserve">Commission’s Mediation Unit </w:t>
      </w:r>
      <w:r w:rsidR="00471DEB">
        <w:t>are available to the parties should they so desire.</w:t>
      </w:r>
    </w:p>
    <w:p w:rsidR="008A2E30" w:rsidRDefault="008A2E30" w:rsidP="001E3ED5">
      <w:pPr>
        <w:tabs>
          <w:tab w:val="left" w:pos="-1440"/>
          <w:tab w:val="left" w:pos="-720"/>
        </w:tabs>
        <w:suppressAutoHyphens/>
        <w:spacing w:line="360" w:lineRule="auto"/>
        <w:ind w:firstLine="1440"/>
      </w:pPr>
    </w:p>
    <w:p w:rsidR="001E3ED5" w:rsidRDefault="001E3ED5" w:rsidP="001E3ED5">
      <w:pPr>
        <w:spacing w:line="360" w:lineRule="auto"/>
      </w:pPr>
      <w:r>
        <w:tab/>
      </w:r>
      <w:r w:rsidR="00F814C8">
        <w:tab/>
      </w:r>
      <w:r>
        <w:t>THEREFORE,</w:t>
      </w:r>
    </w:p>
    <w:p w:rsidR="001E3ED5" w:rsidRDefault="001E3ED5" w:rsidP="001E3ED5">
      <w:pPr>
        <w:spacing w:line="360" w:lineRule="auto"/>
      </w:pPr>
    </w:p>
    <w:p w:rsidR="001E3ED5" w:rsidRDefault="001E3ED5" w:rsidP="001E3ED5">
      <w:pPr>
        <w:spacing w:line="360" w:lineRule="auto"/>
      </w:pPr>
      <w:r>
        <w:tab/>
      </w:r>
      <w:r>
        <w:tab/>
        <w:t>IT IS ORDERED:</w:t>
      </w:r>
    </w:p>
    <w:p w:rsidR="001E3ED5" w:rsidRDefault="001E3ED5" w:rsidP="001E3ED5">
      <w:pPr>
        <w:spacing w:line="360" w:lineRule="auto"/>
      </w:pPr>
    </w:p>
    <w:p w:rsidR="001E3ED5" w:rsidRDefault="001E3ED5" w:rsidP="001E3ED5">
      <w:pPr>
        <w:spacing w:line="360" w:lineRule="auto"/>
      </w:pPr>
      <w:r>
        <w:tab/>
      </w:r>
      <w:r>
        <w:tab/>
        <w:t>1.</w:t>
      </w:r>
      <w:r w:rsidRPr="001E3ED5">
        <w:t xml:space="preserve"> </w:t>
      </w:r>
      <w:r>
        <w:tab/>
        <w:t xml:space="preserve">That the Preliminary Objections filed by </w:t>
      </w:r>
      <w:r w:rsidR="00471DEB">
        <w:t xml:space="preserve">PECO Energy Company at </w:t>
      </w:r>
      <w:r>
        <w:t>Docket No. C-201</w:t>
      </w:r>
      <w:r w:rsidR="00D82CCD">
        <w:t>2</w:t>
      </w:r>
      <w:r>
        <w:t>-2</w:t>
      </w:r>
      <w:r w:rsidR="00594B84">
        <w:t>3</w:t>
      </w:r>
      <w:r w:rsidR="00471DEB">
        <w:t>25257</w:t>
      </w:r>
      <w:r>
        <w:t xml:space="preserve"> </w:t>
      </w:r>
      <w:proofErr w:type="gramStart"/>
      <w:r>
        <w:t>are</w:t>
      </w:r>
      <w:proofErr w:type="gramEnd"/>
      <w:r>
        <w:t xml:space="preserve"> </w:t>
      </w:r>
      <w:r w:rsidR="00D82CCD">
        <w:t>sustained</w:t>
      </w:r>
      <w:r w:rsidR="002F3C07">
        <w:t xml:space="preserve"> with respect to the </w:t>
      </w:r>
      <w:r w:rsidR="002C0B24">
        <w:t xml:space="preserve">lack of </w:t>
      </w:r>
      <w:r w:rsidR="00471DEB">
        <w:t xml:space="preserve">legal sufficiency </w:t>
      </w:r>
      <w:r w:rsidR="002C0B24">
        <w:t xml:space="preserve">of </w:t>
      </w:r>
      <w:r w:rsidR="00471DEB">
        <w:t>the Complaint</w:t>
      </w:r>
      <w:r>
        <w:t>.</w:t>
      </w:r>
    </w:p>
    <w:p w:rsidR="00EA6E21" w:rsidRDefault="00EA6E21" w:rsidP="001E3ED5">
      <w:pPr>
        <w:spacing w:line="360" w:lineRule="auto"/>
      </w:pPr>
    </w:p>
    <w:p w:rsidR="00EA6E21" w:rsidRDefault="00EA6E21" w:rsidP="001E3ED5">
      <w:pPr>
        <w:spacing w:line="360" w:lineRule="auto"/>
      </w:pPr>
      <w:r>
        <w:tab/>
      </w:r>
      <w:r>
        <w:tab/>
        <w:t>2.</w:t>
      </w:r>
      <w:r>
        <w:tab/>
        <w:t xml:space="preserve">That the Complaint filed </w:t>
      </w:r>
      <w:r w:rsidRPr="00EA6E21">
        <w:t>at Docket No. C-2012-2325257</w:t>
      </w:r>
      <w:r>
        <w:t xml:space="preserve"> by </w:t>
      </w:r>
      <w:r w:rsidR="00641E1B" w:rsidRPr="00641E1B">
        <w:t>Mortgage Shoppers Financial, Inc.</w:t>
      </w:r>
      <w:r>
        <w:t xml:space="preserve"> is dismissed.</w:t>
      </w:r>
    </w:p>
    <w:p w:rsidR="00093F1C" w:rsidRDefault="00093F1C" w:rsidP="001E3ED5">
      <w:pPr>
        <w:spacing w:line="360" w:lineRule="auto"/>
      </w:pPr>
    </w:p>
    <w:p w:rsidR="00C92DC0" w:rsidRDefault="008E5B6A" w:rsidP="001E3ED5">
      <w:pPr>
        <w:spacing w:line="360" w:lineRule="auto"/>
      </w:pPr>
      <w:r>
        <w:tab/>
      </w:r>
      <w:r w:rsidR="00C92DC0">
        <w:tab/>
        <w:t>3.</w:t>
      </w:r>
      <w:r w:rsidR="00C92DC0">
        <w:tab/>
      </w:r>
      <w:r w:rsidR="00C92DC0" w:rsidRPr="00C92DC0">
        <w:t>That the record at Docket No. C-201</w:t>
      </w:r>
      <w:r w:rsidR="00C92DC0">
        <w:t>2</w:t>
      </w:r>
      <w:r w:rsidR="00C92DC0" w:rsidRPr="00C92DC0">
        <w:t>-</w:t>
      </w:r>
      <w:r w:rsidR="00C92DC0">
        <w:t>2325257</w:t>
      </w:r>
      <w:r w:rsidR="00C92DC0" w:rsidRPr="00C92DC0">
        <w:t xml:space="preserve"> is to be marked closed.</w:t>
      </w:r>
    </w:p>
    <w:p w:rsidR="001E3ED5" w:rsidRDefault="001E3ED5" w:rsidP="001E3ED5">
      <w:pPr>
        <w:spacing w:line="360" w:lineRule="auto"/>
      </w:pP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7C36D0">
        <w:rPr>
          <w:u w:val="single"/>
        </w:rPr>
        <w:t>December 19</w:t>
      </w:r>
      <w:bookmarkStart w:id="0" w:name="_GoBack"/>
      <w:bookmarkEnd w:id="0"/>
      <w:r w:rsidR="00D82CCD">
        <w:rPr>
          <w:u w:val="single"/>
        </w:rPr>
        <w:t>, 2012</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85531B" w:rsidRPr="00CF4780" w:rsidRDefault="000962F2" w:rsidP="001E3ED5">
      <w:r w:rsidRPr="007F27A1">
        <w:tab/>
      </w:r>
      <w:r w:rsidRPr="007F27A1">
        <w:tab/>
      </w:r>
      <w:r w:rsidRPr="007F27A1">
        <w:tab/>
      </w:r>
      <w:r w:rsidRPr="007F27A1">
        <w:tab/>
      </w:r>
      <w:r w:rsidRPr="007F27A1">
        <w:tab/>
      </w:r>
      <w:r w:rsidR="00D1767C">
        <w:tab/>
      </w:r>
      <w:r w:rsidRPr="007F27A1">
        <w:t>Administrative Law Judge</w:t>
      </w:r>
    </w:p>
    <w:sectPr w:rsidR="0085531B" w:rsidRPr="00CF478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60" w:rsidRDefault="00345560">
      <w:r>
        <w:separator/>
      </w:r>
    </w:p>
  </w:endnote>
  <w:endnote w:type="continuationSeparator" w:id="0">
    <w:p w:rsidR="00345560" w:rsidRDefault="0034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7C36D0">
      <w:rPr>
        <w:rStyle w:val="PageNumber"/>
        <w:noProof/>
      </w:rPr>
      <w:t>9</w:t>
    </w:r>
    <w:r>
      <w:rPr>
        <w:rStyle w:val="PageNumber"/>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60" w:rsidRDefault="00345560">
      <w:r>
        <w:separator/>
      </w:r>
    </w:p>
  </w:footnote>
  <w:footnote w:type="continuationSeparator" w:id="0">
    <w:p w:rsidR="00345560" w:rsidRDefault="00345560">
      <w:r>
        <w:continuationSeparator/>
      </w:r>
    </w:p>
  </w:footnote>
  <w:footnote w:id="1">
    <w:p w:rsidR="005F3559" w:rsidRDefault="005F3559">
      <w:pPr>
        <w:pStyle w:val="FootnoteText"/>
      </w:pPr>
      <w:r>
        <w:rPr>
          <w:rStyle w:val="FootnoteReference"/>
        </w:rPr>
        <w:footnoteRef/>
      </w:r>
      <w:r>
        <w:t xml:space="preserve"> </w:t>
      </w:r>
      <w:r>
        <w:tab/>
        <w:t xml:space="preserve">PECO does not dispute the fact that the Complainant in this case is </w:t>
      </w:r>
      <w:r w:rsidRPr="005F3559">
        <w:t>Mortgage Shoppers Financial, Inc.</w:t>
      </w:r>
      <w:r>
        <w:t>, though as will be discussed, PECO does object to Ms. Ricks acting in a representational capacity for Complainant.</w:t>
      </w:r>
    </w:p>
  </w:footnote>
  <w:footnote w:id="2">
    <w:p w:rsidR="008A2E30" w:rsidRDefault="008A2E30">
      <w:pPr>
        <w:pStyle w:val="FootnoteText"/>
      </w:pPr>
      <w:r>
        <w:rPr>
          <w:rStyle w:val="FootnoteReference"/>
        </w:rPr>
        <w:footnoteRef/>
      </w:r>
      <w:r>
        <w:t xml:space="preserve"> </w:t>
      </w:r>
      <w:r>
        <w:tab/>
        <w:t>BCS determinations are not binding or precedential in a formal complaint case, nor did PECO make such an argument.</w:t>
      </w:r>
    </w:p>
    <w:p w:rsidR="00115FAC" w:rsidRDefault="00115FAC">
      <w:pPr>
        <w:pStyle w:val="FootnoteText"/>
      </w:pPr>
    </w:p>
  </w:footnote>
  <w:footnote w:id="3">
    <w:p w:rsidR="00E37207" w:rsidRDefault="00E37207">
      <w:pPr>
        <w:pStyle w:val="FootnoteText"/>
      </w:pPr>
      <w:r>
        <w:rPr>
          <w:rStyle w:val="FootnoteReference"/>
        </w:rPr>
        <w:footnoteRef/>
      </w:r>
      <w:r>
        <w:t xml:space="preserve"> </w:t>
      </w:r>
      <w:r>
        <w:tab/>
      </w:r>
      <w:r w:rsidRPr="00E37207">
        <w:t>PECO did not raise Ms. Ricks’ status as grounds for dismissal under 52 Pa. Code § 5.101(a</w:t>
      </w:r>
      <w:proofErr w:type="gramStart"/>
      <w:r w:rsidRPr="00E37207">
        <w:t>)(</w:t>
      </w:r>
      <w:proofErr w:type="gramEnd"/>
      <w:r w:rsidRPr="00E37207">
        <w:t>2) in its Preliminary Objections.</w:t>
      </w:r>
    </w:p>
    <w:p w:rsidR="00E37207" w:rsidRDefault="00E37207">
      <w:pPr>
        <w:pStyle w:val="FootnoteText"/>
      </w:pPr>
    </w:p>
  </w:footnote>
  <w:footnote w:id="4">
    <w:p w:rsidR="0097747F" w:rsidRDefault="0097747F">
      <w:pPr>
        <w:pStyle w:val="FootnoteText"/>
      </w:pPr>
      <w:r>
        <w:rPr>
          <w:rStyle w:val="FootnoteReference"/>
        </w:rPr>
        <w:footnoteRef/>
      </w:r>
      <w:r>
        <w:t xml:space="preserve"> </w:t>
      </w:r>
      <w:r>
        <w:tab/>
        <w:t>If the Complaint was lacking in factual sufficiency, then an Order to amend the Complaint through counsel would be issued.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3F1C"/>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5FAC"/>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44E"/>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241A"/>
    <w:rsid w:val="0024311B"/>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0B24"/>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5560"/>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9B9"/>
    <w:rsid w:val="00616CCF"/>
    <w:rsid w:val="00616F7B"/>
    <w:rsid w:val="00617D73"/>
    <w:rsid w:val="0062025B"/>
    <w:rsid w:val="00626A5C"/>
    <w:rsid w:val="00626F4D"/>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095B"/>
    <w:rsid w:val="006C1767"/>
    <w:rsid w:val="006C184E"/>
    <w:rsid w:val="006C4E10"/>
    <w:rsid w:val="006C742D"/>
    <w:rsid w:val="006D0342"/>
    <w:rsid w:val="006D100A"/>
    <w:rsid w:val="006D1FC7"/>
    <w:rsid w:val="006D4730"/>
    <w:rsid w:val="006D5DAE"/>
    <w:rsid w:val="006D5E05"/>
    <w:rsid w:val="006D69AA"/>
    <w:rsid w:val="006D7470"/>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421C"/>
    <w:rsid w:val="0079526D"/>
    <w:rsid w:val="0079668E"/>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36D0"/>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5EDC"/>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F67"/>
    <w:rsid w:val="008A70B4"/>
    <w:rsid w:val="008A7B2B"/>
    <w:rsid w:val="008A7DB0"/>
    <w:rsid w:val="008B1335"/>
    <w:rsid w:val="008B22BE"/>
    <w:rsid w:val="008B56B6"/>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03BF"/>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2DBB"/>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0478"/>
    <w:rsid w:val="00D9297C"/>
    <w:rsid w:val="00D9314E"/>
    <w:rsid w:val="00D94A3E"/>
    <w:rsid w:val="00D962CC"/>
    <w:rsid w:val="00D96370"/>
    <w:rsid w:val="00D972B0"/>
    <w:rsid w:val="00DA1096"/>
    <w:rsid w:val="00DA16D3"/>
    <w:rsid w:val="00DA19F1"/>
    <w:rsid w:val="00DA453A"/>
    <w:rsid w:val="00DA4C57"/>
    <w:rsid w:val="00DA65E9"/>
    <w:rsid w:val="00DA734C"/>
    <w:rsid w:val="00DA7CD3"/>
    <w:rsid w:val="00DB09EB"/>
    <w:rsid w:val="00DB0E1A"/>
    <w:rsid w:val="00DB303E"/>
    <w:rsid w:val="00DB4421"/>
    <w:rsid w:val="00DB6F9D"/>
    <w:rsid w:val="00DC0281"/>
    <w:rsid w:val="00DC058A"/>
    <w:rsid w:val="00DC155E"/>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21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4AC1-5AFF-4771-9874-811AA66C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debuckley</cp:lastModifiedBy>
  <cp:revision>2</cp:revision>
  <cp:lastPrinted>2012-02-07T20:24:00Z</cp:lastPrinted>
  <dcterms:created xsi:type="dcterms:W3CDTF">2012-12-19T16:40:00Z</dcterms:created>
  <dcterms:modified xsi:type="dcterms:W3CDTF">2012-12-19T16:40:00Z</dcterms:modified>
</cp:coreProperties>
</file>