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54CB2">
        <w:trPr>
          <w:trHeight w:val="990"/>
        </w:trPr>
        <w:tc>
          <w:tcPr>
            <w:tcW w:w="1363" w:type="dxa"/>
          </w:tcPr>
          <w:p w:rsidR="00054CB2" w:rsidRDefault="006E2D6D">
            <w:pPr>
              <w:rPr>
                <w:spacing w:val="-2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7F9" w:rsidRPr="00DE5B54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4CB2" w:rsidRDefault="00054C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3DEB" w:rsidRDefault="00732303" w:rsidP="00732303">
      <w:pPr>
        <w:pStyle w:val="Heading1"/>
        <w:keepNext w:val="0"/>
        <w:jc w:val="center"/>
      </w:pPr>
      <w:r>
        <w:t>December 26, 2012</w:t>
      </w:r>
    </w:p>
    <w:p w:rsidR="002D7B76" w:rsidRPr="00EC7A0B" w:rsidRDefault="002D7B76" w:rsidP="00A87238">
      <w:pPr>
        <w:jc w:val="center"/>
        <w:rPr>
          <w:color w:val="000000"/>
          <w:sz w:val="24"/>
          <w:szCs w:val="24"/>
        </w:rPr>
      </w:pPr>
    </w:p>
    <w:p w:rsidR="00E34CF1" w:rsidRDefault="00386FEA" w:rsidP="00D83817">
      <w:pPr>
        <w:pStyle w:val="Heading1"/>
        <w:keepNext w:val="0"/>
        <w:jc w:val="right"/>
        <w:rPr>
          <w:color w:val="000000"/>
          <w:szCs w:val="24"/>
        </w:rPr>
      </w:pPr>
      <w:r w:rsidRPr="00386FEA">
        <w:rPr>
          <w:color w:val="000000"/>
          <w:szCs w:val="24"/>
        </w:rPr>
        <w:t xml:space="preserve">Docket No. </w:t>
      </w:r>
      <w:r w:rsidR="00FB4614">
        <w:rPr>
          <w:color w:val="000000"/>
          <w:szCs w:val="24"/>
        </w:rPr>
        <w:t>A-2012-2330825</w:t>
      </w:r>
    </w:p>
    <w:p w:rsidR="00FB4614" w:rsidRPr="00FB4614" w:rsidRDefault="00FB4614" w:rsidP="00FB4614">
      <w:pPr>
        <w:jc w:val="right"/>
        <w:rPr>
          <w:sz w:val="24"/>
          <w:szCs w:val="24"/>
        </w:rPr>
      </w:pPr>
      <w:r w:rsidRPr="00FB4614">
        <w:rPr>
          <w:sz w:val="24"/>
          <w:szCs w:val="24"/>
        </w:rPr>
        <w:t>A-2012-2330953</w:t>
      </w:r>
    </w:p>
    <w:p w:rsidR="00FB4614" w:rsidRPr="00FB4614" w:rsidRDefault="00FB4614" w:rsidP="00FB4614">
      <w:pPr>
        <w:jc w:val="right"/>
        <w:rPr>
          <w:sz w:val="24"/>
          <w:szCs w:val="24"/>
        </w:rPr>
      </w:pPr>
      <w:r w:rsidRPr="00FB4614">
        <w:rPr>
          <w:sz w:val="24"/>
          <w:szCs w:val="24"/>
        </w:rPr>
        <w:t>A-2012-2330954</w:t>
      </w:r>
    </w:p>
    <w:p w:rsidR="00386FEA" w:rsidRPr="00386FEA" w:rsidRDefault="00FB4614" w:rsidP="00386FEA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3115237</w:t>
      </w:r>
    </w:p>
    <w:p w:rsidR="00386FEA" w:rsidRDefault="00FB4614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MICHELLE PAINTER</w:t>
      </w:r>
    </w:p>
    <w:p w:rsidR="00386FEA" w:rsidRDefault="00FB4614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PAINTER LAW FIRM PLLC</w:t>
      </w:r>
    </w:p>
    <w:p w:rsidR="00386FEA" w:rsidRDefault="00FB4614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13017 DUNHILL DR</w:t>
      </w:r>
    </w:p>
    <w:p w:rsidR="00386FEA" w:rsidRDefault="00FB4614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FAIRFAX VA 22030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D71A1D" w:rsidRDefault="00E34CF1" w:rsidP="00EC7A0B">
      <w:pPr>
        <w:ind w:left="1440" w:hanging="720"/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>Re:</w:t>
      </w:r>
      <w:r w:rsidR="00EC7A0B">
        <w:rPr>
          <w:color w:val="000000"/>
          <w:sz w:val="24"/>
          <w:szCs w:val="24"/>
        </w:rPr>
        <w:tab/>
      </w:r>
      <w:r w:rsidR="00FB4614">
        <w:rPr>
          <w:color w:val="000000"/>
          <w:sz w:val="24"/>
          <w:szCs w:val="24"/>
        </w:rPr>
        <w:t>Teleport Communications America, LLC</w:t>
      </w:r>
    </w:p>
    <w:p w:rsidR="00386FEA" w:rsidRDefault="00355729" w:rsidP="00355729">
      <w:pPr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B4614">
        <w:rPr>
          <w:color w:val="000000"/>
          <w:sz w:val="24"/>
          <w:szCs w:val="24"/>
        </w:rPr>
        <w:t>Withdrawal of Docket Numbers</w:t>
      </w:r>
    </w:p>
    <w:p w:rsidR="00D71A1D" w:rsidRDefault="00D71A1D" w:rsidP="00EC7A0B">
      <w:pPr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 xml:space="preserve">Dear </w:t>
      </w:r>
      <w:r w:rsidR="00FB4614">
        <w:rPr>
          <w:color w:val="000000"/>
          <w:sz w:val="24"/>
          <w:szCs w:val="24"/>
        </w:rPr>
        <w:t>Ms. Painter</w:t>
      </w:r>
      <w:r w:rsidR="00CE3555">
        <w:rPr>
          <w:color w:val="000000"/>
          <w:sz w:val="24"/>
          <w:szCs w:val="24"/>
        </w:rPr>
        <w:t>:</w:t>
      </w:r>
      <w:r w:rsidR="00D71A1D">
        <w:rPr>
          <w:color w:val="000000"/>
          <w:sz w:val="24"/>
          <w:szCs w:val="24"/>
        </w:rPr>
        <w:t xml:space="preserve"> 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715E06" w:rsidRPr="007E7472" w:rsidRDefault="00E34CF1" w:rsidP="00715E06">
      <w:pPr>
        <w:pStyle w:val="BodyText"/>
        <w:spacing w:after="0"/>
        <w:rPr>
          <w:sz w:val="24"/>
          <w:szCs w:val="24"/>
        </w:rPr>
      </w:pPr>
      <w:r w:rsidRPr="00EC7A0B">
        <w:rPr>
          <w:color w:val="000000"/>
          <w:sz w:val="24"/>
          <w:szCs w:val="24"/>
        </w:rPr>
        <w:tab/>
      </w:r>
      <w:r w:rsidR="00715E06" w:rsidRPr="007E7472">
        <w:rPr>
          <w:sz w:val="24"/>
          <w:szCs w:val="24"/>
        </w:rPr>
        <w:t xml:space="preserve">This letter is in regards to your letter of </w:t>
      </w:r>
      <w:r w:rsidR="00FB4614">
        <w:rPr>
          <w:sz w:val="24"/>
          <w:szCs w:val="24"/>
        </w:rPr>
        <w:t xml:space="preserve">December 20, </w:t>
      </w:r>
      <w:r w:rsidR="00355729">
        <w:rPr>
          <w:sz w:val="24"/>
          <w:szCs w:val="24"/>
        </w:rPr>
        <w:t>2012</w:t>
      </w:r>
      <w:r w:rsidR="00715E06" w:rsidRPr="007E7472">
        <w:rPr>
          <w:sz w:val="24"/>
          <w:szCs w:val="24"/>
        </w:rPr>
        <w:t xml:space="preserve">, in which you request that the above-referenced </w:t>
      </w:r>
      <w:r w:rsidR="00FB4614">
        <w:rPr>
          <w:sz w:val="24"/>
          <w:szCs w:val="24"/>
        </w:rPr>
        <w:t>Docket Numbers</w:t>
      </w:r>
      <w:r w:rsidR="00715E06" w:rsidRPr="007E7472">
        <w:rPr>
          <w:sz w:val="24"/>
          <w:szCs w:val="24"/>
        </w:rPr>
        <w:t xml:space="preserve"> be withdrawn.  Please be advised that your request has been approved and that the withdrawal process has been completed.  Our records in this matter will now be closed.  </w:t>
      </w:r>
    </w:p>
    <w:p w:rsidR="00715E06" w:rsidRPr="007E7472" w:rsidRDefault="00715E06" w:rsidP="00715E06">
      <w:pPr>
        <w:pStyle w:val="BodyText"/>
        <w:spacing w:after="0"/>
        <w:rPr>
          <w:sz w:val="24"/>
          <w:szCs w:val="24"/>
        </w:rPr>
      </w:pPr>
    </w:p>
    <w:p w:rsidR="00715E06" w:rsidRPr="007E7472" w:rsidRDefault="00715E06" w:rsidP="00715E06">
      <w:pPr>
        <w:pStyle w:val="BodyText"/>
        <w:spacing w:after="0"/>
        <w:ind w:firstLine="720"/>
        <w:rPr>
          <w:color w:val="000000" w:themeColor="text1"/>
          <w:sz w:val="24"/>
          <w:szCs w:val="24"/>
        </w:rPr>
      </w:pPr>
      <w:r w:rsidRPr="007E7472">
        <w:rPr>
          <w:color w:val="000000" w:themeColor="text1"/>
          <w:sz w:val="24"/>
          <w:szCs w:val="24"/>
        </w:rPr>
        <w:t>If you are dissatisfied with the resolution of this matter, you may, as set forth in 52 Pa. Code § 5.44, file a petition with the Commission within 20 days of the date of this letter.  If you have any questions in this matter</w:t>
      </w:r>
      <w:r w:rsidR="00355729">
        <w:rPr>
          <w:color w:val="000000" w:themeColor="text1"/>
          <w:sz w:val="24"/>
          <w:szCs w:val="24"/>
        </w:rPr>
        <w:t>, please contact Spencer Nahf</w:t>
      </w:r>
      <w:r w:rsidRPr="007E7472">
        <w:rPr>
          <w:color w:val="000000" w:themeColor="text1"/>
          <w:sz w:val="24"/>
          <w:szCs w:val="24"/>
        </w:rPr>
        <w:t>, Telco Group, Bureau of Fixed Ut</w:t>
      </w:r>
      <w:r w:rsidR="00355729">
        <w:rPr>
          <w:color w:val="000000" w:themeColor="text1"/>
          <w:sz w:val="24"/>
          <w:szCs w:val="24"/>
        </w:rPr>
        <w:t>ility Services at (717) 787-5164</w:t>
      </w:r>
      <w:r w:rsidRPr="007E7472">
        <w:rPr>
          <w:color w:val="000000" w:themeColor="text1"/>
          <w:sz w:val="24"/>
          <w:szCs w:val="24"/>
        </w:rPr>
        <w:t xml:space="preserve"> or </w:t>
      </w:r>
      <w:r w:rsidR="00355729">
        <w:rPr>
          <w:color w:val="000000" w:themeColor="text1"/>
          <w:sz w:val="24"/>
          <w:szCs w:val="24"/>
          <w:u w:val="single"/>
        </w:rPr>
        <w:t>snahf</w:t>
      </w:r>
      <w:r w:rsidRPr="007E7472">
        <w:rPr>
          <w:color w:val="000000" w:themeColor="text1"/>
          <w:sz w:val="24"/>
          <w:szCs w:val="24"/>
          <w:u w:val="single"/>
        </w:rPr>
        <w:t>@state.pa.us</w:t>
      </w:r>
      <w:r w:rsidRPr="007E7472">
        <w:rPr>
          <w:color w:val="000000" w:themeColor="text1"/>
          <w:sz w:val="24"/>
          <w:szCs w:val="24"/>
        </w:rPr>
        <w:t xml:space="preserve">. </w:t>
      </w:r>
    </w:p>
    <w:p w:rsidR="00E34CF1" w:rsidRPr="00715E06" w:rsidRDefault="00715E06" w:rsidP="00715E06">
      <w:pPr>
        <w:rPr>
          <w:sz w:val="24"/>
          <w:szCs w:val="24"/>
        </w:rPr>
      </w:pPr>
      <w:r w:rsidRPr="007E7472">
        <w:rPr>
          <w:sz w:val="24"/>
          <w:szCs w:val="24"/>
        </w:rPr>
        <w:tab/>
      </w:r>
      <w:r w:rsidRPr="007E7472">
        <w:rPr>
          <w:sz w:val="24"/>
          <w:szCs w:val="24"/>
        </w:rPr>
        <w:tab/>
      </w:r>
    </w:p>
    <w:p w:rsidR="00E34CF1" w:rsidRPr="00EC7A0B" w:rsidRDefault="00732303" w:rsidP="00E34CF1">
      <w:pP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06DDA" wp14:editId="05F30A2F">
            <wp:simplePos x="0" y="0"/>
            <wp:positionH relativeFrom="column">
              <wp:posOffset>2524760</wp:posOffset>
            </wp:positionH>
            <wp:positionV relativeFrom="paragraph">
              <wp:posOffset>5715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8D5157">
        <w:rPr>
          <w:color w:val="000000"/>
          <w:sz w:val="24"/>
          <w:szCs w:val="24"/>
        </w:rPr>
        <w:t>Sincerely</w:t>
      </w:r>
      <w:r w:rsidR="00E34CF1" w:rsidRPr="00EC7A0B">
        <w:rPr>
          <w:color w:val="000000"/>
          <w:sz w:val="24"/>
          <w:szCs w:val="24"/>
        </w:rPr>
        <w:t>,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553DEB" w:rsidRPr="00EC7A0B" w:rsidRDefault="00553DEB" w:rsidP="00E34CF1">
      <w:pPr>
        <w:rPr>
          <w:color w:val="000000"/>
          <w:sz w:val="24"/>
          <w:szCs w:val="24"/>
        </w:rPr>
      </w:pPr>
      <w:bookmarkStart w:id="0" w:name="_GoBack"/>
      <w:bookmarkEnd w:id="0"/>
    </w:p>
    <w:p w:rsidR="00E34CF1" w:rsidRPr="00CE3555" w:rsidRDefault="00E34CF1" w:rsidP="00E34CF1">
      <w:pPr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="00CE3555" w:rsidRPr="00CE3555">
        <w:rPr>
          <w:sz w:val="24"/>
          <w:szCs w:val="24"/>
        </w:rPr>
        <w:t>Rosemary Chiavetta</w:t>
      </w:r>
    </w:p>
    <w:p w:rsidR="00E34CF1" w:rsidRPr="00CE3555" w:rsidRDefault="00715E06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34CF1" w:rsidRPr="00CE3555">
        <w:rPr>
          <w:color w:val="000000"/>
          <w:sz w:val="24"/>
          <w:szCs w:val="24"/>
        </w:rPr>
        <w:t>Secretary</w:t>
      </w:r>
    </w:p>
    <w:p w:rsidR="00E34CF1" w:rsidRDefault="00E34CF1" w:rsidP="00E34CF1">
      <w:pPr>
        <w:rPr>
          <w:color w:val="000000"/>
          <w:sz w:val="24"/>
          <w:szCs w:val="24"/>
        </w:rPr>
      </w:pPr>
    </w:p>
    <w:p w:rsidR="007604EF" w:rsidRPr="00EC7A0B" w:rsidRDefault="007604EF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Enclosure</w:t>
      </w:r>
    </w:p>
    <w:p w:rsidR="00715E06" w:rsidRDefault="00E34CF1" w:rsidP="00715E06">
      <w:pPr>
        <w:rPr>
          <w:sz w:val="24"/>
          <w:szCs w:val="24"/>
        </w:rPr>
      </w:pPr>
      <w:r w:rsidRPr="00EC7A0B">
        <w:rPr>
          <w:color w:val="000000"/>
          <w:sz w:val="24"/>
          <w:szCs w:val="24"/>
        </w:rPr>
        <w:t>cc:</w:t>
      </w:r>
      <w:r w:rsidR="00C80FBC" w:rsidRPr="00EC7A0B">
        <w:rPr>
          <w:color w:val="000000"/>
          <w:sz w:val="24"/>
          <w:szCs w:val="24"/>
        </w:rPr>
        <w:tab/>
      </w:r>
      <w:r w:rsidR="007604EF">
        <w:rPr>
          <w:sz w:val="24"/>
          <w:szCs w:val="24"/>
        </w:rPr>
        <w:t>Service List</w:t>
      </w:r>
    </w:p>
    <w:p w:rsidR="007604EF" w:rsidRDefault="007604EF" w:rsidP="00715E06">
      <w:pPr>
        <w:rPr>
          <w:sz w:val="24"/>
          <w:szCs w:val="24"/>
        </w:rPr>
      </w:pPr>
      <w:r>
        <w:rPr>
          <w:sz w:val="24"/>
          <w:szCs w:val="24"/>
        </w:rPr>
        <w:tab/>
        <w:t>Melissa Derr, TUS</w:t>
      </w:r>
    </w:p>
    <w:p w:rsidR="007604EF" w:rsidRDefault="007604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04EF" w:rsidRPr="007604EF" w:rsidRDefault="007604EF" w:rsidP="007604EF">
      <w:pPr>
        <w:ind w:left="540" w:right="360"/>
        <w:jc w:val="center"/>
        <w:rPr>
          <w:sz w:val="24"/>
          <w:szCs w:val="24"/>
        </w:rPr>
      </w:pPr>
      <w:r w:rsidRPr="007604EF">
        <w:rPr>
          <w:sz w:val="24"/>
          <w:szCs w:val="24"/>
        </w:rPr>
        <w:lastRenderedPageBreak/>
        <w:t>Service List</w:t>
      </w:r>
    </w:p>
    <w:p w:rsidR="007604EF" w:rsidRPr="007604EF" w:rsidRDefault="007604EF" w:rsidP="007604EF">
      <w:pPr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90"/>
        <w:gridCol w:w="4770"/>
      </w:tblGrid>
      <w:tr w:rsidR="007604EF" w:rsidRPr="007604EF" w:rsidTr="009804D3">
        <w:trPr>
          <w:jc w:val="center"/>
        </w:trPr>
        <w:tc>
          <w:tcPr>
            <w:tcW w:w="4590" w:type="dxa"/>
            <w:vAlign w:val="center"/>
          </w:tcPr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Office of Consumer Advocate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555 Walnut Street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5th Floor Forum Place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Harrisburg, PA 17101-1923</w:t>
            </w:r>
          </w:p>
        </w:tc>
        <w:tc>
          <w:tcPr>
            <w:tcW w:w="4770" w:type="dxa"/>
          </w:tcPr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Pennsylvania Public Utility Commission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Bureau of TUS, Telco Division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PO Box 3265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Harrisburg, PA 17105-3265</w:t>
            </w:r>
          </w:p>
        </w:tc>
      </w:tr>
      <w:tr w:rsidR="007604EF" w:rsidRPr="007604EF" w:rsidTr="009804D3">
        <w:trPr>
          <w:jc w:val="center"/>
        </w:trPr>
        <w:tc>
          <w:tcPr>
            <w:tcW w:w="4590" w:type="dxa"/>
          </w:tcPr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Office of Small Business Advocate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Commerce Building, Suite 1102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300 North Second Street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Harrisburg, PA 17101</w:t>
            </w:r>
          </w:p>
        </w:tc>
        <w:tc>
          <w:tcPr>
            <w:tcW w:w="4770" w:type="dxa"/>
          </w:tcPr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Office of Attorney General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Office of Consumer Protection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14th Floor Strawberry Square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  <w:r w:rsidRPr="007604EF">
              <w:rPr>
                <w:sz w:val="24"/>
                <w:szCs w:val="24"/>
              </w:rPr>
              <w:t>Harrisburg, PA  17120</w:t>
            </w:r>
          </w:p>
        </w:tc>
      </w:tr>
      <w:tr w:rsidR="007604EF" w:rsidRPr="007604EF" w:rsidTr="009804D3">
        <w:trPr>
          <w:jc w:val="center"/>
        </w:trPr>
        <w:tc>
          <w:tcPr>
            <w:tcW w:w="4590" w:type="dxa"/>
          </w:tcPr>
          <w:p w:rsidR="00691728" w:rsidRDefault="00691728" w:rsidP="007604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CenturyLink</w:t>
            </w:r>
            <w:proofErr w:type="spellEnd"/>
          </w:p>
          <w:p w:rsidR="007604EF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Bailey</w:t>
            </w:r>
          </w:p>
          <w:p w:rsidR="00DD413E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North Third Street</w:t>
            </w:r>
            <w:r w:rsidR="00691728">
              <w:rPr>
                <w:sz w:val="24"/>
                <w:szCs w:val="24"/>
              </w:rPr>
              <w:t>, Suite 300</w:t>
            </w:r>
          </w:p>
          <w:p w:rsidR="00DD413E" w:rsidRPr="007604EF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Harrisburg, PA 17101</w:t>
            </w: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7604EF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Painter</w:t>
            </w:r>
          </w:p>
          <w:p w:rsidR="00691728" w:rsidRDefault="00691728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Painter Law Firm PLLC</w:t>
            </w:r>
          </w:p>
          <w:p w:rsidR="00DD413E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 Dunhill Drive</w:t>
            </w:r>
          </w:p>
          <w:p w:rsidR="00DD413E" w:rsidRDefault="00DD413E" w:rsidP="0076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Fairfax VA 22030</w:t>
            </w:r>
          </w:p>
          <w:p w:rsidR="00DD413E" w:rsidRPr="007604EF" w:rsidRDefault="00DD413E" w:rsidP="007604EF">
            <w:pPr>
              <w:rPr>
                <w:sz w:val="24"/>
                <w:szCs w:val="24"/>
              </w:rPr>
            </w:pPr>
          </w:p>
          <w:p w:rsidR="007604EF" w:rsidRPr="007604EF" w:rsidRDefault="007604EF" w:rsidP="007604EF">
            <w:pPr>
              <w:rPr>
                <w:sz w:val="24"/>
                <w:szCs w:val="24"/>
              </w:rPr>
            </w:pPr>
          </w:p>
        </w:tc>
      </w:tr>
    </w:tbl>
    <w:p w:rsidR="007604EF" w:rsidRPr="007604EF" w:rsidRDefault="007604EF" w:rsidP="007604EF">
      <w:pPr>
        <w:rPr>
          <w:sz w:val="24"/>
          <w:szCs w:val="24"/>
        </w:rPr>
      </w:pPr>
    </w:p>
    <w:p w:rsidR="007604EF" w:rsidRPr="007E7472" w:rsidRDefault="007604EF" w:rsidP="00715E06">
      <w:pPr>
        <w:rPr>
          <w:sz w:val="24"/>
          <w:szCs w:val="24"/>
        </w:rPr>
      </w:pPr>
    </w:p>
    <w:p w:rsidR="00715E06" w:rsidRDefault="00355729" w:rsidP="00715E0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C7A0B" w:rsidRPr="00EC7A0B" w:rsidRDefault="00EC7A0B" w:rsidP="00E34CF1">
      <w:pPr>
        <w:rPr>
          <w:color w:val="000000"/>
          <w:sz w:val="24"/>
          <w:szCs w:val="24"/>
        </w:rPr>
      </w:pPr>
    </w:p>
    <w:p w:rsidR="00EC7A0B" w:rsidRPr="00EC7A0B" w:rsidRDefault="00EC7A0B" w:rsidP="00E34CF1">
      <w:pPr>
        <w:rPr>
          <w:color w:val="000000"/>
          <w:sz w:val="24"/>
          <w:szCs w:val="24"/>
        </w:rPr>
      </w:pPr>
    </w:p>
    <w:sectPr w:rsidR="00EC7A0B" w:rsidRPr="00EC7A0B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22" w:rsidRDefault="00AB3E22">
      <w:r>
        <w:separator/>
      </w:r>
    </w:p>
  </w:endnote>
  <w:endnote w:type="continuationSeparator" w:id="0">
    <w:p w:rsidR="00AB3E22" w:rsidRDefault="00AB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22" w:rsidRDefault="00AB3E22">
      <w:r>
        <w:separator/>
      </w:r>
    </w:p>
  </w:footnote>
  <w:footnote w:type="continuationSeparator" w:id="0">
    <w:p w:rsidR="00AB3E22" w:rsidRDefault="00AB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2"/>
    <w:rsid w:val="00054CB2"/>
    <w:rsid w:val="00056095"/>
    <w:rsid w:val="000D6FF6"/>
    <w:rsid w:val="000F33A3"/>
    <w:rsid w:val="00154471"/>
    <w:rsid w:val="00177E8A"/>
    <w:rsid w:val="001A1436"/>
    <w:rsid w:val="001A4116"/>
    <w:rsid w:val="001F4514"/>
    <w:rsid w:val="00233771"/>
    <w:rsid w:val="002361A7"/>
    <w:rsid w:val="002761C4"/>
    <w:rsid w:val="002D3BC0"/>
    <w:rsid w:val="002D7B76"/>
    <w:rsid w:val="002E4E17"/>
    <w:rsid w:val="002F510C"/>
    <w:rsid w:val="00355729"/>
    <w:rsid w:val="003639DB"/>
    <w:rsid w:val="0038327A"/>
    <w:rsid w:val="00386FEA"/>
    <w:rsid w:val="004440CF"/>
    <w:rsid w:val="004566C6"/>
    <w:rsid w:val="00511E94"/>
    <w:rsid w:val="00543D48"/>
    <w:rsid w:val="00553DEB"/>
    <w:rsid w:val="00560B4E"/>
    <w:rsid w:val="005722CD"/>
    <w:rsid w:val="00613146"/>
    <w:rsid w:val="00682788"/>
    <w:rsid w:val="00691728"/>
    <w:rsid w:val="00697C0A"/>
    <w:rsid w:val="006A44C9"/>
    <w:rsid w:val="006B12B3"/>
    <w:rsid w:val="006E2D6D"/>
    <w:rsid w:val="00715D7A"/>
    <w:rsid w:val="00715E06"/>
    <w:rsid w:val="00732303"/>
    <w:rsid w:val="0075652D"/>
    <w:rsid w:val="007604EF"/>
    <w:rsid w:val="007F20C6"/>
    <w:rsid w:val="0081380B"/>
    <w:rsid w:val="0084668E"/>
    <w:rsid w:val="008A7CB8"/>
    <w:rsid w:val="008C6A1D"/>
    <w:rsid w:val="008D5157"/>
    <w:rsid w:val="009D0803"/>
    <w:rsid w:val="00A87238"/>
    <w:rsid w:val="00AA3DF7"/>
    <w:rsid w:val="00AB3E22"/>
    <w:rsid w:val="00AD207B"/>
    <w:rsid w:val="00AE708C"/>
    <w:rsid w:val="00B233C1"/>
    <w:rsid w:val="00C04279"/>
    <w:rsid w:val="00C63C07"/>
    <w:rsid w:val="00C80FBC"/>
    <w:rsid w:val="00CE3555"/>
    <w:rsid w:val="00CF19DC"/>
    <w:rsid w:val="00D11829"/>
    <w:rsid w:val="00D61E36"/>
    <w:rsid w:val="00D71A1D"/>
    <w:rsid w:val="00D83817"/>
    <w:rsid w:val="00DD413E"/>
    <w:rsid w:val="00DE5B54"/>
    <w:rsid w:val="00E107F9"/>
    <w:rsid w:val="00E2369D"/>
    <w:rsid w:val="00E34CF1"/>
    <w:rsid w:val="00EC7A0B"/>
    <w:rsid w:val="00EF332C"/>
    <w:rsid w:val="00EF7D49"/>
    <w:rsid w:val="00FB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829"/>
  </w:style>
  <w:style w:type="paragraph" w:styleId="Heading1">
    <w:name w:val="heading 1"/>
    <w:basedOn w:val="Normal"/>
    <w:next w:val="Normal"/>
    <w:qFormat/>
    <w:rsid w:val="00D1182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829"/>
    <w:pPr>
      <w:ind w:left="360"/>
    </w:pPr>
    <w:rPr>
      <w:sz w:val="24"/>
    </w:rPr>
  </w:style>
  <w:style w:type="paragraph" w:styleId="Header">
    <w:name w:val="header"/>
    <w:basedOn w:val="Normal"/>
    <w:rsid w:val="00D11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E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E06"/>
  </w:style>
  <w:style w:type="character" w:styleId="Hyperlink">
    <w:name w:val="Hyperlink"/>
    <w:basedOn w:val="DefaultParagraphFont"/>
    <w:rsid w:val="00715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829"/>
  </w:style>
  <w:style w:type="paragraph" w:styleId="Heading1">
    <w:name w:val="heading 1"/>
    <w:basedOn w:val="Normal"/>
    <w:next w:val="Normal"/>
    <w:qFormat/>
    <w:rsid w:val="00D1182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829"/>
    <w:pPr>
      <w:ind w:left="360"/>
    </w:pPr>
    <w:rPr>
      <w:sz w:val="24"/>
    </w:rPr>
  </w:style>
  <w:style w:type="paragraph" w:styleId="Header">
    <w:name w:val="header"/>
    <w:basedOn w:val="Normal"/>
    <w:rsid w:val="00D11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E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E06"/>
  </w:style>
  <w:style w:type="character" w:styleId="Hyperlink">
    <w:name w:val="Hyperlink"/>
    <w:basedOn w:val="DefaultParagraphFont"/>
    <w:rsid w:val="0071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Hinds, Margaret</cp:lastModifiedBy>
  <cp:revision>6</cp:revision>
  <cp:lastPrinted>2012-12-26T12:19:00Z</cp:lastPrinted>
  <dcterms:created xsi:type="dcterms:W3CDTF">2012-12-21T14:31:00Z</dcterms:created>
  <dcterms:modified xsi:type="dcterms:W3CDTF">2012-12-26T12:19:00Z</dcterms:modified>
</cp:coreProperties>
</file>