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Default="008E4FD6" w:rsidP="008E4FD6">
      <w:pPr>
        <w:jc w:val="center"/>
        <w:rPr>
          <w:b/>
        </w:rPr>
      </w:pPr>
    </w:p>
    <w:p w:rsidR="00354D1D" w:rsidRPr="008B455C" w:rsidRDefault="00354D1D" w:rsidP="008E4FD6">
      <w:pPr>
        <w:jc w:val="center"/>
        <w:rPr>
          <w:b/>
        </w:rPr>
      </w:pPr>
    </w:p>
    <w:p w:rsidR="004D3F2A" w:rsidRPr="00286C99" w:rsidRDefault="004D3F2A" w:rsidP="004D3F2A">
      <w:r>
        <w:t xml:space="preserve">Daniel </w:t>
      </w:r>
      <w:proofErr w:type="spellStart"/>
      <w:r>
        <w:t>Brunda</w:t>
      </w:r>
      <w:proofErr w:type="spellEnd"/>
      <w:r>
        <w:tab/>
      </w:r>
      <w:r>
        <w:tab/>
      </w:r>
      <w:r w:rsidRPr="00286C99">
        <w:tab/>
      </w:r>
      <w:r w:rsidRPr="00286C99">
        <w:tab/>
      </w:r>
      <w:r w:rsidRPr="00286C99">
        <w:tab/>
      </w:r>
      <w:r w:rsidRPr="00286C99">
        <w:tab/>
        <w:t>:</w:t>
      </w:r>
    </w:p>
    <w:p w:rsidR="004D3F2A" w:rsidRPr="00286C99" w:rsidRDefault="004D3F2A" w:rsidP="004D3F2A">
      <w:r>
        <w:tab/>
      </w:r>
      <w:r>
        <w:tab/>
      </w:r>
      <w:r>
        <w:tab/>
      </w:r>
      <w:r>
        <w:tab/>
      </w:r>
      <w:r>
        <w:tab/>
      </w:r>
      <w:r>
        <w:tab/>
      </w:r>
      <w:r>
        <w:tab/>
        <w:t>:</w:t>
      </w:r>
    </w:p>
    <w:p w:rsidR="004D3F2A" w:rsidRPr="00286C99" w:rsidRDefault="004D3F2A" w:rsidP="004D3F2A">
      <w:r w:rsidRPr="00286C99">
        <w:tab/>
        <w:t>v.</w:t>
      </w:r>
      <w:r w:rsidRPr="00286C99">
        <w:tab/>
      </w:r>
      <w:r w:rsidRPr="00286C99">
        <w:tab/>
      </w:r>
      <w:r w:rsidRPr="00286C99">
        <w:tab/>
      </w:r>
      <w:r w:rsidRPr="00286C99">
        <w:tab/>
      </w:r>
      <w:r w:rsidRPr="00286C99">
        <w:tab/>
      </w:r>
      <w:r w:rsidRPr="00286C99">
        <w:tab/>
        <w:t>:</w:t>
      </w:r>
      <w:r w:rsidRPr="00286C99">
        <w:tab/>
      </w:r>
      <w:r w:rsidRPr="00286C99">
        <w:tab/>
        <w:t>C</w:t>
      </w:r>
      <w:r w:rsidRPr="00286C99">
        <w:noBreakHyphen/>
      </w:r>
      <w:r>
        <w:t>2012-2286040</w:t>
      </w:r>
    </w:p>
    <w:p w:rsidR="004D3F2A" w:rsidRPr="00286C99" w:rsidRDefault="004D3F2A" w:rsidP="004D3F2A">
      <w:r w:rsidRPr="00286C99">
        <w:tab/>
      </w:r>
      <w:r w:rsidRPr="00286C99">
        <w:tab/>
      </w:r>
      <w:r w:rsidRPr="00286C99">
        <w:tab/>
      </w:r>
      <w:r w:rsidRPr="00286C99">
        <w:tab/>
      </w:r>
      <w:r w:rsidRPr="00286C99">
        <w:tab/>
      </w:r>
      <w:r w:rsidRPr="00286C99">
        <w:tab/>
      </w:r>
      <w:r w:rsidRPr="00286C99">
        <w:tab/>
        <w:t>:</w:t>
      </w:r>
    </w:p>
    <w:p w:rsidR="004D3F2A" w:rsidRPr="00286C99" w:rsidRDefault="004D3F2A" w:rsidP="004D3F2A">
      <w:r>
        <w:t>PPL Electric Utilities Corporation</w:t>
      </w:r>
      <w:r>
        <w:tab/>
      </w:r>
      <w:r w:rsidRPr="00286C99">
        <w:tab/>
      </w:r>
      <w:r w:rsidRPr="00286C99">
        <w:tab/>
        <w:t>:</w:t>
      </w:r>
    </w:p>
    <w:p w:rsidR="004D3F2A" w:rsidRPr="00286C99" w:rsidRDefault="004D3F2A" w:rsidP="004D3F2A"/>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8E4FD6">
      <w:pPr>
        <w:jc w:val="center"/>
      </w:pPr>
    </w:p>
    <w:p w:rsidR="008E4FD6" w:rsidRPr="008B455C" w:rsidRDefault="008E4FD6" w:rsidP="008E4FD6">
      <w:pPr>
        <w:jc w:val="center"/>
      </w:pPr>
    </w:p>
    <w:p w:rsidR="00F9732A" w:rsidRPr="008B455C" w:rsidRDefault="008E4FD6" w:rsidP="00F9732A">
      <w:pPr>
        <w:jc w:val="center"/>
        <w:rPr>
          <w:u w:val="single"/>
        </w:rPr>
      </w:pPr>
      <w:r w:rsidRPr="008B455C">
        <w:rPr>
          <w:u w:val="single"/>
        </w:rPr>
        <w:t>HISTORY OF THE PROCEEDING</w:t>
      </w:r>
    </w:p>
    <w:p w:rsidR="00F9732A" w:rsidRPr="008B455C" w:rsidRDefault="00F9732A" w:rsidP="00F9732A">
      <w:pPr>
        <w:jc w:val="center"/>
        <w:rPr>
          <w:u w:val="single"/>
        </w:rPr>
      </w:pPr>
    </w:p>
    <w:p w:rsidR="004D3F2A" w:rsidRPr="00286C99" w:rsidRDefault="004D3F2A" w:rsidP="004D3F2A">
      <w:pPr>
        <w:jc w:val="both"/>
      </w:pPr>
    </w:p>
    <w:p w:rsidR="004D3F2A" w:rsidRPr="00286C99" w:rsidRDefault="004D3F2A" w:rsidP="004D3F2A">
      <w:pPr>
        <w:spacing w:line="360" w:lineRule="auto"/>
        <w:ind w:firstLine="1440"/>
      </w:pPr>
      <w:r w:rsidRPr="00286C99">
        <w:t xml:space="preserve">On </w:t>
      </w:r>
      <w:r>
        <w:t xml:space="preserve">February 1, 2012, Daniel </w:t>
      </w:r>
      <w:proofErr w:type="spellStart"/>
      <w:r>
        <w:t>Brunda</w:t>
      </w:r>
      <w:proofErr w:type="spellEnd"/>
      <w:r w:rsidRPr="00286C99">
        <w:t xml:space="preserve"> (“Complainant”) filed a formal complaint </w:t>
      </w:r>
      <w:r>
        <w:t xml:space="preserve">with the Pennsylvania Public Utility Commission (“Commission”) </w:t>
      </w:r>
      <w:r w:rsidRPr="00286C99">
        <w:t xml:space="preserve">against </w:t>
      </w:r>
      <w:r>
        <w:t xml:space="preserve">PPL Electric Utilities Corporation </w:t>
      </w:r>
      <w:r w:rsidRPr="00286C99">
        <w:t>(“Respondent” or “</w:t>
      </w:r>
      <w:r>
        <w:t>PPL</w:t>
      </w:r>
      <w:r w:rsidRPr="00286C99">
        <w:t xml:space="preserve">”) alleging </w:t>
      </w:r>
      <w:r>
        <w:t>there is a safety or quality problem caused by electromagnetic radiation (“EMRs”) from PPL’s power lines su</w:t>
      </w:r>
      <w:r w:rsidR="00C93396">
        <w:t>rrounding Complainant’s properties</w:t>
      </w:r>
      <w:r>
        <w:t xml:space="preserve"> in Lansford, Carbon County, Pennsylvania.  </w:t>
      </w:r>
      <w:r w:rsidRPr="00286C99">
        <w:t xml:space="preserve">On </w:t>
      </w:r>
      <w:r>
        <w:t>February 21, 2012</w:t>
      </w:r>
      <w:r w:rsidRPr="00286C99">
        <w:t>, Respondent filed an Answer to Complaint with the Commission</w:t>
      </w:r>
      <w:r>
        <w:t xml:space="preserve"> in which it generally denied the allegations concerning electromagnetic fields.    </w:t>
      </w:r>
    </w:p>
    <w:p w:rsidR="004D3F2A" w:rsidRPr="00286C99" w:rsidRDefault="004D3F2A" w:rsidP="004D3F2A">
      <w:pPr>
        <w:spacing w:line="360" w:lineRule="auto"/>
        <w:ind w:firstLine="1440"/>
      </w:pPr>
    </w:p>
    <w:p w:rsidR="004D3F2A" w:rsidRDefault="004D3F2A" w:rsidP="004D3F2A">
      <w:pPr>
        <w:spacing w:line="360" w:lineRule="auto"/>
        <w:ind w:firstLine="1440"/>
      </w:pPr>
      <w:r w:rsidRPr="00286C99">
        <w:t xml:space="preserve">On </w:t>
      </w:r>
      <w:r>
        <w:t>June 20, 2012</w:t>
      </w:r>
      <w:r w:rsidRPr="00286C99">
        <w:t>, the Commission issued a</w:t>
      </w:r>
      <w:r>
        <w:t xml:space="preserve"> Hearing Cancellation/Reschedule</w:t>
      </w:r>
      <w:r w:rsidRPr="00286C99">
        <w:t xml:space="preserve"> Notice</w:t>
      </w:r>
      <w:r>
        <w:t xml:space="preserve"> #2</w:t>
      </w:r>
      <w:r w:rsidRPr="00286C99">
        <w:t xml:space="preserve"> scheduling this matter for an initial telephonic hearing on </w:t>
      </w:r>
      <w:r>
        <w:t>Thursday, August 16, 2012</w:t>
      </w:r>
      <w:r w:rsidR="0061772B">
        <w:t>,</w:t>
      </w:r>
      <w:r w:rsidRPr="00286C99">
        <w:t xml:space="preserve"> in the Commission’s offices in Pittsburgh, Pennsylvania.  </w:t>
      </w:r>
    </w:p>
    <w:p w:rsidR="004D3F2A" w:rsidRDefault="004D3F2A" w:rsidP="004D3F2A">
      <w:pPr>
        <w:spacing w:line="360" w:lineRule="auto"/>
      </w:pPr>
    </w:p>
    <w:p w:rsidR="004D3F2A" w:rsidRDefault="004D3F2A" w:rsidP="004D3F2A">
      <w:pPr>
        <w:spacing w:line="360" w:lineRule="auto"/>
      </w:pPr>
      <w:r>
        <w:lastRenderedPageBreak/>
        <w:tab/>
      </w:r>
      <w:r>
        <w:tab/>
        <w:t xml:space="preserve">On Thursday, August 16, 2012, the presiding officer conducted a telephonic hearing at which Complainant was present, </w:t>
      </w:r>
      <w:r w:rsidRPr="00732F1B">
        <w:rPr>
          <w:i/>
        </w:rPr>
        <w:t>pro se</w:t>
      </w:r>
      <w:r>
        <w:t xml:space="preserve">, and Respondent appeared represented by John </w:t>
      </w:r>
      <w:r w:rsidR="00A34BFE">
        <w:t xml:space="preserve">H. </w:t>
      </w:r>
      <w:proofErr w:type="spellStart"/>
      <w:r>
        <w:t>Isom</w:t>
      </w:r>
      <w:proofErr w:type="spellEnd"/>
      <w:r>
        <w:t xml:space="preserve">, Esq. and Jessica R. Rogers, Esq.  </w:t>
      </w:r>
    </w:p>
    <w:p w:rsidR="002E68F8" w:rsidRDefault="002E68F8" w:rsidP="004D3F2A">
      <w:pPr>
        <w:spacing w:line="360" w:lineRule="auto"/>
      </w:pPr>
    </w:p>
    <w:p w:rsidR="004D3F2A" w:rsidRDefault="004D3F2A" w:rsidP="004D3F2A">
      <w:pPr>
        <w:spacing w:line="360" w:lineRule="auto"/>
        <w:ind w:firstLine="1440"/>
      </w:pPr>
      <w:r>
        <w:t xml:space="preserve">At the hearing, Complainant provided his testimony in the form of Written Direct Testimony (marked and admitted as “Complainant Exhibit 1”) </w:t>
      </w:r>
      <w:r w:rsidR="00710284">
        <w:t xml:space="preserve">which includes six (6) unnumbered pages of testimony and 39 pages of unmarked documentation.  </w:t>
      </w:r>
      <w:r>
        <w:t xml:space="preserve">Respondent provided testimony from J. Michael Silva, P.E., </w:t>
      </w:r>
      <w:r w:rsidR="00350E23">
        <w:t xml:space="preserve">orally at the hearing and in the form of </w:t>
      </w:r>
      <w:r w:rsidR="00710284">
        <w:t>a 25</w:t>
      </w:r>
      <w:r w:rsidR="00706B99">
        <w:noBreakHyphen/>
      </w:r>
      <w:r w:rsidR="00710284">
        <w:t xml:space="preserve">page, numbered </w:t>
      </w:r>
      <w:r w:rsidR="00350E23">
        <w:t xml:space="preserve">Written Direct Testimony </w:t>
      </w:r>
      <w:r>
        <w:t xml:space="preserve">(marked and admitted as “PPL Statement 1”) with </w:t>
      </w:r>
      <w:r w:rsidR="00710284">
        <w:t xml:space="preserve">two </w:t>
      </w:r>
      <w:r>
        <w:t>accompanying exhibits</w:t>
      </w:r>
      <w:r w:rsidR="00710284">
        <w:t xml:space="preserve"> (marked and admitted as “PPL Exhibit JMS-1” and “PPL Exhibit JMS-2”)</w:t>
      </w:r>
      <w:r>
        <w:t xml:space="preserve">.  </w:t>
      </w:r>
    </w:p>
    <w:p w:rsidR="004D3F2A" w:rsidRDefault="004D3F2A" w:rsidP="004D3F2A">
      <w:pPr>
        <w:spacing w:line="360" w:lineRule="auto"/>
      </w:pPr>
    </w:p>
    <w:p w:rsidR="004D3F2A" w:rsidRDefault="004D3F2A" w:rsidP="004D3F2A">
      <w:pPr>
        <w:spacing w:line="360" w:lineRule="auto"/>
        <w:ind w:firstLine="1440"/>
      </w:pPr>
      <w:r>
        <w:t>After presenting his evidence and prior to the end of the hearing, Complainant requested permission to submit in writing after the hearing his criticisms and comments about the Written Direct Testimony of Respondent’s witness, J. Michael Silva.  Respondent objected on the grounds it had no way to know what Complainant would submit and, therefore, would not have time in which to comment or object.  The presiding officer granted Complainant’s request and thereafter issued the Sixth Interim Order on August 16, 2012 which commemorated the directives provided at the hearing and gave Respondent an opportunity to respond to Complainant’s written criticisms on or before August 31, 2012.</w:t>
      </w:r>
    </w:p>
    <w:p w:rsidR="004D3F2A" w:rsidRDefault="004D3F2A" w:rsidP="004D3F2A">
      <w:pPr>
        <w:spacing w:line="360" w:lineRule="auto"/>
        <w:ind w:firstLine="1440"/>
      </w:pPr>
    </w:p>
    <w:p w:rsidR="004D3F2A" w:rsidRDefault="004D3F2A" w:rsidP="004D3F2A">
      <w:pPr>
        <w:spacing w:line="360" w:lineRule="auto"/>
        <w:ind w:firstLine="1440"/>
      </w:pPr>
      <w:r>
        <w:t xml:space="preserve">On August 17, 2012, Edward C. Logan, Esq., filed a notice of appearance on behalf of Complainant.  </w:t>
      </w:r>
    </w:p>
    <w:p w:rsidR="004D3F2A" w:rsidRDefault="004D3F2A" w:rsidP="004D3F2A">
      <w:pPr>
        <w:spacing w:line="360" w:lineRule="auto"/>
        <w:ind w:firstLine="1440"/>
      </w:pPr>
    </w:p>
    <w:p w:rsidR="004D3F2A" w:rsidRDefault="004D3F2A" w:rsidP="004D3F2A">
      <w:pPr>
        <w:spacing w:line="360" w:lineRule="auto"/>
        <w:ind w:firstLine="1440"/>
      </w:pPr>
      <w:r>
        <w:t xml:space="preserve">On August 20, 2012, Complainant submitted a document previously discussed at the hearing on August 16, 2012 and which the presiding officer ordered marked as Complainant Exhibit 2.  Complainant did not include a Certificate of Service or indicate if he provided a copy of the exhibit to Respondent.  </w:t>
      </w:r>
    </w:p>
    <w:p w:rsidR="004D3F2A" w:rsidRDefault="004D3F2A" w:rsidP="004D3F2A">
      <w:pPr>
        <w:spacing w:line="360" w:lineRule="auto"/>
        <w:ind w:firstLine="1440"/>
      </w:pPr>
    </w:p>
    <w:p w:rsidR="00C3036A" w:rsidRDefault="004D3F2A" w:rsidP="004D3F2A">
      <w:pPr>
        <w:spacing w:line="360" w:lineRule="auto"/>
        <w:ind w:firstLine="1440"/>
      </w:pPr>
      <w:r>
        <w:lastRenderedPageBreak/>
        <w:t xml:space="preserve">On August 30, 2012, Respondent filed a Motion to Reopen the Record.  Respondent averred Complainant Exhibit 2 included primarily Complainant’s opinion about various facts covered by Respondent’s witness.  Respondent asked to submit a document entitled “Verification” from its witness, J. Michael Silva, which document included factual averments in response to averments contained within Complainant Exhibit 2.  Respondent included the </w:t>
      </w:r>
    </w:p>
    <w:p w:rsidR="004D3F2A" w:rsidRDefault="004D3F2A" w:rsidP="00C3036A">
      <w:pPr>
        <w:spacing w:line="360" w:lineRule="auto"/>
      </w:pPr>
      <w:proofErr w:type="gramStart"/>
      <w:r>
        <w:t>verification</w:t>
      </w:r>
      <w:proofErr w:type="gramEnd"/>
      <w:r>
        <w:t xml:space="preserve"> as Appendix A to the Motion and served both on Complainant and his attorney.  Specifically</w:t>
      </w:r>
      <w:r w:rsidR="00E922F3">
        <w:t>,</w:t>
      </w:r>
      <w:r>
        <w:t xml:space="preserve"> Respondent requested the hearing record be reopened for the limited purpose of admitting Respondent’s response to Complainant Exhibit 2 as set forth in the Verification.</w:t>
      </w:r>
    </w:p>
    <w:p w:rsidR="004D3F2A" w:rsidRDefault="004D3F2A" w:rsidP="004D3F2A">
      <w:pPr>
        <w:spacing w:line="360" w:lineRule="auto"/>
        <w:ind w:firstLine="1440"/>
      </w:pPr>
    </w:p>
    <w:p w:rsidR="004D3F2A" w:rsidRDefault="004D3F2A" w:rsidP="004D3F2A">
      <w:pPr>
        <w:spacing w:line="360" w:lineRule="auto"/>
        <w:ind w:firstLine="1440"/>
      </w:pPr>
      <w:r>
        <w:t>On September 10, 2012, Complainant sent correspondence to his attorney and copied the presiding officer in which Complainant contested factual averments contained in Appendix A to the Motion.  The presiding officer’s staff contacted Complainant’s attorney to request proof that the correspondence dated September 10, 2012 was served on opposing counsel but no proof of service by Complainant’s attorney was received and Complainant did not respond to Respondent’s Motion to Reopen Record.</w:t>
      </w:r>
    </w:p>
    <w:p w:rsidR="004D3F2A" w:rsidRDefault="004D3F2A" w:rsidP="004D3F2A">
      <w:pPr>
        <w:spacing w:line="360" w:lineRule="auto"/>
      </w:pPr>
    </w:p>
    <w:p w:rsidR="004D3F2A" w:rsidRDefault="004D3F2A" w:rsidP="004D3F2A">
      <w:pPr>
        <w:spacing w:line="360" w:lineRule="auto"/>
      </w:pPr>
      <w:r>
        <w:tab/>
      </w:r>
      <w:r>
        <w:tab/>
        <w:t xml:space="preserve">On September 27, 2012, the presiding officer issued the Seventh Interim Order in which a verification attached to Respondent’s Motion to Reopen Record was ordered to be included in the hearing record, and the parties were granted leave to file briefs.  The date for submitting reply briefs was October 19, 2012.  </w:t>
      </w:r>
    </w:p>
    <w:p w:rsidR="004D3F2A" w:rsidRDefault="004D3F2A" w:rsidP="004D3F2A">
      <w:pPr>
        <w:spacing w:line="360" w:lineRule="auto"/>
      </w:pPr>
    </w:p>
    <w:p w:rsidR="004D3F2A" w:rsidRDefault="004D3F2A" w:rsidP="004D3F2A">
      <w:pPr>
        <w:spacing w:line="360" w:lineRule="auto"/>
      </w:pPr>
      <w:r>
        <w:tab/>
      </w:r>
      <w:r>
        <w:tab/>
        <w:t xml:space="preserve">On October 12, 2012, Respondent filed its Main Brief.  Complainant did not file a Main or Reply Brief.  The hearing record closed by operation of the Seventh Interim Order on October 19, 2012.  </w:t>
      </w:r>
    </w:p>
    <w:p w:rsidR="004D3F2A" w:rsidRDefault="004D3F2A" w:rsidP="004D3F2A">
      <w:pPr>
        <w:spacing w:line="360" w:lineRule="auto"/>
      </w:pPr>
    </w:p>
    <w:p w:rsidR="008E4FD6" w:rsidRPr="008B455C" w:rsidRDefault="008E4FD6" w:rsidP="008E4FD6">
      <w:pPr>
        <w:tabs>
          <w:tab w:val="left" w:pos="2160"/>
        </w:tabs>
        <w:spacing w:line="360" w:lineRule="auto"/>
        <w:jc w:val="center"/>
        <w:rPr>
          <w:u w:val="single"/>
        </w:rPr>
      </w:pPr>
      <w:r w:rsidRPr="008B455C">
        <w:rPr>
          <w:u w:val="single"/>
        </w:rPr>
        <w:t xml:space="preserve">FINDINGS OF </w:t>
      </w:r>
      <w:smartTag w:uri="urn:schemas-microsoft-com:office:smarttags" w:element="stockticker">
        <w:r w:rsidRPr="008B455C">
          <w:rPr>
            <w:u w:val="single"/>
          </w:rPr>
          <w:t>FACT</w:t>
        </w:r>
      </w:smartTag>
    </w:p>
    <w:p w:rsidR="007E48E1" w:rsidRPr="008B455C" w:rsidRDefault="007E48E1" w:rsidP="007E48E1">
      <w:pPr>
        <w:tabs>
          <w:tab w:val="left" w:pos="2160"/>
        </w:tabs>
        <w:spacing w:line="360" w:lineRule="auto"/>
        <w:rPr>
          <w:u w:val="single"/>
        </w:rPr>
      </w:pPr>
    </w:p>
    <w:p w:rsidR="007E48E1" w:rsidRDefault="007E48E1" w:rsidP="007E48E1">
      <w:pPr>
        <w:tabs>
          <w:tab w:val="left" w:pos="2160"/>
        </w:tabs>
        <w:spacing w:line="360" w:lineRule="auto"/>
        <w:ind w:firstLine="1440"/>
      </w:pPr>
      <w:r w:rsidRPr="008B455C">
        <w:t>1.</w:t>
      </w:r>
      <w:r w:rsidRPr="008B455C">
        <w:tab/>
      </w:r>
      <w:r>
        <w:t>Complainant</w:t>
      </w:r>
      <w:r w:rsidRPr="008B455C">
        <w:t xml:space="preserve">, </w:t>
      </w:r>
      <w:r w:rsidR="004D3F2A">
        <w:t xml:space="preserve">Daniel </w:t>
      </w:r>
      <w:proofErr w:type="spellStart"/>
      <w:r w:rsidR="004D3F2A">
        <w:t>Brunda</w:t>
      </w:r>
      <w:proofErr w:type="spellEnd"/>
      <w:r w:rsidR="005C6F84">
        <w:t xml:space="preserve"> (“</w:t>
      </w:r>
      <w:proofErr w:type="spellStart"/>
      <w:r w:rsidR="004D3F2A">
        <w:t>Brunda</w:t>
      </w:r>
      <w:proofErr w:type="spellEnd"/>
      <w:r w:rsidR="005C6F84">
        <w:t xml:space="preserve">”), </w:t>
      </w:r>
      <w:r w:rsidR="00DC4200">
        <w:t>reside</w:t>
      </w:r>
      <w:r w:rsidR="004D3F2A">
        <w:t xml:space="preserve">s at </w:t>
      </w:r>
      <w:r w:rsidR="00C93396">
        <w:t>106 West Upper Ferry</w:t>
      </w:r>
      <w:r w:rsidR="00706B99">
        <w:t> </w:t>
      </w:r>
      <w:r w:rsidR="00C93396">
        <w:t>Road, Ewing, New Jersey</w:t>
      </w:r>
      <w:r w:rsidR="003B637F">
        <w:t xml:space="preserve"> but owns two parcels</w:t>
      </w:r>
      <w:r w:rsidR="00DC4200">
        <w:t xml:space="preserve"> locate</w:t>
      </w:r>
      <w:r w:rsidR="005C6F84">
        <w:t>d</w:t>
      </w:r>
      <w:r w:rsidR="00DC4200">
        <w:t xml:space="preserve"> </w:t>
      </w:r>
      <w:r w:rsidR="00EB0E90">
        <w:t xml:space="preserve">at </w:t>
      </w:r>
      <w:r w:rsidR="00C93396">
        <w:t>402 East Snyder Street and 417</w:t>
      </w:r>
      <w:r w:rsidR="00706B99">
        <w:t> </w:t>
      </w:r>
      <w:r w:rsidR="00C93396">
        <w:t>E. Ridge Street,</w:t>
      </w:r>
      <w:r w:rsidR="00182455">
        <w:t xml:space="preserve"> Lansford, Carbon</w:t>
      </w:r>
      <w:r w:rsidR="005C6F84">
        <w:t xml:space="preserve"> County, Pennsylvania</w:t>
      </w:r>
      <w:r w:rsidR="00C93396">
        <w:t xml:space="preserve"> 18232</w:t>
      </w:r>
      <w:r w:rsidR="00E21BA5">
        <w:t xml:space="preserve">.  </w:t>
      </w:r>
      <w:proofErr w:type="gramStart"/>
      <w:r w:rsidR="00E21BA5">
        <w:t xml:space="preserve">(Tr. </w:t>
      </w:r>
      <w:r w:rsidR="00A323BA">
        <w:t>6</w:t>
      </w:r>
      <w:r w:rsidRPr="008B455C">
        <w:t>).</w:t>
      </w:r>
      <w:proofErr w:type="gramEnd"/>
      <w:r w:rsidRPr="008B455C">
        <w:t xml:space="preserve"> </w:t>
      </w:r>
    </w:p>
    <w:p w:rsidR="007E48E1" w:rsidRPr="008B455C" w:rsidRDefault="007E48E1" w:rsidP="007E48E1">
      <w:pPr>
        <w:tabs>
          <w:tab w:val="left" w:pos="2160"/>
        </w:tabs>
        <w:spacing w:line="360" w:lineRule="auto"/>
        <w:ind w:firstLine="1440"/>
      </w:pPr>
      <w:r w:rsidRPr="008B455C">
        <w:lastRenderedPageBreak/>
        <w:t>2.</w:t>
      </w:r>
      <w:r w:rsidRPr="008B455C">
        <w:tab/>
      </w:r>
      <w:r w:rsidR="005C6F84">
        <w:t xml:space="preserve">Respondent, </w:t>
      </w:r>
      <w:r w:rsidR="004D3F2A">
        <w:t>PPL</w:t>
      </w:r>
      <w:r w:rsidR="005C6F84">
        <w:t xml:space="preserve"> Electric </w:t>
      </w:r>
      <w:r w:rsidR="004D3F2A">
        <w:t>Utilities Corporation</w:t>
      </w:r>
      <w:r w:rsidR="005C6F84">
        <w:t xml:space="preserve"> (“P</w:t>
      </w:r>
      <w:r w:rsidR="004D3F2A">
        <w:t>PL</w:t>
      </w:r>
      <w:r w:rsidR="00D61F4B">
        <w:t>”</w:t>
      </w:r>
      <w:proofErr w:type="gramStart"/>
      <w:r w:rsidR="00D61F4B">
        <w:t>),</w:t>
      </w:r>
      <w:proofErr w:type="gramEnd"/>
      <w:r w:rsidR="00D61F4B">
        <w:t xml:space="preserve"> </w:t>
      </w:r>
      <w:r w:rsidR="003B637F">
        <w:t>owns and transmits electricity using two distribution lines that cross over Complainant’s parcels located in Lansford, Pennsylvania</w:t>
      </w:r>
      <w:r w:rsidR="005C6F84">
        <w:t>.</w:t>
      </w:r>
      <w:r w:rsidR="00E21BA5">
        <w:t xml:space="preserve">  (</w:t>
      </w:r>
      <w:r w:rsidR="003B637F">
        <w:t>Complainant Exhibit 1 at 2-3</w:t>
      </w:r>
      <w:r w:rsidR="00E21BA5">
        <w:t>).</w:t>
      </w:r>
    </w:p>
    <w:p w:rsidR="007E48E1" w:rsidRDefault="007E48E1" w:rsidP="007E48E1">
      <w:pPr>
        <w:tabs>
          <w:tab w:val="left" w:pos="2160"/>
        </w:tabs>
        <w:spacing w:line="360" w:lineRule="auto"/>
        <w:ind w:firstLine="1440"/>
      </w:pPr>
    </w:p>
    <w:p w:rsidR="007E48E1" w:rsidRDefault="00DC090B" w:rsidP="007E48E1">
      <w:pPr>
        <w:tabs>
          <w:tab w:val="left" w:pos="2160"/>
        </w:tabs>
        <w:spacing w:line="360" w:lineRule="auto"/>
        <w:ind w:firstLine="1440"/>
      </w:pPr>
      <w:r>
        <w:t>3</w:t>
      </w:r>
      <w:r w:rsidR="007E48E1">
        <w:t>.</w:t>
      </w:r>
      <w:r w:rsidR="007E48E1">
        <w:tab/>
      </w:r>
      <w:r w:rsidR="003B637F">
        <w:t>C</w:t>
      </w:r>
      <w:r w:rsidR="00710284">
        <w:t>om</w:t>
      </w:r>
      <w:r w:rsidR="004572A1">
        <w:t>plainant owns two adjacent lots.  On one lot, there is located one-half of a two-family home, referred to as</w:t>
      </w:r>
      <w:r w:rsidR="00710284">
        <w:t xml:space="preserve"> 402 East Snyder Avenue</w:t>
      </w:r>
      <w:r w:rsidR="004572A1">
        <w:t xml:space="preserve">, and on the other lot there is a commercial building, referred to as </w:t>
      </w:r>
      <w:r w:rsidR="00710284">
        <w:t xml:space="preserve">417 East Ridge Street, which contains a vacant office and a magistrate’s office.  </w:t>
      </w:r>
      <w:proofErr w:type="gramStart"/>
      <w:r w:rsidR="00710284">
        <w:t>(Complainant Exhibit 1 at 2).</w:t>
      </w:r>
      <w:proofErr w:type="gramEnd"/>
    </w:p>
    <w:p w:rsidR="004572A1" w:rsidRDefault="004572A1" w:rsidP="007E48E1">
      <w:pPr>
        <w:tabs>
          <w:tab w:val="left" w:pos="2160"/>
        </w:tabs>
        <w:spacing w:line="360" w:lineRule="auto"/>
        <w:ind w:firstLine="1440"/>
      </w:pPr>
    </w:p>
    <w:p w:rsidR="004572A1" w:rsidRDefault="003B637F" w:rsidP="007E48E1">
      <w:pPr>
        <w:tabs>
          <w:tab w:val="left" w:pos="2160"/>
        </w:tabs>
        <w:spacing w:line="360" w:lineRule="auto"/>
        <w:ind w:firstLine="1440"/>
      </w:pPr>
      <w:r>
        <w:t>4</w:t>
      </w:r>
      <w:r w:rsidR="004572A1">
        <w:t>.</w:t>
      </w:r>
      <w:r w:rsidR="004572A1">
        <w:tab/>
        <w:t xml:space="preserve">There are 247 feet of 12 </w:t>
      </w:r>
      <w:r>
        <w:t>kilovolt (“</w:t>
      </w:r>
      <w:r w:rsidR="004572A1">
        <w:t>kV</w:t>
      </w:r>
      <w:r>
        <w:t>”)</w:t>
      </w:r>
      <w:r w:rsidR="004572A1">
        <w:t xml:space="preserve"> distribution power lines which cross over the front of the parcels.  </w:t>
      </w:r>
      <w:proofErr w:type="gramStart"/>
      <w:r w:rsidR="004572A1">
        <w:t>(Complainant Exhibit 1 at 2).</w:t>
      </w:r>
      <w:proofErr w:type="gramEnd"/>
    </w:p>
    <w:p w:rsidR="004572A1" w:rsidRDefault="004572A1" w:rsidP="007E48E1">
      <w:pPr>
        <w:tabs>
          <w:tab w:val="left" w:pos="2160"/>
        </w:tabs>
        <w:spacing w:line="360" w:lineRule="auto"/>
        <w:ind w:firstLine="1440"/>
      </w:pPr>
    </w:p>
    <w:p w:rsidR="004572A1" w:rsidRDefault="003B637F" w:rsidP="007E48E1">
      <w:pPr>
        <w:tabs>
          <w:tab w:val="left" w:pos="2160"/>
        </w:tabs>
        <w:spacing w:line="360" w:lineRule="auto"/>
        <w:ind w:firstLine="1440"/>
      </w:pPr>
      <w:r>
        <w:t>5</w:t>
      </w:r>
      <w:r w:rsidR="004572A1">
        <w:t>.</w:t>
      </w:r>
      <w:r w:rsidR="004572A1">
        <w:tab/>
        <w:t xml:space="preserve">Complainant is a licensed Professional Engineer in the state of New Jersey who patented a device and system for “measuring the electrical induction of current in human beings from </w:t>
      </w:r>
      <w:proofErr w:type="spellStart"/>
      <w:r w:rsidR="004572A1">
        <w:t>electro magnetic</w:t>
      </w:r>
      <w:proofErr w:type="spellEnd"/>
      <w:r w:rsidR="004572A1">
        <w:t xml:space="preserve"> fields.”  </w:t>
      </w:r>
      <w:proofErr w:type="gramStart"/>
      <w:r w:rsidR="004572A1">
        <w:t>(Complainant Exhibit 1 at 4).</w:t>
      </w:r>
      <w:proofErr w:type="gramEnd"/>
    </w:p>
    <w:p w:rsidR="004572A1" w:rsidRDefault="004572A1" w:rsidP="004572A1">
      <w:pPr>
        <w:tabs>
          <w:tab w:val="left" w:pos="2160"/>
        </w:tabs>
        <w:spacing w:line="360" w:lineRule="auto"/>
        <w:ind w:firstLine="1440"/>
      </w:pPr>
    </w:p>
    <w:p w:rsidR="004572A1" w:rsidRDefault="004572A1" w:rsidP="004572A1">
      <w:pPr>
        <w:tabs>
          <w:tab w:val="left" w:pos="2160"/>
        </w:tabs>
        <w:spacing w:line="360" w:lineRule="auto"/>
        <w:ind w:firstLine="1440"/>
      </w:pPr>
      <w:r>
        <w:t>6.</w:t>
      </w:r>
      <w:r>
        <w:tab/>
        <w:t>Complainant has taken radiation measurements at his parcel since 1990 using the device he invented and patented.  (Complainant Exhibit 1 at 3-4).</w:t>
      </w:r>
    </w:p>
    <w:p w:rsidR="007E48E1" w:rsidRDefault="007E48E1" w:rsidP="007E48E1">
      <w:pPr>
        <w:tabs>
          <w:tab w:val="left" w:pos="2160"/>
        </w:tabs>
        <w:spacing w:line="360" w:lineRule="auto"/>
        <w:ind w:firstLine="1440"/>
      </w:pPr>
    </w:p>
    <w:p w:rsidR="007E48E1" w:rsidRDefault="003B637F" w:rsidP="007E48E1">
      <w:pPr>
        <w:tabs>
          <w:tab w:val="left" w:pos="2160"/>
        </w:tabs>
        <w:spacing w:line="360" w:lineRule="auto"/>
        <w:ind w:firstLine="1440"/>
      </w:pPr>
      <w:r>
        <w:t>7</w:t>
      </w:r>
      <w:r w:rsidR="007E48E1">
        <w:t>.</w:t>
      </w:r>
      <w:r w:rsidR="007E48E1">
        <w:tab/>
        <w:t xml:space="preserve"> </w:t>
      </w:r>
      <w:r w:rsidR="00EA59C5">
        <w:t xml:space="preserve">“EMF” refers to electric and/or magnetic fields which are created when there is a flow of electricity.  The EMF associated with alternating electric power is created as a result of electrical voltage, which in turn creates an electric field, and the flow of electric current, which in turn creates a magnetic field.  </w:t>
      </w:r>
      <w:proofErr w:type="gramStart"/>
      <w:r w:rsidR="00EA59C5">
        <w:t>(PPL Statement No. 1 at 7).</w:t>
      </w:r>
      <w:proofErr w:type="gramEnd"/>
    </w:p>
    <w:p w:rsidR="007E48E1" w:rsidRDefault="007E48E1" w:rsidP="007E48E1">
      <w:pPr>
        <w:tabs>
          <w:tab w:val="left" w:pos="2160"/>
        </w:tabs>
        <w:spacing w:line="360" w:lineRule="auto"/>
        <w:ind w:firstLine="1440"/>
      </w:pPr>
    </w:p>
    <w:p w:rsidR="00E21BA5" w:rsidRDefault="003B637F" w:rsidP="007E48E1">
      <w:pPr>
        <w:tabs>
          <w:tab w:val="left" w:pos="2160"/>
        </w:tabs>
        <w:spacing w:line="360" w:lineRule="auto"/>
        <w:ind w:firstLine="1440"/>
      </w:pPr>
      <w:r>
        <w:t>8</w:t>
      </w:r>
      <w:r w:rsidR="00E21BA5">
        <w:t>.</w:t>
      </w:r>
      <w:r w:rsidR="00E21BA5">
        <w:tab/>
      </w:r>
      <w:r w:rsidR="00EA59C5">
        <w:t>Electric and/or magnetic fields are referred to as “power frequency” or 60</w:t>
      </w:r>
      <w:r w:rsidR="00CC4470">
        <w:t> </w:t>
      </w:r>
      <w:r w:rsidR="00EA59C5">
        <w:t xml:space="preserve">Hertz (“Hz”) fields.  A Hertz field is a unit that measures the frequency of the field oscillations in cycles per second.  </w:t>
      </w:r>
      <w:proofErr w:type="gramStart"/>
      <w:r w:rsidR="00EA59C5">
        <w:t>(PPL Statement No. 1 at 8).</w:t>
      </w:r>
      <w:proofErr w:type="gramEnd"/>
    </w:p>
    <w:p w:rsidR="001F00BA" w:rsidRDefault="001F00BA" w:rsidP="007E48E1">
      <w:pPr>
        <w:tabs>
          <w:tab w:val="left" w:pos="2160"/>
        </w:tabs>
        <w:spacing w:line="360" w:lineRule="auto"/>
        <w:ind w:firstLine="1440"/>
      </w:pPr>
    </w:p>
    <w:p w:rsidR="00201F2B" w:rsidRDefault="003B637F" w:rsidP="007E48E1">
      <w:pPr>
        <w:tabs>
          <w:tab w:val="left" w:pos="2160"/>
        </w:tabs>
        <w:spacing w:line="360" w:lineRule="auto"/>
        <w:ind w:firstLine="1440"/>
      </w:pPr>
      <w:r>
        <w:t>9</w:t>
      </w:r>
      <w:r w:rsidR="00201F2B">
        <w:t>.</w:t>
      </w:r>
      <w:r w:rsidR="00201F2B">
        <w:tab/>
        <w:t xml:space="preserve">A 60 Hz electric field is associated with the voltage on conductors of an electric power line or device and is commonly described as volts per meter (V/m) or kilovolts per </w:t>
      </w:r>
      <w:r w:rsidR="00201F2B">
        <w:lastRenderedPageBreak/>
        <w:t xml:space="preserve">meter (kV/m).  One characteristic of a 60 Hz electric field which arises from a transmission line is that the electric field decreases rapidly with distance.  </w:t>
      </w:r>
      <w:proofErr w:type="gramStart"/>
      <w:r w:rsidR="00201F2B">
        <w:t>(PPL Statement No. 1 at 8).</w:t>
      </w:r>
      <w:proofErr w:type="gramEnd"/>
    </w:p>
    <w:p w:rsidR="00201F2B" w:rsidRDefault="00201F2B" w:rsidP="007E48E1">
      <w:pPr>
        <w:tabs>
          <w:tab w:val="left" w:pos="2160"/>
        </w:tabs>
        <w:spacing w:line="360" w:lineRule="auto"/>
        <w:ind w:firstLine="1440"/>
      </w:pPr>
    </w:p>
    <w:p w:rsidR="00201F2B" w:rsidRDefault="003B637F" w:rsidP="007E48E1">
      <w:pPr>
        <w:tabs>
          <w:tab w:val="left" w:pos="2160"/>
        </w:tabs>
        <w:spacing w:line="360" w:lineRule="auto"/>
        <w:ind w:firstLine="1440"/>
      </w:pPr>
      <w:r>
        <w:t>10</w:t>
      </w:r>
      <w:r w:rsidR="00201F2B">
        <w:t>.</w:t>
      </w:r>
      <w:r w:rsidR="00201F2B">
        <w:tab/>
        <w:t>A 60 Hz magnetic field is associated with the flow of electric current on an electric power line, wires or in an electrical device and is</w:t>
      </w:r>
      <w:r>
        <w:t xml:space="preserve"> commonly described as </w:t>
      </w:r>
      <w:r w:rsidR="00201F2B">
        <w:t xml:space="preserve">a Gauss (“G”) or </w:t>
      </w:r>
      <w:proofErr w:type="spellStart"/>
      <w:r w:rsidR="00201F2B">
        <w:t>milligauss</w:t>
      </w:r>
      <w:proofErr w:type="spellEnd"/>
      <w:r w:rsidR="00201F2B">
        <w:t xml:space="preserve"> (“</w:t>
      </w:r>
      <w:proofErr w:type="spellStart"/>
      <w:r w:rsidR="00201F2B">
        <w:t>mG</w:t>
      </w:r>
      <w:proofErr w:type="spellEnd"/>
      <w:r w:rsidR="00201F2B">
        <w:t xml:space="preserve">”).  Similar to electrical fields, one characteristic of a 60 Hz magnetic field which arises from a transmission line is that the </w:t>
      </w:r>
      <w:r w:rsidR="00D61F4B">
        <w:t>magnetic</w:t>
      </w:r>
      <w:r w:rsidR="00201F2B">
        <w:t xml:space="preserve"> field decreases rapidly with distance.  </w:t>
      </w:r>
      <w:proofErr w:type="gramStart"/>
      <w:r w:rsidR="00201F2B">
        <w:t>(PPL Statement No. 1 at 8).</w:t>
      </w:r>
      <w:proofErr w:type="gramEnd"/>
    </w:p>
    <w:p w:rsidR="00201F2B" w:rsidRDefault="00201F2B" w:rsidP="00201F2B">
      <w:pPr>
        <w:tabs>
          <w:tab w:val="left" w:pos="2160"/>
        </w:tabs>
        <w:spacing w:line="360" w:lineRule="auto"/>
        <w:ind w:firstLine="1440"/>
      </w:pPr>
    </w:p>
    <w:p w:rsidR="00201F2B" w:rsidRDefault="003B637F" w:rsidP="00201F2B">
      <w:pPr>
        <w:tabs>
          <w:tab w:val="left" w:pos="2160"/>
        </w:tabs>
        <w:spacing w:line="360" w:lineRule="auto"/>
        <w:ind w:firstLine="1440"/>
      </w:pPr>
      <w:r>
        <w:t>11</w:t>
      </w:r>
      <w:r w:rsidR="00201F2B">
        <w:t>.</w:t>
      </w:r>
      <w:r w:rsidR="00201F2B">
        <w:tab/>
        <w:t xml:space="preserve">  Common sources of 60 Hz electrical fields are residential wiring, business wiring, lighting, residential appliances, power tools, and electrical equipment in offices, medical facilities or industrial facilities.  </w:t>
      </w:r>
      <w:proofErr w:type="gramStart"/>
      <w:r w:rsidR="00201F2B">
        <w:t>(PPL Statement No. 1 at 8).</w:t>
      </w:r>
      <w:proofErr w:type="gramEnd"/>
    </w:p>
    <w:p w:rsidR="00201F2B" w:rsidRDefault="00201F2B" w:rsidP="007E48E1">
      <w:pPr>
        <w:tabs>
          <w:tab w:val="left" w:pos="2160"/>
        </w:tabs>
        <w:spacing w:line="360" w:lineRule="auto"/>
        <w:ind w:firstLine="1440"/>
      </w:pPr>
    </w:p>
    <w:p w:rsidR="007E48E1" w:rsidRPr="008B455C" w:rsidRDefault="003B637F" w:rsidP="007E48E1">
      <w:pPr>
        <w:tabs>
          <w:tab w:val="left" w:pos="2160"/>
        </w:tabs>
        <w:spacing w:line="360" w:lineRule="auto"/>
        <w:ind w:firstLine="1440"/>
      </w:pPr>
      <w:r>
        <w:t>12</w:t>
      </w:r>
      <w:r w:rsidR="001F00BA">
        <w:t xml:space="preserve">. </w:t>
      </w:r>
      <w:r w:rsidR="001F00BA">
        <w:tab/>
      </w:r>
      <w:r w:rsidR="00201F2B">
        <w:t xml:space="preserve">Common sources of magnetic fields are water flowing through water pipes and rotating steel-belted radial tires.   </w:t>
      </w:r>
      <w:proofErr w:type="gramStart"/>
      <w:r w:rsidR="00201F2B">
        <w:t>(PPL Statement No. 1 at 11).</w:t>
      </w:r>
      <w:proofErr w:type="gramEnd"/>
    </w:p>
    <w:p w:rsidR="007E48E1" w:rsidRPr="008B455C" w:rsidRDefault="007E48E1" w:rsidP="007E48E1">
      <w:pPr>
        <w:pStyle w:val="BodyText"/>
        <w:jc w:val="left"/>
        <w:rPr>
          <w:sz w:val="24"/>
          <w:szCs w:val="24"/>
        </w:rPr>
      </w:pPr>
    </w:p>
    <w:p w:rsidR="007E48E1" w:rsidRDefault="007E48E1" w:rsidP="00B97032">
      <w:pPr>
        <w:pStyle w:val="BodyText"/>
        <w:jc w:val="left"/>
        <w:rPr>
          <w:sz w:val="24"/>
          <w:szCs w:val="24"/>
        </w:rPr>
      </w:pPr>
      <w:r>
        <w:rPr>
          <w:sz w:val="24"/>
          <w:szCs w:val="24"/>
        </w:rPr>
        <w:tab/>
      </w:r>
      <w:r>
        <w:rPr>
          <w:sz w:val="24"/>
          <w:szCs w:val="24"/>
        </w:rPr>
        <w:tab/>
      </w:r>
      <w:r w:rsidR="003B637F">
        <w:rPr>
          <w:sz w:val="24"/>
          <w:szCs w:val="24"/>
        </w:rPr>
        <w:t>13</w:t>
      </w:r>
      <w:r w:rsidRPr="008B455C">
        <w:rPr>
          <w:sz w:val="24"/>
          <w:szCs w:val="24"/>
        </w:rPr>
        <w:t>.</w:t>
      </w:r>
      <w:r w:rsidRPr="008B455C">
        <w:rPr>
          <w:sz w:val="24"/>
          <w:szCs w:val="24"/>
        </w:rPr>
        <w:tab/>
      </w:r>
      <w:r w:rsidR="00201F2B">
        <w:rPr>
          <w:sz w:val="24"/>
          <w:szCs w:val="24"/>
        </w:rPr>
        <w:t xml:space="preserve">People are exposed to typical magnetic fields in everyday life which can range from 1 </w:t>
      </w:r>
      <w:proofErr w:type="spellStart"/>
      <w:r w:rsidR="00201F2B">
        <w:rPr>
          <w:sz w:val="24"/>
          <w:szCs w:val="24"/>
        </w:rPr>
        <w:t>mG</w:t>
      </w:r>
      <w:proofErr w:type="spellEnd"/>
      <w:r w:rsidR="00201F2B">
        <w:rPr>
          <w:sz w:val="24"/>
          <w:szCs w:val="24"/>
        </w:rPr>
        <w:t xml:space="preserve"> to above 1,000 </w:t>
      </w:r>
      <w:proofErr w:type="spellStart"/>
      <w:r w:rsidR="00201F2B">
        <w:rPr>
          <w:sz w:val="24"/>
          <w:szCs w:val="24"/>
        </w:rPr>
        <w:t>mG</w:t>
      </w:r>
      <w:proofErr w:type="spellEnd"/>
      <w:r w:rsidR="00201F2B">
        <w:rPr>
          <w:sz w:val="24"/>
          <w:szCs w:val="24"/>
        </w:rPr>
        <w:t xml:space="preserve">.  </w:t>
      </w:r>
      <w:proofErr w:type="gramStart"/>
      <w:r w:rsidR="00201F2B">
        <w:rPr>
          <w:sz w:val="24"/>
          <w:szCs w:val="24"/>
        </w:rPr>
        <w:t>(PPL Statement No. 1 at 13).</w:t>
      </w:r>
      <w:proofErr w:type="gramEnd"/>
    </w:p>
    <w:p w:rsidR="009A6CC7" w:rsidRDefault="009A6CC7" w:rsidP="00B97032">
      <w:pPr>
        <w:pStyle w:val="BodyText"/>
        <w:jc w:val="left"/>
        <w:rPr>
          <w:sz w:val="24"/>
          <w:szCs w:val="24"/>
        </w:rPr>
      </w:pPr>
    </w:p>
    <w:p w:rsidR="009A6CC7" w:rsidRDefault="003B637F" w:rsidP="00B97032">
      <w:pPr>
        <w:pStyle w:val="BodyText"/>
        <w:jc w:val="left"/>
        <w:rPr>
          <w:sz w:val="24"/>
          <w:szCs w:val="24"/>
        </w:rPr>
      </w:pPr>
      <w:r>
        <w:rPr>
          <w:sz w:val="24"/>
          <w:szCs w:val="24"/>
        </w:rPr>
        <w:tab/>
      </w:r>
      <w:r>
        <w:rPr>
          <w:sz w:val="24"/>
          <w:szCs w:val="24"/>
        </w:rPr>
        <w:tab/>
        <w:t>14</w:t>
      </w:r>
      <w:r w:rsidR="009A6CC7">
        <w:rPr>
          <w:sz w:val="24"/>
          <w:szCs w:val="24"/>
        </w:rPr>
        <w:t>.</w:t>
      </w:r>
      <w:r w:rsidR="009A6CC7">
        <w:rPr>
          <w:sz w:val="24"/>
          <w:szCs w:val="24"/>
        </w:rPr>
        <w:tab/>
      </w:r>
      <w:r w:rsidR="00062303">
        <w:rPr>
          <w:sz w:val="24"/>
          <w:szCs w:val="24"/>
        </w:rPr>
        <w:t xml:space="preserve">There are no federal or Pennsylvania exposure limits for magnetic fields but voluntary </w:t>
      </w:r>
      <w:r w:rsidR="00D61F4B">
        <w:rPr>
          <w:sz w:val="24"/>
          <w:szCs w:val="24"/>
        </w:rPr>
        <w:t xml:space="preserve">industry </w:t>
      </w:r>
      <w:r w:rsidR="00062303">
        <w:rPr>
          <w:sz w:val="24"/>
          <w:szCs w:val="24"/>
        </w:rPr>
        <w:t xml:space="preserve">guidelines for general public exposure </w:t>
      </w:r>
      <w:r w:rsidR="00D61F4B">
        <w:rPr>
          <w:sz w:val="24"/>
          <w:szCs w:val="24"/>
        </w:rPr>
        <w:t xml:space="preserve">suggest limiting </w:t>
      </w:r>
      <w:r w:rsidR="00062303">
        <w:rPr>
          <w:sz w:val="24"/>
          <w:szCs w:val="24"/>
        </w:rPr>
        <w:t xml:space="preserve">60 Hz magnetic field exposures to less than 2,000 </w:t>
      </w:r>
      <w:proofErr w:type="spellStart"/>
      <w:r w:rsidR="00062303">
        <w:rPr>
          <w:sz w:val="24"/>
          <w:szCs w:val="24"/>
        </w:rPr>
        <w:t>mG</w:t>
      </w:r>
      <w:proofErr w:type="spellEnd"/>
      <w:r w:rsidR="00CE2D65">
        <w:rPr>
          <w:sz w:val="24"/>
          <w:szCs w:val="24"/>
        </w:rPr>
        <w:t xml:space="preserve"> daily</w:t>
      </w:r>
      <w:r w:rsidR="00062303">
        <w:rPr>
          <w:sz w:val="24"/>
          <w:szCs w:val="24"/>
        </w:rPr>
        <w:t xml:space="preserve">.  </w:t>
      </w:r>
      <w:proofErr w:type="gramStart"/>
      <w:r w:rsidR="00062303">
        <w:rPr>
          <w:sz w:val="24"/>
          <w:szCs w:val="24"/>
        </w:rPr>
        <w:t>(PPL Statement No. 1 at 15).</w:t>
      </w:r>
      <w:proofErr w:type="gramEnd"/>
    </w:p>
    <w:p w:rsidR="000B108D" w:rsidRDefault="000B108D" w:rsidP="00B97032">
      <w:pPr>
        <w:pStyle w:val="BodyText"/>
        <w:jc w:val="left"/>
        <w:rPr>
          <w:sz w:val="24"/>
          <w:szCs w:val="24"/>
        </w:rPr>
      </w:pPr>
    </w:p>
    <w:p w:rsidR="000B108D" w:rsidRDefault="000B108D" w:rsidP="00B97032">
      <w:pPr>
        <w:pStyle w:val="BodyText"/>
        <w:jc w:val="left"/>
        <w:rPr>
          <w:sz w:val="24"/>
          <w:szCs w:val="24"/>
        </w:rPr>
      </w:pPr>
      <w:r>
        <w:rPr>
          <w:sz w:val="24"/>
          <w:szCs w:val="24"/>
        </w:rPr>
        <w:tab/>
      </w:r>
      <w:r>
        <w:rPr>
          <w:sz w:val="24"/>
          <w:szCs w:val="24"/>
        </w:rPr>
        <w:tab/>
      </w:r>
      <w:r w:rsidR="003B637F">
        <w:rPr>
          <w:sz w:val="24"/>
          <w:szCs w:val="24"/>
        </w:rPr>
        <w:t>15</w:t>
      </w:r>
      <w:r>
        <w:rPr>
          <w:sz w:val="24"/>
          <w:szCs w:val="24"/>
        </w:rPr>
        <w:t>.</w:t>
      </w:r>
      <w:r>
        <w:rPr>
          <w:sz w:val="24"/>
          <w:szCs w:val="24"/>
        </w:rPr>
        <w:tab/>
      </w:r>
      <w:r w:rsidR="00062303">
        <w:rPr>
          <w:sz w:val="24"/>
          <w:szCs w:val="24"/>
        </w:rPr>
        <w:t xml:space="preserve">The standard established by the Institute of Electrical and Electronics Engineers (“IEEE”) for safe electromagnetic field levels recommends public exposure to 60 Hz magnetic fields should not exceed 9,040 </w:t>
      </w:r>
      <w:proofErr w:type="spellStart"/>
      <w:r w:rsidR="00062303">
        <w:rPr>
          <w:sz w:val="24"/>
          <w:szCs w:val="24"/>
        </w:rPr>
        <w:t>mG</w:t>
      </w:r>
      <w:proofErr w:type="spellEnd"/>
      <w:r w:rsidR="002F763C">
        <w:rPr>
          <w:sz w:val="24"/>
          <w:szCs w:val="24"/>
        </w:rPr>
        <w:t xml:space="preserve"> daily</w:t>
      </w:r>
      <w:r w:rsidR="00062303">
        <w:rPr>
          <w:sz w:val="24"/>
          <w:szCs w:val="24"/>
        </w:rPr>
        <w:t xml:space="preserve">.  </w:t>
      </w:r>
      <w:proofErr w:type="gramStart"/>
      <w:r w:rsidR="00062303">
        <w:rPr>
          <w:sz w:val="24"/>
          <w:szCs w:val="24"/>
        </w:rPr>
        <w:t>(PPL Statement No. 1 at 15).</w:t>
      </w:r>
      <w:proofErr w:type="gramEnd"/>
    </w:p>
    <w:p w:rsidR="000B108D" w:rsidRDefault="000B108D" w:rsidP="00B97032">
      <w:pPr>
        <w:pStyle w:val="BodyText"/>
        <w:jc w:val="left"/>
        <w:rPr>
          <w:sz w:val="24"/>
          <w:szCs w:val="24"/>
        </w:rPr>
      </w:pPr>
    </w:p>
    <w:p w:rsidR="000B108D" w:rsidRDefault="000B108D" w:rsidP="00B97032">
      <w:pPr>
        <w:pStyle w:val="BodyText"/>
        <w:jc w:val="left"/>
        <w:rPr>
          <w:sz w:val="24"/>
          <w:szCs w:val="24"/>
        </w:rPr>
      </w:pPr>
      <w:r>
        <w:rPr>
          <w:sz w:val="24"/>
          <w:szCs w:val="24"/>
        </w:rPr>
        <w:tab/>
      </w:r>
      <w:r>
        <w:rPr>
          <w:sz w:val="24"/>
          <w:szCs w:val="24"/>
        </w:rPr>
        <w:tab/>
      </w:r>
      <w:r w:rsidR="003B637F">
        <w:rPr>
          <w:sz w:val="24"/>
          <w:szCs w:val="24"/>
        </w:rPr>
        <w:t>16</w:t>
      </w:r>
      <w:r>
        <w:rPr>
          <w:sz w:val="24"/>
          <w:szCs w:val="24"/>
        </w:rPr>
        <w:t>.</w:t>
      </w:r>
      <w:r>
        <w:rPr>
          <w:sz w:val="24"/>
          <w:szCs w:val="24"/>
        </w:rPr>
        <w:tab/>
      </w:r>
      <w:r w:rsidR="00062303">
        <w:rPr>
          <w:sz w:val="24"/>
          <w:szCs w:val="24"/>
        </w:rPr>
        <w:t>The federal Nuclear Regulatory Commission (“NRC”)</w:t>
      </w:r>
      <w:r w:rsidR="00012DE3">
        <w:rPr>
          <w:sz w:val="24"/>
          <w:szCs w:val="24"/>
        </w:rPr>
        <w:t>, Federal Communications Commission (“FCC”), and the National Electric Code (“NEC”) have not adopted an exposure limits for power frequency EMFs.  (PPL Statement No. 1 at 16-17).</w:t>
      </w:r>
    </w:p>
    <w:p w:rsidR="001F00BA" w:rsidRDefault="001F00BA" w:rsidP="00B97032">
      <w:pPr>
        <w:pStyle w:val="BodyText"/>
        <w:jc w:val="left"/>
        <w:rPr>
          <w:sz w:val="24"/>
          <w:szCs w:val="24"/>
        </w:rPr>
      </w:pPr>
      <w:r>
        <w:rPr>
          <w:sz w:val="24"/>
          <w:szCs w:val="24"/>
        </w:rPr>
        <w:lastRenderedPageBreak/>
        <w:tab/>
      </w:r>
      <w:r>
        <w:rPr>
          <w:sz w:val="24"/>
          <w:szCs w:val="24"/>
        </w:rPr>
        <w:tab/>
      </w:r>
      <w:r w:rsidR="003B637F">
        <w:rPr>
          <w:sz w:val="24"/>
          <w:szCs w:val="24"/>
        </w:rPr>
        <w:t>17</w:t>
      </w:r>
      <w:r>
        <w:rPr>
          <w:sz w:val="24"/>
          <w:szCs w:val="24"/>
        </w:rPr>
        <w:t>.</w:t>
      </w:r>
      <w:r>
        <w:rPr>
          <w:sz w:val="24"/>
          <w:szCs w:val="24"/>
        </w:rPr>
        <w:tab/>
      </w:r>
      <w:r w:rsidR="00012DE3">
        <w:rPr>
          <w:sz w:val="24"/>
          <w:szCs w:val="24"/>
        </w:rPr>
        <w:t>PPL measure</w:t>
      </w:r>
      <w:r w:rsidR="000164BB">
        <w:rPr>
          <w:sz w:val="24"/>
          <w:szCs w:val="24"/>
        </w:rPr>
        <w:t>d</w:t>
      </w:r>
      <w:r w:rsidR="00012DE3">
        <w:rPr>
          <w:sz w:val="24"/>
          <w:szCs w:val="24"/>
        </w:rPr>
        <w:t xml:space="preserve"> magnetic field levels at the service addresses on May 2, 1994; May 7, 2004; January 12, 2006 and April 29, 2011.  The highest levels (1.9 to 4.9 </w:t>
      </w:r>
      <w:proofErr w:type="spellStart"/>
      <w:r w:rsidR="00012DE3">
        <w:rPr>
          <w:sz w:val="24"/>
          <w:szCs w:val="24"/>
        </w:rPr>
        <w:t>mG</w:t>
      </w:r>
      <w:proofErr w:type="spellEnd"/>
      <w:r w:rsidR="00012DE3">
        <w:rPr>
          <w:sz w:val="24"/>
          <w:szCs w:val="24"/>
        </w:rPr>
        <w:t xml:space="preserve">) were measured directly underneath the 12 kV distribution </w:t>
      </w:r>
      <w:proofErr w:type="gramStart"/>
      <w:r w:rsidR="00012DE3">
        <w:rPr>
          <w:sz w:val="24"/>
          <w:szCs w:val="24"/>
        </w:rPr>
        <w:t>line</w:t>
      </w:r>
      <w:proofErr w:type="gramEnd"/>
      <w:r w:rsidR="00012DE3">
        <w:rPr>
          <w:sz w:val="24"/>
          <w:szCs w:val="24"/>
        </w:rPr>
        <w:t xml:space="preserve"> that runs along East Ridge Road on the southern side of the properties.  Levels ranging from 0.30 to 1.4 </w:t>
      </w:r>
      <w:proofErr w:type="spellStart"/>
      <w:r w:rsidR="00012DE3">
        <w:rPr>
          <w:sz w:val="24"/>
          <w:szCs w:val="24"/>
        </w:rPr>
        <w:t>mG</w:t>
      </w:r>
      <w:proofErr w:type="spellEnd"/>
      <w:r w:rsidR="00012DE3">
        <w:rPr>
          <w:sz w:val="24"/>
          <w:szCs w:val="24"/>
        </w:rPr>
        <w:t xml:space="preserve"> were measured at locations closer to the residence, garage and sheds.  </w:t>
      </w:r>
      <w:proofErr w:type="gramStart"/>
      <w:r w:rsidR="00012DE3">
        <w:rPr>
          <w:sz w:val="24"/>
          <w:szCs w:val="24"/>
        </w:rPr>
        <w:t>(PPL Statement No. 1 at 18).</w:t>
      </w:r>
      <w:proofErr w:type="gramEnd"/>
    </w:p>
    <w:p w:rsidR="007709BC" w:rsidRDefault="007709BC" w:rsidP="00B97032">
      <w:pPr>
        <w:pStyle w:val="BodyText"/>
        <w:jc w:val="left"/>
        <w:rPr>
          <w:sz w:val="24"/>
          <w:szCs w:val="24"/>
        </w:rPr>
      </w:pPr>
    </w:p>
    <w:p w:rsidR="005C0E91" w:rsidRDefault="005C0E91" w:rsidP="00B97032">
      <w:pPr>
        <w:pStyle w:val="BodyText"/>
        <w:jc w:val="left"/>
        <w:rPr>
          <w:sz w:val="24"/>
          <w:szCs w:val="24"/>
        </w:rPr>
      </w:pPr>
      <w:r>
        <w:rPr>
          <w:sz w:val="24"/>
          <w:szCs w:val="24"/>
        </w:rPr>
        <w:tab/>
      </w:r>
      <w:r>
        <w:rPr>
          <w:sz w:val="24"/>
          <w:szCs w:val="24"/>
        </w:rPr>
        <w:tab/>
      </w:r>
      <w:r w:rsidR="003B637F">
        <w:rPr>
          <w:sz w:val="24"/>
          <w:szCs w:val="24"/>
        </w:rPr>
        <w:t>18</w:t>
      </w:r>
      <w:r>
        <w:rPr>
          <w:sz w:val="24"/>
          <w:szCs w:val="24"/>
        </w:rPr>
        <w:t>.</w:t>
      </w:r>
      <w:r>
        <w:rPr>
          <w:sz w:val="24"/>
          <w:szCs w:val="24"/>
        </w:rPr>
        <w:tab/>
      </w:r>
      <w:r w:rsidR="00012DE3">
        <w:rPr>
          <w:sz w:val="24"/>
          <w:szCs w:val="24"/>
        </w:rPr>
        <w:t xml:space="preserve">The EMF levels measured in most residences and public places typically exceed the magnetic fields measured under residential electric distribution lines.  </w:t>
      </w:r>
      <w:proofErr w:type="gramStart"/>
      <w:r w:rsidR="00012DE3">
        <w:rPr>
          <w:sz w:val="24"/>
          <w:szCs w:val="24"/>
        </w:rPr>
        <w:t>(PPL Statement No. 1 at 19).</w:t>
      </w:r>
      <w:proofErr w:type="gramEnd"/>
    </w:p>
    <w:p w:rsidR="00121BF7" w:rsidRDefault="00121BF7" w:rsidP="00B97032">
      <w:pPr>
        <w:pStyle w:val="BodyText"/>
        <w:jc w:val="left"/>
        <w:rPr>
          <w:sz w:val="24"/>
          <w:szCs w:val="24"/>
        </w:rPr>
      </w:pPr>
    </w:p>
    <w:p w:rsidR="00121BF7" w:rsidRDefault="00121BF7" w:rsidP="00B97032">
      <w:pPr>
        <w:pStyle w:val="BodyText"/>
        <w:jc w:val="left"/>
        <w:rPr>
          <w:sz w:val="24"/>
          <w:szCs w:val="24"/>
        </w:rPr>
      </w:pPr>
      <w:r>
        <w:rPr>
          <w:sz w:val="24"/>
          <w:szCs w:val="24"/>
        </w:rPr>
        <w:tab/>
      </w:r>
      <w:r>
        <w:rPr>
          <w:sz w:val="24"/>
          <w:szCs w:val="24"/>
        </w:rPr>
        <w:tab/>
      </w:r>
      <w:r w:rsidR="003B637F">
        <w:rPr>
          <w:sz w:val="24"/>
          <w:szCs w:val="24"/>
        </w:rPr>
        <w:t>19</w:t>
      </w:r>
      <w:r>
        <w:rPr>
          <w:sz w:val="24"/>
          <w:szCs w:val="24"/>
        </w:rPr>
        <w:t>.</w:t>
      </w:r>
      <w:r>
        <w:rPr>
          <w:sz w:val="24"/>
          <w:szCs w:val="24"/>
        </w:rPr>
        <w:tab/>
      </w:r>
      <w:r w:rsidR="00AB5B23">
        <w:rPr>
          <w:sz w:val="24"/>
          <w:szCs w:val="24"/>
        </w:rPr>
        <w:t>Complainant’s device and system he developed to measure EMFs near power lines does not comply with the industry standard set forth by IEEE and does not produce accurate or reliable measurements of power line EMF</w:t>
      </w:r>
      <w:r w:rsidR="00553ED3">
        <w:rPr>
          <w:sz w:val="24"/>
          <w:szCs w:val="24"/>
        </w:rPr>
        <w:t>s</w:t>
      </w:r>
      <w:r w:rsidR="00AB5B23">
        <w:rPr>
          <w:sz w:val="24"/>
          <w:szCs w:val="24"/>
        </w:rPr>
        <w:t xml:space="preserve">.  </w:t>
      </w:r>
      <w:proofErr w:type="gramStart"/>
      <w:r w:rsidR="00AB5B23">
        <w:rPr>
          <w:sz w:val="24"/>
          <w:szCs w:val="24"/>
        </w:rPr>
        <w:t>(PPL Statement No. 1 at 21).</w:t>
      </w:r>
      <w:proofErr w:type="gramEnd"/>
    </w:p>
    <w:p w:rsidR="000B108D" w:rsidRDefault="000B108D" w:rsidP="00B97032">
      <w:pPr>
        <w:pStyle w:val="BodyText"/>
        <w:jc w:val="left"/>
        <w:rPr>
          <w:sz w:val="24"/>
          <w:szCs w:val="24"/>
        </w:rPr>
      </w:pPr>
    </w:p>
    <w:p w:rsidR="000B108D" w:rsidRDefault="000B108D" w:rsidP="00B97032">
      <w:pPr>
        <w:pStyle w:val="BodyText"/>
        <w:jc w:val="left"/>
        <w:rPr>
          <w:sz w:val="24"/>
          <w:szCs w:val="24"/>
        </w:rPr>
      </w:pPr>
      <w:r>
        <w:rPr>
          <w:sz w:val="24"/>
          <w:szCs w:val="24"/>
        </w:rPr>
        <w:tab/>
      </w:r>
      <w:r>
        <w:rPr>
          <w:sz w:val="24"/>
          <w:szCs w:val="24"/>
        </w:rPr>
        <w:tab/>
      </w:r>
      <w:r w:rsidR="003B637F">
        <w:rPr>
          <w:sz w:val="24"/>
          <w:szCs w:val="24"/>
        </w:rPr>
        <w:t>20</w:t>
      </w:r>
      <w:r>
        <w:rPr>
          <w:sz w:val="24"/>
          <w:szCs w:val="24"/>
        </w:rPr>
        <w:t>.</w:t>
      </w:r>
      <w:r>
        <w:rPr>
          <w:sz w:val="24"/>
          <w:szCs w:val="24"/>
        </w:rPr>
        <w:tab/>
      </w:r>
      <w:r w:rsidR="00AB5B23">
        <w:rPr>
          <w:sz w:val="24"/>
          <w:szCs w:val="24"/>
        </w:rPr>
        <w:t>Lowering the voltage carried on distribution power lines increase</w:t>
      </w:r>
      <w:r w:rsidR="000164BB">
        <w:rPr>
          <w:sz w:val="24"/>
          <w:szCs w:val="24"/>
        </w:rPr>
        <w:t>s</w:t>
      </w:r>
      <w:r w:rsidR="00AB5B23">
        <w:rPr>
          <w:sz w:val="24"/>
          <w:szCs w:val="24"/>
        </w:rPr>
        <w:t xml:space="preserve"> the magnetic field levels.  Power lines that carry a voltage of 4 kV or less carry three time</w:t>
      </w:r>
      <w:r w:rsidR="000164BB">
        <w:rPr>
          <w:sz w:val="24"/>
          <w:szCs w:val="24"/>
        </w:rPr>
        <w:t>s</w:t>
      </w:r>
      <w:r w:rsidR="00AB5B23">
        <w:rPr>
          <w:sz w:val="24"/>
          <w:szCs w:val="24"/>
        </w:rPr>
        <w:t xml:space="preserve"> more current (in order to provide the same level of electric power to residences) and three times higher magnetic field levels than currently measured on the power lines that cross over Complainant’s property.  </w:t>
      </w:r>
      <w:proofErr w:type="gramStart"/>
      <w:r w:rsidR="00AB5B23">
        <w:rPr>
          <w:sz w:val="24"/>
          <w:szCs w:val="24"/>
        </w:rPr>
        <w:t>(PPL Statement No. 1 at 22).</w:t>
      </w:r>
      <w:proofErr w:type="gramEnd"/>
    </w:p>
    <w:p w:rsidR="000B108D" w:rsidRDefault="000B108D" w:rsidP="00B97032">
      <w:pPr>
        <w:pStyle w:val="BodyText"/>
        <w:jc w:val="left"/>
        <w:rPr>
          <w:sz w:val="24"/>
          <w:szCs w:val="24"/>
        </w:rPr>
      </w:pPr>
    </w:p>
    <w:p w:rsidR="000B108D" w:rsidRDefault="000B108D" w:rsidP="00B97032">
      <w:pPr>
        <w:pStyle w:val="BodyText"/>
        <w:jc w:val="left"/>
        <w:rPr>
          <w:sz w:val="24"/>
          <w:szCs w:val="24"/>
        </w:rPr>
      </w:pPr>
      <w:r>
        <w:rPr>
          <w:sz w:val="24"/>
          <w:szCs w:val="24"/>
        </w:rPr>
        <w:tab/>
      </w:r>
      <w:r>
        <w:rPr>
          <w:sz w:val="24"/>
          <w:szCs w:val="24"/>
        </w:rPr>
        <w:tab/>
      </w:r>
      <w:r w:rsidR="003B637F">
        <w:rPr>
          <w:sz w:val="24"/>
          <w:szCs w:val="24"/>
        </w:rPr>
        <w:t>21</w:t>
      </w:r>
      <w:r>
        <w:rPr>
          <w:sz w:val="24"/>
          <w:szCs w:val="24"/>
        </w:rPr>
        <w:t>.</w:t>
      </w:r>
      <w:r>
        <w:rPr>
          <w:sz w:val="24"/>
          <w:szCs w:val="24"/>
        </w:rPr>
        <w:tab/>
      </w:r>
      <w:r w:rsidR="00AB5B23">
        <w:rPr>
          <w:sz w:val="24"/>
          <w:szCs w:val="24"/>
        </w:rPr>
        <w:t xml:space="preserve">Respondent cannot eliminate all sources of </w:t>
      </w:r>
      <w:r w:rsidR="000164BB">
        <w:rPr>
          <w:sz w:val="24"/>
          <w:szCs w:val="24"/>
        </w:rPr>
        <w:t>EMF</w:t>
      </w:r>
      <w:r w:rsidR="00553ED3">
        <w:rPr>
          <w:sz w:val="24"/>
          <w:szCs w:val="24"/>
        </w:rPr>
        <w:t>s</w:t>
      </w:r>
      <w:r w:rsidR="000164BB">
        <w:rPr>
          <w:sz w:val="24"/>
          <w:szCs w:val="24"/>
        </w:rPr>
        <w:t xml:space="preserve"> from Complainant’s property, </w:t>
      </w:r>
      <w:r w:rsidR="00AB5B23">
        <w:rPr>
          <w:sz w:val="24"/>
          <w:szCs w:val="24"/>
        </w:rPr>
        <w:t xml:space="preserve">unless Respondent stopped providing electric service to the residences serviced by the distribution line that crosses over Complainant’s property and removed all interior electric wiring and electric appliances in all the residences nearby.  </w:t>
      </w:r>
      <w:proofErr w:type="gramStart"/>
      <w:r w:rsidR="00AB5B23">
        <w:rPr>
          <w:sz w:val="24"/>
          <w:szCs w:val="24"/>
        </w:rPr>
        <w:t>(PPL Statement No. 1 at 23).</w:t>
      </w:r>
      <w:proofErr w:type="gramEnd"/>
    </w:p>
    <w:p w:rsidR="000B108D" w:rsidRDefault="000B108D" w:rsidP="00B97032">
      <w:pPr>
        <w:pStyle w:val="BodyText"/>
        <w:jc w:val="left"/>
        <w:rPr>
          <w:sz w:val="24"/>
          <w:szCs w:val="24"/>
        </w:rPr>
      </w:pPr>
    </w:p>
    <w:p w:rsidR="000B108D" w:rsidRDefault="000B108D" w:rsidP="00B97032">
      <w:pPr>
        <w:pStyle w:val="BodyText"/>
        <w:jc w:val="left"/>
        <w:rPr>
          <w:sz w:val="24"/>
          <w:szCs w:val="24"/>
        </w:rPr>
      </w:pPr>
      <w:r>
        <w:rPr>
          <w:sz w:val="24"/>
          <w:szCs w:val="24"/>
        </w:rPr>
        <w:tab/>
      </w:r>
      <w:r>
        <w:rPr>
          <w:sz w:val="24"/>
          <w:szCs w:val="24"/>
        </w:rPr>
        <w:tab/>
      </w:r>
      <w:r w:rsidR="003B637F">
        <w:rPr>
          <w:sz w:val="24"/>
          <w:szCs w:val="24"/>
        </w:rPr>
        <w:t>22</w:t>
      </w:r>
      <w:r>
        <w:rPr>
          <w:sz w:val="24"/>
          <w:szCs w:val="24"/>
        </w:rPr>
        <w:t>.</w:t>
      </w:r>
      <w:r>
        <w:rPr>
          <w:sz w:val="24"/>
          <w:szCs w:val="24"/>
        </w:rPr>
        <w:tab/>
      </w:r>
      <w:r w:rsidR="00AB5B23">
        <w:rPr>
          <w:sz w:val="24"/>
          <w:szCs w:val="24"/>
        </w:rPr>
        <w:t>A 2007 research study conducted by the World Health Organization (“WHO”) concluded there is no evidence to support a conclusion that exposure to low levels of electromagnetic fields are harmful to human health.  (PPL Statement No. 1 at 23-24).</w:t>
      </w:r>
    </w:p>
    <w:p w:rsidR="003431E2" w:rsidRDefault="003431E2" w:rsidP="00B97032">
      <w:pPr>
        <w:pStyle w:val="BodyText"/>
        <w:jc w:val="left"/>
        <w:rPr>
          <w:sz w:val="24"/>
          <w:szCs w:val="24"/>
        </w:rPr>
      </w:pPr>
    </w:p>
    <w:p w:rsidR="00E82585" w:rsidRDefault="00E82585" w:rsidP="008E4FD6">
      <w:pPr>
        <w:tabs>
          <w:tab w:val="left" w:pos="2160"/>
        </w:tabs>
        <w:spacing w:line="360" w:lineRule="auto"/>
        <w:jc w:val="center"/>
        <w:rPr>
          <w:u w:val="single"/>
        </w:rPr>
      </w:pPr>
    </w:p>
    <w:p w:rsidR="008E4FD6" w:rsidRPr="00B524A4" w:rsidRDefault="008E4FD6" w:rsidP="008E4FD6">
      <w:pPr>
        <w:tabs>
          <w:tab w:val="left" w:pos="2160"/>
        </w:tabs>
        <w:spacing w:line="360" w:lineRule="auto"/>
        <w:jc w:val="center"/>
        <w:rPr>
          <w:u w:val="single"/>
        </w:rPr>
      </w:pPr>
      <w:r w:rsidRPr="00B524A4">
        <w:rPr>
          <w:u w:val="single"/>
        </w:rPr>
        <w:lastRenderedPageBreak/>
        <w:t>DISCUSSION</w:t>
      </w:r>
    </w:p>
    <w:p w:rsidR="007E48E1" w:rsidRPr="00DC4200" w:rsidRDefault="007E48E1" w:rsidP="007E48E1">
      <w:pPr>
        <w:tabs>
          <w:tab w:val="left" w:pos="2160"/>
        </w:tabs>
        <w:spacing w:line="360" w:lineRule="auto"/>
        <w:jc w:val="center"/>
        <w:rPr>
          <w:u w:val="single"/>
        </w:rPr>
      </w:pPr>
    </w:p>
    <w:p w:rsidR="007E48E1" w:rsidRPr="00DC4200" w:rsidRDefault="00182455" w:rsidP="00182455">
      <w:pPr>
        <w:spacing w:line="360" w:lineRule="auto"/>
        <w:ind w:firstLine="1440"/>
      </w:pPr>
      <w:r w:rsidRPr="00286C99">
        <w:t xml:space="preserve">On </w:t>
      </w:r>
      <w:r>
        <w:t xml:space="preserve">February 1, 2012, </w:t>
      </w:r>
      <w:proofErr w:type="spellStart"/>
      <w:r>
        <w:t>Brunda</w:t>
      </w:r>
      <w:proofErr w:type="spellEnd"/>
      <w:r w:rsidRPr="00286C99">
        <w:t xml:space="preserve"> filed a formal complaint </w:t>
      </w:r>
      <w:r>
        <w:t xml:space="preserve">with the Commission </w:t>
      </w:r>
      <w:r w:rsidRPr="00286C99">
        <w:t xml:space="preserve">against </w:t>
      </w:r>
      <w:r>
        <w:t xml:space="preserve">PPL </w:t>
      </w:r>
      <w:r w:rsidRPr="00286C99">
        <w:t xml:space="preserve">alleging </w:t>
      </w:r>
      <w:r>
        <w:t xml:space="preserve">there is a safety or quality problem caused by electromagnetic radiation from PPL’s power lines surrounding Complainant’s property in Lansford, Carbon County, Pennsylvania.  </w:t>
      </w:r>
      <w:r w:rsidR="00DC4200" w:rsidRPr="00DC4200">
        <w:t xml:space="preserve">Complainant requested the Commission order Respondent to </w:t>
      </w:r>
      <w:r w:rsidR="00C93396">
        <w:t>eliminate all EMRs, and to reduce the line voltage to less than 4.0 kilovolts.  In addition, Complainant requested compensatory and punitive damages for the suffering and death of his entire family</w:t>
      </w:r>
      <w:r w:rsidR="007E48E1" w:rsidRPr="00DC4200">
        <w:t>.</w:t>
      </w:r>
      <w:r>
        <w:t xml:space="preserve">  </w:t>
      </w:r>
      <w:r w:rsidRPr="00286C99">
        <w:t xml:space="preserve">On </w:t>
      </w:r>
      <w:r>
        <w:t>February 21, 2012</w:t>
      </w:r>
      <w:r w:rsidRPr="00286C99">
        <w:t>, Respondent filed an Answer to Complaint with the Commission</w:t>
      </w:r>
      <w:r>
        <w:t xml:space="preserve"> in which it generally denied the allegations concerning electromagnetic fields.</w:t>
      </w:r>
    </w:p>
    <w:p w:rsidR="007E48E1" w:rsidRPr="00DC4200" w:rsidRDefault="007E48E1" w:rsidP="007E48E1">
      <w:pPr>
        <w:pStyle w:val="BodyText"/>
        <w:jc w:val="left"/>
        <w:rPr>
          <w:sz w:val="24"/>
          <w:szCs w:val="24"/>
        </w:rPr>
      </w:pPr>
    </w:p>
    <w:p w:rsidR="007E48E1" w:rsidRPr="008B455C" w:rsidRDefault="00E24FEB" w:rsidP="007E48E1">
      <w:pPr>
        <w:pStyle w:val="BodyText"/>
        <w:jc w:val="left"/>
        <w:rPr>
          <w:sz w:val="24"/>
          <w:szCs w:val="24"/>
        </w:rPr>
      </w:pPr>
      <w:r>
        <w:rPr>
          <w:sz w:val="24"/>
          <w:szCs w:val="24"/>
        </w:rPr>
        <w:tab/>
      </w:r>
      <w:r>
        <w:rPr>
          <w:sz w:val="24"/>
          <w:szCs w:val="24"/>
        </w:rPr>
        <w:tab/>
        <w:t>Complainant</w:t>
      </w:r>
      <w:r w:rsidR="00182455">
        <w:rPr>
          <w:sz w:val="24"/>
          <w:szCs w:val="24"/>
        </w:rPr>
        <w:t xml:space="preserve"> contends </w:t>
      </w:r>
      <w:r w:rsidR="004572A1">
        <w:rPr>
          <w:sz w:val="24"/>
          <w:szCs w:val="24"/>
        </w:rPr>
        <w:t>the human absorption of the energy generated by high voltage power lines can be measure</w:t>
      </w:r>
      <w:r w:rsidR="00AE190C">
        <w:rPr>
          <w:sz w:val="24"/>
          <w:szCs w:val="24"/>
        </w:rPr>
        <w:t>d</w:t>
      </w:r>
      <w:r w:rsidR="004572A1">
        <w:rPr>
          <w:sz w:val="24"/>
          <w:szCs w:val="24"/>
        </w:rPr>
        <w:t xml:space="preserve"> just as the energy generated by high voltage power lines itself can be measured.  When too much energy is absorbed into the body, then nerve cell function is altered, the density and healing rate of bone is affected, cancer cell growth rate increases, cancer cells’ sensitivity to drugs is altered, and the hormonal imbalance occurs.  </w:t>
      </w:r>
      <w:r w:rsidR="0062129A">
        <w:rPr>
          <w:sz w:val="24"/>
          <w:szCs w:val="24"/>
        </w:rPr>
        <w:t xml:space="preserve">Complainant further contends his family members died </w:t>
      </w:r>
      <w:r w:rsidR="00B6253F">
        <w:rPr>
          <w:sz w:val="24"/>
          <w:szCs w:val="24"/>
        </w:rPr>
        <w:t xml:space="preserve">due to </w:t>
      </w:r>
      <w:r w:rsidR="0062129A">
        <w:rPr>
          <w:sz w:val="24"/>
          <w:szCs w:val="24"/>
        </w:rPr>
        <w:t>long-term exposure to EMRs over time when living in the family residence.</w:t>
      </w:r>
    </w:p>
    <w:p w:rsidR="007E48E1" w:rsidRPr="008B455C" w:rsidRDefault="007E48E1" w:rsidP="007E48E1">
      <w:pPr>
        <w:pStyle w:val="BodyText"/>
        <w:jc w:val="left"/>
        <w:rPr>
          <w:sz w:val="24"/>
          <w:szCs w:val="24"/>
        </w:rPr>
      </w:pPr>
    </w:p>
    <w:p w:rsidR="007E48E1" w:rsidRDefault="007E48E1" w:rsidP="007E48E1">
      <w:pPr>
        <w:pStyle w:val="BodyText"/>
        <w:jc w:val="left"/>
        <w:rPr>
          <w:sz w:val="24"/>
          <w:szCs w:val="24"/>
        </w:rPr>
      </w:pPr>
      <w:r w:rsidRPr="008B455C">
        <w:rPr>
          <w:sz w:val="24"/>
          <w:szCs w:val="24"/>
        </w:rPr>
        <w:tab/>
      </w:r>
      <w:r w:rsidRPr="008B455C">
        <w:rPr>
          <w:sz w:val="24"/>
          <w:szCs w:val="24"/>
        </w:rPr>
        <w:tab/>
        <w:t>Respondent</w:t>
      </w:r>
      <w:r>
        <w:rPr>
          <w:sz w:val="24"/>
          <w:szCs w:val="24"/>
        </w:rPr>
        <w:t xml:space="preserve"> </w:t>
      </w:r>
      <w:r w:rsidR="00DC4200">
        <w:rPr>
          <w:sz w:val="24"/>
          <w:szCs w:val="24"/>
        </w:rPr>
        <w:t>contends</w:t>
      </w:r>
      <w:r w:rsidR="000164BB">
        <w:rPr>
          <w:sz w:val="24"/>
          <w:szCs w:val="24"/>
        </w:rPr>
        <w:t xml:space="preserve"> Complainant does not understand the engineering principles incident to electric and magnetic fields arising from transmission power lines.  Respondent avers the design of its transmission lines are consistent with and in compliance with federal, state and industry standards, and that the EMRs recorded near transmission lines is less than the EMRs found in or near homes and public places.  In addition, Respondent argues there is no proof that EMRs cause health concerns in humans or any other form of life.  </w:t>
      </w:r>
    </w:p>
    <w:p w:rsidR="00B32996" w:rsidRDefault="00B32996" w:rsidP="007E48E1">
      <w:pPr>
        <w:pStyle w:val="BodyText"/>
        <w:jc w:val="left"/>
        <w:rPr>
          <w:sz w:val="24"/>
          <w:szCs w:val="24"/>
        </w:rPr>
      </w:pPr>
    </w:p>
    <w:p w:rsidR="00CF7FBE" w:rsidRDefault="00CF7FBE" w:rsidP="007E48E1">
      <w:pPr>
        <w:pStyle w:val="BodyText"/>
        <w:jc w:val="left"/>
        <w:rPr>
          <w:sz w:val="24"/>
          <w:szCs w:val="24"/>
        </w:rPr>
      </w:pPr>
      <w:r w:rsidRPr="00CF7FBE">
        <w:rPr>
          <w:sz w:val="24"/>
          <w:szCs w:val="24"/>
          <w:u w:val="single"/>
        </w:rPr>
        <w:t>Responsibility of Public Utilit</w:t>
      </w:r>
      <w:r w:rsidRPr="00016979">
        <w:rPr>
          <w:sz w:val="24"/>
          <w:szCs w:val="24"/>
          <w:u w:val="single"/>
        </w:rPr>
        <w:t>y</w:t>
      </w:r>
    </w:p>
    <w:p w:rsidR="00CF7FBE" w:rsidRPr="008B455C" w:rsidRDefault="00CF7FBE" w:rsidP="007E48E1">
      <w:pPr>
        <w:pStyle w:val="BodyText"/>
        <w:jc w:val="left"/>
        <w:rPr>
          <w:sz w:val="24"/>
          <w:szCs w:val="24"/>
        </w:rPr>
      </w:pPr>
    </w:p>
    <w:p w:rsidR="007E48E1" w:rsidRDefault="007E48E1" w:rsidP="007E48E1">
      <w:pPr>
        <w:pStyle w:val="BodyText"/>
        <w:ind w:firstLine="1440"/>
        <w:jc w:val="left"/>
        <w:rPr>
          <w:sz w:val="24"/>
          <w:szCs w:val="24"/>
        </w:rPr>
      </w:pPr>
      <w:r>
        <w:rPr>
          <w:sz w:val="24"/>
          <w:szCs w:val="24"/>
        </w:rPr>
        <w:t xml:space="preserve">“Every public utility shall furnish and maintain adequate, efficient, safe, and reasonable service and facilities, and shall make all such repairs, changes, alterations, </w:t>
      </w:r>
      <w:r>
        <w:rPr>
          <w:sz w:val="24"/>
          <w:szCs w:val="24"/>
        </w:rPr>
        <w:lastRenderedPageBreak/>
        <w:t>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Pa. C.S.A. §1501.</w:t>
      </w:r>
    </w:p>
    <w:p w:rsidR="004A3BE9" w:rsidRDefault="004A3BE9" w:rsidP="00CF7FBE">
      <w:pPr>
        <w:pStyle w:val="BodyText"/>
        <w:jc w:val="left"/>
        <w:rPr>
          <w:sz w:val="24"/>
          <w:szCs w:val="24"/>
          <w:u w:val="single"/>
        </w:rPr>
      </w:pPr>
    </w:p>
    <w:p w:rsidR="00CF7FBE" w:rsidRPr="00CF7FBE" w:rsidRDefault="00CF7FBE" w:rsidP="00CF7FBE">
      <w:pPr>
        <w:pStyle w:val="BodyText"/>
        <w:jc w:val="left"/>
        <w:rPr>
          <w:sz w:val="24"/>
          <w:szCs w:val="24"/>
          <w:u w:val="single"/>
        </w:rPr>
      </w:pPr>
      <w:r w:rsidRPr="00CF7FBE">
        <w:rPr>
          <w:sz w:val="24"/>
          <w:szCs w:val="24"/>
          <w:u w:val="single"/>
        </w:rPr>
        <w:t>Burden of Proof</w:t>
      </w:r>
    </w:p>
    <w:p w:rsidR="00CF7FBE" w:rsidRDefault="00CF7FBE" w:rsidP="00CF7FBE">
      <w:pPr>
        <w:pStyle w:val="BodyText"/>
        <w:jc w:val="left"/>
        <w:rPr>
          <w:sz w:val="24"/>
          <w:szCs w:val="24"/>
        </w:rPr>
      </w:pPr>
    </w:p>
    <w:p w:rsidR="007E48E1" w:rsidRDefault="007E48E1" w:rsidP="007E48E1">
      <w:pPr>
        <w:spacing w:line="360" w:lineRule="auto"/>
        <w:ind w:firstLine="1440"/>
      </w:pPr>
      <w:r w:rsidRPr="004E7308">
        <w:t>As the party seeking affirmative relief from the Commission, Complainant</w:t>
      </w:r>
      <w:r w:rsidR="00DC4200">
        <w:t xml:space="preserve"> bear</w:t>
      </w:r>
      <w:r w:rsidR="000164BB">
        <w:t>s</w:t>
      </w:r>
      <w:r w:rsidRPr="004E7308">
        <w:t xml:space="preserve"> the burden of proof</w:t>
      </w:r>
      <w:r>
        <w:t xml:space="preserve"> by substantial evidence</w:t>
      </w:r>
      <w:r w:rsidRPr="004E7308">
        <w:t xml:space="preserve">.  </w:t>
      </w:r>
      <w:proofErr w:type="gramStart"/>
      <w:r w:rsidRPr="004E7308">
        <w:t>66 Pa. C.S.</w:t>
      </w:r>
      <w:r>
        <w:t>A.</w:t>
      </w:r>
      <w:r w:rsidRPr="004E7308">
        <w:t xml:space="preserve"> §332(a).</w:t>
      </w:r>
      <w:proofErr w:type="gramEnd"/>
      <w:r>
        <w:t xml:space="preserve">  </w:t>
      </w:r>
      <w:r w:rsidRPr="006E5FE7">
        <w:t>Substantial evidence is defined as such evidence that a reasonable mind might accept as adequate to support a conclusion.  More is required than a mere trace of evidence or a suspicion of the existence of a fact sought to be established.</w:t>
      </w:r>
      <w:r w:rsidR="00A6043D">
        <w:rPr>
          <w:rStyle w:val="FootnoteReference"/>
        </w:rPr>
        <w:footnoteReference w:id="1"/>
      </w:r>
      <w:r w:rsidRPr="006E5FE7">
        <w:t xml:space="preserve">  </w:t>
      </w:r>
    </w:p>
    <w:p w:rsidR="00E9204D" w:rsidRDefault="00E9204D" w:rsidP="007E48E1">
      <w:pPr>
        <w:pStyle w:val="BodyText"/>
        <w:ind w:firstLine="1440"/>
        <w:jc w:val="left"/>
        <w:rPr>
          <w:sz w:val="24"/>
          <w:szCs w:val="24"/>
        </w:rPr>
      </w:pPr>
    </w:p>
    <w:p w:rsidR="00E9204D" w:rsidRPr="00BF51E4" w:rsidRDefault="0017443D" w:rsidP="007E48E1">
      <w:pPr>
        <w:pStyle w:val="BodyText"/>
        <w:ind w:firstLine="1440"/>
        <w:jc w:val="left"/>
        <w:rPr>
          <w:sz w:val="24"/>
          <w:szCs w:val="24"/>
        </w:rPr>
      </w:pPr>
      <w:r>
        <w:rPr>
          <w:sz w:val="24"/>
          <w:szCs w:val="24"/>
        </w:rPr>
        <w:t>Upon a c</w:t>
      </w:r>
      <w:r w:rsidR="00A7499F">
        <w:rPr>
          <w:sz w:val="24"/>
          <w:szCs w:val="24"/>
        </w:rPr>
        <w:t>omplainant’s presentation of evidence sufficient to satisfy initial</w:t>
      </w:r>
      <w:r w:rsidR="00E76081">
        <w:rPr>
          <w:sz w:val="24"/>
          <w:szCs w:val="24"/>
        </w:rPr>
        <w:t>ly</w:t>
      </w:r>
      <w:r w:rsidR="00A7499F">
        <w:rPr>
          <w:sz w:val="24"/>
          <w:szCs w:val="24"/>
        </w:rPr>
        <w:t xml:space="preserve"> the burden of proof, the burden of going forward with the evidence, sometimes called the burden of persuasion, to rebut the evidence of the customer shifts to Respondent.  If the evidence presented by Respondent is of co-equal value or weight, the burden of proof has not been satisfied by </w:t>
      </w:r>
      <w:r>
        <w:rPr>
          <w:sz w:val="24"/>
          <w:szCs w:val="24"/>
        </w:rPr>
        <w:t>the complainant.  A c</w:t>
      </w:r>
      <w:r w:rsidR="00A7499F">
        <w:rPr>
          <w:sz w:val="24"/>
          <w:szCs w:val="24"/>
        </w:rPr>
        <w:t>omplainant still must provide additional evidence to rebut the contrary evidence presented by Respondent.</w:t>
      </w:r>
      <w:r w:rsidR="00A7499F">
        <w:rPr>
          <w:rStyle w:val="FootnoteReference"/>
          <w:sz w:val="24"/>
          <w:szCs w:val="24"/>
        </w:rPr>
        <w:footnoteReference w:id="2"/>
      </w:r>
      <w:r w:rsidR="00A61835">
        <w:rPr>
          <w:sz w:val="24"/>
          <w:szCs w:val="24"/>
        </w:rPr>
        <w:t xml:space="preserve">  </w:t>
      </w:r>
    </w:p>
    <w:p w:rsidR="007E48E1" w:rsidRPr="00BF51E4" w:rsidRDefault="007E48E1" w:rsidP="007E48E1">
      <w:pPr>
        <w:pStyle w:val="BodyText"/>
        <w:ind w:firstLine="1440"/>
        <w:jc w:val="left"/>
        <w:rPr>
          <w:sz w:val="24"/>
          <w:szCs w:val="24"/>
        </w:rPr>
      </w:pPr>
    </w:p>
    <w:p w:rsidR="004D74B9" w:rsidRDefault="004D74B9" w:rsidP="003A3184">
      <w:pPr>
        <w:pStyle w:val="BodyText"/>
        <w:jc w:val="left"/>
        <w:rPr>
          <w:sz w:val="24"/>
          <w:szCs w:val="24"/>
          <w:u w:val="single"/>
        </w:rPr>
      </w:pPr>
    </w:p>
    <w:p w:rsidR="004D74B9" w:rsidRDefault="004D74B9" w:rsidP="003A3184">
      <w:pPr>
        <w:pStyle w:val="BodyText"/>
        <w:jc w:val="left"/>
        <w:rPr>
          <w:sz w:val="24"/>
          <w:szCs w:val="24"/>
          <w:u w:val="single"/>
        </w:rPr>
      </w:pPr>
    </w:p>
    <w:p w:rsidR="004D74B9" w:rsidRDefault="004D74B9" w:rsidP="003A3184">
      <w:pPr>
        <w:pStyle w:val="BodyText"/>
        <w:jc w:val="left"/>
        <w:rPr>
          <w:sz w:val="24"/>
          <w:szCs w:val="24"/>
          <w:u w:val="single"/>
        </w:rPr>
      </w:pPr>
    </w:p>
    <w:p w:rsidR="003A3184" w:rsidRDefault="003A3184" w:rsidP="003A3184">
      <w:pPr>
        <w:pStyle w:val="BodyText"/>
        <w:jc w:val="left"/>
        <w:rPr>
          <w:sz w:val="24"/>
          <w:szCs w:val="24"/>
        </w:rPr>
      </w:pPr>
      <w:r>
        <w:rPr>
          <w:sz w:val="24"/>
          <w:szCs w:val="24"/>
          <w:u w:val="single"/>
        </w:rPr>
        <w:lastRenderedPageBreak/>
        <w:t>Conclusion</w:t>
      </w:r>
    </w:p>
    <w:p w:rsidR="003A3184" w:rsidRDefault="003A3184" w:rsidP="003A3184">
      <w:pPr>
        <w:pStyle w:val="BodyText"/>
        <w:ind w:firstLine="1440"/>
        <w:jc w:val="left"/>
        <w:rPr>
          <w:sz w:val="24"/>
          <w:szCs w:val="24"/>
        </w:rPr>
      </w:pPr>
    </w:p>
    <w:p w:rsidR="003A3184" w:rsidRDefault="000164BB" w:rsidP="00DC090B">
      <w:pPr>
        <w:pStyle w:val="BodyText"/>
        <w:jc w:val="left"/>
        <w:rPr>
          <w:sz w:val="24"/>
          <w:szCs w:val="24"/>
        </w:rPr>
      </w:pPr>
      <w:r>
        <w:rPr>
          <w:sz w:val="24"/>
          <w:szCs w:val="24"/>
        </w:rPr>
        <w:tab/>
      </w:r>
      <w:r>
        <w:rPr>
          <w:sz w:val="24"/>
          <w:szCs w:val="24"/>
        </w:rPr>
        <w:tab/>
        <w:t>In previous proceedings, the Commission considered the question which forms the basis for Complainant’s averments here – whether electric or magnetic fields arising from electricity coursing through transmission lines cause adverse health effects.  In each of those proceedings, the Commission has found that no conclusive and/or scientific evidence exists to reach the conclusion which Complainant insists be accepted here.</w:t>
      </w:r>
      <w:r>
        <w:rPr>
          <w:rStyle w:val="FootnoteReference"/>
          <w:sz w:val="24"/>
          <w:szCs w:val="24"/>
        </w:rPr>
        <w:footnoteReference w:id="3"/>
      </w:r>
    </w:p>
    <w:p w:rsidR="00C95BC1" w:rsidRDefault="00EB641A" w:rsidP="00DC090B">
      <w:pPr>
        <w:pStyle w:val="BodyText"/>
        <w:jc w:val="left"/>
        <w:rPr>
          <w:sz w:val="24"/>
          <w:szCs w:val="24"/>
        </w:rPr>
      </w:pPr>
      <w:r>
        <w:rPr>
          <w:sz w:val="24"/>
          <w:szCs w:val="24"/>
        </w:rPr>
        <w:tab/>
      </w:r>
      <w:r>
        <w:rPr>
          <w:sz w:val="24"/>
          <w:szCs w:val="24"/>
        </w:rPr>
        <w:tab/>
      </w:r>
    </w:p>
    <w:p w:rsidR="00EB641A" w:rsidRDefault="00C95BC1" w:rsidP="00DC090B">
      <w:pPr>
        <w:pStyle w:val="BodyText"/>
        <w:jc w:val="left"/>
        <w:rPr>
          <w:sz w:val="24"/>
          <w:szCs w:val="24"/>
        </w:rPr>
      </w:pPr>
      <w:r>
        <w:rPr>
          <w:sz w:val="24"/>
          <w:szCs w:val="24"/>
        </w:rPr>
        <w:tab/>
      </w:r>
      <w:r>
        <w:rPr>
          <w:sz w:val="24"/>
          <w:szCs w:val="24"/>
        </w:rPr>
        <w:tab/>
      </w:r>
      <w:r w:rsidR="00EB641A">
        <w:rPr>
          <w:sz w:val="24"/>
          <w:szCs w:val="24"/>
        </w:rPr>
        <w:t xml:space="preserve">In this proceeding, Complainant provided no medical or scientific evidence to support his contentions.  In addition, Complainant was unable to show that PPL has violated any industry standard or failed to comply with any state or federal statutory or regulatory requirements.  In fact, no federal or state entity has promulgated requirements concerning a limitation on the emission of electro-magnetic fields from transmission lines.  </w:t>
      </w:r>
    </w:p>
    <w:p w:rsidR="00EB641A" w:rsidRDefault="00EB641A" w:rsidP="00DC090B">
      <w:pPr>
        <w:pStyle w:val="BodyText"/>
        <w:jc w:val="left"/>
        <w:rPr>
          <w:sz w:val="24"/>
          <w:szCs w:val="24"/>
        </w:rPr>
      </w:pPr>
    </w:p>
    <w:p w:rsidR="003A3184" w:rsidRDefault="0017443D" w:rsidP="003A3184">
      <w:pPr>
        <w:pStyle w:val="BodyText"/>
        <w:ind w:firstLine="1440"/>
        <w:jc w:val="left"/>
        <w:rPr>
          <w:sz w:val="24"/>
          <w:szCs w:val="24"/>
        </w:rPr>
      </w:pPr>
      <w:r>
        <w:rPr>
          <w:sz w:val="24"/>
          <w:szCs w:val="24"/>
        </w:rPr>
        <w:t>Based on the totality of evidence presented</w:t>
      </w:r>
      <w:r w:rsidR="003A3184" w:rsidRPr="00BF51E4">
        <w:rPr>
          <w:sz w:val="24"/>
          <w:szCs w:val="24"/>
        </w:rPr>
        <w:t>, Complainant</w:t>
      </w:r>
      <w:r w:rsidR="002231C5">
        <w:rPr>
          <w:sz w:val="24"/>
          <w:szCs w:val="24"/>
        </w:rPr>
        <w:t xml:space="preserve"> did not meet</w:t>
      </w:r>
      <w:r w:rsidR="003A3184" w:rsidRPr="00BF51E4">
        <w:rPr>
          <w:sz w:val="24"/>
          <w:szCs w:val="24"/>
        </w:rPr>
        <w:t xml:space="preserve"> </w:t>
      </w:r>
      <w:r w:rsidR="003A3184">
        <w:rPr>
          <w:sz w:val="24"/>
          <w:szCs w:val="24"/>
        </w:rPr>
        <w:t>the</w:t>
      </w:r>
      <w:r w:rsidR="003A3184" w:rsidRPr="00BF51E4">
        <w:rPr>
          <w:sz w:val="24"/>
          <w:szCs w:val="24"/>
        </w:rPr>
        <w:t xml:space="preserve"> burden of proving Respondent violated the Commission’s regulations by failing to provide</w:t>
      </w:r>
      <w:r w:rsidR="002231C5">
        <w:rPr>
          <w:sz w:val="24"/>
          <w:szCs w:val="24"/>
        </w:rPr>
        <w:t xml:space="preserve"> a reasonably safe product</w:t>
      </w:r>
      <w:r w:rsidR="003A3184" w:rsidRPr="00BF51E4">
        <w:rPr>
          <w:sz w:val="24"/>
          <w:szCs w:val="24"/>
        </w:rPr>
        <w:t>.  Accordingly, the complaint is dismissed in the ordering</w:t>
      </w:r>
      <w:r w:rsidR="003A3184" w:rsidRPr="008B455C">
        <w:rPr>
          <w:sz w:val="24"/>
          <w:szCs w:val="24"/>
        </w:rPr>
        <w:t xml:space="preserve"> paragraphs below.</w:t>
      </w:r>
    </w:p>
    <w:p w:rsidR="003A3184" w:rsidRDefault="003A3184" w:rsidP="00DC090B">
      <w:pPr>
        <w:pStyle w:val="BodyText"/>
        <w:jc w:val="left"/>
        <w:rPr>
          <w:sz w:val="24"/>
          <w:szCs w:val="24"/>
        </w:rPr>
      </w:pPr>
    </w:p>
    <w:p w:rsidR="007E48E1" w:rsidRPr="008B455C" w:rsidRDefault="007E48E1" w:rsidP="00DC090B">
      <w:pPr>
        <w:pStyle w:val="BodyText"/>
        <w:jc w:val="center"/>
        <w:rPr>
          <w:u w:val="single"/>
        </w:rPr>
      </w:pPr>
      <w:r w:rsidRPr="008B455C">
        <w:rPr>
          <w:u w:val="single"/>
        </w:rPr>
        <w:t>CONCLUSIONS OF LAW</w:t>
      </w:r>
    </w:p>
    <w:p w:rsidR="007E48E1" w:rsidRPr="008B455C" w:rsidRDefault="007E48E1" w:rsidP="007E48E1">
      <w:pPr>
        <w:spacing w:line="360" w:lineRule="auto"/>
        <w:ind w:firstLine="1440"/>
      </w:pPr>
    </w:p>
    <w:p w:rsidR="007E48E1" w:rsidRPr="008B455C" w:rsidRDefault="007E48E1" w:rsidP="007E48E1">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66 </w:t>
      </w:r>
      <w:smartTag w:uri="urn:schemas-microsoft-com:office:smarttags" w:element="State">
        <w:smartTag w:uri="urn:schemas-microsoft-com:office:smarttags" w:element="place">
          <w:r w:rsidRPr="008B455C">
            <w:t>Pa.</w:t>
          </w:r>
        </w:smartTag>
      </w:smartTag>
      <w:r w:rsidRPr="008B455C">
        <w:t xml:space="preserve"> C.S.</w:t>
      </w:r>
      <w:r w:rsidR="003A5070">
        <w:t>A.</w:t>
      </w:r>
      <w:r w:rsidRPr="008B455C">
        <w:t xml:space="preserve"> §701.</w:t>
      </w:r>
    </w:p>
    <w:p w:rsidR="007E48E1" w:rsidRPr="008B455C" w:rsidRDefault="007E48E1" w:rsidP="007E48E1">
      <w:pPr>
        <w:tabs>
          <w:tab w:val="num" w:pos="2160"/>
        </w:tabs>
        <w:spacing w:line="360" w:lineRule="auto"/>
        <w:ind w:firstLine="1260"/>
      </w:pPr>
    </w:p>
    <w:p w:rsidR="007E48E1" w:rsidRPr="0017443D" w:rsidRDefault="007E48E1" w:rsidP="007E48E1">
      <w:pPr>
        <w:spacing w:line="360" w:lineRule="auto"/>
      </w:pPr>
      <w:r w:rsidRPr="008B455C">
        <w:tab/>
      </w:r>
      <w:r w:rsidRPr="008B455C">
        <w:tab/>
        <w:t>2.</w:t>
      </w:r>
      <w:r w:rsidRPr="008B455C">
        <w:tab/>
      </w:r>
      <w:r>
        <w:t>Complainant</w:t>
      </w:r>
      <w:r w:rsidRPr="008B455C">
        <w:t xml:space="preserve"> carr</w:t>
      </w:r>
      <w:r w:rsidR="002231C5">
        <w:t>ies</w:t>
      </w:r>
      <w:r w:rsidRPr="008B455C">
        <w:t xml:space="preserve"> the burden of proving Respondent</w:t>
      </w:r>
      <w:r>
        <w:t xml:space="preserve"> did not provide </w:t>
      </w:r>
      <w:r w:rsidRPr="0017443D">
        <w:t xml:space="preserve">reasonable and adequate service.  </w:t>
      </w:r>
      <w:proofErr w:type="gramStart"/>
      <w:r w:rsidRPr="0017443D">
        <w:t>66 Pa. C.S.A. §332(a).</w:t>
      </w:r>
      <w:proofErr w:type="gramEnd"/>
    </w:p>
    <w:p w:rsidR="007E48E1" w:rsidRPr="0017443D" w:rsidRDefault="007E48E1" w:rsidP="007E48E1">
      <w:pPr>
        <w:spacing w:line="360" w:lineRule="auto"/>
      </w:pPr>
    </w:p>
    <w:p w:rsidR="007E48E1" w:rsidRPr="0017443D" w:rsidRDefault="007E48E1" w:rsidP="0017443D">
      <w:pPr>
        <w:pStyle w:val="FootnoteText"/>
        <w:spacing w:line="360" w:lineRule="auto"/>
        <w:rPr>
          <w:sz w:val="24"/>
          <w:szCs w:val="24"/>
        </w:rPr>
      </w:pPr>
      <w:r w:rsidRPr="0017443D">
        <w:rPr>
          <w:sz w:val="24"/>
          <w:szCs w:val="24"/>
        </w:rPr>
        <w:lastRenderedPageBreak/>
        <w:tab/>
      </w:r>
      <w:r w:rsidRPr="0017443D">
        <w:rPr>
          <w:sz w:val="24"/>
          <w:szCs w:val="24"/>
        </w:rPr>
        <w:tab/>
        <w:t>3.</w:t>
      </w:r>
      <w:r w:rsidRPr="0017443D">
        <w:rPr>
          <w:sz w:val="24"/>
          <w:szCs w:val="24"/>
        </w:rPr>
        <w:tab/>
        <w:t xml:space="preserve">Complainant failed to meet the burden of proving Respondent did not provide reasonable and adequate service.    </w:t>
      </w:r>
    </w:p>
    <w:p w:rsidR="007E48E1" w:rsidRPr="0017443D" w:rsidRDefault="007E48E1" w:rsidP="007E48E1">
      <w:pPr>
        <w:spacing w:line="360" w:lineRule="auto"/>
      </w:pPr>
    </w:p>
    <w:p w:rsidR="007E48E1" w:rsidRPr="008B455C" w:rsidRDefault="007E48E1" w:rsidP="007E48E1">
      <w:pPr>
        <w:spacing w:line="360" w:lineRule="auto"/>
        <w:jc w:val="center"/>
        <w:rPr>
          <w:u w:val="single"/>
        </w:rPr>
      </w:pPr>
      <w:r w:rsidRPr="008B455C">
        <w:rPr>
          <w:u w:val="single"/>
        </w:rPr>
        <w:t>ORDER</w:t>
      </w:r>
    </w:p>
    <w:p w:rsidR="007E48E1" w:rsidRDefault="007E48E1" w:rsidP="007E48E1">
      <w:pPr>
        <w:tabs>
          <w:tab w:val="num" w:pos="2160"/>
        </w:tabs>
        <w:spacing w:line="360" w:lineRule="auto"/>
        <w:jc w:val="center"/>
        <w:rPr>
          <w:u w:val="single"/>
        </w:rPr>
      </w:pPr>
    </w:p>
    <w:p w:rsidR="004A7777" w:rsidRPr="008B455C" w:rsidRDefault="004A7777" w:rsidP="007E48E1">
      <w:pPr>
        <w:tabs>
          <w:tab w:val="num" w:pos="2160"/>
        </w:tabs>
        <w:spacing w:line="360" w:lineRule="auto"/>
        <w:jc w:val="center"/>
        <w:rPr>
          <w:u w:val="single"/>
        </w:rPr>
      </w:pPr>
    </w:p>
    <w:p w:rsidR="007E48E1" w:rsidRPr="008B455C" w:rsidRDefault="007E48E1" w:rsidP="007E48E1">
      <w:pPr>
        <w:tabs>
          <w:tab w:val="num" w:pos="2160"/>
        </w:tabs>
        <w:spacing w:line="360" w:lineRule="auto"/>
        <w:ind w:firstLine="1440"/>
      </w:pPr>
      <w:r w:rsidRPr="008B455C">
        <w:t xml:space="preserve">THEREFORE, </w:t>
      </w:r>
    </w:p>
    <w:p w:rsidR="007E48E1" w:rsidRPr="008B455C" w:rsidRDefault="007E48E1" w:rsidP="007E48E1">
      <w:pPr>
        <w:tabs>
          <w:tab w:val="num" w:pos="2160"/>
        </w:tabs>
        <w:spacing w:line="360" w:lineRule="auto"/>
      </w:pPr>
    </w:p>
    <w:p w:rsidR="007E48E1" w:rsidRPr="008B455C" w:rsidRDefault="007E48E1" w:rsidP="007E48E1">
      <w:pPr>
        <w:tabs>
          <w:tab w:val="num" w:pos="2160"/>
        </w:tabs>
        <w:spacing w:line="360" w:lineRule="auto"/>
        <w:ind w:firstLine="1440"/>
      </w:pPr>
      <w:r w:rsidRPr="008B455C">
        <w:t>IT IS ORDERED:</w:t>
      </w:r>
    </w:p>
    <w:p w:rsidR="007E48E1" w:rsidRPr="008B455C" w:rsidRDefault="007E48E1" w:rsidP="007E48E1">
      <w:pPr>
        <w:tabs>
          <w:tab w:val="num" w:pos="2160"/>
        </w:tabs>
        <w:spacing w:line="360" w:lineRule="auto"/>
        <w:rPr>
          <w:b/>
        </w:rPr>
      </w:pPr>
    </w:p>
    <w:p w:rsidR="007E48E1" w:rsidRDefault="007E48E1" w:rsidP="00831698">
      <w:pPr>
        <w:pStyle w:val="ListParagraph"/>
        <w:numPr>
          <w:ilvl w:val="0"/>
          <w:numId w:val="8"/>
        </w:numPr>
        <w:tabs>
          <w:tab w:val="num" w:pos="0"/>
        </w:tabs>
        <w:spacing w:line="360" w:lineRule="auto"/>
        <w:ind w:left="0" w:firstLine="1440"/>
      </w:pPr>
      <w:r w:rsidRPr="008B455C">
        <w:t xml:space="preserve">That the complaint </w:t>
      </w:r>
      <w:r w:rsidRPr="002F64FF">
        <w:t xml:space="preserve">of </w:t>
      </w:r>
      <w:r w:rsidR="002231C5">
        <w:t xml:space="preserve">Daniel </w:t>
      </w:r>
      <w:proofErr w:type="spellStart"/>
      <w:r w:rsidR="002231C5">
        <w:t>Brunda</w:t>
      </w:r>
      <w:proofErr w:type="spellEnd"/>
      <w:r w:rsidR="0017443D">
        <w:t xml:space="preserve"> versus P</w:t>
      </w:r>
      <w:r w:rsidR="00831698">
        <w:t>PL</w:t>
      </w:r>
      <w:r w:rsidR="0017443D">
        <w:t xml:space="preserve"> </w:t>
      </w:r>
      <w:r w:rsidR="002231C5">
        <w:t>Electric Utilities Corporation</w:t>
      </w:r>
      <w:r w:rsidRPr="00055267">
        <w:t xml:space="preserve"> </w:t>
      </w:r>
      <w:r w:rsidRPr="008B455C">
        <w:t xml:space="preserve">at </w:t>
      </w:r>
      <w:r>
        <w:t>Docket No. C</w:t>
      </w:r>
      <w:r w:rsidRPr="008B455C">
        <w:noBreakHyphen/>
      </w:r>
      <w:r w:rsidR="002231C5">
        <w:t>2012-2286040</w:t>
      </w:r>
      <w:r w:rsidRPr="008B455C">
        <w:t xml:space="preserve"> </w:t>
      </w:r>
      <w:r w:rsidRPr="00EA1625">
        <w:t>hereby</w:t>
      </w:r>
      <w:r>
        <w:t xml:space="preserve"> is</w:t>
      </w:r>
      <w:r w:rsidRPr="00EA1625">
        <w:t xml:space="preserve"> </w:t>
      </w:r>
      <w:r w:rsidR="0017443D">
        <w:t xml:space="preserve">dismissed </w:t>
      </w:r>
      <w:r>
        <w:t xml:space="preserve">because Complainant failed to prove </w:t>
      </w:r>
      <w:r w:rsidRPr="008B455C">
        <w:t>Respondent</w:t>
      </w:r>
      <w:r>
        <w:t xml:space="preserve"> did not provide </w:t>
      </w:r>
      <w:r w:rsidR="0017443D">
        <w:t>reasonable and adequate service.</w:t>
      </w:r>
    </w:p>
    <w:p w:rsidR="000D24BA" w:rsidRDefault="000D24BA" w:rsidP="000D24BA">
      <w:pPr>
        <w:tabs>
          <w:tab w:val="num" w:pos="0"/>
        </w:tabs>
        <w:spacing w:line="360" w:lineRule="auto"/>
      </w:pPr>
      <w:r>
        <w:tab/>
      </w:r>
    </w:p>
    <w:p w:rsidR="000D24BA" w:rsidRDefault="000D24BA" w:rsidP="000D24BA">
      <w:pPr>
        <w:pStyle w:val="ListParagraph"/>
        <w:numPr>
          <w:ilvl w:val="0"/>
          <w:numId w:val="8"/>
        </w:numPr>
        <w:tabs>
          <w:tab w:val="num" w:pos="0"/>
        </w:tabs>
        <w:spacing w:line="360" w:lineRule="auto"/>
        <w:ind w:left="0" w:firstLine="1440"/>
      </w:pPr>
      <w:r>
        <w:t xml:space="preserve">That the complaint of Daniel </w:t>
      </w:r>
      <w:proofErr w:type="spellStart"/>
      <w:r>
        <w:t>Brunda</w:t>
      </w:r>
      <w:proofErr w:type="spellEnd"/>
      <w:r>
        <w:t xml:space="preserve"> versus PPL Electric Utilities </w:t>
      </w:r>
      <w:bookmarkStart w:id="0" w:name="_GoBack"/>
      <w:bookmarkEnd w:id="0"/>
      <w:r>
        <w:t xml:space="preserve">Corporation at Docket No. C-2012-2286040 </w:t>
      </w:r>
      <w:proofErr w:type="gramStart"/>
      <w:r>
        <w:t>be</w:t>
      </w:r>
      <w:proofErr w:type="gramEnd"/>
      <w:r>
        <w:t xml:space="preserve"> marked closed.</w:t>
      </w:r>
    </w:p>
    <w:p w:rsidR="007E48E1" w:rsidRPr="008B455C" w:rsidRDefault="007E48E1" w:rsidP="007E48E1">
      <w:pPr>
        <w:tabs>
          <w:tab w:val="num" w:pos="2160"/>
        </w:tabs>
        <w:spacing w:line="360" w:lineRule="auto"/>
      </w:pPr>
      <w:r>
        <w:tab/>
      </w:r>
    </w:p>
    <w:p w:rsidR="007E48E1" w:rsidRDefault="007E48E1" w:rsidP="007E48E1">
      <w:pPr>
        <w:tabs>
          <w:tab w:val="num" w:pos="2160"/>
        </w:tabs>
        <w:spacing w:line="360" w:lineRule="auto"/>
        <w:ind w:firstLine="1440"/>
      </w:pPr>
      <w:r w:rsidRPr="008B455C">
        <w:tab/>
        <w:t xml:space="preserve"> </w:t>
      </w:r>
    </w:p>
    <w:p w:rsidR="000F1BB0" w:rsidRPr="008B455C" w:rsidRDefault="000F1BB0" w:rsidP="007E48E1">
      <w:pPr>
        <w:tabs>
          <w:tab w:val="num" w:pos="2160"/>
        </w:tabs>
        <w:spacing w:line="360" w:lineRule="auto"/>
        <w:ind w:firstLine="1440"/>
      </w:pPr>
    </w:p>
    <w:p w:rsidR="007E48E1" w:rsidRPr="008B455C" w:rsidRDefault="007E48E1" w:rsidP="007E48E1">
      <w:pPr>
        <w:tabs>
          <w:tab w:val="num" w:pos="2160"/>
          <w:tab w:val="left" w:pos="5048"/>
        </w:tabs>
      </w:pPr>
      <w:r w:rsidRPr="008B455C">
        <w:t>Date:</w:t>
      </w:r>
      <w:r w:rsidR="001D78CA">
        <w:t xml:space="preserve"> </w:t>
      </w:r>
      <w:r w:rsidRPr="008B455C">
        <w:t xml:space="preserve"> </w:t>
      </w:r>
      <w:r w:rsidR="002231C5">
        <w:rPr>
          <w:u w:val="single"/>
        </w:rPr>
        <w:t>December 5</w:t>
      </w:r>
      <w:r w:rsidR="00DC4200">
        <w:rPr>
          <w:u w:val="single"/>
        </w:rPr>
        <w:t>, 2012</w:t>
      </w:r>
      <w:r w:rsidRPr="008B455C">
        <w:tab/>
      </w:r>
      <w:r w:rsidR="004A7777">
        <w:tab/>
      </w:r>
      <w:r w:rsidR="001D78CA">
        <w:tab/>
      </w:r>
      <w:r w:rsidRPr="008B455C">
        <w:t>________________________</w:t>
      </w:r>
    </w:p>
    <w:p w:rsidR="007E48E1" w:rsidRPr="008B455C" w:rsidRDefault="007E48E1" w:rsidP="007E48E1">
      <w:pPr>
        <w:tabs>
          <w:tab w:val="num" w:pos="2160"/>
        </w:tabs>
      </w:pPr>
      <w:r w:rsidRPr="008B455C">
        <w:tab/>
      </w:r>
      <w:r w:rsidRPr="008B455C">
        <w:tab/>
      </w:r>
      <w:r w:rsidRPr="008B455C">
        <w:tab/>
      </w:r>
      <w:r w:rsidRPr="008B455C">
        <w:tab/>
      </w:r>
      <w:r w:rsidRPr="008B455C">
        <w:tab/>
      </w:r>
      <w:r w:rsidR="004A7777">
        <w:tab/>
      </w:r>
      <w:r w:rsidR="001D78CA">
        <w:tab/>
      </w:r>
      <w:r w:rsidRPr="008B455C">
        <w:t>Katrina L. Dunderdale</w:t>
      </w:r>
    </w:p>
    <w:p w:rsidR="007E48E1" w:rsidRDefault="007E48E1" w:rsidP="007E48E1">
      <w:pPr>
        <w:tabs>
          <w:tab w:val="num" w:pos="2160"/>
        </w:tabs>
      </w:pPr>
      <w:r w:rsidRPr="008B455C">
        <w:tab/>
      </w:r>
      <w:r w:rsidRPr="008B455C">
        <w:tab/>
      </w:r>
      <w:r w:rsidRPr="008B455C">
        <w:tab/>
      </w:r>
      <w:r w:rsidRPr="008B455C">
        <w:tab/>
      </w:r>
      <w:r w:rsidRPr="008B455C">
        <w:tab/>
      </w:r>
      <w:r w:rsidR="004A7777">
        <w:tab/>
      </w:r>
      <w:r w:rsidR="001D78CA">
        <w:tab/>
      </w:r>
      <w:r w:rsidR="00DC4200">
        <w:t>Administrative Law Judge</w:t>
      </w:r>
    </w:p>
    <w:p w:rsidR="00CA57BA" w:rsidRPr="008B455C" w:rsidRDefault="00CA57BA" w:rsidP="00EA12C1">
      <w:pPr>
        <w:tabs>
          <w:tab w:val="num" w:pos="2160"/>
        </w:tabs>
      </w:pPr>
    </w:p>
    <w:sectPr w:rsidR="00CA57BA" w:rsidRPr="008B455C" w:rsidSect="00965683">
      <w:footerReference w:type="even" r:id="rId9"/>
      <w:footerReference w:type="default" r:id="rId10"/>
      <w:pgSz w:w="12240" w:h="15840" w:code="1"/>
      <w:pgMar w:top="1440" w:right="1440" w:bottom="1728" w:left="1440" w:header="720" w:footer="720" w:gutter="0"/>
      <w:paperSrc w:first="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128" w:rsidRDefault="00931128">
      <w:r>
        <w:separator/>
      </w:r>
    </w:p>
  </w:endnote>
  <w:endnote w:type="continuationSeparator" w:id="0">
    <w:p w:rsidR="00931128" w:rsidRDefault="0093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E52929"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14242F" w:rsidRDefault="00E52929"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F30562" w:rsidRPr="0014242F">
      <w:rPr>
        <w:rStyle w:val="PageNumber"/>
        <w:sz w:val="20"/>
        <w:szCs w:val="20"/>
      </w:rPr>
      <w:instrText xml:space="preserve">PAGE  </w:instrText>
    </w:r>
    <w:r w:rsidRPr="0014242F">
      <w:rPr>
        <w:rStyle w:val="PageNumber"/>
        <w:sz w:val="20"/>
        <w:szCs w:val="20"/>
      </w:rPr>
      <w:fldChar w:fldCharType="separate"/>
    </w:r>
    <w:r w:rsidR="000D24BA">
      <w:rPr>
        <w:rStyle w:val="PageNumber"/>
        <w:noProof/>
        <w:sz w:val="20"/>
        <w:szCs w:val="20"/>
      </w:rPr>
      <w:t>10</w:t>
    </w:r>
    <w:r w:rsidRPr="0014242F">
      <w:rPr>
        <w:rStyle w:val="PageNumber"/>
        <w:sz w:val="20"/>
        <w:szCs w:val="20"/>
      </w:rPr>
      <w:fldChar w:fldCharType="end"/>
    </w:r>
  </w:p>
  <w:p w:rsidR="00F30562" w:rsidRDefault="00F3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128" w:rsidRDefault="00931128">
      <w:r>
        <w:separator/>
      </w:r>
    </w:p>
  </w:footnote>
  <w:footnote w:type="continuationSeparator" w:id="0">
    <w:p w:rsidR="00931128" w:rsidRDefault="00931128">
      <w:r>
        <w:continuationSeparator/>
      </w:r>
    </w:p>
  </w:footnote>
  <w:footnote w:id="1">
    <w:p w:rsidR="00A6043D" w:rsidRDefault="00A6043D" w:rsidP="00A6043D">
      <w:pPr>
        <w:pStyle w:val="FootnoteText"/>
        <w:ind w:firstLine="720"/>
      </w:pPr>
      <w:r>
        <w:rPr>
          <w:rStyle w:val="FootnoteReference"/>
        </w:rPr>
        <w:footnoteRef/>
      </w:r>
      <w:r w:rsidR="00C518D5">
        <w:t xml:space="preserve"> </w:t>
      </w:r>
      <w:r w:rsidR="000164BB">
        <w:tab/>
      </w:r>
      <w:proofErr w:type="gramStart"/>
      <w:r w:rsidRPr="00A6043D">
        <w:rPr>
          <w:u w:val="single"/>
        </w:rPr>
        <w:t>Norfolk &amp; Western Ry. Company v. Pennsylvania Public Utility Commission</w:t>
      </w:r>
      <w:r w:rsidRPr="00A6043D">
        <w:t xml:space="preserve">, 489 Pa. 109, 413 A.2d 1037 (1980); </w:t>
      </w:r>
      <w:r w:rsidRPr="00A6043D">
        <w:rPr>
          <w:u w:val="single"/>
        </w:rPr>
        <w:t>Erie Resistor Corp. v. Unemployment Board of Review</w:t>
      </w:r>
      <w:r w:rsidRPr="00A6043D">
        <w:t xml:space="preserve">, 194 Pa. Superior Ct. 278, 166 A.2d 96 (1961); </w:t>
      </w:r>
      <w:r w:rsidRPr="00A6043D">
        <w:rPr>
          <w:u w:val="single"/>
        </w:rPr>
        <w:t>Murphy v. Department of Public Welfare</w:t>
      </w:r>
      <w:r w:rsidRPr="00A6043D">
        <w:t xml:space="preserve">, 480 A.2d 382 (Pa. </w:t>
      </w:r>
      <w:proofErr w:type="spellStart"/>
      <w:r w:rsidRPr="00A6043D">
        <w:t>Cmwlth</w:t>
      </w:r>
      <w:proofErr w:type="spellEnd"/>
      <w:r w:rsidRPr="00A6043D">
        <w:t>. 1984).</w:t>
      </w:r>
      <w:proofErr w:type="gramEnd"/>
    </w:p>
    <w:p w:rsidR="00A6043D" w:rsidRDefault="00A6043D" w:rsidP="00A6043D">
      <w:pPr>
        <w:pStyle w:val="FootnoteText"/>
        <w:ind w:firstLine="720"/>
      </w:pPr>
    </w:p>
  </w:footnote>
  <w:footnote w:id="2">
    <w:p w:rsidR="00A7499F" w:rsidRDefault="00A7499F" w:rsidP="00A7499F">
      <w:pPr>
        <w:pStyle w:val="FootnoteText"/>
        <w:ind w:firstLine="720"/>
      </w:pPr>
      <w:r>
        <w:rPr>
          <w:rStyle w:val="FootnoteReference"/>
        </w:rPr>
        <w:footnoteRef/>
      </w:r>
      <w:r w:rsidR="0002677E">
        <w:t xml:space="preserve"> </w:t>
      </w:r>
      <w:r w:rsidR="000164BB">
        <w:tab/>
      </w:r>
      <w:r w:rsidR="00493BBB" w:rsidRPr="00493BBB">
        <w:rPr>
          <w:u w:val="single"/>
        </w:rPr>
        <w:t xml:space="preserve">Morrissey v. </w:t>
      </w:r>
      <w:proofErr w:type="spellStart"/>
      <w:proofErr w:type="gramStart"/>
      <w:r w:rsidR="00493BBB" w:rsidRPr="00493BBB">
        <w:rPr>
          <w:u w:val="single"/>
        </w:rPr>
        <w:t>Commw</w:t>
      </w:r>
      <w:proofErr w:type="spellEnd"/>
      <w:r w:rsidR="00493BBB" w:rsidRPr="00493BBB">
        <w:rPr>
          <w:u w:val="single"/>
        </w:rPr>
        <w:t>.,</w:t>
      </w:r>
      <w:proofErr w:type="gramEnd"/>
      <w:r w:rsidR="00493BBB" w:rsidRPr="00493BBB">
        <w:rPr>
          <w:u w:val="single"/>
        </w:rPr>
        <w:t xml:space="preserve"> Dept. of Highways</w:t>
      </w:r>
      <w:r w:rsidR="00493BBB">
        <w:t xml:space="preserve">, 424 Pa. 87, 225 A.2d 895 (1967) and </w:t>
      </w:r>
      <w:r w:rsidR="00493BBB" w:rsidRPr="00493BBB">
        <w:rPr>
          <w:u w:val="single"/>
        </w:rPr>
        <w:t>Burleson v</w:t>
      </w:r>
      <w:r w:rsidR="004819B5">
        <w:rPr>
          <w:u w:val="single"/>
        </w:rPr>
        <w:t>.</w:t>
      </w:r>
      <w:r w:rsidR="00493BBB" w:rsidRPr="00493BBB">
        <w:rPr>
          <w:u w:val="single"/>
        </w:rPr>
        <w:t xml:space="preserve"> Penna. Public Utility Commission</w:t>
      </w:r>
      <w:r w:rsidR="00493BBB">
        <w:t xml:space="preserve">, 66 Pa. </w:t>
      </w:r>
      <w:proofErr w:type="spellStart"/>
      <w:r w:rsidR="00493BBB">
        <w:t>Commw</w:t>
      </w:r>
      <w:proofErr w:type="spellEnd"/>
      <w:r w:rsidR="00493BBB">
        <w:t xml:space="preserve">. 282, 443 A.2d 1373 (1982), </w:t>
      </w:r>
      <w:proofErr w:type="spellStart"/>
      <w:r w:rsidR="00493BBB" w:rsidRPr="00493BBB">
        <w:rPr>
          <w:u w:val="single"/>
        </w:rPr>
        <w:t>aff’d</w:t>
      </w:r>
      <w:proofErr w:type="spellEnd"/>
      <w:r w:rsidR="00493BBB">
        <w:t xml:space="preserve"> 501 Pa. 443, 461 A.2d 1234.</w:t>
      </w:r>
    </w:p>
  </w:footnote>
  <w:footnote w:id="3">
    <w:p w:rsidR="000164BB" w:rsidRDefault="000164BB">
      <w:pPr>
        <w:pStyle w:val="FootnoteText"/>
      </w:pPr>
      <w:r>
        <w:tab/>
      </w:r>
      <w:r>
        <w:rPr>
          <w:rStyle w:val="FootnoteReference"/>
        </w:rPr>
        <w:footnoteRef/>
      </w:r>
      <w:r>
        <w:t xml:space="preserve"> </w:t>
      </w:r>
      <w:r>
        <w:tab/>
      </w:r>
      <w:r w:rsidRPr="00EB641A">
        <w:rPr>
          <w:u w:val="single"/>
        </w:rPr>
        <w:t>Application of PPL Electric Utilities</w:t>
      </w:r>
      <w:r w:rsidR="00EB641A" w:rsidRPr="00EB641A">
        <w:rPr>
          <w:u w:val="single"/>
        </w:rPr>
        <w:t xml:space="preserve"> Corp</w:t>
      </w:r>
      <w:r w:rsidR="00EB641A">
        <w:t>.</w:t>
      </w:r>
      <w:r>
        <w:t>, Docket No. A-2009-2082652 (Final Order February</w:t>
      </w:r>
      <w:r w:rsidR="00156C81">
        <w:t> </w:t>
      </w:r>
      <w:r>
        <w:t>12, 2010</w:t>
      </w:r>
      <w:r w:rsidR="00EB641A">
        <w:t xml:space="preserve">); </w:t>
      </w:r>
      <w:r w:rsidR="00EB641A" w:rsidRPr="00EB641A">
        <w:rPr>
          <w:u w:val="single"/>
        </w:rPr>
        <w:t>Letter Notification of Philadelphia Electric Company</w:t>
      </w:r>
      <w:r w:rsidR="00EB641A">
        <w:t xml:space="preserve">, Docket No. </w:t>
      </w:r>
      <w:proofErr w:type="gramStart"/>
      <w:r w:rsidR="00EB641A">
        <w:t>A-110550F0</w:t>
      </w:r>
      <w:r w:rsidR="0018422C">
        <w:t>1</w:t>
      </w:r>
      <w:r w:rsidR="00EB641A">
        <w:t xml:space="preserve">55 (Final Order November 12, 1993); </w:t>
      </w:r>
      <w:r w:rsidR="00EB641A" w:rsidRPr="00EB641A">
        <w:rPr>
          <w:u w:val="single"/>
        </w:rPr>
        <w:t>Certification Application of Pennsylvania Power and Light Co</w:t>
      </w:r>
      <w:r w:rsidR="00EB641A">
        <w:t>., Docket Nos.</w:t>
      </w:r>
      <w:proofErr w:type="gramEnd"/>
      <w:r w:rsidR="00EB641A">
        <w:t xml:space="preserve"> </w:t>
      </w:r>
      <w:proofErr w:type="gramStart"/>
      <w:r w:rsidR="00EB641A">
        <w:t>A-110500F0162 and A-110500F0169 (Final Order March 17, 1994).</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2A4E81"/>
    <w:multiLevelType w:val="hybridMultilevel"/>
    <w:tmpl w:val="B0DEBD02"/>
    <w:lvl w:ilvl="0" w:tplc="D87801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0E5F"/>
    <w:rsid w:val="00002933"/>
    <w:rsid w:val="00004CAB"/>
    <w:rsid w:val="000101F6"/>
    <w:rsid w:val="00010C1B"/>
    <w:rsid w:val="00012DE3"/>
    <w:rsid w:val="00014CD9"/>
    <w:rsid w:val="00015B93"/>
    <w:rsid w:val="00015E77"/>
    <w:rsid w:val="000164BB"/>
    <w:rsid w:val="00016979"/>
    <w:rsid w:val="000218E1"/>
    <w:rsid w:val="0002562B"/>
    <w:rsid w:val="0002677E"/>
    <w:rsid w:val="00030A0C"/>
    <w:rsid w:val="00032447"/>
    <w:rsid w:val="0003254A"/>
    <w:rsid w:val="0003345F"/>
    <w:rsid w:val="00034688"/>
    <w:rsid w:val="00034AF2"/>
    <w:rsid w:val="00034D3C"/>
    <w:rsid w:val="0003750C"/>
    <w:rsid w:val="00042684"/>
    <w:rsid w:val="00051FFD"/>
    <w:rsid w:val="000539E5"/>
    <w:rsid w:val="00055267"/>
    <w:rsid w:val="00055555"/>
    <w:rsid w:val="00060974"/>
    <w:rsid w:val="00062303"/>
    <w:rsid w:val="0006531B"/>
    <w:rsid w:val="00065B67"/>
    <w:rsid w:val="00066099"/>
    <w:rsid w:val="00067DC6"/>
    <w:rsid w:val="00081933"/>
    <w:rsid w:val="00081DAA"/>
    <w:rsid w:val="0008418F"/>
    <w:rsid w:val="000841E3"/>
    <w:rsid w:val="00090723"/>
    <w:rsid w:val="00091995"/>
    <w:rsid w:val="000919E3"/>
    <w:rsid w:val="000920B0"/>
    <w:rsid w:val="000943A5"/>
    <w:rsid w:val="0009461A"/>
    <w:rsid w:val="00094EC4"/>
    <w:rsid w:val="00095A48"/>
    <w:rsid w:val="00095FEA"/>
    <w:rsid w:val="000A7A7E"/>
    <w:rsid w:val="000A7DE2"/>
    <w:rsid w:val="000B0443"/>
    <w:rsid w:val="000B108D"/>
    <w:rsid w:val="000B1450"/>
    <w:rsid w:val="000B4044"/>
    <w:rsid w:val="000B575F"/>
    <w:rsid w:val="000B7C98"/>
    <w:rsid w:val="000C22D0"/>
    <w:rsid w:val="000C39FB"/>
    <w:rsid w:val="000C5341"/>
    <w:rsid w:val="000C639E"/>
    <w:rsid w:val="000C6633"/>
    <w:rsid w:val="000C736C"/>
    <w:rsid w:val="000D24BA"/>
    <w:rsid w:val="000D4E83"/>
    <w:rsid w:val="000D628E"/>
    <w:rsid w:val="000D6424"/>
    <w:rsid w:val="000D7D68"/>
    <w:rsid w:val="000E0DDA"/>
    <w:rsid w:val="000E33AA"/>
    <w:rsid w:val="000E4C15"/>
    <w:rsid w:val="000E4D29"/>
    <w:rsid w:val="000E58C2"/>
    <w:rsid w:val="000F0DE8"/>
    <w:rsid w:val="000F0F3C"/>
    <w:rsid w:val="000F1BB0"/>
    <w:rsid w:val="000F45A3"/>
    <w:rsid w:val="000F4D6B"/>
    <w:rsid w:val="0010040A"/>
    <w:rsid w:val="00103B9D"/>
    <w:rsid w:val="0010437D"/>
    <w:rsid w:val="00106746"/>
    <w:rsid w:val="001130C8"/>
    <w:rsid w:val="001140BC"/>
    <w:rsid w:val="001161AA"/>
    <w:rsid w:val="0011788E"/>
    <w:rsid w:val="0012141F"/>
    <w:rsid w:val="00121AE5"/>
    <w:rsid w:val="00121BF7"/>
    <w:rsid w:val="0012478B"/>
    <w:rsid w:val="00125CCD"/>
    <w:rsid w:val="00130E27"/>
    <w:rsid w:val="001339E0"/>
    <w:rsid w:val="00133A47"/>
    <w:rsid w:val="00133B41"/>
    <w:rsid w:val="001354D6"/>
    <w:rsid w:val="00137307"/>
    <w:rsid w:val="001375AA"/>
    <w:rsid w:val="00142A80"/>
    <w:rsid w:val="00143FA7"/>
    <w:rsid w:val="00144748"/>
    <w:rsid w:val="00144BDA"/>
    <w:rsid w:val="00145EBF"/>
    <w:rsid w:val="001513EC"/>
    <w:rsid w:val="00152853"/>
    <w:rsid w:val="00153E19"/>
    <w:rsid w:val="00156938"/>
    <w:rsid w:val="00156A90"/>
    <w:rsid w:val="00156C81"/>
    <w:rsid w:val="0016133D"/>
    <w:rsid w:val="00165400"/>
    <w:rsid w:val="00165B98"/>
    <w:rsid w:val="00166F22"/>
    <w:rsid w:val="00167534"/>
    <w:rsid w:val="0017443D"/>
    <w:rsid w:val="0017741E"/>
    <w:rsid w:val="00182455"/>
    <w:rsid w:val="00182EDA"/>
    <w:rsid w:val="0018379D"/>
    <w:rsid w:val="00183AE1"/>
    <w:rsid w:val="0018422C"/>
    <w:rsid w:val="00185EF9"/>
    <w:rsid w:val="00190788"/>
    <w:rsid w:val="00195561"/>
    <w:rsid w:val="00196E40"/>
    <w:rsid w:val="001B283D"/>
    <w:rsid w:val="001B3B0D"/>
    <w:rsid w:val="001B436F"/>
    <w:rsid w:val="001B5AF2"/>
    <w:rsid w:val="001C3008"/>
    <w:rsid w:val="001C5F76"/>
    <w:rsid w:val="001D1195"/>
    <w:rsid w:val="001D1DC6"/>
    <w:rsid w:val="001D5E87"/>
    <w:rsid w:val="001D67F3"/>
    <w:rsid w:val="001D6F49"/>
    <w:rsid w:val="001D7070"/>
    <w:rsid w:val="001D78CA"/>
    <w:rsid w:val="001D79FF"/>
    <w:rsid w:val="001E2C24"/>
    <w:rsid w:val="001F00BA"/>
    <w:rsid w:val="001F030C"/>
    <w:rsid w:val="001F758E"/>
    <w:rsid w:val="00200D48"/>
    <w:rsid w:val="00200ED0"/>
    <w:rsid w:val="00201F2B"/>
    <w:rsid w:val="00203C61"/>
    <w:rsid w:val="00206B04"/>
    <w:rsid w:val="002075E6"/>
    <w:rsid w:val="00210334"/>
    <w:rsid w:val="00210460"/>
    <w:rsid w:val="002132C0"/>
    <w:rsid w:val="00214A19"/>
    <w:rsid w:val="002154B5"/>
    <w:rsid w:val="002165A2"/>
    <w:rsid w:val="00216A05"/>
    <w:rsid w:val="002231C5"/>
    <w:rsid w:val="00230C81"/>
    <w:rsid w:val="0023169E"/>
    <w:rsid w:val="00234C5A"/>
    <w:rsid w:val="00236C15"/>
    <w:rsid w:val="00243DD3"/>
    <w:rsid w:val="00244AD1"/>
    <w:rsid w:val="002520A5"/>
    <w:rsid w:val="00254BFC"/>
    <w:rsid w:val="00254FD1"/>
    <w:rsid w:val="0025557F"/>
    <w:rsid w:val="00263974"/>
    <w:rsid w:val="00263EFE"/>
    <w:rsid w:val="00264C6D"/>
    <w:rsid w:val="00265108"/>
    <w:rsid w:val="0026526F"/>
    <w:rsid w:val="00266E0B"/>
    <w:rsid w:val="00271E72"/>
    <w:rsid w:val="00271FF1"/>
    <w:rsid w:val="00280380"/>
    <w:rsid w:val="00280AF0"/>
    <w:rsid w:val="00283A3F"/>
    <w:rsid w:val="00284FA9"/>
    <w:rsid w:val="00286074"/>
    <w:rsid w:val="002867AD"/>
    <w:rsid w:val="002904BB"/>
    <w:rsid w:val="00291917"/>
    <w:rsid w:val="00293E92"/>
    <w:rsid w:val="00295403"/>
    <w:rsid w:val="002A551B"/>
    <w:rsid w:val="002A625C"/>
    <w:rsid w:val="002A78AC"/>
    <w:rsid w:val="002B433A"/>
    <w:rsid w:val="002B4996"/>
    <w:rsid w:val="002B4DFA"/>
    <w:rsid w:val="002C703F"/>
    <w:rsid w:val="002C7AB0"/>
    <w:rsid w:val="002D04F8"/>
    <w:rsid w:val="002D29E7"/>
    <w:rsid w:val="002E2B6E"/>
    <w:rsid w:val="002E597B"/>
    <w:rsid w:val="002E5A74"/>
    <w:rsid w:val="002E68F8"/>
    <w:rsid w:val="002E6B15"/>
    <w:rsid w:val="002E79C6"/>
    <w:rsid w:val="002F069D"/>
    <w:rsid w:val="002F15F6"/>
    <w:rsid w:val="002F1743"/>
    <w:rsid w:val="002F4F6F"/>
    <w:rsid w:val="002F6CA8"/>
    <w:rsid w:val="002F6DFB"/>
    <w:rsid w:val="002F763C"/>
    <w:rsid w:val="002F7ADF"/>
    <w:rsid w:val="00302C62"/>
    <w:rsid w:val="00302D41"/>
    <w:rsid w:val="00307FF8"/>
    <w:rsid w:val="00311588"/>
    <w:rsid w:val="003121E7"/>
    <w:rsid w:val="00324AD2"/>
    <w:rsid w:val="00324C80"/>
    <w:rsid w:val="00324D48"/>
    <w:rsid w:val="00326059"/>
    <w:rsid w:val="00330B01"/>
    <w:rsid w:val="0033183D"/>
    <w:rsid w:val="00334D84"/>
    <w:rsid w:val="00341930"/>
    <w:rsid w:val="0034231B"/>
    <w:rsid w:val="00342B49"/>
    <w:rsid w:val="003431E2"/>
    <w:rsid w:val="003439B8"/>
    <w:rsid w:val="0034410D"/>
    <w:rsid w:val="0034692A"/>
    <w:rsid w:val="00350E23"/>
    <w:rsid w:val="00354D1D"/>
    <w:rsid w:val="0035629D"/>
    <w:rsid w:val="003603C7"/>
    <w:rsid w:val="00360442"/>
    <w:rsid w:val="00360EB9"/>
    <w:rsid w:val="00361EAC"/>
    <w:rsid w:val="003649AC"/>
    <w:rsid w:val="00365F7C"/>
    <w:rsid w:val="00370128"/>
    <w:rsid w:val="00373245"/>
    <w:rsid w:val="00373E26"/>
    <w:rsid w:val="00373ECC"/>
    <w:rsid w:val="0037694C"/>
    <w:rsid w:val="00380F4B"/>
    <w:rsid w:val="00383822"/>
    <w:rsid w:val="00386C1C"/>
    <w:rsid w:val="00387E50"/>
    <w:rsid w:val="003908EE"/>
    <w:rsid w:val="00391096"/>
    <w:rsid w:val="00394A82"/>
    <w:rsid w:val="00396353"/>
    <w:rsid w:val="00396518"/>
    <w:rsid w:val="003A3184"/>
    <w:rsid w:val="003A5070"/>
    <w:rsid w:val="003B045F"/>
    <w:rsid w:val="003B3294"/>
    <w:rsid w:val="003B4F65"/>
    <w:rsid w:val="003B545D"/>
    <w:rsid w:val="003B637F"/>
    <w:rsid w:val="003B699F"/>
    <w:rsid w:val="003B7783"/>
    <w:rsid w:val="003C1053"/>
    <w:rsid w:val="003C13E7"/>
    <w:rsid w:val="003C2777"/>
    <w:rsid w:val="003C417D"/>
    <w:rsid w:val="003C4E1D"/>
    <w:rsid w:val="003C7776"/>
    <w:rsid w:val="003D0DEF"/>
    <w:rsid w:val="003D374F"/>
    <w:rsid w:val="003D500A"/>
    <w:rsid w:val="003D5173"/>
    <w:rsid w:val="003D67D8"/>
    <w:rsid w:val="003E1EE5"/>
    <w:rsid w:val="003E2BB0"/>
    <w:rsid w:val="003E2D32"/>
    <w:rsid w:val="003E60E7"/>
    <w:rsid w:val="003F00FD"/>
    <w:rsid w:val="003F1BC1"/>
    <w:rsid w:val="003F56DB"/>
    <w:rsid w:val="003F6E27"/>
    <w:rsid w:val="0040104B"/>
    <w:rsid w:val="0040125C"/>
    <w:rsid w:val="00411416"/>
    <w:rsid w:val="0041637D"/>
    <w:rsid w:val="00421585"/>
    <w:rsid w:val="004219BD"/>
    <w:rsid w:val="00424E72"/>
    <w:rsid w:val="00427CC4"/>
    <w:rsid w:val="00430437"/>
    <w:rsid w:val="00431883"/>
    <w:rsid w:val="004322BD"/>
    <w:rsid w:val="00440B6B"/>
    <w:rsid w:val="004455C4"/>
    <w:rsid w:val="00446EE8"/>
    <w:rsid w:val="004572A1"/>
    <w:rsid w:val="00462770"/>
    <w:rsid w:val="0046290B"/>
    <w:rsid w:val="004635FD"/>
    <w:rsid w:val="00465878"/>
    <w:rsid w:val="0046652F"/>
    <w:rsid w:val="00470AFC"/>
    <w:rsid w:val="004719AA"/>
    <w:rsid w:val="00472A21"/>
    <w:rsid w:val="00474C53"/>
    <w:rsid w:val="00477B44"/>
    <w:rsid w:val="004819B5"/>
    <w:rsid w:val="00483A4C"/>
    <w:rsid w:val="00485278"/>
    <w:rsid w:val="004859D0"/>
    <w:rsid w:val="00487AE0"/>
    <w:rsid w:val="00493BBB"/>
    <w:rsid w:val="004970DA"/>
    <w:rsid w:val="004A26B6"/>
    <w:rsid w:val="004A3BE9"/>
    <w:rsid w:val="004A47A6"/>
    <w:rsid w:val="004A6673"/>
    <w:rsid w:val="004A7777"/>
    <w:rsid w:val="004B34C6"/>
    <w:rsid w:val="004B422F"/>
    <w:rsid w:val="004B4B53"/>
    <w:rsid w:val="004B6A2B"/>
    <w:rsid w:val="004B7FA4"/>
    <w:rsid w:val="004C0846"/>
    <w:rsid w:val="004C32C0"/>
    <w:rsid w:val="004C5FA9"/>
    <w:rsid w:val="004C6202"/>
    <w:rsid w:val="004D0CBE"/>
    <w:rsid w:val="004D2634"/>
    <w:rsid w:val="004D3826"/>
    <w:rsid w:val="004D3A14"/>
    <w:rsid w:val="004D3F2A"/>
    <w:rsid w:val="004D454A"/>
    <w:rsid w:val="004D477D"/>
    <w:rsid w:val="004D74B9"/>
    <w:rsid w:val="004D75D5"/>
    <w:rsid w:val="004E01BD"/>
    <w:rsid w:val="004E3B20"/>
    <w:rsid w:val="004E4252"/>
    <w:rsid w:val="004E5F2C"/>
    <w:rsid w:val="004E605F"/>
    <w:rsid w:val="004E7B43"/>
    <w:rsid w:val="00500176"/>
    <w:rsid w:val="0050181E"/>
    <w:rsid w:val="0050497A"/>
    <w:rsid w:val="00504A1A"/>
    <w:rsid w:val="00507ECF"/>
    <w:rsid w:val="00515DD0"/>
    <w:rsid w:val="00517217"/>
    <w:rsid w:val="00522985"/>
    <w:rsid w:val="00524330"/>
    <w:rsid w:val="00531E4E"/>
    <w:rsid w:val="00537506"/>
    <w:rsid w:val="005375AF"/>
    <w:rsid w:val="0053772F"/>
    <w:rsid w:val="00540E3A"/>
    <w:rsid w:val="00543B7C"/>
    <w:rsid w:val="00543F98"/>
    <w:rsid w:val="005447FE"/>
    <w:rsid w:val="00544F7E"/>
    <w:rsid w:val="00545043"/>
    <w:rsid w:val="005451B0"/>
    <w:rsid w:val="00547948"/>
    <w:rsid w:val="00550F87"/>
    <w:rsid w:val="00552C73"/>
    <w:rsid w:val="00553E91"/>
    <w:rsid w:val="00553ED3"/>
    <w:rsid w:val="00555453"/>
    <w:rsid w:val="00557326"/>
    <w:rsid w:val="00560A07"/>
    <w:rsid w:val="00563142"/>
    <w:rsid w:val="00563254"/>
    <w:rsid w:val="005637DF"/>
    <w:rsid w:val="00563FC3"/>
    <w:rsid w:val="005647C7"/>
    <w:rsid w:val="005763CB"/>
    <w:rsid w:val="00577567"/>
    <w:rsid w:val="00580981"/>
    <w:rsid w:val="00580D5E"/>
    <w:rsid w:val="0058201B"/>
    <w:rsid w:val="005900D4"/>
    <w:rsid w:val="0059029B"/>
    <w:rsid w:val="00592DDB"/>
    <w:rsid w:val="00596262"/>
    <w:rsid w:val="0059631D"/>
    <w:rsid w:val="005A1E43"/>
    <w:rsid w:val="005A3E08"/>
    <w:rsid w:val="005A77D0"/>
    <w:rsid w:val="005B64BD"/>
    <w:rsid w:val="005C0E91"/>
    <w:rsid w:val="005C6D4A"/>
    <w:rsid w:val="005C6F84"/>
    <w:rsid w:val="005D03F4"/>
    <w:rsid w:val="005D4345"/>
    <w:rsid w:val="005E1CC5"/>
    <w:rsid w:val="005E2935"/>
    <w:rsid w:val="005E3B04"/>
    <w:rsid w:val="005E636D"/>
    <w:rsid w:val="005E6DB5"/>
    <w:rsid w:val="005F4120"/>
    <w:rsid w:val="00600AE4"/>
    <w:rsid w:val="00600EE9"/>
    <w:rsid w:val="0060359F"/>
    <w:rsid w:val="00607B04"/>
    <w:rsid w:val="00613AE9"/>
    <w:rsid w:val="00616E73"/>
    <w:rsid w:val="00616FE9"/>
    <w:rsid w:val="0061772B"/>
    <w:rsid w:val="00617C29"/>
    <w:rsid w:val="0062129A"/>
    <w:rsid w:val="006220FF"/>
    <w:rsid w:val="00623177"/>
    <w:rsid w:val="00632562"/>
    <w:rsid w:val="00633976"/>
    <w:rsid w:val="00633E89"/>
    <w:rsid w:val="0063487E"/>
    <w:rsid w:val="006354D3"/>
    <w:rsid w:val="00635E98"/>
    <w:rsid w:val="00636459"/>
    <w:rsid w:val="00641052"/>
    <w:rsid w:val="00644349"/>
    <w:rsid w:val="00645FE8"/>
    <w:rsid w:val="0065019D"/>
    <w:rsid w:val="006515DB"/>
    <w:rsid w:val="00651AB0"/>
    <w:rsid w:val="0065346D"/>
    <w:rsid w:val="00653FDE"/>
    <w:rsid w:val="006552C8"/>
    <w:rsid w:val="00655B18"/>
    <w:rsid w:val="0066212D"/>
    <w:rsid w:val="00664032"/>
    <w:rsid w:val="006663CA"/>
    <w:rsid w:val="00667306"/>
    <w:rsid w:val="00667726"/>
    <w:rsid w:val="0066791C"/>
    <w:rsid w:val="00674B93"/>
    <w:rsid w:val="0067510F"/>
    <w:rsid w:val="006771E3"/>
    <w:rsid w:val="006772A2"/>
    <w:rsid w:val="00682B76"/>
    <w:rsid w:val="0068596A"/>
    <w:rsid w:val="006869B5"/>
    <w:rsid w:val="00687B7E"/>
    <w:rsid w:val="00687C7C"/>
    <w:rsid w:val="00691FDA"/>
    <w:rsid w:val="00692E3E"/>
    <w:rsid w:val="00694153"/>
    <w:rsid w:val="0069460C"/>
    <w:rsid w:val="006954BC"/>
    <w:rsid w:val="006A0714"/>
    <w:rsid w:val="006A7864"/>
    <w:rsid w:val="006A7DF3"/>
    <w:rsid w:val="006B0612"/>
    <w:rsid w:val="006B2DFE"/>
    <w:rsid w:val="006B50E8"/>
    <w:rsid w:val="006B629F"/>
    <w:rsid w:val="006B7DE7"/>
    <w:rsid w:val="006C13BF"/>
    <w:rsid w:val="006C7092"/>
    <w:rsid w:val="006C7D49"/>
    <w:rsid w:val="006D2CFC"/>
    <w:rsid w:val="006D2E25"/>
    <w:rsid w:val="006D2F3E"/>
    <w:rsid w:val="006D3697"/>
    <w:rsid w:val="006D384B"/>
    <w:rsid w:val="006D38B1"/>
    <w:rsid w:val="006D68C8"/>
    <w:rsid w:val="006E0E78"/>
    <w:rsid w:val="006E12A1"/>
    <w:rsid w:val="006E175B"/>
    <w:rsid w:val="006E59A8"/>
    <w:rsid w:val="006F0249"/>
    <w:rsid w:val="006F10EA"/>
    <w:rsid w:val="006F1C37"/>
    <w:rsid w:val="006F2B77"/>
    <w:rsid w:val="006F324E"/>
    <w:rsid w:val="006F5FE7"/>
    <w:rsid w:val="006F60DA"/>
    <w:rsid w:val="006F6520"/>
    <w:rsid w:val="006F7393"/>
    <w:rsid w:val="006F7E65"/>
    <w:rsid w:val="00700704"/>
    <w:rsid w:val="00700E85"/>
    <w:rsid w:val="00701501"/>
    <w:rsid w:val="00706B99"/>
    <w:rsid w:val="00710284"/>
    <w:rsid w:val="00710B17"/>
    <w:rsid w:val="00710CE3"/>
    <w:rsid w:val="0071171E"/>
    <w:rsid w:val="007121EF"/>
    <w:rsid w:val="0071586C"/>
    <w:rsid w:val="007172D2"/>
    <w:rsid w:val="00720A51"/>
    <w:rsid w:val="00720C39"/>
    <w:rsid w:val="00726DAA"/>
    <w:rsid w:val="007272A7"/>
    <w:rsid w:val="00732CDD"/>
    <w:rsid w:val="00736DBA"/>
    <w:rsid w:val="00740BC6"/>
    <w:rsid w:val="007454F2"/>
    <w:rsid w:val="007516D0"/>
    <w:rsid w:val="00751CE0"/>
    <w:rsid w:val="00752D92"/>
    <w:rsid w:val="007535C9"/>
    <w:rsid w:val="00753A3F"/>
    <w:rsid w:val="00754FD3"/>
    <w:rsid w:val="00757A01"/>
    <w:rsid w:val="00762CDE"/>
    <w:rsid w:val="00766B36"/>
    <w:rsid w:val="007709BC"/>
    <w:rsid w:val="0077246E"/>
    <w:rsid w:val="00772949"/>
    <w:rsid w:val="00772CFC"/>
    <w:rsid w:val="00776CD8"/>
    <w:rsid w:val="0078110D"/>
    <w:rsid w:val="00781A81"/>
    <w:rsid w:val="00783095"/>
    <w:rsid w:val="00785AF3"/>
    <w:rsid w:val="00791F1E"/>
    <w:rsid w:val="0079328F"/>
    <w:rsid w:val="007939B6"/>
    <w:rsid w:val="00794EFF"/>
    <w:rsid w:val="00794F1B"/>
    <w:rsid w:val="00796EE0"/>
    <w:rsid w:val="007A32D3"/>
    <w:rsid w:val="007A40D1"/>
    <w:rsid w:val="007A5552"/>
    <w:rsid w:val="007A5EEF"/>
    <w:rsid w:val="007B6775"/>
    <w:rsid w:val="007C06FD"/>
    <w:rsid w:val="007C404E"/>
    <w:rsid w:val="007D23AA"/>
    <w:rsid w:val="007D2958"/>
    <w:rsid w:val="007D2DA0"/>
    <w:rsid w:val="007D79D2"/>
    <w:rsid w:val="007E48E1"/>
    <w:rsid w:val="007E7B4E"/>
    <w:rsid w:val="007F02A4"/>
    <w:rsid w:val="007F479E"/>
    <w:rsid w:val="00806E0D"/>
    <w:rsid w:val="00810562"/>
    <w:rsid w:val="00823FCA"/>
    <w:rsid w:val="00824890"/>
    <w:rsid w:val="008251D8"/>
    <w:rsid w:val="00831698"/>
    <w:rsid w:val="00836E65"/>
    <w:rsid w:val="008418E5"/>
    <w:rsid w:val="008418FC"/>
    <w:rsid w:val="0084410C"/>
    <w:rsid w:val="00851E2B"/>
    <w:rsid w:val="0085780E"/>
    <w:rsid w:val="008618BE"/>
    <w:rsid w:val="00861DA4"/>
    <w:rsid w:val="00861DF9"/>
    <w:rsid w:val="00862D6B"/>
    <w:rsid w:val="0086399B"/>
    <w:rsid w:val="00863BD5"/>
    <w:rsid w:val="00863CD4"/>
    <w:rsid w:val="00864EB7"/>
    <w:rsid w:val="0086657E"/>
    <w:rsid w:val="00867F55"/>
    <w:rsid w:val="008733E6"/>
    <w:rsid w:val="00873D8A"/>
    <w:rsid w:val="00874177"/>
    <w:rsid w:val="00874953"/>
    <w:rsid w:val="00891035"/>
    <w:rsid w:val="008927B5"/>
    <w:rsid w:val="00892EA3"/>
    <w:rsid w:val="00894816"/>
    <w:rsid w:val="008A28F8"/>
    <w:rsid w:val="008A63E2"/>
    <w:rsid w:val="008B3879"/>
    <w:rsid w:val="008B445B"/>
    <w:rsid w:val="008B455C"/>
    <w:rsid w:val="008B6587"/>
    <w:rsid w:val="008B6F28"/>
    <w:rsid w:val="008C17E6"/>
    <w:rsid w:val="008C36F2"/>
    <w:rsid w:val="008C666D"/>
    <w:rsid w:val="008C7936"/>
    <w:rsid w:val="008D0326"/>
    <w:rsid w:val="008D0D31"/>
    <w:rsid w:val="008D6CA9"/>
    <w:rsid w:val="008D6E2C"/>
    <w:rsid w:val="008D7DC6"/>
    <w:rsid w:val="008E09C6"/>
    <w:rsid w:val="008E0B49"/>
    <w:rsid w:val="008E0E89"/>
    <w:rsid w:val="008E10FA"/>
    <w:rsid w:val="008E450B"/>
    <w:rsid w:val="008E4FD6"/>
    <w:rsid w:val="008E508E"/>
    <w:rsid w:val="008E5C99"/>
    <w:rsid w:val="008E6160"/>
    <w:rsid w:val="008F4EF2"/>
    <w:rsid w:val="008F7234"/>
    <w:rsid w:val="008F7C99"/>
    <w:rsid w:val="008F7E53"/>
    <w:rsid w:val="009001C9"/>
    <w:rsid w:val="00906FD4"/>
    <w:rsid w:val="009101FF"/>
    <w:rsid w:val="00910A53"/>
    <w:rsid w:val="00917283"/>
    <w:rsid w:val="0092068A"/>
    <w:rsid w:val="00921285"/>
    <w:rsid w:val="009252B2"/>
    <w:rsid w:val="009310EE"/>
    <w:rsid w:val="00931128"/>
    <w:rsid w:val="00933485"/>
    <w:rsid w:val="0094142D"/>
    <w:rsid w:val="00943CC8"/>
    <w:rsid w:val="00943E53"/>
    <w:rsid w:val="009445CA"/>
    <w:rsid w:val="00944A1C"/>
    <w:rsid w:val="00960580"/>
    <w:rsid w:val="009612E2"/>
    <w:rsid w:val="00962EE7"/>
    <w:rsid w:val="00965683"/>
    <w:rsid w:val="00966C36"/>
    <w:rsid w:val="00970027"/>
    <w:rsid w:val="009760CB"/>
    <w:rsid w:val="0098164C"/>
    <w:rsid w:val="00986C84"/>
    <w:rsid w:val="009901A1"/>
    <w:rsid w:val="0099239B"/>
    <w:rsid w:val="009A078E"/>
    <w:rsid w:val="009A5AF8"/>
    <w:rsid w:val="009A6CC7"/>
    <w:rsid w:val="009B446B"/>
    <w:rsid w:val="009C05E9"/>
    <w:rsid w:val="009C27D2"/>
    <w:rsid w:val="009C3132"/>
    <w:rsid w:val="009C4526"/>
    <w:rsid w:val="009C5EB5"/>
    <w:rsid w:val="009D227B"/>
    <w:rsid w:val="009D2B67"/>
    <w:rsid w:val="009D47A5"/>
    <w:rsid w:val="009D69B6"/>
    <w:rsid w:val="009E6876"/>
    <w:rsid w:val="009F38D7"/>
    <w:rsid w:val="009F579E"/>
    <w:rsid w:val="009F6130"/>
    <w:rsid w:val="00A00793"/>
    <w:rsid w:val="00A01E52"/>
    <w:rsid w:val="00A02454"/>
    <w:rsid w:val="00A04076"/>
    <w:rsid w:val="00A10010"/>
    <w:rsid w:val="00A10E1F"/>
    <w:rsid w:val="00A114B1"/>
    <w:rsid w:val="00A128E0"/>
    <w:rsid w:val="00A15866"/>
    <w:rsid w:val="00A16D50"/>
    <w:rsid w:val="00A23CCA"/>
    <w:rsid w:val="00A248FB"/>
    <w:rsid w:val="00A2609D"/>
    <w:rsid w:val="00A2772F"/>
    <w:rsid w:val="00A323BA"/>
    <w:rsid w:val="00A334E4"/>
    <w:rsid w:val="00A33661"/>
    <w:rsid w:val="00A33DF5"/>
    <w:rsid w:val="00A34BFE"/>
    <w:rsid w:val="00A35D13"/>
    <w:rsid w:val="00A40462"/>
    <w:rsid w:val="00A4355E"/>
    <w:rsid w:val="00A469B4"/>
    <w:rsid w:val="00A46AA1"/>
    <w:rsid w:val="00A511AD"/>
    <w:rsid w:val="00A52673"/>
    <w:rsid w:val="00A53FCA"/>
    <w:rsid w:val="00A55F7C"/>
    <w:rsid w:val="00A6043D"/>
    <w:rsid w:val="00A61659"/>
    <w:rsid w:val="00A61835"/>
    <w:rsid w:val="00A64AC5"/>
    <w:rsid w:val="00A66D0F"/>
    <w:rsid w:val="00A70C75"/>
    <w:rsid w:val="00A733A2"/>
    <w:rsid w:val="00A7499F"/>
    <w:rsid w:val="00A801E7"/>
    <w:rsid w:val="00A806BC"/>
    <w:rsid w:val="00A80E4E"/>
    <w:rsid w:val="00A831C5"/>
    <w:rsid w:val="00A848BA"/>
    <w:rsid w:val="00A86E3D"/>
    <w:rsid w:val="00A8723B"/>
    <w:rsid w:val="00A90619"/>
    <w:rsid w:val="00A914E9"/>
    <w:rsid w:val="00A93EC0"/>
    <w:rsid w:val="00A94A48"/>
    <w:rsid w:val="00A96447"/>
    <w:rsid w:val="00AA5D4F"/>
    <w:rsid w:val="00AA70E2"/>
    <w:rsid w:val="00AB30CF"/>
    <w:rsid w:val="00AB40A9"/>
    <w:rsid w:val="00AB5B23"/>
    <w:rsid w:val="00AC1113"/>
    <w:rsid w:val="00AC1F4C"/>
    <w:rsid w:val="00AC2A13"/>
    <w:rsid w:val="00AC3C83"/>
    <w:rsid w:val="00AC6067"/>
    <w:rsid w:val="00AC6745"/>
    <w:rsid w:val="00AC6E5D"/>
    <w:rsid w:val="00AD40B2"/>
    <w:rsid w:val="00AE190C"/>
    <w:rsid w:val="00AE20FB"/>
    <w:rsid w:val="00AE290D"/>
    <w:rsid w:val="00AE3923"/>
    <w:rsid w:val="00AF4238"/>
    <w:rsid w:val="00AF5FC0"/>
    <w:rsid w:val="00AF63EA"/>
    <w:rsid w:val="00B010E8"/>
    <w:rsid w:val="00B16875"/>
    <w:rsid w:val="00B20A48"/>
    <w:rsid w:val="00B219F2"/>
    <w:rsid w:val="00B23445"/>
    <w:rsid w:val="00B32996"/>
    <w:rsid w:val="00B33E15"/>
    <w:rsid w:val="00B37A46"/>
    <w:rsid w:val="00B406E2"/>
    <w:rsid w:val="00B40E5D"/>
    <w:rsid w:val="00B41507"/>
    <w:rsid w:val="00B428F4"/>
    <w:rsid w:val="00B44FB1"/>
    <w:rsid w:val="00B46636"/>
    <w:rsid w:val="00B507B0"/>
    <w:rsid w:val="00B50814"/>
    <w:rsid w:val="00B50BB3"/>
    <w:rsid w:val="00B5162C"/>
    <w:rsid w:val="00B524A4"/>
    <w:rsid w:val="00B55DDC"/>
    <w:rsid w:val="00B6253F"/>
    <w:rsid w:val="00B664DB"/>
    <w:rsid w:val="00B66DDD"/>
    <w:rsid w:val="00B67B97"/>
    <w:rsid w:val="00B7377B"/>
    <w:rsid w:val="00B77E42"/>
    <w:rsid w:val="00B77F04"/>
    <w:rsid w:val="00B81FED"/>
    <w:rsid w:val="00B845F6"/>
    <w:rsid w:val="00B85EE4"/>
    <w:rsid w:val="00B91AD9"/>
    <w:rsid w:val="00B93A4F"/>
    <w:rsid w:val="00B946B2"/>
    <w:rsid w:val="00B94FFF"/>
    <w:rsid w:val="00B97032"/>
    <w:rsid w:val="00BA10AD"/>
    <w:rsid w:val="00BA1C5C"/>
    <w:rsid w:val="00BA3DE1"/>
    <w:rsid w:val="00BA45E7"/>
    <w:rsid w:val="00BA4C2A"/>
    <w:rsid w:val="00BA5695"/>
    <w:rsid w:val="00BA6874"/>
    <w:rsid w:val="00BB036D"/>
    <w:rsid w:val="00BB1AB4"/>
    <w:rsid w:val="00BB1FC4"/>
    <w:rsid w:val="00BB4907"/>
    <w:rsid w:val="00BB6201"/>
    <w:rsid w:val="00BB70B3"/>
    <w:rsid w:val="00BB7D46"/>
    <w:rsid w:val="00BC1B4F"/>
    <w:rsid w:val="00BC1FD7"/>
    <w:rsid w:val="00BC360E"/>
    <w:rsid w:val="00BC6CA5"/>
    <w:rsid w:val="00BC7989"/>
    <w:rsid w:val="00BD11FD"/>
    <w:rsid w:val="00BD25A0"/>
    <w:rsid w:val="00BD3085"/>
    <w:rsid w:val="00BD6511"/>
    <w:rsid w:val="00BD76C8"/>
    <w:rsid w:val="00BD7A50"/>
    <w:rsid w:val="00BE36AA"/>
    <w:rsid w:val="00BE55BE"/>
    <w:rsid w:val="00BE5FCB"/>
    <w:rsid w:val="00BE723C"/>
    <w:rsid w:val="00BF03CF"/>
    <w:rsid w:val="00BF28AB"/>
    <w:rsid w:val="00C01EA5"/>
    <w:rsid w:val="00C03561"/>
    <w:rsid w:val="00C0376D"/>
    <w:rsid w:val="00C03919"/>
    <w:rsid w:val="00C04B60"/>
    <w:rsid w:val="00C0572F"/>
    <w:rsid w:val="00C12C25"/>
    <w:rsid w:val="00C13DF0"/>
    <w:rsid w:val="00C14193"/>
    <w:rsid w:val="00C14FBB"/>
    <w:rsid w:val="00C17738"/>
    <w:rsid w:val="00C17AD8"/>
    <w:rsid w:val="00C2330B"/>
    <w:rsid w:val="00C23A79"/>
    <w:rsid w:val="00C23DE7"/>
    <w:rsid w:val="00C26323"/>
    <w:rsid w:val="00C26846"/>
    <w:rsid w:val="00C3036A"/>
    <w:rsid w:val="00C3358D"/>
    <w:rsid w:val="00C378D0"/>
    <w:rsid w:val="00C37FDB"/>
    <w:rsid w:val="00C40364"/>
    <w:rsid w:val="00C4390C"/>
    <w:rsid w:val="00C44AC9"/>
    <w:rsid w:val="00C459A4"/>
    <w:rsid w:val="00C45F56"/>
    <w:rsid w:val="00C518D5"/>
    <w:rsid w:val="00C61317"/>
    <w:rsid w:val="00C63894"/>
    <w:rsid w:val="00C655E8"/>
    <w:rsid w:val="00C7117A"/>
    <w:rsid w:val="00C74183"/>
    <w:rsid w:val="00C7758C"/>
    <w:rsid w:val="00C800CB"/>
    <w:rsid w:val="00C803A5"/>
    <w:rsid w:val="00C82C14"/>
    <w:rsid w:val="00C849E6"/>
    <w:rsid w:val="00C85078"/>
    <w:rsid w:val="00C862F8"/>
    <w:rsid w:val="00C908DB"/>
    <w:rsid w:val="00C931B6"/>
    <w:rsid w:val="00C93396"/>
    <w:rsid w:val="00C93B23"/>
    <w:rsid w:val="00C95BC1"/>
    <w:rsid w:val="00CA0FA9"/>
    <w:rsid w:val="00CA1D85"/>
    <w:rsid w:val="00CA262F"/>
    <w:rsid w:val="00CA57BA"/>
    <w:rsid w:val="00CB3742"/>
    <w:rsid w:val="00CB54CC"/>
    <w:rsid w:val="00CB7EF0"/>
    <w:rsid w:val="00CC069F"/>
    <w:rsid w:val="00CC4470"/>
    <w:rsid w:val="00CC4851"/>
    <w:rsid w:val="00CD4ED5"/>
    <w:rsid w:val="00CD53CA"/>
    <w:rsid w:val="00CD6F47"/>
    <w:rsid w:val="00CD7291"/>
    <w:rsid w:val="00CE02D2"/>
    <w:rsid w:val="00CE1628"/>
    <w:rsid w:val="00CE2D65"/>
    <w:rsid w:val="00CE3AFA"/>
    <w:rsid w:val="00CF2BAB"/>
    <w:rsid w:val="00CF54D1"/>
    <w:rsid w:val="00CF7FBE"/>
    <w:rsid w:val="00D010F1"/>
    <w:rsid w:val="00D01109"/>
    <w:rsid w:val="00D02CF4"/>
    <w:rsid w:val="00D06971"/>
    <w:rsid w:val="00D06B34"/>
    <w:rsid w:val="00D07E03"/>
    <w:rsid w:val="00D13BDB"/>
    <w:rsid w:val="00D2288B"/>
    <w:rsid w:val="00D27A8A"/>
    <w:rsid w:val="00D30F60"/>
    <w:rsid w:val="00D354FD"/>
    <w:rsid w:val="00D3570E"/>
    <w:rsid w:val="00D41A38"/>
    <w:rsid w:val="00D41CF8"/>
    <w:rsid w:val="00D422B1"/>
    <w:rsid w:val="00D45250"/>
    <w:rsid w:val="00D45488"/>
    <w:rsid w:val="00D467C6"/>
    <w:rsid w:val="00D57B37"/>
    <w:rsid w:val="00D61F4B"/>
    <w:rsid w:val="00D654B3"/>
    <w:rsid w:val="00D65923"/>
    <w:rsid w:val="00D65D16"/>
    <w:rsid w:val="00D66AFA"/>
    <w:rsid w:val="00D74CB8"/>
    <w:rsid w:val="00D761B6"/>
    <w:rsid w:val="00D76D1C"/>
    <w:rsid w:val="00D76DB8"/>
    <w:rsid w:val="00D838A7"/>
    <w:rsid w:val="00D85A3F"/>
    <w:rsid w:val="00D868FB"/>
    <w:rsid w:val="00D86C43"/>
    <w:rsid w:val="00D86FEA"/>
    <w:rsid w:val="00D878D4"/>
    <w:rsid w:val="00D94038"/>
    <w:rsid w:val="00DA3335"/>
    <w:rsid w:val="00DA3D69"/>
    <w:rsid w:val="00DA430D"/>
    <w:rsid w:val="00DA5163"/>
    <w:rsid w:val="00DA66D7"/>
    <w:rsid w:val="00DA72B7"/>
    <w:rsid w:val="00DB1053"/>
    <w:rsid w:val="00DB192A"/>
    <w:rsid w:val="00DB40BF"/>
    <w:rsid w:val="00DB7463"/>
    <w:rsid w:val="00DC090B"/>
    <w:rsid w:val="00DC297D"/>
    <w:rsid w:val="00DC3243"/>
    <w:rsid w:val="00DC4200"/>
    <w:rsid w:val="00DC5620"/>
    <w:rsid w:val="00DC6EA0"/>
    <w:rsid w:val="00DD020B"/>
    <w:rsid w:val="00DD2547"/>
    <w:rsid w:val="00DD6D12"/>
    <w:rsid w:val="00DD7859"/>
    <w:rsid w:val="00DE1B37"/>
    <w:rsid w:val="00DE608E"/>
    <w:rsid w:val="00DE7C0E"/>
    <w:rsid w:val="00DF08BA"/>
    <w:rsid w:val="00DF0974"/>
    <w:rsid w:val="00DF2688"/>
    <w:rsid w:val="00DF26E1"/>
    <w:rsid w:val="00DF3972"/>
    <w:rsid w:val="00DF39F5"/>
    <w:rsid w:val="00DF4B76"/>
    <w:rsid w:val="00E05C97"/>
    <w:rsid w:val="00E109B6"/>
    <w:rsid w:val="00E11F39"/>
    <w:rsid w:val="00E14394"/>
    <w:rsid w:val="00E14693"/>
    <w:rsid w:val="00E14AE5"/>
    <w:rsid w:val="00E16E1F"/>
    <w:rsid w:val="00E16E9D"/>
    <w:rsid w:val="00E21BA5"/>
    <w:rsid w:val="00E24FEB"/>
    <w:rsid w:val="00E305D1"/>
    <w:rsid w:val="00E31B73"/>
    <w:rsid w:val="00E323A1"/>
    <w:rsid w:val="00E34A6F"/>
    <w:rsid w:val="00E36F96"/>
    <w:rsid w:val="00E41DD8"/>
    <w:rsid w:val="00E47B98"/>
    <w:rsid w:val="00E52929"/>
    <w:rsid w:val="00E52B61"/>
    <w:rsid w:val="00E52BA8"/>
    <w:rsid w:val="00E56F54"/>
    <w:rsid w:val="00E57675"/>
    <w:rsid w:val="00E645B5"/>
    <w:rsid w:val="00E678C5"/>
    <w:rsid w:val="00E73280"/>
    <w:rsid w:val="00E75181"/>
    <w:rsid w:val="00E7573A"/>
    <w:rsid w:val="00E76081"/>
    <w:rsid w:val="00E7797A"/>
    <w:rsid w:val="00E8182E"/>
    <w:rsid w:val="00E82585"/>
    <w:rsid w:val="00E86BB6"/>
    <w:rsid w:val="00E87654"/>
    <w:rsid w:val="00E9039A"/>
    <w:rsid w:val="00E90BC9"/>
    <w:rsid w:val="00E9204D"/>
    <w:rsid w:val="00E922F3"/>
    <w:rsid w:val="00E95158"/>
    <w:rsid w:val="00E96CE7"/>
    <w:rsid w:val="00EA075C"/>
    <w:rsid w:val="00EA12C1"/>
    <w:rsid w:val="00EA1752"/>
    <w:rsid w:val="00EA1EDF"/>
    <w:rsid w:val="00EA59C5"/>
    <w:rsid w:val="00EA5CC6"/>
    <w:rsid w:val="00EA7B48"/>
    <w:rsid w:val="00EB08F3"/>
    <w:rsid w:val="00EB0E90"/>
    <w:rsid w:val="00EB2F3A"/>
    <w:rsid w:val="00EB5786"/>
    <w:rsid w:val="00EB641A"/>
    <w:rsid w:val="00EB6518"/>
    <w:rsid w:val="00EB7303"/>
    <w:rsid w:val="00EC1213"/>
    <w:rsid w:val="00EC1C81"/>
    <w:rsid w:val="00EC6DA3"/>
    <w:rsid w:val="00ED0A26"/>
    <w:rsid w:val="00ED13BB"/>
    <w:rsid w:val="00ED6AF6"/>
    <w:rsid w:val="00ED7A75"/>
    <w:rsid w:val="00EE2926"/>
    <w:rsid w:val="00EF0B42"/>
    <w:rsid w:val="00EF0F65"/>
    <w:rsid w:val="00EF2B87"/>
    <w:rsid w:val="00EF49DF"/>
    <w:rsid w:val="00EF5386"/>
    <w:rsid w:val="00EF6B54"/>
    <w:rsid w:val="00EF6D7D"/>
    <w:rsid w:val="00EF7458"/>
    <w:rsid w:val="00EF7BB1"/>
    <w:rsid w:val="00F06B97"/>
    <w:rsid w:val="00F12CBF"/>
    <w:rsid w:val="00F1611B"/>
    <w:rsid w:val="00F17004"/>
    <w:rsid w:val="00F17080"/>
    <w:rsid w:val="00F205AD"/>
    <w:rsid w:val="00F21839"/>
    <w:rsid w:val="00F2639D"/>
    <w:rsid w:val="00F2792A"/>
    <w:rsid w:val="00F27D7F"/>
    <w:rsid w:val="00F27E5E"/>
    <w:rsid w:val="00F30562"/>
    <w:rsid w:val="00F31764"/>
    <w:rsid w:val="00F31BDE"/>
    <w:rsid w:val="00F328CD"/>
    <w:rsid w:val="00F3411A"/>
    <w:rsid w:val="00F35726"/>
    <w:rsid w:val="00F357DD"/>
    <w:rsid w:val="00F35B71"/>
    <w:rsid w:val="00F42A12"/>
    <w:rsid w:val="00F556B2"/>
    <w:rsid w:val="00F606DA"/>
    <w:rsid w:val="00F650AC"/>
    <w:rsid w:val="00F6612B"/>
    <w:rsid w:val="00F668A8"/>
    <w:rsid w:val="00F67901"/>
    <w:rsid w:val="00F73AC5"/>
    <w:rsid w:val="00F7580A"/>
    <w:rsid w:val="00F768B3"/>
    <w:rsid w:val="00F76C9B"/>
    <w:rsid w:val="00F8113E"/>
    <w:rsid w:val="00F81937"/>
    <w:rsid w:val="00F8272E"/>
    <w:rsid w:val="00F83DE6"/>
    <w:rsid w:val="00F8480C"/>
    <w:rsid w:val="00F85392"/>
    <w:rsid w:val="00F863BA"/>
    <w:rsid w:val="00F866E9"/>
    <w:rsid w:val="00F86FB9"/>
    <w:rsid w:val="00F872F3"/>
    <w:rsid w:val="00F9451C"/>
    <w:rsid w:val="00F9542E"/>
    <w:rsid w:val="00F95F05"/>
    <w:rsid w:val="00F9732A"/>
    <w:rsid w:val="00FA2D82"/>
    <w:rsid w:val="00FA766D"/>
    <w:rsid w:val="00FA7693"/>
    <w:rsid w:val="00FB12D4"/>
    <w:rsid w:val="00FB13F3"/>
    <w:rsid w:val="00FB6200"/>
    <w:rsid w:val="00FC0796"/>
    <w:rsid w:val="00FC23D6"/>
    <w:rsid w:val="00FC4468"/>
    <w:rsid w:val="00FC53AC"/>
    <w:rsid w:val="00FD73AA"/>
    <w:rsid w:val="00FE3E04"/>
    <w:rsid w:val="00FE4179"/>
    <w:rsid w:val="00FE558E"/>
    <w:rsid w:val="00FE67CF"/>
    <w:rsid w:val="00FF021A"/>
    <w:rsid w:val="00FF0E78"/>
    <w:rsid w:val="00FF31A7"/>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paragraph" w:styleId="ListParagraph">
    <w:name w:val="List Paragraph"/>
    <w:basedOn w:val="Normal"/>
    <w:uiPriority w:val="34"/>
    <w:qFormat/>
    <w:rsid w:val="00DC4200"/>
    <w:pPr>
      <w:ind w:left="720"/>
      <w:contextualSpacing/>
    </w:pPr>
  </w:style>
  <w:style w:type="paragraph" w:styleId="BalloonText">
    <w:name w:val="Balloon Text"/>
    <w:basedOn w:val="Normal"/>
    <w:link w:val="BalloonTextChar"/>
    <w:rsid w:val="00B20A48"/>
    <w:rPr>
      <w:rFonts w:ascii="Tahoma" w:hAnsi="Tahoma" w:cs="Tahoma"/>
      <w:sz w:val="16"/>
      <w:szCs w:val="16"/>
    </w:rPr>
  </w:style>
  <w:style w:type="character" w:customStyle="1" w:styleId="BalloonTextChar">
    <w:name w:val="Balloon Text Char"/>
    <w:basedOn w:val="DefaultParagraphFont"/>
    <w:link w:val="BalloonText"/>
    <w:rsid w:val="00B20A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paragraph" w:styleId="ListParagraph">
    <w:name w:val="List Paragraph"/>
    <w:basedOn w:val="Normal"/>
    <w:uiPriority w:val="34"/>
    <w:qFormat/>
    <w:rsid w:val="00DC4200"/>
    <w:pPr>
      <w:ind w:left="720"/>
      <w:contextualSpacing/>
    </w:pPr>
  </w:style>
  <w:style w:type="paragraph" w:styleId="BalloonText">
    <w:name w:val="Balloon Text"/>
    <w:basedOn w:val="Normal"/>
    <w:link w:val="BalloonTextChar"/>
    <w:rsid w:val="00B20A48"/>
    <w:rPr>
      <w:rFonts w:ascii="Tahoma" w:hAnsi="Tahoma" w:cs="Tahoma"/>
      <w:sz w:val="16"/>
      <w:szCs w:val="16"/>
    </w:rPr>
  </w:style>
  <w:style w:type="character" w:customStyle="1" w:styleId="BalloonTextChar">
    <w:name w:val="Balloon Text Char"/>
    <w:basedOn w:val="DefaultParagraphFont"/>
    <w:link w:val="BalloonText"/>
    <w:rsid w:val="00B20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F382-FA9A-4B3B-97F2-4A73943E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9</cp:revision>
  <cp:lastPrinted>2012-12-14T19:35:00Z</cp:lastPrinted>
  <dcterms:created xsi:type="dcterms:W3CDTF">2012-12-05T16:27:00Z</dcterms:created>
  <dcterms:modified xsi:type="dcterms:W3CDTF">2012-12-14T19:37:00Z</dcterms:modified>
</cp:coreProperties>
</file>