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E004CC" w:rsidRDefault="00E004CC" w:rsidP="00E004CC">
      <w:pPr>
        <w:jc w:val="center"/>
        <w:rPr>
          <w:sz w:val="21"/>
          <w:szCs w:val="21"/>
        </w:rPr>
      </w:pPr>
      <w:r>
        <w:rPr>
          <w:sz w:val="21"/>
          <w:szCs w:val="21"/>
        </w:rPr>
        <w:lastRenderedPageBreak/>
        <w:t>January 10, 2013</w:t>
      </w:r>
    </w:p>
    <w:p w:rsidR="00F00F7F" w:rsidRDefault="00130671" w:rsidP="00B95A27">
      <w:pPr>
        <w:jc w:val="right"/>
        <w:rPr>
          <w:sz w:val="21"/>
          <w:szCs w:val="21"/>
        </w:rPr>
      </w:pPr>
      <w:r>
        <w:rPr>
          <w:sz w:val="21"/>
          <w:szCs w:val="21"/>
        </w:rPr>
        <w:t xml:space="preserve">Docket No. </w:t>
      </w:r>
      <w:r w:rsidR="0043103D">
        <w:rPr>
          <w:sz w:val="21"/>
          <w:szCs w:val="21"/>
        </w:rPr>
        <w:t>R-</w:t>
      </w:r>
      <w:r w:rsidR="00AE7A51">
        <w:rPr>
          <w:sz w:val="21"/>
          <w:szCs w:val="21"/>
        </w:rPr>
        <w:t>00973953</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B45AC9" w:rsidRDefault="00AE7A51" w:rsidP="00B45673">
      <w:pPr>
        <w:rPr>
          <w:sz w:val="21"/>
          <w:szCs w:val="21"/>
        </w:rPr>
      </w:pPr>
      <w:r>
        <w:rPr>
          <w:sz w:val="21"/>
          <w:szCs w:val="21"/>
        </w:rPr>
        <w:t>RICHARD SCHLESINGER</w:t>
      </w:r>
    </w:p>
    <w:p w:rsidR="00AE7A51" w:rsidRDefault="00AE7A51" w:rsidP="00B45673">
      <w:pPr>
        <w:rPr>
          <w:sz w:val="21"/>
          <w:szCs w:val="21"/>
        </w:rPr>
      </w:pPr>
      <w:r>
        <w:rPr>
          <w:sz w:val="21"/>
          <w:szCs w:val="21"/>
        </w:rPr>
        <w:t>PECO</w:t>
      </w:r>
    </w:p>
    <w:p w:rsidR="00AE7A51" w:rsidRDefault="00AE7A51" w:rsidP="00B45673">
      <w:pPr>
        <w:rPr>
          <w:sz w:val="21"/>
          <w:szCs w:val="21"/>
        </w:rPr>
      </w:pPr>
      <w:r>
        <w:rPr>
          <w:sz w:val="21"/>
          <w:szCs w:val="21"/>
        </w:rPr>
        <w:t>2301 MARKET STREET S15</w:t>
      </w:r>
    </w:p>
    <w:p w:rsidR="00AE7A51" w:rsidRPr="00AB60E6" w:rsidRDefault="00AE7A51" w:rsidP="00B45673">
      <w:pPr>
        <w:rPr>
          <w:sz w:val="21"/>
          <w:szCs w:val="21"/>
        </w:rPr>
      </w:pPr>
      <w:r>
        <w:rPr>
          <w:sz w:val="21"/>
          <w:szCs w:val="21"/>
        </w:rPr>
        <w:t>PHILADELPHIA PA  19103</w:t>
      </w:r>
      <w:r>
        <w:rPr>
          <w:sz w:val="21"/>
          <w:szCs w:val="21"/>
        </w:rPr>
        <w:tab/>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40206C">
        <w:rPr>
          <w:sz w:val="21"/>
          <w:szCs w:val="21"/>
        </w:rPr>
        <w:t xml:space="preserve">Revised Supplement No. 62 to Tariff Electric Pa. P.U.C. No. 4 - </w:t>
      </w:r>
      <w:r w:rsidR="00AE7A51">
        <w:rPr>
          <w:sz w:val="21"/>
          <w:szCs w:val="21"/>
        </w:rPr>
        <w:t xml:space="preserve">Docket No. R-00973953 </w:t>
      </w:r>
      <w:r w:rsidR="0040206C">
        <w:rPr>
          <w:sz w:val="21"/>
          <w:szCs w:val="21"/>
        </w:rPr>
        <w:softHyphen/>
      </w:r>
      <w:r w:rsidR="0040206C">
        <w:rPr>
          <w:sz w:val="21"/>
          <w:szCs w:val="21"/>
        </w:rPr>
        <w:softHyphen/>
        <w:t>-</w:t>
      </w:r>
      <w:r w:rsidR="00AE7A51">
        <w:rPr>
          <w:sz w:val="21"/>
          <w:szCs w:val="21"/>
        </w:rPr>
        <w:t xml:space="preserve"> PECO Energy Company </w:t>
      </w:r>
      <w:r w:rsidR="0040206C">
        <w:rPr>
          <w:sz w:val="21"/>
          <w:szCs w:val="21"/>
        </w:rPr>
        <w:t>-</w:t>
      </w:r>
      <w:r w:rsidR="00AE7A51">
        <w:rPr>
          <w:sz w:val="21"/>
          <w:szCs w:val="21"/>
        </w:rPr>
        <w:t xml:space="preserve"> Nuclear Decommissioning </w:t>
      </w:r>
      <w:r w:rsidR="0040206C">
        <w:rPr>
          <w:sz w:val="21"/>
          <w:szCs w:val="21"/>
        </w:rPr>
        <w:t xml:space="preserve">Cost Adjustment Clause (NDCA) </w:t>
      </w:r>
    </w:p>
    <w:p w:rsidR="00130671" w:rsidRPr="00873C66" w:rsidRDefault="00130671" w:rsidP="00D16063">
      <w:pPr>
        <w:ind w:left="1080" w:hanging="360"/>
        <w:rPr>
          <w:sz w:val="21"/>
          <w:szCs w:val="21"/>
        </w:rPr>
      </w:pPr>
      <w:r>
        <w:rPr>
          <w:sz w:val="21"/>
          <w:szCs w:val="21"/>
        </w:rPr>
        <w:t xml:space="preserve">      </w:t>
      </w:r>
    </w:p>
    <w:p w:rsidR="005D3D13" w:rsidRDefault="005D3D13" w:rsidP="00B45673">
      <w:pPr>
        <w:rPr>
          <w:sz w:val="21"/>
          <w:szCs w:val="21"/>
        </w:rPr>
      </w:pPr>
    </w:p>
    <w:p w:rsidR="005D3D13" w:rsidRDefault="005D3D13" w:rsidP="00B45673">
      <w:pPr>
        <w:rPr>
          <w:sz w:val="21"/>
          <w:szCs w:val="21"/>
        </w:rPr>
      </w:pPr>
    </w:p>
    <w:p w:rsidR="00B45673" w:rsidRPr="00AB60E6" w:rsidRDefault="00B45673" w:rsidP="00B45673">
      <w:pPr>
        <w:rPr>
          <w:sz w:val="21"/>
          <w:szCs w:val="21"/>
        </w:rPr>
      </w:pPr>
      <w:r w:rsidRPr="00AB60E6">
        <w:rPr>
          <w:sz w:val="21"/>
          <w:szCs w:val="21"/>
        </w:rPr>
        <w:t xml:space="preserve">Dear </w:t>
      </w:r>
      <w:r w:rsidR="005D3D13">
        <w:rPr>
          <w:sz w:val="21"/>
          <w:szCs w:val="21"/>
        </w:rPr>
        <w:t xml:space="preserve">Mr. </w:t>
      </w:r>
      <w:r w:rsidR="00AE7A51">
        <w:rPr>
          <w:sz w:val="21"/>
          <w:szCs w:val="21"/>
        </w:rPr>
        <w:t>Schlesinger</w:t>
      </w:r>
      <w:r w:rsidR="006D5846">
        <w:rPr>
          <w:sz w:val="21"/>
          <w:szCs w:val="21"/>
        </w:rPr>
        <w:t>:</w:t>
      </w:r>
    </w:p>
    <w:p w:rsidR="00B45673" w:rsidRPr="00AB60E6" w:rsidRDefault="00B45673" w:rsidP="00B45673">
      <w:pPr>
        <w:rPr>
          <w:sz w:val="21"/>
          <w:szCs w:val="21"/>
        </w:rPr>
      </w:pPr>
    </w:p>
    <w:p w:rsidR="0040206C" w:rsidRDefault="00B45673" w:rsidP="00DD2FE2">
      <w:pPr>
        <w:rPr>
          <w:sz w:val="21"/>
          <w:szCs w:val="21"/>
        </w:rPr>
      </w:pPr>
      <w:r w:rsidRPr="00AB60E6">
        <w:rPr>
          <w:sz w:val="21"/>
          <w:szCs w:val="21"/>
        </w:rPr>
        <w:tab/>
      </w:r>
      <w:r w:rsidR="00AB60E6" w:rsidRPr="00AB60E6">
        <w:rPr>
          <w:sz w:val="21"/>
          <w:szCs w:val="21"/>
        </w:rPr>
        <w:tab/>
      </w:r>
      <w:r w:rsidR="00AE7A51">
        <w:rPr>
          <w:sz w:val="21"/>
          <w:szCs w:val="21"/>
        </w:rPr>
        <w:t>Pursuant to the Restructuring Settlement at Docket No. R-00973943</w:t>
      </w:r>
      <w:r w:rsidR="004C741D">
        <w:rPr>
          <w:sz w:val="21"/>
          <w:szCs w:val="21"/>
        </w:rPr>
        <w:t>,</w:t>
      </w:r>
      <w:r w:rsidR="00AE7A51">
        <w:rPr>
          <w:sz w:val="21"/>
          <w:szCs w:val="21"/>
        </w:rPr>
        <w:t xml:space="preserve"> on March 30, 2012, PECO Energy Company (PECO) filed an updated Nuclear Decommissioning Cost Adjustment (NDCA) to reflect updated cost studies, fund balances and license extensions.  </w:t>
      </w:r>
      <w:r w:rsidR="004C741D">
        <w:rPr>
          <w:sz w:val="21"/>
          <w:szCs w:val="21"/>
        </w:rPr>
        <w:t>Commission</w:t>
      </w:r>
      <w:r w:rsidR="00AE7A51">
        <w:rPr>
          <w:sz w:val="21"/>
          <w:szCs w:val="21"/>
        </w:rPr>
        <w:t xml:space="preserve"> staff reviewed the NDCA filing and issued a Secretarial Letter on July 23, 2012 directing PECO</w:t>
      </w:r>
      <w:r w:rsidR="005E0496">
        <w:rPr>
          <w:sz w:val="21"/>
          <w:szCs w:val="21"/>
        </w:rPr>
        <w:t xml:space="preserve"> </w:t>
      </w:r>
      <w:r w:rsidR="006861B6">
        <w:rPr>
          <w:sz w:val="21"/>
          <w:szCs w:val="21"/>
        </w:rPr>
        <w:t xml:space="preserve">to file </w:t>
      </w:r>
      <w:r w:rsidR="005E0496">
        <w:rPr>
          <w:sz w:val="21"/>
          <w:szCs w:val="21"/>
        </w:rPr>
        <w:t xml:space="preserve">a </w:t>
      </w:r>
      <w:r w:rsidR="00130671">
        <w:rPr>
          <w:sz w:val="21"/>
          <w:szCs w:val="21"/>
        </w:rPr>
        <w:t xml:space="preserve">tariff supplement </w:t>
      </w:r>
      <w:r w:rsidR="00AE7A51">
        <w:rPr>
          <w:sz w:val="21"/>
          <w:szCs w:val="21"/>
        </w:rPr>
        <w:t>on ten days notice with an effective date of January 1, 2013</w:t>
      </w:r>
      <w:r w:rsidR="00A4155F">
        <w:rPr>
          <w:sz w:val="21"/>
          <w:szCs w:val="21"/>
        </w:rPr>
        <w:t xml:space="preserve">.  </w:t>
      </w:r>
      <w:r w:rsidR="006861B6">
        <w:rPr>
          <w:sz w:val="21"/>
          <w:szCs w:val="21"/>
        </w:rPr>
        <w:t xml:space="preserve">On </w:t>
      </w:r>
      <w:r w:rsidR="00AE7A51">
        <w:rPr>
          <w:sz w:val="21"/>
          <w:szCs w:val="21"/>
        </w:rPr>
        <w:t>December 21, 2012</w:t>
      </w:r>
      <w:r w:rsidR="006861B6">
        <w:rPr>
          <w:sz w:val="21"/>
          <w:szCs w:val="21"/>
        </w:rPr>
        <w:t xml:space="preserve">, </w:t>
      </w:r>
      <w:r w:rsidR="00AE7A51">
        <w:rPr>
          <w:sz w:val="21"/>
          <w:szCs w:val="21"/>
        </w:rPr>
        <w:t>PECO</w:t>
      </w:r>
      <w:r w:rsidR="004F5F75">
        <w:rPr>
          <w:sz w:val="21"/>
          <w:szCs w:val="21"/>
        </w:rPr>
        <w:t xml:space="preserve"> filed </w:t>
      </w:r>
      <w:r w:rsidR="00AE7A51">
        <w:rPr>
          <w:sz w:val="21"/>
          <w:szCs w:val="21"/>
        </w:rPr>
        <w:t>Supplement No. 62 to Tariff Electric Pa. P.U.C. No. 4</w:t>
      </w:r>
      <w:r w:rsidR="0040206C">
        <w:rPr>
          <w:sz w:val="21"/>
          <w:szCs w:val="21"/>
        </w:rPr>
        <w:t>, which was approved by Secretarial Letter dated December 31, 2012</w:t>
      </w:r>
      <w:r w:rsidR="00E8069B">
        <w:rPr>
          <w:sz w:val="21"/>
          <w:szCs w:val="21"/>
        </w:rPr>
        <w:t>.</w:t>
      </w:r>
    </w:p>
    <w:p w:rsidR="0040206C" w:rsidRDefault="0040206C" w:rsidP="00DD2FE2">
      <w:pPr>
        <w:rPr>
          <w:sz w:val="21"/>
          <w:szCs w:val="21"/>
        </w:rPr>
      </w:pPr>
    </w:p>
    <w:p w:rsidR="00E8069B" w:rsidRDefault="0040206C" w:rsidP="00DD2FE2">
      <w:pPr>
        <w:rPr>
          <w:sz w:val="21"/>
          <w:szCs w:val="21"/>
        </w:rPr>
      </w:pPr>
      <w:r>
        <w:rPr>
          <w:sz w:val="21"/>
          <w:szCs w:val="21"/>
        </w:rPr>
        <w:tab/>
      </w:r>
      <w:r>
        <w:rPr>
          <w:sz w:val="21"/>
          <w:szCs w:val="21"/>
        </w:rPr>
        <w:tab/>
        <w:t>On December 31, 2012, PECO filed replacement pages to Supplement No. 62</w:t>
      </w:r>
      <w:r w:rsidR="002771EF">
        <w:rPr>
          <w:sz w:val="21"/>
          <w:szCs w:val="21"/>
        </w:rPr>
        <w:t xml:space="preserve">.  The replacement pages </w:t>
      </w:r>
      <w:r w:rsidR="006641E8">
        <w:rPr>
          <w:sz w:val="21"/>
          <w:szCs w:val="21"/>
        </w:rPr>
        <w:t>incorporated</w:t>
      </w:r>
      <w:r w:rsidR="002771EF">
        <w:rPr>
          <w:sz w:val="21"/>
          <w:szCs w:val="21"/>
        </w:rPr>
        <w:t xml:space="preserve"> into Supplement 62 the</w:t>
      </w:r>
      <w:r w:rsidR="006641E8">
        <w:rPr>
          <w:sz w:val="21"/>
          <w:szCs w:val="21"/>
        </w:rPr>
        <w:t xml:space="preserve"> changes from Supplement No. 54 at Docket No. M-2012-2322896, issued October 12, 2012 and effective January 1, 2013, and changes from Supplement No. 60 at Docket No. M-2009-2123944</w:t>
      </w:r>
      <w:r w:rsidR="002771EF">
        <w:rPr>
          <w:sz w:val="21"/>
          <w:szCs w:val="21"/>
        </w:rPr>
        <w:t xml:space="preserve">, issued December 14, 2012 and effective January 1, 2013.   </w:t>
      </w:r>
      <w:r w:rsidR="006641E8">
        <w:rPr>
          <w:sz w:val="21"/>
          <w:szCs w:val="21"/>
        </w:rPr>
        <w:t xml:space="preserve"> </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w:t>
      </w:r>
      <w:r w:rsidR="002771EF">
        <w:rPr>
          <w:sz w:val="21"/>
          <w:szCs w:val="21"/>
        </w:rPr>
        <w:t xml:space="preserve">replacement pages </w:t>
      </w:r>
      <w:r w:rsidR="00A4155F">
        <w:rPr>
          <w:sz w:val="21"/>
          <w:szCs w:val="21"/>
        </w:rPr>
        <w:t xml:space="preserve">and found that suspension or further investigation does not appear warranted at this time.  Therefore, in accordance with 52 Pa. Code, </w:t>
      </w:r>
      <w:r w:rsidR="002771EF">
        <w:rPr>
          <w:sz w:val="21"/>
          <w:szCs w:val="21"/>
        </w:rPr>
        <w:t xml:space="preserve">the revised </w:t>
      </w:r>
      <w:r w:rsidR="00AE7A51">
        <w:rPr>
          <w:sz w:val="21"/>
          <w:szCs w:val="21"/>
        </w:rPr>
        <w:t xml:space="preserve">Supplement No. 62 to Tariff Electric Pa. P.U.C. No. 4 </w:t>
      </w:r>
      <w:r w:rsidR="00A4155F">
        <w:rPr>
          <w:sz w:val="21"/>
          <w:szCs w:val="21"/>
        </w:rPr>
        <w:t>is effective by operation of law according to the effective dates contained on each page of the supplement.  However, this is without prejudice to any formal complaints timely filed against said tariff revision.</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t xml:space="preserve">If you have any questions in this matter, please contact </w:t>
      </w:r>
      <w:r w:rsidR="00AE7A51">
        <w:rPr>
          <w:sz w:val="21"/>
          <w:szCs w:val="21"/>
        </w:rPr>
        <w:t>Marissa Boyle</w:t>
      </w:r>
      <w:r>
        <w:rPr>
          <w:sz w:val="21"/>
          <w:szCs w:val="21"/>
        </w:rPr>
        <w:t xml:space="preserve">, Bureau of Technical Utility Services, at </w:t>
      </w:r>
      <w:r w:rsidR="00AE7A51">
        <w:rPr>
          <w:sz w:val="21"/>
          <w:szCs w:val="21"/>
        </w:rPr>
        <w:t>717-787-7237</w:t>
      </w:r>
      <w:r>
        <w:rPr>
          <w:sz w:val="21"/>
          <w:szCs w:val="21"/>
        </w:rPr>
        <w:t xml:space="preserve"> or </w:t>
      </w:r>
      <w:hyperlink r:id="rId9" w:history="1">
        <w:r w:rsidR="00AE7A51" w:rsidRPr="001A6D19">
          <w:rPr>
            <w:rStyle w:val="Hyperlink"/>
            <w:sz w:val="21"/>
            <w:szCs w:val="21"/>
          </w:rPr>
          <w:t>maboyle@pa.gov</w:t>
        </w:r>
      </w:hyperlink>
      <w:r w:rsidR="00C13A42">
        <w:rPr>
          <w:sz w:val="21"/>
          <w:szCs w:val="21"/>
        </w:rPr>
        <w:t>.</w:t>
      </w:r>
    </w:p>
    <w:p w:rsidR="00AE7A51" w:rsidRDefault="00AE7A51" w:rsidP="00757E90">
      <w:pPr>
        <w:ind w:hanging="1080"/>
        <w:rPr>
          <w:sz w:val="21"/>
          <w:szCs w:val="21"/>
        </w:rPr>
      </w:pPr>
    </w:p>
    <w:p w:rsidR="00AE7A51" w:rsidRDefault="00AE7A51" w:rsidP="00757E90">
      <w:pPr>
        <w:ind w:hanging="1080"/>
        <w:rPr>
          <w:sz w:val="21"/>
          <w:szCs w:val="21"/>
        </w:rPr>
      </w:pPr>
    </w:p>
    <w:p w:rsidR="00AE7A51" w:rsidRDefault="00AE7A51" w:rsidP="00757E90">
      <w:pPr>
        <w:ind w:hanging="1080"/>
        <w:rPr>
          <w:sz w:val="21"/>
          <w:szCs w:val="21"/>
        </w:rPr>
      </w:pPr>
    </w:p>
    <w:p w:rsidR="00AE7A51" w:rsidRDefault="00E004CC" w:rsidP="00757E90">
      <w:pPr>
        <w:ind w:hanging="1080"/>
        <w:rPr>
          <w:sz w:val="21"/>
          <w:szCs w:val="21"/>
        </w:rPr>
      </w:pPr>
      <w:r>
        <w:rPr>
          <w:noProof/>
        </w:rPr>
        <w:drawing>
          <wp:anchor distT="0" distB="0" distL="114300" distR="114300" simplePos="0" relativeHeight="251658240" behindDoc="1" locked="0" layoutInCell="1" allowOverlap="1" wp14:anchorId="4DE791C8" wp14:editId="47D0856A">
            <wp:simplePos x="0" y="0"/>
            <wp:positionH relativeFrom="column">
              <wp:posOffset>3053080</wp:posOffset>
            </wp:positionH>
            <wp:positionV relativeFrom="paragraph">
              <wp:posOffset>110490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bookmarkStart w:id="0" w:name="_GoBack"/>
      <w:bookmarkEnd w:id="0"/>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709" w:rsidRDefault="00395709">
      <w:r>
        <w:separator/>
      </w:r>
    </w:p>
  </w:endnote>
  <w:endnote w:type="continuationSeparator" w:id="0">
    <w:p w:rsidR="00395709" w:rsidRDefault="0039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709" w:rsidRDefault="00395709">
      <w:r>
        <w:separator/>
      </w:r>
    </w:p>
  </w:footnote>
  <w:footnote w:type="continuationSeparator" w:id="0">
    <w:p w:rsidR="00395709" w:rsidRDefault="00395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5251"/>
    <w:rsid w:val="00097C11"/>
    <w:rsid w:val="000B058B"/>
    <w:rsid w:val="000C326E"/>
    <w:rsid w:val="000C6967"/>
    <w:rsid w:val="000D2908"/>
    <w:rsid w:val="000D353A"/>
    <w:rsid w:val="000E7F59"/>
    <w:rsid w:val="000F4747"/>
    <w:rsid w:val="00130671"/>
    <w:rsid w:val="001508ED"/>
    <w:rsid w:val="0017227E"/>
    <w:rsid w:val="001878A7"/>
    <w:rsid w:val="00255B27"/>
    <w:rsid w:val="00260FC4"/>
    <w:rsid w:val="002771EF"/>
    <w:rsid w:val="002824E7"/>
    <w:rsid w:val="003461CD"/>
    <w:rsid w:val="00395709"/>
    <w:rsid w:val="003D1F83"/>
    <w:rsid w:val="003D45ED"/>
    <w:rsid w:val="003D613B"/>
    <w:rsid w:val="003F15D5"/>
    <w:rsid w:val="00400D28"/>
    <w:rsid w:val="0040206C"/>
    <w:rsid w:val="0043103D"/>
    <w:rsid w:val="00480B00"/>
    <w:rsid w:val="004C741D"/>
    <w:rsid w:val="004E42FD"/>
    <w:rsid w:val="004F5F75"/>
    <w:rsid w:val="005056CA"/>
    <w:rsid w:val="00512D8A"/>
    <w:rsid w:val="0056517B"/>
    <w:rsid w:val="005C077E"/>
    <w:rsid w:val="005C7262"/>
    <w:rsid w:val="005D3D13"/>
    <w:rsid w:val="005E0496"/>
    <w:rsid w:val="005F0888"/>
    <w:rsid w:val="00610700"/>
    <w:rsid w:val="00612FDC"/>
    <w:rsid w:val="0064012A"/>
    <w:rsid w:val="00652F4C"/>
    <w:rsid w:val="006641E8"/>
    <w:rsid w:val="006861B6"/>
    <w:rsid w:val="006B2538"/>
    <w:rsid w:val="006D3506"/>
    <w:rsid w:val="006D3801"/>
    <w:rsid w:val="006D5846"/>
    <w:rsid w:val="006E681C"/>
    <w:rsid w:val="00727946"/>
    <w:rsid w:val="00735B63"/>
    <w:rsid w:val="00744865"/>
    <w:rsid w:val="00757E90"/>
    <w:rsid w:val="007C2FEA"/>
    <w:rsid w:val="007F5194"/>
    <w:rsid w:val="00826337"/>
    <w:rsid w:val="00873C66"/>
    <w:rsid w:val="008A4C7A"/>
    <w:rsid w:val="008C4062"/>
    <w:rsid w:val="008D31D7"/>
    <w:rsid w:val="00920579"/>
    <w:rsid w:val="00926F9A"/>
    <w:rsid w:val="00946C8F"/>
    <w:rsid w:val="00953D93"/>
    <w:rsid w:val="009963A1"/>
    <w:rsid w:val="009D51DE"/>
    <w:rsid w:val="009E0384"/>
    <w:rsid w:val="00A338C4"/>
    <w:rsid w:val="00A4155F"/>
    <w:rsid w:val="00A51995"/>
    <w:rsid w:val="00AB60E6"/>
    <w:rsid w:val="00AC103C"/>
    <w:rsid w:val="00AC6EFD"/>
    <w:rsid w:val="00AE41F7"/>
    <w:rsid w:val="00AE7A51"/>
    <w:rsid w:val="00B014FE"/>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13A42"/>
    <w:rsid w:val="00CD6821"/>
    <w:rsid w:val="00CE01FD"/>
    <w:rsid w:val="00D10508"/>
    <w:rsid w:val="00D16063"/>
    <w:rsid w:val="00D24FA2"/>
    <w:rsid w:val="00D678BC"/>
    <w:rsid w:val="00DA08E9"/>
    <w:rsid w:val="00DB7619"/>
    <w:rsid w:val="00DD2FE2"/>
    <w:rsid w:val="00DE6D3A"/>
    <w:rsid w:val="00DF3361"/>
    <w:rsid w:val="00E004CC"/>
    <w:rsid w:val="00E079DB"/>
    <w:rsid w:val="00E127CA"/>
    <w:rsid w:val="00E20E7B"/>
    <w:rsid w:val="00E372DE"/>
    <w:rsid w:val="00E605A0"/>
    <w:rsid w:val="00E8069B"/>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5</cp:revision>
  <cp:lastPrinted>2013-01-10T12:17:00Z</cp:lastPrinted>
  <dcterms:created xsi:type="dcterms:W3CDTF">2013-01-09T20:50:00Z</dcterms:created>
  <dcterms:modified xsi:type="dcterms:W3CDTF">2013-01-10T12:17:00Z</dcterms:modified>
</cp:coreProperties>
</file>