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9E7070" w:rsidRDefault="009109C4" w:rsidP="00BF0642">
      <w:pPr>
        <w:jc w:val="center"/>
        <w:outlineLvl w:val="0"/>
        <w:rPr>
          <w:rFonts w:ascii="Times New Roman" w:hAnsi="Times New Roman" w:cs="Times New Roman"/>
          <w:b/>
        </w:rPr>
      </w:pPr>
      <w:r w:rsidRPr="009E7070">
        <w:rPr>
          <w:rFonts w:ascii="Times New Roman" w:hAnsi="Times New Roman" w:cs="Times New Roman"/>
          <w:b/>
        </w:rPr>
        <w:t>BEFORE THE</w:t>
      </w:r>
    </w:p>
    <w:p w:rsidR="009109C4" w:rsidRPr="009E7070" w:rsidRDefault="009109C4" w:rsidP="00BF0642">
      <w:pPr>
        <w:tabs>
          <w:tab w:val="center" w:pos="4680"/>
        </w:tabs>
        <w:suppressAutoHyphens/>
        <w:jc w:val="center"/>
        <w:outlineLvl w:val="0"/>
        <w:rPr>
          <w:rFonts w:ascii="Times New Roman" w:hAnsi="Times New Roman" w:cs="Times New Roman"/>
          <w:b/>
          <w:bCs/>
          <w:spacing w:val="-3"/>
        </w:rPr>
      </w:pPr>
      <w:r w:rsidRPr="009E7070">
        <w:rPr>
          <w:rFonts w:ascii="Times New Roman" w:hAnsi="Times New Roman" w:cs="Times New Roman"/>
          <w:b/>
          <w:bCs/>
          <w:spacing w:val="-3"/>
        </w:rPr>
        <w:t>PENNSYLVANIA PUBLIC UTILITY COMMISSION</w:t>
      </w:r>
    </w:p>
    <w:p w:rsidR="009109C4" w:rsidRPr="009E7070" w:rsidRDefault="009109C4" w:rsidP="00BF0642">
      <w:pPr>
        <w:tabs>
          <w:tab w:val="left" w:pos="-720"/>
        </w:tabs>
        <w:suppressAutoHyphens/>
        <w:rPr>
          <w:rFonts w:ascii="Times New Roman" w:hAnsi="Times New Roman" w:cs="Times New Roman"/>
          <w:spacing w:val="-3"/>
        </w:rPr>
      </w:pPr>
    </w:p>
    <w:p w:rsidR="00BF0642" w:rsidRPr="009E7070" w:rsidRDefault="00BF0642" w:rsidP="00BF0642">
      <w:pPr>
        <w:tabs>
          <w:tab w:val="left" w:pos="-720"/>
        </w:tabs>
        <w:suppressAutoHyphens/>
        <w:rPr>
          <w:rFonts w:ascii="Times New Roman" w:hAnsi="Times New Roman" w:cs="Times New Roman"/>
          <w:spacing w:val="-3"/>
        </w:rPr>
      </w:pPr>
    </w:p>
    <w:p w:rsidR="00BF0642" w:rsidRPr="009E7070" w:rsidRDefault="00BF0642" w:rsidP="00BF0642">
      <w:pPr>
        <w:tabs>
          <w:tab w:val="left" w:pos="-720"/>
        </w:tabs>
        <w:suppressAutoHyphens/>
        <w:rPr>
          <w:rFonts w:ascii="Times New Roman" w:hAnsi="Times New Roman" w:cs="Times New Roman"/>
          <w:spacing w:val="-3"/>
        </w:rPr>
      </w:pPr>
      <w:bookmarkStart w:id="0" w:name="_GoBack"/>
      <w:bookmarkEnd w:id="0"/>
    </w:p>
    <w:p w:rsidR="009109C4" w:rsidRPr="009E7070" w:rsidRDefault="00B911A6" w:rsidP="00BF0642">
      <w:pPr>
        <w:tabs>
          <w:tab w:val="left" w:pos="-720"/>
        </w:tabs>
        <w:suppressAutoHyphens/>
        <w:jc w:val="both"/>
        <w:rPr>
          <w:rFonts w:ascii="Times New Roman" w:hAnsi="Times New Roman" w:cs="Times New Roman"/>
          <w:spacing w:val="-3"/>
        </w:rPr>
      </w:pPr>
      <w:r w:rsidRPr="009E7070">
        <w:rPr>
          <w:rFonts w:ascii="Times New Roman" w:hAnsi="Times New Roman" w:cs="Times New Roman"/>
          <w:spacing w:val="-3"/>
        </w:rPr>
        <w:t xml:space="preserve">Dolores </w:t>
      </w:r>
      <w:proofErr w:type="spellStart"/>
      <w:r w:rsidRPr="009E7070">
        <w:rPr>
          <w:rFonts w:ascii="Times New Roman" w:hAnsi="Times New Roman" w:cs="Times New Roman"/>
          <w:spacing w:val="-3"/>
        </w:rPr>
        <w:t>Sarno</w:t>
      </w:r>
      <w:proofErr w:type="spellEnd"/>
      <w:r w:rsidR="001F558F" w:rsidRPr="009E7070">
        <w:rPr>
          <w:rFonts w:ascii="Times New Roman" w:hAnsi="Times New Roman" w:cs="Times New Roman"/>
          <w:spacing w:val="-3"/>
        </w:rPr>
        <w:tab/>
      </w:r>
      <w:r w:rsidR="001F558F" w:rsidRPr="009E7070">
        <w:rPr>
          <w:rFonts w:ascii="Times New Roman" w:hAnsi="Times New Roman" w:cs="Times New Roman"/>
          <w:spacing w:val="-3"/>
        </w:rPr>
        <w:tab/>
      </w:r>
      <w:r w:rsidR="009109C4" w:rsidRPr="009E7070">
        <w:rPr>
          <w:rFonts w:ascii="Times New Roman" w:hAnsi="Times New Roman" w:cs="Times New Roman"/>
          <w:spacing w:val="-3"/>
        </w:rPr>
        <w:tab/>
      </w:r>
      <w:r w:rsidR="009109C4" w:rsidRPr="009E7070">
        <w:rPr>
          <w:rFonts w:ascii="Times New Roman" w:hAnsi="Times New Roman" w:cs="Times New Roman"/>
          <w:spacing w:val="-3"/>
        </w:rPr>
        <w:tab/>
      </w:r>
      <w:r w:rsidR="009109C4" w:rsidRPr="009E7070">
        <w:rPr>
          <w:rFonts w:ascii="Times New Roman" w:hAnsi="Times New Roman" w:cs="Times New Roman"/>
          <w:spacing w:val="-3"/>
        </w:rPr>
        <w:tab/>
      </w:r>
      <w:r w:rsidR="009E7070">
        <w:rPr>
          <w:rFonts w:ascii="Times New Roman" w:hAnsi="Times New Roman" w:cs="Times New Roman"/>
          <w:spacing w:val="-3"/>
        </w:rPr>
        <w:tab/>
      </w:r>
      <w:r w:rsidR="00836FC1" w:rsidRPr="009E7070">
        <w:rPr>
          <w:rFonts w:ascii="Times New Roman" w:hAnsi="Times New Roman" w:cs="Times New Roman"/>
          <w:spacing w:val="-3"/>
        </w:rPr>
        <w:fldChar w:fldCharType="begin"/>
      </w:r>
      <w:r w:rsidR="009109C4" w:rsidRPr="009E7070">
        <w:rPr>
          <w:rFonts w:ascii="Times New Roman" w:hAnsi="Times New Roman" w:cs="Times New Roman"/>
          <w:spacing w:val="-3"/>
        </w:rPr>
        <w:instrText>fillin "Complainant's name" \d ""</w:instrText>
      </w:r>
      <w:r w:rsidR="00836FC1" w:rsidRPr="009E7070">
        <w:rPr>
          <w:rFonts w:ascii="Times New Roman" w:hAnsi="Times New Roman" w:cs="Times New Roman"/>
          <w:spacing w:val="-3"/>
        </w:rPr>
        <w:fldChar w:fldCharType="end"/>
      </w:r>
      <w:r w:rsidR="009109C4" w:rsidRPr="009E7070">
        <w:rPr>
          <w:rFonts w:ascii="Times New Roman" w:hAnsi="Times New Roman" w:cs="Times New Roman"/>
          <w:spacing w:val="-3"/>
        </w:rPr>
        <w:t>:</w:t>
      </w:r>
    </w:p>
    <w:p w:rsidR="009109C4" w:rsidRPr="009E7070" w:rsidRDefault="001F558F" w:rsidP="00BF0642">
      <w:pPr>
        <w:tabs>
          <w:tab w:val="left" w:pos="-720"/>
        </w:tabs>
        <w:suppressAutoHyphens/>
        <w:jc w:val="both"/>
        <w:rPr>
          <w:rFonts w:ascii="Times New Roman" w:hAnsi="Times New Roman" w:cs="Times New Roman"/>
          <w:spacing w:val="-3"/>
        </w:rPr>
      </w:pP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009E7070">
        <w:rPr>
          <w:rFonts w:ascii="Times New Roman" w:hAnsi="Times New Roman" w:cs="Times New Roman"/>
          <w:spacing w:val="-3"/>
        </w:rPr>
        <w:tab/>
      </w:r>
      <w:r w:rsidR="00C77F56" w:rsidRPr="009E7070">
        <w:rPr>
          <w:rFonts w:ascii="Times New Roman" w:hAnsi="Times New Roman" w:cs="Times New Roman"/>
          <w:spacing w:val="-3"/>
        </w:rPr>
        <w:t>:</w:t>
      </w:r>
      <w:r w:rsidR="009109C4" w:rsidRPr="009E7070">
        <w:rPr>
          <w:rFonts w:ascii="Times New Roman" w:hAnsi="Times New Roman" w:cs="Times New Roman"/>
          <w:spacing w:val="-3"/>
        </w:rPr>
        <w:tab/>
      </w:r>
      <w:r w:rsidR="009109C4" w:rsidRPr="009E7070">
        <w:rPr>
          <w:rFonts w:ascii="Times New Roman" w:hAnsi="Times New Roman" w:cs="Times New Roman"/>
          <w:spacing w:val="-3"/>
        </w:rPr>
        <w:tab/>
      </w:r>
    </w:p>
    <w:p w:rsidR="009109C4" w:rsidRPr="009E7070" w:rsidRDefault="009109C4" w:rsidP="00BF0642">
      <w:pPr>
        <w:tabs>
          <w:tab w:val="left" w:pos="-720"/>
        </w:tabs>
        <w:suppressAutoHyphens/>
        <w:jc w:val="both"/>
        <w:rPr>
          <w:rFonts w:ascii="Times New Roman" w:hAnsi="Times New Roman" w:cs="Times New Roman"/>
          <w:spacing w:val="-3"/>
        </w:rPr>
      </w:pPr>
      <w:r w:rsidRPr="009E7070">
        <w:rPr>
          <w:rFonts w:ascii="Times New Roman" w:hAnsi="Times New Roman" w:cs="Times New Roman"/>
          <w:spacing w:val="-3"/>
        </w:rPr>
        <w:tab/>
        <w:t>v.</w:t>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009E7070">
        <w:rPr>
          <w:rFonts w:ascii="Times New Roman" w:hAnsi="Times New Roman" w:cs="Times New Roman"/>
          <w:spacing w:val="-3"/>
        </w:rPr>
        <w:tab/>
      </w:r>
      <w:r w:rsidRPr="009E7070">
        <w:rPr>
          <w:rFonts w:ascii="Times New Roman" w:hAnsi="Times New Roman" w:cs="Times New Roman"/>
          <w:spacing w:val="-3"/>
        </w:rPr>
        <w:t>:</w:t>
      </w:r>
      <w:r w:rsidRPr="009E7070">
        <w:rPr>
          <w:rFonts w:ascii="Times New Roman" w:hAnsi="Times New Roman" w:cs="Times New Roman"/>
          <w:spacing w:val="-3"/>
        </w:rPr>
        <w:tab/>
      </w:r>
      <w:r w:rsidRPr="009E7070">
        <w:rPr>
          <w:rFonts w:ascii="Times New Roman" w:hAnsi="Times New Roman" w:cs="Times New Roman"/>
          <w:spacing w:val="-3"/>
        </w:rPr>
        <w:tab/>
      </w:r>
      <w:r w:rsidR="00284A7F" w:rsidRPr="009E7070">
        <w:rPr>
          <w:rFonts w:ascii="Times New Roman" w:hAnsi="Times New Roman" w:cs="Times New Roman"/>
          <w:spacing w:val="-3"/>
        </w:rPr>
        <w:t>C-201</w:t>
      </w:r>
      <w:r w:rsidR="00B911A6" w:rsidRPr="009E7070">
        <w:rPr>
          <w:rFonts w:ascii="Times New Roman" w:hAnsi="Times New Roman" w:cs="Times New Roman"/>
          <w:spacing w:val="-3"/>
        </w:rPr>
        <w:t>2</w:t>
      </w:r>
      <w:r w:rsidR="00F25286" w:rsidRPr="009E7070">
        <w:rPr>
          <w:rFonts w:ascii="Times New Roman" w:hAnsi="Times New Roman" w:cs="Times New Roman"/>
          <w:spacing w:val="-3"/>
        </w:rPr>
        <w:t>-</w:t>
      </w:r>
      <w:r w:rsidR="00B911A6" w:rsidRPr="009E7070">
        <w:rPr>
          <w:rFonts w:ascii="Times New Roman" w:hAnsi="Times New Roman" w:cs="Times New Roman"/>
          <w:spacing w:val="-3"/>
        </w:rPr>
        <w:t>2329048</w:t>
      </w:r>
      <w:r w:rsidR="00836FC1" w:rsidRPr="009E7070">
        <w:rPr>
          <w:rFonts w:ascii="Times New Roman" w:hAnsi="Times New Roman" w:cs="Times New Roman"/>
          <w:spacing w:val="-3"/>
        </w:rPr>
        <w:fldChar w:fldCharType="begin"/>
      </w:r>
      <w:r w:rsidRPr="009E7070">
        <w:rPr>
          <w:rFonts w:ascii="Times New Roman" w:hAnsi="Times New Roman" w:cs="Times New Roman"/>
          <w:spacing w:val="-3"/>
        </w:rPr>
        <w:instrText>fillin "Docket No." \d ""</w:instrText>
      </w:r>
      <w:r w:rsidR="00836FC1" w:rsidRPr="009E7070">
        <w:rPr>
          <w:rFonts w:ascii="Times New Roman" w:hAnsi="Times New Roman" w:cs="Times New Roman"/>
          <w:spacing w:val="-3"/>
        </w:rPr>
        <w:fldChar w:fldCharType="end"/>
      </w:r>
    </w:p>
    <w:p w:rsidR="00C02792" w:rsidRPr="009E7070" w:rsidRDefault="009109C4" w:rsidP="00BF0642">
      <w:pPr>
        <w:tabs>
          <w:tab w:val="left" w:pos="-720"/>
        </w:tabs>
        <w:suppressAutoHyphens/>
        <w:jc w:val="both"/>
        <w:rPr>
          <w:rFonts w:ascii="Times New Roman" w:hAnsi="Times New Roman" w:cs="Times New Roman"/>
          <w:spacing w:val="-3"/>
        </w:rPr>
      </w:pP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009E7070">
        <w:rPr>
          <w:rFonts w:ascii="Times New Roman" w:hAnsi="Times New Roman" w:cs="Times New Roman"/>
          <w:spacing w:val="-3"/>
        </w:rPr>
        <w:tab/>
      </w:r>
      <w:r w:rsidRPr="009E7070">
        <w:rPr>
          <w:rFonts w:ascii="Times New Roman" w:hAnsi="Times New Roman" w:cs="Times New Roman"/>
          <w:spacing w:val="-3"/>
        </w:rPr>
        <w:t>:</w:t>
      </w:r>
    </w:p>
    <w:p w:rsidR="00202C5D" w:rsidRPr="009E7070" w:rsidRDefault="00F25286" w:rsidP="00BF0642">
      <w:pPr>
        <w:tabs>
          <w:tab w:val="left" w:pos="-720"/>
        </w:tabs>
        <w:suppressAutoHyphens/>
        <w:jc w:val="both"/>
        <w:rPr>
          <w:rFonts w:ascii="Times New Roman" w:hAnsi="Times New Roman" w:cs="Times New Roman"/>
          <w:spacing w:val="-3"/>
        </w:rPr>
      </w:pPr>
      <w:r w:rsidRPr="009E7070">
        <w:rPr>
          <w:rFonts w:ascii="Times New Roman" w:hAnsi="Times New Roman" w:cs="Times New Roman"/>
          <w:spacing w:val="-3"/>
        </w:rPr>
        <w:t xml:space="preserve">PECO Energy </w:t>
      </w:r>
      <w:r w:rsidR="00FE2899" w:rsidRPr="009E7070">
        <w:rPr>
          <w:rFonts w:ascii="Times New Roman" w:hAnsi="Times New Roman" w:cs="Times New Roman"/>
          <w:spacing w:val="-3"/>
        </w:rPr>
        <w:t>Company</w:t>
      </w:r>
      <w:r w:rsidR="007940A0" w:rsidRPr="009E7070">
        <w:rPr>
          <w:rFonts w:ascii="Times New Roman" w:hAnsi="Times New Roman" w:cs="Times New Roman"/>
          <w:spacing w:val="-3"/>
        </w:rPr>
        <w:tab/>
      </w:r>
      <w:r w:rsidR="009109C4" w:rsidRPr="009E7070">
        <w:rPr>
          <w:rFonts w:ascii="Times New Roman" w:hAnsi="Times New Roman" w:cs="Times New Roman"/>
          <w:spacing w:val="-3"/>
        </w:rPr>
        <w:t xml:space="preserve"> </w:t>
      </w:r>
      <w:r w:rsidR="00C02792" w:rsidRPr="009E7070">
        <w:rPr>
          <w:rFonts w:ascii="Times New Roman" w:hAnsi="Times New Roman" w:cs="Times New Roman"/>
          <w:spacing w:val="-3"/>
        </w:rPr>
        <w:t xml:space="preserve">  </w:t>
      </w:r>
      <w:r w:rsidR="00AB6548" w:rsidRPr="009E7070">
        <w:rPr>
          <w:rFonts w:ascii="Times New Roman" w:hAnsi="Times New Roman" w:cs="Times New Roman"/>
          <w:spacing w:val="-3"/>
        </w:rPr>
        <w:tab/>
      </w:r>
      <w:r w:rsidRPr="009E7070">
        <w:rPr>
          <w:rFonts w:ascii="Times New Roman" w:hAnsi="Times New Roman" w:cs="Times New Roman"/>
          <w:spacing w:val="-3"/>
        </w:rPr>
        <w:tab/>
      </w:r>
      <w:r w:rsidR="009E7070">
        <w:rPr>
          <w:rFonts w:ascii="Times New Roman" w:hAnsi="Times New Roman" w:cs="Times New Roman"/>
          <w:spacing w:val="-3"/>
        </w:rPr>
        <w:tab/>
      </w:r>
      <w:r w:rsidR="009109C4" w:rsidRPr="009E7070">
        <w:rPr>
          <w:rFonts w:ascii="Times New Roman" w:hAnsi="Times New Roman" w:cs="Times New Roman"/>
          <w:spacing w:val="-3"/>
        </w:rPr>
        <w:t>:</w:t>
      </w:r>
    </w:p>
    <w:p w:rsidR="009109C4" w:rsidRPr="009E7070" w:rsidRDefault="009F1692" w:rsidP="00BF0642">
      <w:pPr>
        <w:pStyle w:val="ParaTab1"/>
        <w:ind w:firstLine="0"/>
        <w:rPr>
          <w:rFonts w:ascii="Times New Roman" w:hAnsi="Times New Roman" w:cs="Times New Roman"/>
          <w:spacing w:val="-3"/>
        </w:rPr>
      </w:pPr>
      <w:r w:rsidRPr="009E7070">
        <w:rPr>
          <w:rFonts w:ascii="Times New Roman" w:hAnsi="Times New Roman" w:cs="Times New Roman"/>
        </w:rPr>
        <w:tab/>
      </w:r>
      <w:r w:rsidRPr="009E7070">
        <w:rPr>
          <w:rFonts w:ascii="Times New Roman" w:hAnsi="Times New Roman" w:cs="Times New Roman"/>
        </w:rPr>
        <w:tab/>
      </w:r>
    </w:p>
    <w:p w:rsidR="00CE48BD" w:rsidRPr="009E7070" w:rsidRDefault="00CE48BD" w:rsidP="00BF0642">
      <w:pPr>
        <w:pStyle w:val="ParaTab1"/>
        <w:ind w:firstLine="0"/>
        <w:rPr>
          <w:rFonts w:ascii="Times New Roman" w:hAnsi="Times New Roman" w:cs="Times New Roman"/>
          <w:spacing w:val="-3"/>
        </w:rPr>
      </w:pPr>
    </w:p>
    <w:p w:rsidR="004C23EE" w:rsidRPr="009E7070" w:rsidRDefault="004C23EE" w:rsidP="00BF0642">
      <w:pPr>
        <w:pStyle w:val="ParaTab1"/>
        <w:ind w:firstLine="0"/>
        <w:rPr>
          <w:rFonts w:ascii="Times New Roman" w:hAnsi="Times New Roman" w:cs="Times New Roman"/>
          <w:spacing w:val="-3"/>
        </w:rPr>
      </w:pPr>
    </w:p>
    <w:p w:rsidR="00251BBE" w:rsidRPr="009E7070" w:rsidRDefault="00CE48BD" w:rsidP="00BF0642">
      <w:pPr>
        <w:tabs>
          <w:tab w:val="center" w:pos="4680"/>
        </w:tabs>
        <w:suppressAutoHyphens/>
        <w:jc w:val="center"/>
        <w:rPr>
          <w:rFonts w:ascii="Times New Roman" w:hAnsi="Times New Roman" w:cs="Times New Roman"/>
          <w:b/>
          <w:bCs/>
          <w:spacing w:val="-3"/>
          <w:u w:val="single"/>
        </w:rPr>
      </w:pPr>
      <w:r w:rsidRPr="009E7070">
        <w:rPr>
          <w:rFonts w:ascii="Times New Roman" w:hAnsi="Times New Roman" w:cs="Times New Roman"/>
          <w:b/>
          <w:bCs/>
          <w:spacing w:val="-3"/>
          <w:u w:val="single"/>
        </w:rPr>
        <w:t>INITIAL DECISION SUSTAINING PRELIMINARY OBJECTION</w:t>
      </w:r>
      <w:r w:rsidR="00537DDE" w:rsidRPr="009E7070">
        <w:rPr>
          <w:rFonts w:ascii="Times New Roman" w:hAnsi="Times New Roman" w:cs="Times New Roman"/>
          <w:b/>
          <w:bCs/>
          <w:spacing w:val="-3"/>
          <w:u w:val="single"/>
        </w:rPr>
        <w:t>S</w:t>
      </w:r>
    </w:p>
    <w:p w:rsidR="00CE48BD" w:rsidRPr="009E7070" w:rsidRDefault="00CE48BD" w:rsidP="00BF0642">
      <w:pPr>
        <w:tabs>
          <w:tab w:val="center" w:pos="4680"/>
        </w:tabs>
        <w:suppressAutoHyphens/>
        <w:jc w:val="center"/>
        <w:rPr>
          <w:rFonts w:ascii="Times New Roman" w:hAnsi="Times New Roman" w:cs="Times New Roman"/>
          <w:b/>
          <w:bCs/>
          <w:spacing w:val="-3"/>
          <w:u w:val="single"/>
        </w:rPr>
      </w:pPr>
      <w:r w:rsidRPr="009E7070">
        <w:rPr>
          <w:rFonts w:ascii="Times New Roman" w:hAnsi="Times New Roman" w:cs="Times New Roman"/>
          <w:b/>
          <w:bCs/>
          <w:spacing w:val="-3"/>
          <w:u w:val="single"/>
        </w:rPr>
        <w:t>AND DISMISSING COMPLAINT</w:t>
      </w:r>
    </w:p>
    <w:p w:rsidR="00CE48BD" w:rsidRPr="009E7070" w:rsidRDefault="00CE48BD" w:rsidP="00BF0642">
      <w:pPr>
        <w:tabs>
          <w:tab w:val="center" w:pos="4680"/>
        </w:tabs>
        <w:suppressAutoHyphens/>
        <w:jc w:val="center"/>
        <w:rPr>
          <w:rFonts w:ascii="Times New Roman" w:hAnsi="Times New Roman" w:cs="Times New Roman"/>
          <w:b/>
          <w:bCs/>
          <w:spacing w:val="-3"/>
          <w:u w:val="single"/>
        </w:rPr>
      </w:pPr>
    </w:p>
    <w:p w:rsidR="004C23EE" w:rsidRPr="009E7070" w:rsidRDefault="004C23EE" w:rsidP="00BF0642">
      <w:pPr>
        <w:tabs>
          <w:tab w:val="center" w:pos="4680"/>
        </w:tabs>
        <w:suppressAutoHyphens/>
        <w:jc w:val="center"/>
        <w:rPr>
          <w:rFonts w:ascii="Times New Roman" w:hAnsi="Times New Roman" w:cs="Times New Roman"/>
          <w:b/>
          <w:bCs/>
          <w:spacing w:val="-3"/>
          <w:u w:val="single"/>
        </w:rPr>
      </w:pPr>
    </w:p>
    <w:p w:rsidR="00CE48BD" w:rsidRPr="009E7070" w:rsidRDefault="00CE48BD" w:rsidP="00BF0642">
      <w:pPr>
        <w:tabs>
          <w:tab w:val="center" w:pos="4680"/>
        </w:tabs>
        <w:suppressAutoHyphens/>
        <w:jc w:val="center"/>
        <w:outlineLvl w:val="0"/>
        <w:rPr>
          <w:rFonts w:ascii="Times New Roman" w:hAnsi="Times New Roman" w:cs="Times New Roman"/>
          <w:bCs/>
          <w:spacing w:val="-3"/>
        </w:rPr>
      </w:pPr>
      <w:r w:rsidRPr="009E7070">
        <w:rPr>
          <w:rFonts w:ascii="Times New Roman" w:hAnsi="Times New Roman" w:cs="Times New Roman"/>
          <w:bCs/>
          <w:spacing w:val="-3"/>
        </w:rPr>
        <w:t xml:space="preserve">Before </w:t>
      </w:r>
    </w:p>
    <w:p w:rsidR="00CE48BD" w:rsidRPr="009E7070" w:rsidRDefault="0008356B" w:rsidP="00BF0642">
      <w:pPr>
        <w:tabs>
          <w:tab w:val="center" w:pos="4680"/>
        </w:tabs>
        <w:suppressAutoHyphens/>
        <w:jc w:val="center"/>
        <w:rPr>
          <w:rFonts w:ascii="Times New Roman" w:hAnsi="Times New Roman" w:cs="Times New Roman"/>
          <w:bCs/>
          <w:spacing w:val="-3"/>
        </w:rPr>
      </w:pPr>
      <w:r w:rsidRPr="009E7070">
        <w:rPr>
          <w:rFonts w:ascii="Times New Roman" w:hAnsi="Times New Roman" w:cs="Times New Roman"/>
          <w:bCs/>
          <w:spacing w:val="-3"/>
        </w:rPr>
        <w:t>Elizabeth H. Barnes</w:t>
      </w:r>
    </w:p>
    <w:p w:rsidR="00CE48BD" w:rsidRPr="009E7070" w:rsidRDefault="00CE48BD" w:rsidP="00BF0642">
      <w:pPr>
        <w:tabs>
          <w:tab w:val="center" w:pos="4680"/>
        </w:tabs>
        <w:suppressAutoHyphens/>
        <w:jc w:val="center"/>
        <w:rPr>
          <w:rFonts w:ascii="Times New Roman" w:hAnsi="Times New Roman" w:cs="Times New Roman"/>
          <w:bCs/>
          <w:spacing w:val="-3"/>
        </w:rPr>
      </w:pPr>
      <w:r w:rsidRPr="009E7070">
        <w:rPr>
          <w:rFonts w:ascii="Times New Roman" w:hAnsi="Times New Roman" w:cs="Times New Roman"/>
          <w:bCs/>
          <w:spacing w:val="-3"/>
        </w:rPr>
        <w:t>Administrative Law Judge</w:t>
      </w:r>
    </w:p>
    <w:p w:rsidR="00383F10" w:rsidRPr="009E7070" w:rsidRDefault="00383F10" w:rsidP="00BF0642">
      <w:pPr>
        <w:tabs>
          <w:tab w:val="center" w:pos="4680"/>
        </w:tabs>
        <w:suppressAutoHyphens/>
        <w:jc w:val="center"/>
        <w:rPr>
          <w:rFonts w:ascii="Times New Roman" w:hAnsi="Times New Roman" w:cs="Times New Roman"/>
          <w:bCs/>
          <w:spacing w:val="-3"/>
        </w:rPr>
      </w:pPr>
    </w:p>
    <w:p w:rsidR="004C23EE" w:rsidRPr="009E7070" w:rsidRDefault="004C23EE" w:rsidP="00BF0642">
      <w:pPr>
        <w:tabs>
          <w:tab w:val="center" w:pos="4680"/>
        </w:tabs>
        <w:suppressAutoHyphens/>
        <w:jc w:val="center"/>
        <w:rPr>
          <w:rFonts w:ascii="Times New Roman" w:hAnsi="Times New Roman" w:cs="Times New Roman"/>
          <w:bCs/>
          <w:spacing w:val="-3"/>
        </w:rPr>
      </w:pPr>
    </w:p>
    <w:p w:rsidR="009109C4" w:rsidRPr="009E7070" w:rsidRDefault="009109C4" w:rsidP="00BF0642">
      <w:pPr>
        <w:tabs>
          <w:tab w:val="center" w:pos="4680"/>
        </w:tabs>
        <w:suppressAutoHyphens/>
        <w:jc w:val="center"/>
        <w:outlineLvl w:val="0"/>
        <w:rPr>
          <w:rFonts w:ascii="Times New Roman" w:hAnsi="Times New Roman" w:cs="Times New Roman"/>
          <w:bCs/>
          <w:spacing w:val="-3"/>
          <w:u w:val="single"/>
        </w:rPr>
      </w:pPr>
      <w:r w:rsidRPr="009E7070">
        <w:rPr>
          <w:rFonts w:ascii="Times New Roman" w:hAnsi="Times New Roman" w:cs="Times New Roman"/>
          <w:bCs/>
          <w:spacing w:val="-3"/>
          <w:u w:val="single"/>
        </w:rPr>
        <w:t>HISTORY OF THE PROCEEDING</w:t>
      </w:r>
    </w:p>
    <w:p w:rsidR="009109C4" w:rsidRPr="009E7070" w:rsidRDefault="009109C4" w:rsidP="00BF0642">
      <w:pPr>
        <w:pStyle w:val="ParaTab1"/>
        <w:tabs>
          <w:tab w:val="left" w:pos="2070"/>
        </w:tabs>
        <w:ind w:firstLine="0"/>
        <w:rPr>
          <w:rFonts w:ascii="Times New Roman" w:hAnsi="Times New Roman" w:cs="Times New Roman"/>
        </w:rPr>
      </w:pPr>
    </w:p>
    <w:p w:rsidR="004C23EE" w:rsidRPr="009E7070" w:rsidRDefault="004C23EE" w:rsidP="00BF0642">
      <w:pPr>
        <w:pStyle w:val="ParaTab1"/>
        <w:tabs>
          <w:tab w:val="left" w:pos="2070"/>
        </w:tabs>
        <w:ind w:firstLine="0"/>
        <w:rPr>
          <w:rFonts w:ascii="Times New Roman" w:hAnsi="Times New Roman" w:cs="Times New Roman"/>
        </w:rPr>
      </w:pPr>
    </w:p>
    <w:p w:rsidR="00A44F19" w:rsidRPr="009E7070" w:rsidRDefault="009109C4" w:rsidP="004A6552">
      <w:pPr>
        <w:pStyle w:val="ParaTab1"/>
        <w:spacing w:line="360" w:lineRule="auto"/>
        <w:ind w:firstLine="1354"/>
        <w:rPr>
          <w:rFonts w:ascii="Times New Roman" w:hAnsi="Times New Roman" w:cs="Times New Roman"/>
        </w:rPr>
      </w:pPr>
      <w:r w:rsidRPr="009E7070">
        <w:rPr>
          <w:rFonts w:ascii="Times New Roman" w:hAnsi="Times New Roman" w:cs="Times New Roman"/>
        </w:rPr>
        <w:t>On</w:t>
      </w:r>
      <w:r w:rsidR="007A59A3" w:rsidRPr="009E7070">
        <w:rPr>
          <w:rFonts w:ascii="Times New Roman" w:hAnsi="Times New Roman" w:cs="Times New Roman"/>
        </w:rPr>
        <w:t xml:space="preserve"> </w:t>
      </w:r>
      <w:r w:rsidR="00B911A6" w:rsidRPr="009E7070">
        <w:rPr>
          <w:rFonts w:ascii="Times New Roman" w:hAnsi="Times New Roman" w:cs="Times New Roman"/>
        </w:rPr>
        <w:t>October 12,</w:t>
      </w:r>
      <w:r w:rsidR="003C3847" w:rsidRPr="009E7070">
        <w:rPr>
          <w:rFonts w:ascii="Times New Roman" w:hAnsi="Times New Roman" w:cs="Times New Roman"/>
        </w:rPr>
        <w:t xml:space="preserve"> 2012,</w:t>
      </w:r>
      <w:r w:rsidR="00B911A6" w:rsidRPr="009E7070">
        <w:rPr>
          <w:rFonts w:ascii="Times New Roman" w:hAnsi="Times New Roman" w:cs="Times New Roman"/>
        </w:rPr>
        <w:t xml:space="preserve"> Dolores </w:t>
      </w:r>
      <w:proofErr w:type="spellStart"/>
      <w:r w:rsidR="00CC6674" w:rsidRPr="009E7070">
        <w:rPr>
          <w:rFonts w:ascii="Times New Roman" w:hAnsi="Times New Roman" w:cs="Times New Roman"/>
        </w:rPr>
        <w:t>Sarno</w:t>
      </w:r>
      <w:proofErr w:type="spellEnd"/>
      <w:r w:rsidR="00BD13A5" w:rsidRPr="009E7070">
        <w:rPr>
          <w:rFonts w:ascii="Times New Roman" w:hAnsi="Times New Roman" w:cs="Times New Roman"/>
        </w:rPr>
        <w:t xml:space="preserve"> </w:t>
      </w:r>
      <w:r w:rsidRPr="009E7070">
        <w:rPr>
          <w:rFonts w:ascii="Times New Roman" w:hAnsi="Times New Roman" w:cs="Times New Roman"/>
        </w:rPr>
        <w:t>(Complainant)</w:t>
      </w:r>
      <w:r w:rsidR="006B64B9" w:rsidRPr="009E7070">
        <w:rPr>
          <w:rFonts w:ascii="Times New Roman" w:hAnsi="Times New Roman" w:cs="Times New Roman"/>
        </w:rPr>
        <w:t xml:space="preserve"> </w:t>
      </w:r>
      <w:r w:rsidR="00284A7F" w:rsidRPr="009E7070">
        <w:rPr>
          <w:rFonts w:ascii="Times New Roman" w:hAnsi="Times New Roman" w:cs="Times New Roman"/>
        </w:rPr>
        <w:t>fil</w:t>
      </w:r>
      <w:r w:rsidRPr="009E7070">
        <w:rPr>
          <w:rFonts w:ascii="Times New Roman" w:hAnsi="Times New Roman" w:cs="Times New Roman"/>
        </w:rPr>
        <w:t xml:space="preserve">ed a complaint </w:t>
      </w:r>
      <w:r w:rsidR="001C4FE8" w:rsidRPr="009E7070">
        <w:rPr>
          <w:rFonts w:ascii="Times New Roman" w:hAnsi="Times New Roman" w:cs="Times New Roman"/>
        </w:rPr>
        <w:t xml:space="preserve">with the Pennsylvania Public Utility Commission (Commission) </w:t>
      </w:r>
      <w:r w:rsidRPr="009E7070">
        <w:rPr>
          <w:rFonts w:ascii="Times New Roman" w:hAnsi="Times New Roman" w:cs="Times New Roman"/>
        </w:rPr>
        <w:t>against</w:t>
      </w:r>
      <w:r w:rsidR="00545F92" w:rsidRPr="009E7070">
        <w:rPr>
          <w:rFonts w:ascii="Times New Roman" w:hAnsi="Times New Roman" w:cs="Times New Roman"/>
        </w:rPr>
        <w:t xml:space="preserve"> </w:t>
      </w:r>
      <w:r w:rsidR="002F7F1B" w:rsidRPr="009E7070">
        <w:rPr>
          <w:rFonts w:ascii="Times New Roman" w:hAnsi="Times New Roman" w:cs="Times New Roman"/>
        </w:rPr>
        <w:t>PECO Energy Company</w:t>
      </w:r>
      <w:r w:rsidR="00545F92" w:rsidRPr="009E7070">
        <w:rPr>
          <w:rFonts w:ascii="Times New Roman" w:hAnsi="Times New Roman" w:cs="Times New Roman"/>
        </w:rPr>
        <w:t xml:space="preserve"> (</w:t>
      </w:r>
      <w:r w:rsidR="003C3847" w:rsidRPr="009E7070">
        <w:rPr>
          <w:rFonts w:ascii="Times New Roman" w:hAnsi="Times New Roman" w:cs="Times New Roman"/>
        </w:rPr>
        <w:t xml:space="preserve">PECO or </w:t>
      </w:r>
      <w:r w:rsidR="00545F92" w:rsidRPr="009E7070">
        <w:rPr>
          <w:rFonts w:ascii="Times New Roman" w:hAnsi="Times New Roman" w:cs="Times New Roman"/>
        </w:rPr>
        <w:t>Respondent)</w:t>
      </w:r>
      <w:r w:rsidR="00202C5D" w:rsidRPr="009E7070">
        <w:rPr>
          <w:rFonts w:ascii="Times New Roman" w:hAnsi="Times New Roman" w:cs="Times New Roman"/>
        </w:rPr>
        <w:t xml:space="preserve">.  </w:t>
      </w:r>
      <w:r w:rsidR="00F9581E" w:rsidRPr="009E7070">
        <w:rPr>
          <w:rFonts w:ascii="Times New Roman" w:hAnsi="Times New Roman" w:cs="Times New Roman"/>
        </w:rPr>
        <w:t>C</w:t>
      </w:r>
      <w:r w:rsidR="000119C7" w:rsidRPr="009E7070">
        <w:rPr>
          <w:rFonts w:ascii="Times New Roman" w:hAnsi="Times New Roman" w:cs="Times New Roman"/>
        </w:rPr>
        <w:t>omplain</w:t>
      </w:r>
      <w:r w:rsidR="00B911A6" w:rsidRPr="009E7070">
        <w:rPr>
          <w:rFonts w:ascii="Times New Roman" w:hAnsi="Times New Roman" w:cs="Times New Roman"/>
        </w:rPr>
        <w:t>ant</w:t>
      </w:r>
      <w:r w:rsidR="000119C7" w:rsidRPr="009E7070">
        <w:rPr>
          <w:rFonts w:ascii="Times New Roman" w:hAnsi="Times New Roman" w:cs="Times New Roman"/>
        </w:rPr>
        <w:t xml:space="preserve"> </w:t>
      </w:r>
      <w:r w:rsidR="00B911A6" w:rsidRPr="009E7070">
        <w:rPr>
          <w:rFonts w:ascii="Times New Roman" w:hAnsi="Times New Roman" w:cs="Times New Roman"/>
        </w:rPr>
        <w:t xml:space="preserve">requests reconsideration of </w:t>
      </w:r>
      <w:r w:rsidR="004954D1" w:rsidRPr="009E7070">
        <w:rPr>
          <w:rFonts w:ascii="Times New Roman" w:hAnsi="Times New Roman" w:cs="Times New Roman"/>
        </w:rPr>
        <w:t>a prior Commission</w:t>
      </w:r>
      <w:r w:rsidR="00B911A6" w:rsidRPr="009E7070">
        <w:rPr>
          <w:rFonts w:ascii="Times New Roman" w:hAnsi="Times New Roman" w:cs="Times New Roman"/>
        </w:rPr>
        <w:t xml:space="preserve"> decision which g</w:t>
      </w:r>
      <w:r w:rsidR="004954D1" w:rsidRPr="009E7070">
        <w:rPr>
          <w:rFonts w:ascii="Times New Roman" w:hAnsi="Times New Roman" w:cs="Times New Roman"/>
        </w:rPr>
        <w:t xml:space="preserve">ave </w:t>
      </w:r>
      <w:r w:rsidR="00B911A6" w:rsidRPr="009E7070">
        <w:rPr>
          <w:rFonts w:ascii="Times New Roman" w:hAnsi="Times New Roman" w:cs="Times New Roman"/>
        </w:rPr>
        <w:t xml:space="preserve">her a payment arrangement arguing the monthly payment amounts </w:t>
      </w:r>
      <w:r w:rsidR="004954D1" w:rsidRPr="009E7070">
        <w:rPr>
          <w:rFonts w:ascii="Times New Roman" w:hAnsi="Times New Roman" w:cs="Times New Roman"/>
        </w:rPr>
        <w:t xml:space="preserve">of $4,900 per month to pay off a balance </w:t>
      </w:r>
      <w:r w:rsidR="009144FE">
        <w:rPr>
          <w:rFonts w:ascii="Times New Roman" w:hAnsi="Times New Roman" w:cs="Times New Roman"/>
        </w:rPr>
        <w:t>of approximately</w:t>
      </w:r>
      <w:r w:rsidR="004954D1" w:rsidRPr="009E7070">
        <w:rPr>
          <w:rFonts w:ascii="Times New Roman" w:hAnsi="Times New Roman" w:cs="Times New Roman"/>
        </w:rPr>
        <w:t xml:space="preserve"> $26,000 </w:t>
      </w:r>
      <w:r w:rsidR="009144FE">
        <w:rPr>
          <w:rFonts w:ascii="Times New Roman" w:hAnsi="Times New Roman" w:cs="Times New Roman"/>
        </w:rPr>
        <w:t xml:space="preserve">over 6 months </w:t>
      </w:r>
      <w:r w:rsidR="004954D1" w:rsidRPr="009E7070">
        <w:rPr>
          <w:rFonts w:ascii="Times New Roman" w:hAnsi="Times New Roman" w:cs="Times New Roman"/>
        </w:rPr>
        <w:t>is</w:t>
      </w:r>
      <w:r w:rsidR="00B911A6" w:rsidRPr="009E7070">
        <w:rPr>
          <w:rFonts w:ascii="Times New Roman" w:hAnsi="Times New Roman" w:cs="Times New Roman"/>
        </w:rPr>
        <w:t xml:space="preserve"> more than Complainant earns </w:t>
      </w:r>
      <w:r w:rsidR="009144FE">
        <w:rPr>
          <w:rFonts w:ascii="Times New Roman" w:hAnsi="Times New Roman" w:cs="Times New Roman"/>
        </w:rPr>
        <w:t xml:space="preserve">on a monthly basis, </w:t>
      </w:r>
      <w:r w:rsidR="00B911A6" w:rsidRPr="009E7070">
        <w:rPr>
          <w:rFonts w:ascii="Times New Roman" w:hAnsi="Times New Roman" w:cs="Times New Roman"/>
        </w:rPr>
        <w:t xml:space="preserve">and it is impossible for her to make the payments.  Complainant requests relief in the form of restoration of service as her service was terminated on October 2, 2012.  Complainant also requests a copy of the inspector’s report regarding </w:t>
      </w:r>
      <w:r w:rsidR="004954D1" w:rsidRPr="009E7070">
        <w:rPr>
          <w:rFonts w:ascii="Times New Roman" w:hAnsi="Times New Roman" w:cs="Times New Roman"/>
        </w:rPr>
        <w:t>the</w:t>
      </w:r>
      <w:r w:rsidR="00B911A6" w:rsidRPr="009E7070">
        <w:rPr>
          <w:rFonts w:ascii="Times New Roman" w:hAnsi="Times New Roman" w:cs="Times New Roman"/>
        </w:rPr>
        <w:t xml:space="preserve"> high bill complaint.</w:t>
      </w:r>
    </w:p>
    <w:p w:rsidR="00974242" w:rsidRPr="009E7070" w:rsidRDefault="00974242" w:rsidP="00BF0642">
      <w:pPr>
        <w:pStyle w:val="ParaTab1"/>
        <w:spacing w:line="360" w:lineRule="auto"/>
        <w:ind w:firstLine="1350"/>
        <w:rPr>
          <w:rFonts w:ascii="Times New Roman" w:hAnsi="Times New Roman" w:cs="Times New Roman"/>
        </w:rPr>
      </w:pPr>
    </w:p>
    <w:p w:rsidR="00CA53E3" w:rsidRPr="009E7070" w:rsidRDefault="00AB3CB8" w:rsidP="004954D1">
      <w:pPr>
        <w:pStyle w:val="ParaTab1"/>
        <w:spacing w:line="360" w:lineRule="auto"/>
        <w:ind w:firstLine="1350"/>
        <w:rPr>
          <w:rFonts w:ascii="Times New Roman" w:hAnsi="Times New Roman" w:cs="Times New Roman"/>
        </w:rPr>
      </w:pPr>
      <w:r w:rsidRPr="009E7070">
        <w:rPr>
          <w:rFonts w:ascii="Times New Roman" w:hAnsi="Times New Roman" w:cs="Times New Roman"/>
        </w:rPr>
        <w:t xml:space="preserve">On </w:t>
      </w:r>
      <w:r w:rsidR="004954D1" w:rsidRPr="009E7070">
        <w:rPr>
          <w:rFonts w:ascii="Times New Roman" w:hAnsi="Times New Roman" w:cs="Times New Roman"/>
        </w:rPr>
        <w:t>October 15</w:t>
      </w:r>
      <w:r w:rsidRPr="009E7070">
        <w:rPr>
          <w:rFonts w:ascii="Times New Roman" w:hAnsi="Times New Roman" w:cs="Times New Roman"/>
        </w:rPr>
        <w:t xml:space="preserve">, 2012, PECO was served with the complaint.  </w:t>
      </w:r>
      <w:r w:rsidR="009109C4" w:rsidRPr="009E7070">
        <w:rPr>
          <w:rFonts w:ascii="Times New Roman" w:hAnsi="Times New Roman" w:cs="Times New Roman"/>
        </w:rPr>
        <w:t xml:space="preserve">The Respondent filed </w:t>
      </w:r>
      <w:r w:rsidR="00C3731D" w:rsidRPr="009E7070">
        <w:rPr>
          <w:rFonts w:ascii="Times New Roman" w:hAnsi="Times New Roman" w:cs="Times New Roman"/>
        </w:rPr>
        <w:t>p</w:t>
      </w:r>
      <w:r w:rsidR="001902EF" w:rsidRPr="009E7070">
        <w:rPr>
          <w:rFonts w:ascii="Times New Roman" w:hAnsi="Times New Roman" w:cs="Times New Roman"/>
        </w:rPr>
        <w:t>reliminary objections</w:t>
      </w:r>
      <w:r w:rsidR="00695F4C" w:rsidRPr="009E7070">
        <w:rPr>
          <w:rFonts w:ascii="Times New Roman" w:hAnsi="Times New Roman" w:cs="Times New Roman"/>
        </w:rPr>
        <w:t xml:space="preserve"> </w:t>
      </w:r>
      <w:r w:rsidR="0057449C" w:rsidRPr="009E7070">
        <w:rPr>
          <w:rFonts w:ascii="Times New Roman" w:hAnsi="Times New Roman" w:cs="Times New Roman"/>
        </w:rPr>
        <w:t xml:space="preserve">on </w:t>
      </w:r>
      <w:r w:rsidR="004954D1" w:rsidRPr="009E7070">
        <w:rPr>
          <w:rFonts w:ascii="Times New Roman" w:hAnsi="Times New Roman" w:cs="Times New Roman"/>
        </w:rPr>
        <w:t>October 26, 2012</w:t>
      </w:r>
      <w:r w:rsidR="007B27B8" w:rsidRPr="009E7070">
        <w:rPr>
          <w:rFonts w:ascii="Times New Roman" w:hAnsi="Times New Roman" w:cs="Times New Roman"/>
        </w:rPr>
        <w:t xml:space="preserve">, averring that </w:t>
      </w:r>
      <w:r w:rsidR="004954D1" w:rsidRPr="009E7070">
        <w:rPr>
          <w:rFonts w:ascii="Times New Roman" w:hAnsi="Times New Roman" w:cs="Times New Roman"/>
        </w:rPr>
        <w:t xml:space="preserve">the </w:t>
      </w:r>
      <w:r w:rsidR="009144FE">
        <w:rPr>
          <w:rFonts w:ascii="Times New Roman" w:hAnsi="Times New Roman" w:cs="Times New Roman"/>
        </w:rPr>
        <w:t>c</w:t>
      </w:r>
      <w:r w:rsidR="004954D1" w:rsidRPr="009E7070">
        <w:rPr>
          <w:rFonts w:ascii="Times New Roman" w:hAnsi="Times New Roman" w:cs="Times New Roman"/>
        </w:rPr>
        <w:t xml:space="preserve">omplaint </w:t>
      </w:r>
      <w:r w:rsidR="007B27B8" w:rsidRPr="009E7070">
        <w:rPr>
          <w:rFonts w:ascii="Times New Roman" w:hAnsi="Times New Roman" w:cs="Times New Roman"/>
        </w:rPr>
        <w:t xml:space="preserve">should be dismissed </w:t>
      </w:r>
      <w:r w:rsidR="00251BBE" w:rsidRPr="009E7070">
        <w:rPr>
          <w:rFonts w:ascii="Times New Roman" w:hAnsi="Times New Roman" w:cs="Times New Roman"/>
        </w:rPr>
        <w:t xml:space="preserve">under the doctrine of </w:t>
      </w:r>
      <w:r w:rsidR="004954D1" w:rsidRPr="009E7070">
        <w:rPr>
          <w:rFonts w:ascii="Times New Roman" w:hAnsi="Times New Roman" w:cs="Times New Roman"/>
          <w:i/>
        </w:rPr>
        <w:t xml:space="preserve">res judicata </w:t>
      </w:r>
      <w:r w:rsidR="00251BBE" w:rsidRPr="009E7070">
        <w:rPr>
          <w:rFonts w:ascii="Times New Roman" w:hAnsi="Times New Roman" w:cs="Times New Roman"/>
        </w:rPr>
        <w:t>because</w:t>
      </w:r>
      <w:r w:rsidR="004954D1" w:rsidRPr="009E7070">
        <w:rPr>
          <w:rFonts w:ascii="Times New Roman" w:hAnsi="Times New Roman" w:cs="Times New Roman"/>
        </w:rPr>
        <w:t xml:space="preserve"> </w:t>
      </w:r>
      <w:r w:rsidR="00A0146D" w:rsidRPr="009E7070">
        <w:rPr>
          <w:rFonts w:ascii="Times New Roman" w:hAnsi="Times New Roman" w:cs="Times New Roman"/>
        </w:rPr>
        <w:t xml:space="preserve">on August 16, 2012, </w:t>
      </w:r>
      <w:r w:rsidR="004954D1" w:rsidRPr="009E7070">
        <w:rPr>
          <w:rFonts w:ascii="Times New Roman" w:hAnsi="Times New Roman" w:cs="Times New Roman"/>
        </w:rPr>
        <w:t>an identical complaint ha</w:t>
      </w:r>
      <w:r w:rsidR="00A0146D" w:rsidRPr="009E7070">
        <w:rPr>
          <w:rFonts w:ascii="Times New Roman" w:hAnsi="Times New Roman" w:cs="Times New Roman"/>
        </w:rPr>
        <w:t>d</w:t>
      </w:r>
      <w:r w:rsidR="004954D1" w:rsidRPr="009E7070">
        <w:rPr>
          <w:rFonts w:ascii="Times New Roman" w:hAnsi="Times New Roman" w:cs="Times New Roman"/>
        </w:rPr>
        <w:t xml:space="preserve"> already been decided</w:t>
      </w:r>
      <w:r w:rsidR="00A0146D" w:rsidRPr="009E7070">
        <w:rPr>
          <w:rFonts w:ascii="Times New Roman" w:hAnsi="Times New Roman" w:cs="Times New Roman"/>
        </w:rPr>
        <w:t xml:space="preserve"> by Final Order at Docket No. </w:t>
      </w:r>
      <w:proofErr w:type="gramStart"/>
      <w:r w:rsidR="00A0146D" w:rsidRPr="009E7070">
        <w:rPr>
          <w:rFonts w:ascii="Times New Roman" w:hAnsi="Times New Roman" w:cs="Times New Roman"/>
        </w:rPr>
        <w:t>C-2011-2263549</w:t>
      </w:r>
      <w:r w:rsidR="004954D1" w:rsidRPr="009E7070">
        <w:rPr>
          <w:rFonts w:ascii="Times New Roman" w:hAnsi="Times New Roman" w:cs="Times New Roman"/>
        </w:rPr>
        <w:t>.</w:t>
      </w:r>
      <w:proofErr w:type="gramEnd"/>
    </w:p>
    <w:p w:rsidR="003656BF" w:rsidRPr="009E7070" w:rsidRDefault="003656BF" w:rsidP="00BF0642">
      <w:pPr>
        <w:pStyle w:val="ParaTab1"/>
        <w:spacing w:line="360" w:lineRule="auto"/>
        <w:ind w:firstLine="1350"/>
        <w:rPr>
          <w:rFonts w:ascii="Times New Roman" w:hAnsi="Times New Roman" w:cs="Times New Roman"/>
        </w:rPr>
      </w:pPr>
    </w:p>
    <w:p w:rsidR="00352146" w:rsidRPr="009E7070" w:rsidRDefault="00352146" w:rsidP="00BF0642">
      <w:pPr>
        <w:pStyle w:val="ParaTab1"/>
        <w:spacing w:line="360" w:lineRule="auto"/>
        <w:ind w:firstLine="1350"/>
        <w:rPr>
          <w:rFonts w:ascii="Times New Roman" w:hAnsi="Times New Roman" w:cs="Times New Roman"/>
          <w:u w:val="single"/>
        </w:rPr>
      </w:pPr>
      <w:r w:rsidRPr="009E7070">
        <w:rPr>
          <w:rFonts w:ascii="Times New Roman" w:hAnsi="Times New Roman" w:cs="Times New Roman"/>
        </w:rPr>
        <w:lastRenderedPageBreak/>
        <w:t xml:space="preserve">On </w:t>
      </w:r>
      <w:r w:rsidR="004954D1" w:rsidRPr="009E7070">
        <w:rPr>
          <w:rFonts w:ascii="Times New Roman" w:hAnsi="Times New Roman" w:cs="Times New Roman"/>
        </w:rPr>
        <w:t>November 9, 2012</w:t>
      </w:r>
      <w:r w:rsidR="00910993" w:rsidRPr="009E7070">
        <w:rPr>
          <w:rFonts w:ascii="Times New Roman" w:hAnsi="Times New Roman" w:cs="Times New Roman"/>
        </w:rPr>
        <w:t>,</w:t>
      </w:r>
      <w:r w:rsidRPr="009E7070">
        <w:rPr>
          <w:rFonts w:ascii="Times New Roman" w:hAnsi="Times New Roman" w:cs="Times New Roman"/>
        </w:rPr>
        <w:t xml:space="preserve"> </w:t>
      </w:r>
      <w:r w:rsidR="004954D1" w:rsidRPr="009E7070">
        <w:rPr>
          <w:rFonts w:ascii="Times New Roman" w:hAnsi="Times New Roman" w:cs="Times New Roman"/>
        </w:rPr>
        <w:t xml:space="preserve">the </w:t>
      </w:r>
      <w:r w:rsidRPr="009E7070">
        <w:rPr>
          <w:rFonts w:ascii="Times New Roman" w:hAnsi="Times New Roman" w:cs="Times New Roman"/>
        </w:rPr>
        <w:t xml:space="preserve">Complaint was assigned to me as Motion Judge for a disposition regarding </w:t>
      </w:r>
      <w:r w:rsidR="003F7830">
        <w:rPr>
          <w:rFonts w:ascii="Times New Roman" w:hAnsi="Times New Roman" w:cs="Times New Roman"/>
        </w:rPr>
        <w:t xml:space="preserve">the </w:t>
      </w:r>
      <w:r w:rsidRPr="009E7070">
        <w:rPr>
          <w:rFonts w:ascii="Times New Roman" w:hAnsi="Times New Roman" w:cs="Times New Roman"/>
        </w:rPr>
        <w:t>preliminary objections.  I will grant these preliminary objections for the following reasons.</w:t>
      </w:r>
    </w:p>
    <w:p w:rsidR="003C00A2" w:rsidRPr="009E7070" w:rsidRDefault="003C00A2" w:rsidP="00BF0642">
      <w:pPr>
        <w:spacing w:line="360" w:lineRule="auto"/>
        <w:jc w:val="center"/>
        <w:outlineLvl w:val="0"/>
        <w:rPr>
          <w:rFonts w:ascii="Times New Roman" w:hAnsi="Times New Roman" w:cs="Times New Roman"/>
          <w:u w:val="single"/>
        </w:rPr>
      </w:pPr>
    </w:p>
    <w:p w:rsidR="00D84D3F" w:rsidRPr="009E7070" w:rsidRDefault="00D84D3F" w:rsidP="00BF0642">
      <w:pPr>
        <w:spacing w:line="360" w:lineRule="auto"/>
        <w:jc w:val="center"/>
        <w:outlineLvl w:val="0"/>
        <w:rPr>
          <w:rFonts w:ascii="Times New Roman" w:hAnsi="Times New Roman" w:cs="Times New Roman"/>
          <w:u w:val="single"/>
        </w:rPr>
      </w:pPr>
      <w:r w:rsidRPr="009E7070">
        <w:rPr>
          <w:rFonts w:ascii="Times New Roman" w:hAnsi="Times New Roman" w:cs="Times New Roman"/>
          <w:u w:val="single"/>
        </w:rPr>
        <w:t>FINDINGS OF FACT</w:t>
      </w:r>
    </w:p>
    <w:p w:rsidR="00D84D3F" w:rsidRPr="009E7070" w:rsidRDefault="00D84D3F" w:rsidP="00BF0642">
      <w:pPr>
        <w:spacing w:line="360" w:lineRule="auto"/>
        <w:jc w:val="center"/>
        <w:rPr>
          <w:rFonts w:ascii="Times New Roman" w:hAnsi="Times New Roman" w:cs="Times New Roman"/>
          <w:u w:val="single"/>
        </w:rPr>
      </w:pPr>
    </w:p>
    <w:p w:rsidR="00D84D3F" w:rsidRPr="009E7070" w:rsidRDefault="00D84D3F" w:rsidP="00BF0642">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t>1.</w:t>
      </w:r>
      <w:r w:rsidRPr="009E7070">
        <w:rPr>
          <w:rFonts w:ascii="Times New Roman" w:hAnsi="Times New Roman" w:cs="Times New Roman"/>
        </w:rPr>
        <w:tab/>
        <w:t xml:space="preserve">The </w:t>
      </w:r>
      <w:r w:rsidR="00284A7F" w:rsidRPr="009E7070">
        <w:rPr>
          <w:rFonts w:ascii="Times New Roman" w:hAnsi="Times New Roman" w:cs="Times New Roman"/>
        </w:rPr>
        <w:t>Complainant</w:t>
      </w:r>
      <w:r w:rsidR="004C64F6" w:rsidRPr="009E7070">
        <w:rPr>
          <w:rFonts w:ascii="Times New Roman" w:hAnsi="Times New Roman" w:cs="Times New Roman"/>
        </w:rPr>
        <w:t xml:space="preserve"> </w:t>
      </w:r>
      <w:r w:rsidRPr="009E7070">
        <w:rPr>
          <w:rFonts w:ascii="Times New Roman" w:hAnsi="Times New Roman" w:cs="Times New Roman"/>
        </w:rPr>
        <w:t xml:space="preserve">in this case </w:t>
      </w:r>
      <w:r w:rsidR="00441E82" w:rsidRPr="009E7070">
        <w:rPr>
          <w:rFonts w:ascii="Times New Roman" w:hAnsi="Times New Roman" w:cs="Times New Roman"/>
        </w:rPr>
        <w:t xml:space="preserve">is </w:t>
      </w:r>
      <w:r w:rsidR="004954D1" w:rsidRPr="009E7070">
        <w:rPr>
          <w:rFonts w:ascii="Times New Roman" w:hAnsi="Times New Roman" w:cs="Times New Roman"/>
        </w:rPr>
        <w:t xml:space="preserve">Dolores </w:t>
      </w:r>
      <w:proofErr w:type="spellStart"/>
      <w:r w:rsidR="004954D1" w:rsidRPr="009E7070">
        <w:rPr>
          <w:rFonts w:ascii="Times New Roman" w:hAnsi="Times New Roman" w:cs="Times New Roman"/>
        </w:rPr>
        <w:t>Sarno</w:t>
      </w:r>
      <w:proofErr w:type="spellEnd"/>
      <w:r w:rsidRPr="009E7070">
        <w:rPr>
          <w:rFonts w:ascii="Times New Roman" w:hAnsi="Times New Roman" w:cs="Times New Roman"/>
        </w:rPr>
        <w:t>.</w:t>
      </w:r>
    </w:p>
    <w:p w:rsidR="00D84D3F" w:rsidRPr="009E7070" w:rsidRDefault="00D84D3F" w:rsidP="00BF0642">
      <w:pPr>
        <w:spacing w:line="360" w:lineRule="auto"/>
        <w:rPr>
          <w:rFonts w:ascii="Times New Roman" w:hAnsi="Times New Roman" w:cs="Times New Roman"/>
        </w:rPr>
      </w:pPr>
      <w:r w:rsidRPr="009E7070">
        <w:rPr>
          <w:rFonts w:ascii="Times New Roman" w:hAnsi="Times New Roman" w:cs="Times New Roman"/>
        </w:rPr>
        <w:t xml:space="preserve"> </w:t>
      </w:r>
    </w:p>
    <w:p w:rsidR="004C64F6" w:rsidRPr="009E7070" w:rsidRDefault="00D84D3F" w:rsidP="00BF0642">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t>2.</w:t>
      </w:r>
      <w:r w:rsidRPr="009E7070">
        <w:rPr>
          <w:rFonts w:ascii="Times New Roman" w:hAnsi="Times New Roman" w:cs="Times New Roman"/>
        </w:rPr>
        <w:tab/>
        <w:t xml:space="preserve">The Respondent in this case is </w:t>
      </w:r>
      <w:r w:rsidR="00294AED" w:rsidRPr="009E7070">
        <w:rPr>
          <w:rFonts w:ascii="Times New Roman" w:hAnsi="Times New Roman" w:cs="Times New Roman"/>
        </w:rPr>
        <w:t>PECO Energy</w:t>
      </w:r>
      <w:r w:rsidR="00A47A77" w:rsidRPr="009E7070">
        <w:rPr>
          <w:rFonts w:ascii="Times New Roman" w:hAnsi="Times New Roman" w:cs="Times New Roman"/>
        </w:rPr>
        <w:t xml:space="preserve"> </w:t>
      </w:r>
      <w:r w:rsidR="00441E82" w:rsidRPr="009E7070">
        <w:rPr>
          <w:rFonts w:ascii="Times New Roman" w:hAnsi="Times New Roman" w:cs="Times New Roman"/>
        </w:rPr>
        <w:t>Company</w:t>
      </w:r>
      <w:r w:rsidR="004C64F6" w:rsidRPr="009E7070">
        <w:rPr>
          <w:rFonts w:ascii="Times New Roman" w:hAnsi="Times New Roman" w:cs="Times New Roman"/>
        </w:rPr>
        <w:t>.</w:t>
      </w:r>
    </w:p>
    <w:p w:rsidR="00D84D3F" w:rsidRPr="009E7070" w:rsidRDefault="004C64F6" w:rsidP="00BF0642">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r>
    </w:p>
    <w:p w:rsidR="00D84D3F" w:rsidRPr="009E7070" w:rsidRDefault="00D84D3F" w:rsidP="00BF0642">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r>
      <w:r w:rsidR="00441E82" w:rsidRPr="009E7070">
        <w:rPr>
          <w:rFonts w:ascii="Times New Roman" w:hAnsi="Times New Roman" w:cs="Times New Roman"/>
        </w:rPr>
        <w:t>3</w:t>
      </w:r>
      <w:r w:rsidRPr="009E7070">
        <w:rPr>
          <w:rFonts w:ascii="Times New Roman" w:hAnsi="Times New Roman" w:cs="Times New Roman"/>
        </w:rPr>
        <w:t>.</w:t>
      </w:r>
      <w:r w:rsidRPr="009E7070">
        <w:rPr>
          <w:rFonts w:ascii="Times New Roman" w:hAnsi="Times New Roman" w:cs="Times New Roman"/>
        </w:rPr>
        <w:tab/>
        <w:t>On</w:t>
      </w:r>
      <w:r w:rsidR="007A59A3" w:rsidRPr="009E7070">
        <w:rPr>
          <w:rFonts w:ascii="Times New Roman" w:hAnsi="Times New Roman" w:cs="Times New Roman"/>
        </w:rPr>
        <w:t xml:space="preserve"> </w:t>
      </w:r>
      <w:r w:rsidR="004954D1" w:rsidRPr="009E7070">
        <w:rPr>
          <w:rFonts w:ascii="Times New Roman" w:hAnsi="Times New Roman" w:cs="Times New Roman"/>
        </w:rPr>
        <w:t>October 12</w:t>
      </w:r>
      <w:r w:rsidR="007A59A3" w:rsidRPr="009E7070">
        <w:rPr>
          <w:rFonts w:ascii="Times New Roman" w:hAnsi="Times New Roman" w:cs="Times New Roman"/>
        </w:rPr>
        <w:t>, 2012</w:t>
      </w:r>
      <w:r w:rsidRPr="009E7070">
        <w:rPr>
          <w:rFonts w:ascii="Times New Roman" w:hAnsi="Times New Roman" w:cs="Times New Roman"/>
        </w:rPr>
        <w:t xml:space="preserve">, the </w:t>
      </w:r>
      <w:r w:rsidR="00284A7F" w:rsidRPr="009E7070">
        <w:rPr>
          <w:rFonts w:ascii="Times New Roman" w:hAnsi="Times New Roman" w:cs="Times New Roman"/>
        </w:rPr>
        <w:t>Complainant</w:t>
      </w:r>
      <w:r w:rsidR="000F7BFF" w:rsidRPr="009E7070">
        <w:rPr>
          <w:rFonts w:ascii="Times New Roman" w:hAnsi="Times New Roman" w:cs="Times New Roman"/>
        </w:rPr>
        <w:t xml:space="preserve"> </w:t>
      </w:r>
      <w:r w:rsidRPr="009E7070">
        <w:rPr>
          <w:rFonts w:ascii="Times New Roman" w:hAnsi="Times New Roman" w:cs="Times New Roman"/>
        </w:rPr>
        <w:t>filed a complaint with the Commission</w:t>
      </w:r>
      <w:r w:rsidR="00C80A67" w:rsidRPr="009E7070">
        <w:rPr>
          <w:rFonts w:ascii="Times New Roman" w:hAnsi="Times New Roman" w:cs="Times New Roman"/>
        </w:rPr>
        <w:t xml:space="preserve"> against </w:t>
      </w:r>
      <w:r w:rsidR="00673C0E" w:rsidRPr="009E7070">
        <w:rPr>
          <w:rFonts w:ascii="Times New Roman" w:hAnsi="Times New Roman" w:cs="Times New Roman"/>
        </w:rPr>
        <w:t>the Respondent</w:t>
      </w:r>
      <w:r w:rsidR="00C80A67" w:rsidRPr="009E7070">
        <w:rPr>
          <w:rFonts w:ascii="Times New Roman" w:hAnsi="Times New Roman" w:cs="Times New Roman"/>
        </w:rPr>
        <w:t>.</w:t>
      </w:r>
    </w:p>
    <w:p w:rsidR="00D84D3F" w:rsidRPr="009E7070" w:rsidRDefault="00D84D3F" w:rsidP="00BF0642">
      <w:pPr>
        <w:spacing w:line="360" w:lineRule="auto"/>
        <w:rPr>
          <w:rFonts w:ascii="Times New Roman" w:hAnsi="Times New Roman" w:cs="Times New Roman"/>
        </w:rPr>
      </w:pPr>
    </w:p>
    <w:p w:rsidR="00684537" w:rsidRPr="009E7070" w:rsidRDefault="00D84D3F" w:rsidP="00BF0642">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r>
      <w:r w:rsidR="00C3731D" w:rsidRPr="009E7070">
        <w:rPr>
          <w:rFonts w:ascii="Times New Roman" w:hAnsi="Times New Roman" w:cs="Times New Roman"/>
        </w:rPr>
        <w:t>4</w:t>
      </w:r>
      <w:r w:rsidR="00684537" w:rsidRPr="009E7070">
        <w:rPr>
          <w:rFonts w:ascii="Times New Roman" w:hAnsi="Times New Roman" w:cs="Times New Roman"/>
        </w:rPr>
        <w:t>.</w:t>
      </w:r>
      <w:r w:rsidR="00684537" w:rsidRPr="009E7070">
        <w:rPr>
          <w:rFonts w:ascii="Times New Roman" w:hAnsi="Times New Roman" w:cs="Times New Roman"/>
        </w:rPr>
        <w:tab/>
        <w:t xml:space="preserve">On </w:t>
      </w:r>
      <w:r w:rsidR="004954D1" w:rsidRPr="009E7070">
        <w:rPr>
          <w:rFonts w:ascii="Times New Roman" w:hAnsi="Times New Roman" w:cs="Times New Roman"/>
        </w:rPr>
        <w:t xml:space="preserve">October 26, </w:t>
      </w:r>
      <w:r w:rsidR="00294AED" w:rsidRPr="009E7070">
        <w:rPr>
          <w:rFonts w:ascii="Times New Roman" w:hAnsi="Times New Roman" w:cs="Times New Roman"/>
        </w:rPr>
        <w:t>201</w:t>
      </w:r>
      <w:r w:rsidR="007A59A3" w:rsidRPr="009E7070">
        <w:rPr>
          <w:rFonts w:ascii="Times New Roman" w:hAnsi="Times New Roman" w:cs="Times New Roman"/>
        </w:rPr>
        <w:t>2</w:t>
      </w:r>
      <w:r w:rsidR="00684537" w:rsidRPr="009E7070">
        <w:rPr>
          <w:rFonts w:ascii="Times New Roman" w:hAnsi="Times New Roman" w:cs="Times New Roman"/>
        </w:rPr>
        <w:t xml:space="preserve">, the Respondent filed </w:t>
      </w:r>
      <w:r w:rsidR="004670EC" w:rsidRPr="009E7070">
        <w:rPr>
          <w:rFonts w:ascii="Times New Roman" w:hAnsi="Times New Roman" w:cs="Times New Roman"/>
        </w:rPr>
        <w:t>preliminary objection</w:t>
      </w:r>
      <w:r w:rsidR="00A47A77" w:rsidRPr="009E7070">
        <w:rPr>
          <w:rFonts w:ascii="Times New Roman" w:hAnsi="Times New Roman" w:cs="Times New Roman"/>
        </w:rPr>
        <w:t>s</w:t>
      </w:r>
      <w:r w:rsidR="004670EC" w:rsidRPr="009E7070">
        <w:rPr>
          <w:rFonts w:ascii="Times New Roman" w:hAnsi="Times New Roman" w:cs="Times New Roman"/>
        </w:rPr>
        <w:t>.</w:t>
      </w:r>
    </w:p>
    <w:p w:rsidR="00047D1A" w:rsidRPr="009E7070" w:rsidRDefault="00047D1A" w:rsidP="00BF0642">
      <w:pPr>
        <w:spacing w:line="360" w:lineRule="auto"/>
        <w:rPr>
          <w:rFonts w:ascii="Times New Roman" w:hAnsi="Times New Roman" w:cs="Times New Roman"/>
        </w:rPr>
      </w:pPr>
    </w:p>
    <w:p w:rsidR="002D0371" w:rsidRPr="009E7070" w:rsidRDefault="00684537" w:rsidP="00BF0642">
      <w:pPr>
        <w:spacing w:line="360" w:lineRule="auto"/>
        <w:rPr>
          <w:rFonts w:ascii="Times New Roman" w:hAnsi="Times New Roman" w:cs="Times New Roman"/>
        </w:rPr>
      </w:pPr>
      <w:r w:rsidRPr="009E7070">
        <w:rPr>
          <w:rFonts w:ascii="Times New Roman" w:hAnsi="Times New Roman" w:cs="Times New Roman"/>
        </w:rPr>
        <w:tab/>
      </w:r>
      <w:r w:rsidR="004670EC" w:rsidRPr="009E7070">
        <w:rPr>
          <w:rFonts w:ascii="Times New Roman" w:hAnsi="Times New Roman" w:cs="Times New Roman"/>
        </w:rPr>
        <w:tab/>
      </w:r>
      <w:r w:rsidR="00C3731D" w:rsidRPr="009E7070">
        <w:rPr>
          <w:rFonts w:ascii="Times New Roman" w:hAnsi="Times New Roman" w:cs="Times New Roman"/>
        </w:rPr>
        <w:t>5</w:t>
      </w:r>
      <w:r w:rsidR="006F6374" w:rsidRPr="009E7070">
        <w:rPr>
          <w:rFonts w:ascii="Times New Roman" w:hAnsi="Times New Roman" w:cs="Times New Roman"/>
        </w:rPr>
        <w:t>.</w:t>
      </w:r>
      <w:r w:rsidR="006F6374" w:rsidRPr="009E7070">
        <w:rPr>
          <w:rFonts w:ascii="Times New Roman" w:hAnsi="Times New Roman" w:cs="Times New Roman"/>
        </w:rPr>
        <w:tab/>
      </w:r>
      <w:r w:rsidR="003C00A2" w:rsidRPr="009E7070">
        <w:rPr>
          <w:rFonts w:ascii="Times New Roman" w:hAnsi="Times New Roman" w:cs="Times New Roman"/>
        </w:rPr>
        <w:t xml:space="preserve">Complainant </w:t>
      </w:r>
      <w:r w:rsidR="00A331A7" w:rsidRPr="009E7070">
        <w:rPr>
          <w:rFonts w:ascii="Times New Roman" w:hAnsi="Times New Roman" w:cs="Times New Roman"/>
        </w:rPr>
        <w:t xml:space="preserve">did not </w:t>
      </w:r>
      <w:r w:rsidR="003C00A2" w:rsidRPr="009E7070">
        <w:rPr>
          <w:rFonts w:ascii="Times New Roman" w:hAnsi="Times New Roman" w:cs="Times New Roman"/>
        </w:rPr>
        <w:t>file an answer to the preliminary objections</w:t>
      </w:r>
      <w:r w:rsidR="00A331A7" w:rsidRPr="009E7070">
        <w:rPr>
          <w:rFonts w:ascii="Times New Roman" w:hAnsi="Times New Roman" w:cs="Times New Roman"/>
        </w:rPr>
        <w:t>.</w:t>
      </w:r>
    </w:p>
    <w:p w:rsidR="000C7E6A" w:rsidRPr="009E7070" w:rsidRDefault="000C7E6A" w:rsidP="00BF0642">
      <w:pPr>
        <w:spacing w:line="360" w:lineRule="auto"/>
        <w:rPr>
          <w:rFonts w:ascii="Times New Roman" w:hAnsi="Times New Roman" w:cs="Times New Roman"/>
        </w:rPr>
      </w:pPr>
    </w:p>
    <w:p w:rsidR="00CB16D7" w:rsidRPr="009E7070" w:rsidRDefault="000C7E6A" w:rsidP="00BF0642">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r>
      <w:r w:rsidR="00C3731D" w:rsidRPr="009E7070">
        <w:rPr>
          <w:rFonts w:ascii="Times New Roman" w:hAnsi="Times New Roman" w:cs="Times New Roman"/>
        </w:rPr>
        <w:t>6</w:t>
      </w:r>
      <w:r w:rsidR="00CB16D7" w:rsidRPr="009E7070">
        <w:rPr>
          <w:rFonts w:ascii="Times New Roman" w:hAnsi="Times New Roman" w:cs="Times New Roman"/>
        </w:rPr>
        <w:t>.</w:t>
      </w:r>
      <w:r w:rsidR="00CB16D7" w:rsidRPr="009E7070">
        <w:rPr>
          <w:rFonts w:ascii="Times New Roman" w:hAnsi="Times New Roman" w:cs="Times New Roman"/>
        </w:rPr>
        <w:tab/>
        <w:t xml:space="preserve">On </w:t>
      </w:r>
      <w:r w:rsidR="00A331A7" w:rsidRPr="009E7070">
        <w:rPr>
          <w:rFonts w:ascii="Times New Roman" w:hAnsi="Times New Roman" w:cs="Times New Roman"/>
        </w:rPr>
        <w:t>November 9</w:t>
      </w:r>
      <w:r w:rsidR="007A59A3" w:rsidRPr="009E7070">
        <w:rPr>
          <w:rFonts w:ascii="Times New Roman" w:hAnsi="Times New Roman" w:cs="Times New Roman"/>
        </w:rPr>
        <w:t>, 2012</w:t>
      </w:r>
      <w:r w:rsidR="00CB16D7" w:rsidRPr="009E7070">
        <w:rPr>
          <w:rFonts w:ascii="Times New Roman" w:hAnsi="Times New Roman" w:cs="Times New Roman"/>
        </w:rPr>
        <w:t>, the instant C</w:t>
      </w:r>
      <w:r w:rsidR="00BF0642" w:rsidRPr="009E7070">
        <w:rPr>
          <w:rFonts w:ascii="Times New Roman" w:hAnsi="Times New Roman" w:cs="Times New Roman"/>
        </w:rPr>
        <w:t>omplaint</w:t>
      </w:r>
      <w:r w:rsidR="00A331A7" w:rsidRPr="009E7070">
        <w:rPr>
          <w:rFonts w:ascii="Times New Roman" w:hAnsi="Times New Roman" w:cs="Times New Roman"/>
        </w:rPr>
        <w:t xml:space="preserve"> </w:t>
      </w:r>
      <w:r w:rsidR="00BF0642" w:rsidRPr="009E7070">
        <w:rPr>
          <w:rFonts w:ascii="Times New Roman" w:hAnsi="Times New Roman" w:cs="Times New Roman"/>
        </w:rPr>
        <w:t>at Docket No. C</w:t>
      </w:r>
      <w:r w:rsidR="00BF0642" w:rsidRPr="009E7070">
        <w:rPr>
          <w:rFonts w:ascii="Times New Roman" w:hAnsi="Times New Roman" w:cs="Times New Roman"/>
        </w:rPr>
        <w:noBreakHyphen/>
        <w:t>201</w:t>
      </w:r>
      <w:r w:rsidR="00A331A7" w:rsidRPr="009E7070">
        <w:rPr>
          <w:rFonts w:ascii="Times New Roman" w:hAnsi="Times New Roman" w:cs="Times New Roman"/>
        </w:rPr>
        <w:t>2-2329048</w:t>
      </w:r>
      <w:r w:rsidR="00CB16D7" w:rsidRPr="009E7070">
        <w:rPr>
          <w:rFonts w:ascii="Times New Roman" w:hAnsi="Times New Roman" w:cs="Times New Roman"/>
        </w:rPr>
        <w:t xml:space="preserve"> was assigned to Administrative Law Judge Elizabeth Barnes as Motion Judge.</w:t>
      </w:r>
    </w:p>
    <w:p w:rsidR="000C7E6A" w:rsidRPr="009E7070" w:rsidRDefault="000C7E6A" w:rsidP="0031617C">
      <w:pPr>
        <w:pStyle w:val="ParaTab1"/>
        <w:tabs>
          <w:tab w:val="left" w:pos="2070"/>
        </w:tabs>
        <w:spacing w:line="360" w:lineRule="auto"/>
        <w:ind w:firstLine="0"/>
        <w:outlineLvl w:val="0"/>
        <w:rPr>
          <w:rFonts w:ascii="Times New Roman" w:hAnsi="Times New Roman" w:cs="Times New Roman"/>
          <w:u w:val="single"/>
        </w:rPr>
      </w:pPr>
    </w:p>
    <w:p w:rsidR="009109C4" w:rsidRPr="009E7070" w:rsidRDefault="009109C4" w:rsidP="00BF0642">
      <w:pPr>
        <w:pStyle w:val="ParaTab1"/>
        <w:tabs>
          <w:tab w:val="left" w:pos="2070"/>
        </w:tabs>
        <w:spacing w:line="360" w:lineRule="auto"/>
        <w:ind w:firstLine="0"/>
        <w:jc w:val="center"/>
        <w:outlineLvl w:val="0"/>
        <w:rPr>
          <w:rFonts w:ascii="Times New Roman" w:hAnsi="Times New Roman" w:cs="Times New Roman"/>
          <w:u w:val="single"/>
        </w:rPr>
      </w:pPr>
      <w:r w:rsidRPr="009E7070">
        <w:rPr>
          <w:rFonts w:ascii="Times New Roman" w:hAnsi="Times New Roman" w:cs="Times New Roman"/>
          <w:u w:val="single"/>
        </w:rPr>
        <w:t>DISCUSSION</w:t>
      </w:r>
    </w:p>
    <w:p w:rsidR="00DF2A5C" w:rsidRPr="009E7070" w:rsidRDefault="00DF2A5C" w:rsidP="00BF0642">
      <w:pPr>
        <w:spacing w:line="360" w:lineRule="auto"/>
        <w:ind w:firstLine="1440"/>
        <w:rPr>
          <w:rFonts w:ascii="Times New Roman" w:hAnsi="Times New Roman" w:cs="Times New Roman"/>
        </w:rPr>
      </w:pPr>
    </w:p>
    <w:p w:rsidR="00EE52CA" w:rsidRPr="009E7070" w:rsidRDefault="00070A8F" w:rsidP="00BF0642">
      <w:pPr>
        <w:spacing w:line="360" w:lineRule="auto"/>
        <w:ind w:firstLine="1440"/>
        <w:rPr>
          <w:rFonts w:ascii="Times New Roman" w:hAnsi="Times New Roman" w:cs="Times New Roman"/>
        </w:rPr>
      </w:pPr>
      <w:r w:rsidRPr="009E7070">
        <w:rPr>
          <w:rFonts w:ascii="Times New Roman" w:hAnsi="Times New Roman" w:cs="Times New Roman"/>
        </w:rPr>
        <w:t>The Commission’s Rules of Practice and Procedure permit parties to file preliminary objection</w:t>
      </w:r>
      <w:r w:rsidR="00EE52CA" w:rsidRPr="009E7070">
        <w:rPr>
          <w:rFonts w:ascii="Times New Roman" w:hAnsi="Times New Roman" w:cs="Times New Roman"/>
        </w:rPr>
        <w:t>s.  The grounds for preliminary objections are limited to those set forth</w:t>
      </w:r>
      <w:r w:rsidR="00365D87">
        <w:rPr>
          <w:rFonts w:ascii="Times New Roman" w:hAnsi="Times New Roman" w:cs="Times New Roman"/>
        </w:rPr>
        <w:t xml:space="preserve"> in </w:t>
      </w:r>
      <w:r w:rsidR="00EE52CA" w:rsidRPr="009E7070">
        <w:rPr>
          <w:rFonts w:ascii="Times New Roman" w:hAnsi="Times New Roman" w:cs="Times New Roman"/>
        </w:rPr>
        <w:t>52 Pa</w:t>
      </w:r>
      <w:r w:rsidR="003F7830">
        <w:rPr>
          <w:rFonts w:ascii="Times New Roman" w:hAnsi="Times New Roman" w:cs="Times New Roman"/>
        </w:rPr>
        <w:t>.</w:t>
      </w:r>
      <w:r w:rsidR="00EE52CA" w:rsidRPr="009E7070">
        <w:rPr>
          <w:rFonts w:ascii="Times New Roman" w:hAnsi="Times New Roman" w:cs="Times New Roman"/>
        </w:rPr>
        <w:t xml:space="preserve"> Code §5.101</w:t>
      </w:r>
      <w:r w:rsidR="00047D1A" w:rsidRPr="009E7070">
        <w:rPr>
          <w:rFonts w:ascii="Times New Roman" w:hAnsi="Times New Roman" w:cs="Times New Roman"/>
        </w:rPr>
        <w:t>(a)</w:t>
      </w:r>
      <w:r w:rsidR="00EE52CA" w:rsidRPr="009E7070">
        <w:rPr>
          <w:rFonts w:ascii="Times New Roman" w:hAnsi="Times New Roman" w:cs="Times New Roman"/>
        </w:rPr>
        <w:t xml:space="preserve"> as follows:</w:t>
      </w:r>
    </w:p>
    <w:p w:rsidR="00EE52CA" w:rsidRPr="009E7070" w:rsidRDefault="00EE52CA" w:rsidP="00BF0642">
      <w:pPr>
        <w:rPr>
          <w:rFonts w:ascii="Times New Roman" w:hAnsi="Times New Roman" w:cs="Times New Roman"/>
        </w:rPr>
      </w:pPr>
    </w:p>
    <w:p w:rsidR="00EE52CA" w:rsidRPr="009E7070"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9E7070">
        <w:rPr>
          <w:rFonts w:ascii="Times New Roman" w:hAnsi="Times New Roman" w:cs="Times New Roman"/>
        </w:rPr>
        <w:t>Lack of Commission jurisdiction or improper service of the pleading initiating the proceeding.</w:t>
      </w:r>
    </w:p>
    <w:p w:rsidR="00EE52CA" w:rsidRPr="009E7070" w:rsidRDefault="00EE52CA" w:rsidP="00BF0642">
      <w:pPr>
        <w:tabs>
          <w:tab w:val="num" w:pos="0"/>
        </w:tabs>
        <w:ind w:left="1440" w:right="1440"/>
        <w:rPr>
          <w:rFonts w:ascii="Times New Roman" w:hAnsi="Times New Roman" w:cs="Times New Roman"/>
        </w:rPr>
      </w:pPr>
    </w:p>
    <w:p w:rsidR="00EE52CA" w:rsidRPr="009E7070"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9E7070">
        <w:rPr>
          <w:rFonts w:ascii="Times New Roman" w:hAnsi="Times New Roman" w:cs="Times New Roman"/>
        </w:rPr>
        <w:t>Failure of a pleading to conform to this chapter or the inclusion of scandalous or impertinent matter.</w:t>
      </w:r>
    </w:p>
    <w:p w:rsidR="00EE52CA" w:rsidRPr="009E7070" w:rsidRDefault="00EE52CA" w:rsidP="00BF0642">
      <w:pPr>
        <w:tabs>
          <w:tab w:val="num" w:pos="0"/>
        </w:tabs>
        <w:ind w:left="1440" w:right="1440"/>
        <w:rPr>
          <w:rFonts w:ascii="Times New Roman" w:hAnsi="Times New Roman" w:cs="Times New Roman"/>
        </w:rPr>
      </w:pPr>
    </w:p>
    <w:p w:rsidR="00EE52CA" w:rsidRPr="009E7070"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9E7070">
        <w:rPr>
          <w:rFonts w:ascii="Times New Roman" w:hAnsi="Times New Roman" w:cs="Times New Roman"/>
        </w:rPr>
        <w:t>Insufficient specificity of a pleading.</w:t>
      </w:r>
    </w:p>
    <w:p w:rsidR="00EE52CA" w:rsidRPr="009E7070" w:rsidRDefault="00EE52CA" w:rsidP="00BF0642">
      <w:pPr>
        <w:tabs>
          <w:tab w:val="num" w:pos="0"/>
        </w:tabs>
        <w:ind w:left="1440" w:right="1440"/>
        <w:rPr>
          <w:rFonts w:ascii="Times New Roman" w:hAnsi="Times New Roman" w:cs="Times New Roman"/>
        </w:rPr>
      </w:pPr>
    </w:p>
    <w:p w:rsidR="00EE52CA" w:rsidRPr="009E7070"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9E7070">
        <w:rPr>
          <w:rFonts w:ascii="Times New Roman" w:hAnsi="Times New Roman" w:cs="Times New Roman"/>
        </w:rPr>
        <w:t>Legal insufficiency of a pleading.</w:t>
      </w:r>
    </w:p>
    <w:p w:rsidR="00EE52CA" w:rsidRPr="009E7070" w:rsidRDefault="00EE52CA" w:rsidP="00BF0642">
      <w:pPr>
        <w:tabs>
          <w:tab w:val="num" w:pos="0"/>
        </w:tabs>
        <w:ind w:left="1440" w:right="1440"/>
        <w:rPr>
          <w:rFonts w:ascii="Times New Roman" w:hAnsi="Times New Roman" w:cs="Times New Roman"/>
        </w:rPr>
      </w:pPr>
    </w:p>
    <w:p w:rsidR="00EE52CA" w:rsidRPr="009E7070"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9E7070">
        <w:rPr>
          <w:rFonts w:ascii="Times New Roman" w:hAnsi="Times New Roman" w:cs="Times New Roman"/>
        </w:rPr>
        <w:t xml:space="preserve">Lack of capacity to sue, </w:t>
      </w:r>
      <w:proofErr w:type="spellStart"/>
      <w:r w:rsidRPr="009E7070">
        <w:rPr>
          <w:rFonts w:ascii="Times New Roman" w:hAnsi="Times New Roman" w:cs="Times New Roman"/>
        </w:rPr>
        <w:t>nonjoinder</w:t>
      </w:r>
      <w:proofErr w:type="spellEnd"/>
      <w:r w:rsidRPr="009E7070">
        <w:rPr>
          <w:rFonts w:ascii="Times New Roman" w:hAnsi="Times New Roman" w:cs="Times New Roman"/>
        </w:rPr>
        <w:t xml:space="preserve"> of a necessary party or misjoinder of a cause of action.</w:t>
      </w:r>
    </w:p>
    <w:p w:rsidR="00EE52CA" w:rsidRPr="009E7070" w:rsidRDefault="00EE52CA" w:rsidP="00BF0642">
      <w:pPr>
        <w:tabs>
          <w:tab w:val="num" w:pos="0"/>
        </w:tabs>
        <w:ind w:left="1440" w:right="1440"/>
        <w:rPr>
          <w:rFonts w:ascii="Times New Roman" w:hAnsi="Times New Roman" w:cs="Times New Roman"/>
        </w:rPr>
      </w:pPr>
    </w:p>
    <w:p w:rsidR="00EE52CA" w:rsidRPr="009E7070" w:rsidRDefault="00EE52CA" w:rsidP="00BF0642">
      <w:pPr>
        <w:widowControl w:val="0"/>
        <w:numPr>
          <w:ilvl w:val="0"/>
          <w:numId w:val="1"/>
        </w:numPr>
        <w:tabs>
          <w:tab w:val="clear" w:pos="2160"/>
          <w:tab w:val="num" w:pos="0"/>
        </w:tabs>
        <w:adjustRightInd w:val="0"/>
        <w:ind w:left="1440" w:right="1440" w:firstLine="0"/>
        <w:rPr>
          <w:rFonts w:ascii="Times New Roman" w:hAnsi="Times New Roman" w:cs="Times New Roman"/>
        </w:rPr>
      </w:pPr>
      <w:r w:rsidRPr="009E7070">
        <w:rPr>
          <w:rFonts w:ascii="Times New Roman" w:hAnsi="Times New Roman" w:cs="Times New Roman"/>
        </w:rPr>
        <w:t>Pendency of a prior proceeding or agreement for alternative dispute resolution.</w:t>
      </w:r>
    </w:p>
    <w:p w:rsidR="00EE52CA" w:rsidRPr="009E7070" w:rsidRDefault="00EE52CA" w:rsidP="00BF0642">
      <w:pPr>
        <w:pStyle w:val="ParaTab1"/>
        <w:spacing w:line="360" w:lineRule="auto"/>
        <w:ind w:firstLine="1350"/>
        <w:rPr>
          <w:rFonts w:ascii="Times New Roman" w:hAnsi="Times New Roman" w:cs="Times New Roman"/>
        </w:rPr>
      </w:pPr>
    </w:p>
    <w:p w:rsidR="00CC6674" w:rsidRPr="009E7070" w:rsidRDefault="00CC6674" w:rsidP="00CC6674">
      <w:pPr>
        <w:pStyle w:val="ParaTab1"/>
        <w:spacing w:line="360" w:lineRule="auto"/>
        <w:ind w:firstLine="1350"/>
        <w:rPr>
          <w:rFonts w:ascii="Times New Roman" w:hAnsi="Times New Roman" w:cs="Times New Roman"/>
        </w:rPr>
      </w:pPr>
      <w:r w:rsidRPr="009E7070">
        <w:rPr>
          <w:rFonts w:ascii="Times New Roman" w:hAnsi="Times New Roman" w:cs="Times New Roman"/>
        </w:rPr>
        <w:t xml:space="preserve">Commission preliminary objection practice is analogous to Pennsylvania civil practice regarding preliminary objections.  </w:t>
      </w:r>
      <w:r w:rsidRPr="009E7070">
        <w:rPr>
          <w:rFonts w:ascii="Times New Roman" w:hAnsi="Times New Roman" w:cs="Times New Roman"/>
          <w:i/>
        </w:rPr>
        <w:t>Equitable Small Transportation Intervenors v. Equitable Gas Company</w:t>
      </w:r>
      <w:r w:rsidRPr="009E7070">
        <w:rPr>
          <w:rFonts w:ascii="Times New Roman" w:hAnsi="Times New Roman" w:cs="Times New Roman"/>
        </w:rPr>
        <w:t>, 1994 Pa PUC LEXIS 69, Docket No. C</w:t>
      </w:r>
      <w:r w:rsidRPr="009E7070">
        <w:rPr>
          <w:rFonts w:ascii="Times New Roman" w:hAnsi="Times New Roman" w:cs="Times New Roman"/>
        </w:rPr>
        <w:noBreakHyphen/>
        <w:t>00935435 (July 18, 1994)</w:t>
      </w:r>
      <w:r w:rsidR="00D778A2">
        <w:rPr>
          <w:rFonts w:ascii="Times New Roman" w:hAnsi="Times New Roman" w:cs="Times New Roman"/>
        </w:rPr>
        <w:t>.</w:t>
      </w:r>
      <w:r w:rsidRPr="009E7070">
        <w:rPr>
          <w:rFonts w:ascii="Times New Roman" w:hAnsi="Times New Roman" w:cs="Times New Roman"/>
        </w:rPr>
        <w:t xml:space="preserve">  Preliminary objections in civil practice requesting dismissal of a pleading will be granted only where the right to relief is clearly warranted and free from doubt. </w:t>
      </w:r>
      <w:r w:rsidRPr="009E7070">
        <w:rPr>
          <w:rFonts w:ascii="Times New Roman" w:hAnsi="Times New Roman" w:cs="Times New Roman"/>
          <w:i/>
        </w:rPr>
        <w:t xml:space="preserve"> </w:t>
      </w:r>
      <w:proofErr w:type="gramStart"/>
      <w:r w:rsidRPr="009E7070">
        <w:rPr>
          <w:rFonts w:ascii="Times New Roman" w:hAnsi="Times New Roman" w:cs="Times New Roman"/>
          <w:i/>
        </w:rPr>
        <w:t xml:space="preserve">Interstate </w:t>
      </w:r>
      <w:proofErr w:type="spellStart"/>
      <w:r w:rsidRPr="009E7070">
        <w:rPr>
          <w:rFonts w:ascii="Times New Roman" w:hAnsi="Times New Roman" w:cs="Times New Roman"/>
          <w:i/>
        </w:rPr>
        <w:t>Traveller</w:t>
      </w:r>
      <w:proofErr w:type="spellEnd"/>
      <w:r w:rsidRPr="009E7070">
        <w:rPr>
          <w:rFonts w:ascii="Times New Roman" w:hAnsi="Times New Roman" w:cs="Times New Roman"/>
          <w:i/>
        </w:rPr>
        <w:t xml:space="preserve"> Services, Inc. v. Pa. Dept. of Environment Resources,</w:t>
      </w:r>
      <w:r w:rsidRPr="009E7070">
        <w:rPr>
          <w:rFonts w:ascii="Times New Roman" w:hAnsi="Times New Roman" w:cs="Times New Roman"/>
        </w:rPr>
        <w:t xml:space="preserve"> 406 A.2d 1020 (Pa. 1979); </w:t>
      </w:r>
      <w:r w:rsidRPr="009E7070">
        <w:rPr>
          <w:rFonts w:ascii="Times New Roman" w:hAnsi="Times New Roman" w:cs="Times New Roman"/>
          <w:i/>
        </w:rPr>
        <w:t xml:space="preserve">Rivera v. Philadelphia Theological Seminary of St. Charles </w:t>
      </w:r>
      <w:proofErr w:type="spellStart"/>
      <w:r w:rsidRPr="009E7070">
        <w:rPr>
          <w:rFonts w:ascii="Times New Roman" w:hAnsi="Times New Roman" w:cs="Times New Roman"/>
          <w:i/>
        </w:rPr>
        <w:t>Borromeo</w:t>
      </w:r>
      <w:proofErr w:type="spellEnd"/>
      <w:r w:rsidRPr="009E7070">
        <w:rPr>
          <w:rFonts w:ascii="Times New Roman" w:hAnsi="Times New Roman" w:cs="Times New Roman"/>
          <w:i/>
        </w:rPr>
        <w:t>, Inc.</w:t>
      </w:r>
      <w:r w:rsidRPr="009E7070">
        <w:rPr>
          <w:rFonts w:ascii="Times New Roman" w:hAnsi="Times New Roman" w:cs="Times New Roman"/>
        </w:rPr>
        <w:t>, 595 A.2d 172 (Pa. Super. 1991)</w:t>
      </w:r>
      <w:r w:rsidR="003619E4">
        <w:rPr>
          <w:rFonts w:ascii="Times New Roman" w:hAnsi="Times New Roman" w:cs="Times New Roman"/>
        </w:rPr>
        <w:t>.</w:t>
      </w:r>
      <w:proofErr w:type="gramEnd"/>
      <w:r w:rsidRPr="009E7070">
        <w:rPr>
          <w:rFonts w:ascii="Times New Roman" w:hAnsi="Times New Roman" w:cs="Times New Roman"/>
        </w:rPr>
        <w:t xml:space="preserve">  The Commission follows this standard.  </w:t>
      </w:r>
      <w:r w:rsidRPr="009E7070">
        <w:rPr>
          <w:rFonts w:ascii="Times New Roman" w:hAnsi="Times New Roman" w:cs="Times New Roman"/>
          <w:i/>
        </w:rPr>
        <w:t>Montague v. Philadelphia Electric Company</w:t>
      </w:r>
      <w:r w:rsidRPr="009E7070">
        <w:rPr>
          <w:rFonts w:ascii="Times New Roman" w:hAnsi="Times New Roman" w:cs="Times New Roman"/>
        </w:rPr>
        <w:t>, 66 Pa. PUC 24 (1988)</w:t>
      </w:r>
    </w:p>
    <w:p w:rsidR="00CC6674" w:rsidRPr="009E7070" w:rsidRDefault="00CC6674" w:rsidP="00CC6674">
      <w:pPr>
        <w:pStyle w:val="ParaTab1"/>
        <w:spacing w:line="360" w:lineRule="auto"/>
        <w:ind w:firstLine="1350"/>
        <w:rPr>
          <w:rFonts w:ascii="Times New Roman" w:hAnsi="Times New Roman" w:cs="Times New Roman"/>
        </w:rPr>
      </w:pPr>
    </w:p>
    <w:p w:rsidR="00CC6674" w:rsidRPr="009E7070" w:rsidRDefault="00CC6674" w:rsidP="00CC6674">
      <w:pPr>
        <w:pStyle w:val="ParaTab1"/>
        <w:spacing w:line="360" w:lineRule="auto"/>
        <w:ind w:firstLine="1350"/>
        <w:rPr>
          <w:rFonts w:ascii="Times New Roman" w:hAnsi="Times New Roman" w:cs="Times New Roman"/>
        </w:rPr>
      </w:pPr>
      <w:r w:rsidRPr="009E7070">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9E7070">
        <w:rPr>
          <w:rFonts w:ascii="Times New Roman" w:hAnsi="Times New Roman" w:cs="Times New Roman"/>
          <w:i/>
        </w:rPr>
        <w:t>County of Allegheny v. Commonwealth of Pennsylvania,</w:t>
      </w:r>
      <w:r w:rsidRPr="009E7070">
        <w:rPr>
          <w:rFonts w:ascii="Times New Roman" w:hAnsi="Times New Roman" w:cs="Times New Roman"/>
        </w:rPr>
        <w:t xml:space="preserve"> 490 A. 2d 402 (Pa. 1985); </w:t>
      </w:r>
      <w:r w:rsidRPr="009E7070">
        <w:rPr>
          <w:rFonts w:ascii="Times New Roman" w:hAnsi="Times New Roman" w:cs="Times New Roman"/>
          <w:i/>
        </w:rPr>
        <w:t>Commonwealth of Pennsylvania v. Bell Telephone Co. of Pa.</w:t>
      </w:r>
      <w:r w:rsidRPr="009E7070">
        <w:rPr>
          <w:rFonts w:ascii="Times New Roman" w:hAnsi="Times New Roman" w:cs="Times New Roman"/>
        </w:rPr>
        <w:t>, 551 A.2d 602 (Pa. Cmwlth. 1988).</w:t>
      </w:r>
      <w:proofErr w:type="gramEnd"/>
      <w:r w:rsidRPr="009E7070">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9E7070">
        <w:rPr>
          <w:rFonts w:ascii="Times New Roman" w:hAnsi="Times New Roman" w:cs="Times New Roman"/>
          <w:i/>
        </w:rPr>
        <w:t>Equitable Small Transportation Intervenors v. Equitable Gas Company</w:t>
      </w:r>
      <w:r w:rsidRPr="009E7070">
        <w:rPr>
          <w:rFonts w:ascii="Times New Roman" w:hAnsi="Times New Roman" w:cs="Times New Roman"/>
        </w:rPr>
        <w:t xml:space="preserve">, 1994 Pa PUC LEXIS 69, Docket No. </w:t>
      </w:r>
      <w:proofErr w:type="gramStart"/>
      <w:r w:rsidRPr="009E7070">
        <w:rPr>
          <w:rFonts w:ascii="Times New Roman" w:hAnsi="Times New Roman" w:cs="Times New Roman"/>
        </w:rPr>
        <w:t>C-00935435 (July 18, 1994)</w:t>
      </w:r>
      <w:r w:rsidR="008E741C">
        <w:rPr>
          <w:rFonts w:ascii="Times New Roman" w:hAnsi="Times New Roman" w:cs="Times New Roman"/>
        </w:rPr>
        <w:t>.</w:t>
      </w:r>
      <w:proofErr w:type="gramEnd"/>
    </w:p>
    <w:p w:rsidR="00CC6674" w:rsidRPr="009E7070" w:rsidRDefault="00CC6674" w:rsidP="00CC6674">
      <w:pPr>
        <w:pStyle w:val="ParaTab1"/>
        <w:spacing w:line="360" w:lineRule="auto"/>
        <w:ind w:firstLine="1350"/>
        <w:rPr>
          <w:rFonts w:ascii="Times New Roman" w:hAnsi="Times New Roman" w:cs="Times New Roman"/>
        </w:rPr>
      </w:pPr>
    </w:p>
    <w:p w:rsidR="00CC6674" w:rsidRPr="009E7070" w:rsidRDefault="00CC6674" w:rsidP="00CC6674">
      <w:pPr>
        <w:pStyle w:val="ParaTab1"/>
        <w:spacing w:line="360" w:lineRule="auto"/>
        <w:ind w:firstLine="1350"/>
        <w:rPr>
          <w:rFonts w:ascii="Times New Roman" w:hAnsi="Times New Roman" w:cs="Times New Roman"/>
        </w:rPr>
      </w:pPr>
      <w:r w:rsidRPr="009E7070">
        <w:rPr>
          <w:rFonts w:ascii="Times New Roman" w:hAnsi="Times New Roman" w:cs="Times New Roman"/>
        </w:rPr>
        <w:t>The Commission regulation at 52 Pa. Code §5.21(a) states that a person may file a formal complaint claiming violation of a statute that the Commission has jurisdiction to administer.  The regulation at 52 Pa. Code §5.21(d) authorizes the Commission to dismiss a complaint if a hearing is not necessary and authorizes preliminary objections to be fil</w:t>
      </w:r>
      <w:r w:rsidR="00052E0F">
        <w:rPr>
          <w:rFonts w:ascii="Times New Roman" w:hAnsi="Times New Roman" w:cs="Times New Roman"/>
        </w:rPr>
        <w:t>ed in response to a complaint.</w:t>
      </w:r>
    </w:p>
    <w:p w:rsidR="00CC6674" w:rsidRPr="009E7070" w:rsidRDefault="00CC6674" w:rsidP="00CC6674">
      <w:pPr>
        <w:pStyle w:val="ParaTab1"/>
        <w:spacing w:line="360" w:lineRule="auto"/>
        <w:ind w:firstLine="1350"/>
        <w:rPr>
          <w:rFonts w:ascii="Times New Roman" w:hAnsi="Times New Roman" w:cs="Times New Roman"/>
        </w:rPr>
      </w:pPr>
    </w:p>
    <w:p w:rsidR="00CC6674" w:rsidRPr="009E7070" w:rsidRDefault="00CC6674" w:rsidP="00CC6674">
      <w:pPr>
        <w:pStyle w:val="ParaTab1"/>
        <w:spacing w:line="360" w:lineRule="auto"/>
        <w:ind w:firstLine="1350"/>
        <w:rPr>
          <w:rFonts w:ascii="Times New Roman" w:hAnsi="Times New Roman" w:cs="Times New Roman"/>
        </w:rPr>
      </w:pPr>
      <w:r w:rsidRPr="009E7070">
        <w:rPr>
          <w:rFonts w:ascii="Times New Roman" w:hAnsi="Times New Roman" w:cs="Times New Roman"/>
        </w:rPr>
        <w:t>The regulation at 52 Pa. Code §5.101(a</w:t>
      </w:r>
      <w:proofErr w:type="gramStart"/>
      <w:r w:rsidRPr="009E7070">
        <w:rPr>
          <w:rFonts w:ascii="Times New Roman" w:hAnsi="Times New Roman" w:cs="Times New Roman"/>
        </w:rPr>
        <w:t>)(</w:t>
      </w:r>
      <w:proofErr w:type="gramEnd"/>
      <w:r w:rsidRPr="009E7070">
        <w:rPr>
          <w:rFonts w:ascii="Times New Roman" w:hAnsi="Times New Roman" w:cs="Times New Roman"/>
        </w:rPr>
        <w:t>6) permits the filing of a preliminary objection to dismiss a pleading due to the pendency of a prior proceeding.  The provision at 52 Pa. Code §5.101(a</w:t>
      </w:r>
      <w:proofErr w:type="gramStart"/>
      <w:r w:rsidRPr="009E7070">
        <w:rPr>
          <w:rFonts w:ascii="Times New Roman" w:hAnsi="Times New Roman" w:cs="Times New Roman"/>
        </w:rPr>
        <w:t>)(</w:t>
      </w:r>
      <w:proofErr w:type="gramEnd"/>
      <w:r w:rsidRPr="009E7070">
        <w:rPr>
          <w:rFonts w:ascii="Times New Roman" w:hAnsi="Times New Roman" w:cs="Times New Roman"/>
        </w:rPr>
        <w:t xml:space="preserve">6) serves judicial economy by avoiding a hearing where no factual dispute exists.  If no factual issue pertinent to the resolution of a case exists, a hearing is unnecessary.  </w:t>
      </w:r>
      <w:proofErr w:type="gramStart"/>
      <w:r w:rsidRPr="009E7070">
        <w:rPr>
          <w:rFonts w:ascii="Times New Roman" w:hAnsi="Times New Roman" w:cs="Times New Roman"/>
        </w:rPr>
        <w:t xml:space="preserve">66 Pa. C.S. §703(a); </w:t>
      </w:r>
      <w:r w:rsidRPr="009E7070">
        <w:rPr>
          <w:rFonts w:ascii="Times New Roman" w:hAnsi="Times New Roman" w:cs="Times New Roman"/>
          <w:i/>
        </w:rPr>
        <w:t>Lehigh Valley Power Committee v. Pennsylvania Pub.</w:t>
      </w:r>
      <w:proofErr w:type="gramEnd"/>
      <w:r w:rsidRPr="009E7070">
        <w:rPr>
          <w:rFonts w:ascii="Times New Roman" w:hAnsi="Times New Roman" w:cs="Times New Roman"/>
          <w:i/>
        </w:rPr>
        <w:t xml:space="preserve"> </w:t>
      </w:r>
      <w:proofErr w:type="gramStart"/>
      <w:r w:rsidRPr="009E7070">
        <w:rPr>
          <w:rFonts w:ascii="Times New Roman" w:hAnsi="Times New Roman" w:cs="Times New Roman"/>
          <w:i/>
        </w:rPr>
        <w:t>Util. Comm’n.,</w:t>
      </w:r>
      <w:r w:rsidRPr="009E7070">
        <w:rPr>
          <w:rFonts w:ascii="Times New Roman" w:hAnsi="Times New Roman" w:cs="Times New Roman"/>
        </w:rPr>
        <w:t xml:space="preserve"> 563 A.2d 557 (Pa. Cmwlth. 1989); </w:t>
      </w:r>
      <w:r w:rsidRPr="009E7070">
        <w:rPr>
          <w:rFonts w:ascii="Times New Roman" w:hAnsi="Times New Roman" w:cs="Times New Roman"/>
          <w:i/>
        </w:rPr>
        <w:t>Lehigh Valley Power Committee v. Pennsylvania Pub.</w:t>
      </w:r>
      <w:proofErr w:type="gramEnd"/>
      <w:r w:rsidRPr="009E7070">
        <w:rPr>
          <w:rFonts w:ascii="Times New Roman" w:hAnsi="Times New Roman" w:cs="Times New Roman"/>
          <w:i/>
        </w:rPr>
        <w:t xml:space="preserve"> </w:t>
      </w:r>
      <w:proofErr w:type="gramStart"/>
      <w:r w:rsidRPr="009E7070">
        <w:rPr>
          <w:rFonts w:ascii="Times New Roman" w:hAnsi="Times New Roman" w:cs="Times New Roman"/>
          <w:i/>
        </w:rPr>
        <w:t>Util.</w:t>
      </w:r>
      <w:r w:rsidRPr="009E7070">
        <w:rPr>
          <w:rFonts w:ascii="Times New Roman" w:hAnsi="Times New Roman" w:cs="Times New Roman"/>
          <w:u w:val="single"/>
        </w:rPr>
        <w:t xml:space="preserve"> </w:t>
      </w:r>
      <w:r w:rsidRPr="009E7070">
        <w:rPr>
          <w:rFonts w:ascii="Times New Roman" w:hAnsi="Times New Roman" w:cs="Times New Roman"/>
          <w:i/>
        </w:rPr>
        <w:t>Comm’n.</w:t>
      </w:r>
      <w:r w:rsidRPr="009E7070">
        <w:rPr>
          <w:rFonts w:ascii="Times New Roman" w:hAnsi="Times New Roman" w:cs="Times New Roman"/>
        </w:rPr>
        <w:t xml:space="preserve">, 563 A.2d 548 (Pa. Cmwlth. 1989); </w:t>
      </w:r>
      <w:r w:rsidRPr="009E7070">
        <w:rPr>
          <w:rFonts w:ascii="Times New Roman" w:hAnsi="Times New Roman" w:cs="Times New Roman"/>
          <w:i/>
        </w:rPr>
        <w:t>S.M.E. Bessemer Cement, Inc. v. Pennsylvania Pub.</w:t>
      </w:r>
      <w:proofErr w:type="gramEnd"/>
      <w:r w:rsidRPr="009E7070">
        <w:rPr>
          <w:rFonts w:ascii="Times New Roman" w:hAnsi="Times New Roman" w:cs="Times New Roman"/>
          <w:i/>
        </w:rPr>
        <w:t xml:space="preserve"> </w:t>
      </w:r>
      <w:proofErr w:type="gramStart"/>
      <w:r w:rsidRPr="009E7070">
        <w:rPr>
          <w:rFonts w:ascii="Times New Roman" w:hAnsi="Times New Roman" w:cs="Times New Roman"/>
          <w:i/>
        </w:rPr>
        <w:t>Util. Comm’n.</w:t>
      </w:r>
      <w:r w:rsidRPr="009E7070">
        <w:rPr>
          <w:rFonts w:ascii="Times New Roman" w:hAnsi="Times New Roman" w:cs="Times New Roman"/>
        </w:rPr>
        <w:t xml:space="preserve">, 540 A.2d 1006 (Pa. Cmwlth. 1988); </w:t>
      </w:r>
      <w:r w:rsidRPr="009E7070">
        <w:rPr>
          <w:rFonts w:ascii="Times New Roman" w:hAnsi="Times New Roman" w:cs="Times New Roman"/>
          <w:i/>
        </w:rPr>
        <w:t>White Oak Borough Authority v. Pennsylvania Pub.</w:t>
      </w:r>
      <w:proofErr w:type="gramEnd"/>
      <w:r w:rsidRPr="009E7070">
        <w:rPr>
          <w:rFonts w:ascii="Times New Roman" w:hAnsi="Times New Roman" w:cs="Times New Roman"/>
          <w:i/>
        </w:rPr>
        <w:t xml:space="preserve"> </w:t>
      </w:r>
      <w:proofErr w:type="gramStart"/>
      <w:r w:rsidRPr="009E7070">
        <w:rPr>
          <w:rFonts w:ascii="Times New Roman" w:hAnsi="Times New Roman" w:cs="Times New Roman"/>
          <w:i/>
        </w:rPr>
        <w:t>Util. Comm’n.</w:t>
      </w:r>
      <w:r w:rsidRPr="009E7070">
        <w:rPr>
          <w:rFonts w:ascii="Times New Roman" w:hAnsi="Times New Roman" w:cs="Times New Roman"/>
        </w:rPr>
        <w:t>,</w:t>
      </w:r>
      <w:r w:rsidR="004957F3">
        <w:rPr>
          <w:rFonts w:ascii="Times New Roman" w:hAnsi="Times New Roman" w:cs="Times New Roman"/>
        </w:rPr>
        <w:t xml:space="preserve"> 103 A.2d 502 (Pa. Super. 1954).</w:t>
      </w:r>
      <w:proofErr w:type="gramEnd"/>
    </w:p>
    <w:p w:rsidR="00CC6674" w:rsidRPr="009E7070" w:rsidRDefault="00CC6674" w:rsidP="00CC6674">
      <w:pPr>
        <w:pStyle w:val="ParaTab1"/>
        <w:spacing w:line="360" w:lineRule="auto"/>
        <w:ind w:firstLine="1350"/>
        <w:rPr>
          <w:rFonts w:ascii="Times New Roman" w:hAnsi="Times New Roman" w:cs="Times New Roman"/>
        </w:rPr>
      </w:pPr>
    </w:p>
    <w:p w:rsidR="00EF27DB" w:rsidRDefault="00CC6674" w:rsidP="00BF0642">
      <w:pPr>
        <w:pStyle w:val="ParaTab1"/>
        <w:spacing w:line="360" w:lineRule="auto"/>
        <w:ind w:firstLine="1350"/>
        <w:rPr>
          <w:rFonts w:ascii="Times New Roman" w:hAnsi="Times New Roman" w:cs="Times New Roman"/>
        </w:rPr>
      </w:pPr>
      <w:r w:rsidRPr="009E7070">
        <w:rPr>
          <w:rFonts w:ascii="Times New Roman" w:hAnsi="Times New Roman" w:cs="Times New Roman"/>
        </w:rPr>
        <w:t>In the instant case,</w:t>
      </w:r>
      <w:r w:rsidR="00C8144E" w:rsidRPr="009E7070">
        <w:rPr>
          <w:rFonts w:ascii="Times New Roman" w:hAnsi="Times New Roman" w:cs="Times New Roman"/>
        </w:rPr>
        <w:t xml:space="preserve"> the Respondent’s preliminary objection</w:t>
      </w:r>
      <w:r w:rsidR="006F6374" w:rsidRPr="009E7070">
        <w:rPr>
          <w:rFonts w:ascii="Times New Roman" w:hAnsi="Times New Roman" w:cs="Times New Roman"/>
        </w:rPr>
        <w:t>s</w:t>
      </w:r>
      <w:r w:rsidR="00C8144E" w:rsidRPr="009E7070">
        <w:rPr>
          <w:rFonts w:ascii="Times New Roman" w:hAnsi="Times New Roman" w:cs="Times New Roman"/>
        </w:rPr>
        <w:t xml:space="preserve"> assert </w:t>
      </w:r>
      <w:r w:rsidR="009B532E" w:rsidRPr="009E7070">
        <w:rPr>
          <w:rFonts w:ascii="Times New Roman" w:hAnsi="Times New Roman" w:cs="Times New Roman"/>
        </w:rPr>
        <w:t xml:space="preserve">that </w:t>
      </w:r>
      <w:r w:rsidR="00A331A7" w:rsidRPr="009E7070">
        <w:rPr>
          <w:rFonts w:ascii="Times New Roman" w:hAnsi="Times New Roman" w:cs="Times New Roman"/>
        </w:rPr>
        <w:t xml:space="preserve">the doctrine of </w:t>
      </w:r>
      <w:r w:rsidR="00A331A7" w:rsidRPr="009E7070">
        <w:rPr>
          <w:rFonts w:ascii="Times New Roman" w:hAnsi="Times New Roman" w:cs="Times New Roman"/>
          <w:i/>
        </w:rPr>
        <w:t xml:space="preserve">res judicata </w:t>
      </w:r>
      <w:r w:rsidR="00A331A7" w:rsidRPr="009E7070">
        <w:rPr>
          <w:rFonts w:ascii="Times New Roman" w:hAnsi="Times New Roman" w:cs="Times New Roman"/>
        </w:rPr>
        <w:t xml:space="preserve">is applicable to the facts asserted and the Complaint should be dismissed because there has been a final judgment on the same merits by the Commission’s </w:t>
      </w:r>
      <w:r w:rsidR="00EF27DB" w:rsidRPr="009E7070">
        <w:rPr>
          <w:rFonts w:ascii="Times New Roman" w:hAnsi="Times New Roman" w:cs="Times New Roman"/>
        </w:rPr>
        <w:t xml:space="preserve">decision in </w:t>
      </w:r>
      <w:r w:rsidR="00EF27DB" w:rsidRPr="009E7070">
        <w:rPr>
          <w:rFonts w:ascii="Times New Roman" w:hAnsi="Times New Roman" w:cs="Times New Roman"/>
          <w:i/>
        </w:rPr>
        <w:t xml:space="preserve">Dolores </w:t>
      </w:r>
      <w:proofErr w:type="spellStart"/>
      <w:r w:rsidR="00EF27DB" w:rsidRPr="009E7070">
        <w:rPr>
          <w:rFonts w:ascii="Times New Roman" w:hAnsi="Times New Roman" w:cs="Times New Roman"/>
          <w:i/>
        </w:rPr>
        <w:t>Sarno</w:t>
      </w:r>
      <w:proofErr w:type="spellEnd"/>
      <w:r w:rsidR="00EF27DB" w:rsidRPr="009E7070">
        <w:rPr>
          <w:rFonts w:ascii="Times New Roman" w:hAnsi="Times New Roman" w:cs="Times New Roman"/>
          <w:i/>
        </w:rPr>
        <w:t xml:space="preserve"> v. PECO Energy Company, </w:t>
      </w:r>
      <w:r w:rsidR="00EF27DB" w:rsidRPr="009E7070">
        <w:rPr>
          <w:rFonts w:ascii="Times New Roman" w:hAnsi="Times New Roman" w:cs="Times New Roman"/>
        </w:rPr>
        <w:t>Docket No. C-2011-2263549, Final Order entered August</w:t>
      </w:r>
      <w:r w:rsidR="000B1623">
        <w:rPr>
          <w:rFonts w:ascii="Times New Roman" w:hAnsi="Times New Roman" w:cs="Times New Roman"/>
        </w:rPr>
        <w:t> 16, 2012.</w:t>
      </w:r>
    </w:p>
    <w:p w:rsidR="000B1623" w:rsidRPr="009E7070" w:rsidRDefault="000B1623" w:rsidP="00BF0642">
      <w:pPr>
        <w:pStyle w:val="ParaTab1"/>
        <w:spacing w:line="360" w:lineRule="auto"/>
        <w:ind w:firstLine="1350"/>
        <w:rPr>
          <w:rFonts w:ascii="Times New Roman" w:hAnsi="Times New Roman" w:cs="Times New Roman"/>
        </w:rPr>
      </w:pPr>
    </w:p>
    <w:p w:rsidR="003C3847" w:rsidRPr="009E7070" w:rsidRDefault="00C94FC7" w:rsidP="00CC6674">
      <w:pPr>
        <w:pStyle w:val="BodyText"/>
        <w:ind w:firstLine="1440"/>
        <w:jc w:val="left"/>
        <w:rPr>
          <w:sz w:val="24"/>
          <w:szCs w:val="24"/>
        </w:rPr>
      </w:pPr>
      <w:r w:rsidRPr="009E7070">
        <w:rPr>
          <w:sz w:val="24"/>
          <w:szCs w:val="24"/>
        </w:rPr>
        <w:t xml:space="preserve">In the case of </w:t>
      </w:r>
      <w:r w:rsidRPr="009E7070">
        <w:rPr>
          <w:i/>
          <w:sz w:val="24"/>
          <w:szCs w:val="24"/>
        </w:rPr>
        <w:t>Lorrie Reynolds v. PPL Electric Utilities Corp</w:t>
      </w:r>
      <w:r w:rsidRPr="009E7070">
        <w:rPr>
          <w:sz w:val="24"/>
          <w:szCs w:val="24"/>
        </w:rPr>
        <w:t>., C-2011-2255268, Opinion and Order entered December 15, 2011, the Commission treated Preliminary Objections filed by PPL Electric Utilities Corporation as a Motion for Judgment on the Pleadings and dismissed Complainant’s Complaint with prejudice under the theory that a certificate of satisfaction had been filed in a prior complaint disposing of the same issues of material fact averred in the</w:t>
      </w:r>
      <w:r w:rsidR="00A0146D" w:rsidRPr="009E7070">
        <w:rPr>
          <w:sz w:val="24"/>
          <w:szCs w:val="24"/>
        </w:rPr>
        <w:t xml:space="preserve"> precluded second </w:t>
      </w:r>
      <w:r w:rsidR="007E542B">
        <w:rPr>
          <w:sz w:val="24"/>
          <w:szCs w:val="24"/>
        </w:rPr>
        <w:t>complaint.</w:t>
      </w:r>
    </w:p>
    <w:p w:rsidR="00CC6674" w:rsidRPr="009E7070" w:rsidRDefault="00CC6674" w:rsidP="00CC6674">
      <w:pPr>
        <w:pStyle w:val="BodyText"/>
        <w:ind w:firstLine="1440"/>
        <w:jc w:val="left"/>
        <w:rPr>
          <w:sz w:val="24"/>
          <w:szCs w:val="24"/>
        </w:rPr>
      </w:pPr>
    </w:p>
    <w:p w:rsidR="003C3847" w:rsidRPr="009E7070" w:rsidRDefault="003C3847" w:rsidP="003C3847">
      <w:pPr>
        <w:spacing w:line="360" w:lineRule="auto"/>
        <w:ind w:firstLine="720"/>
        <w:rPr>
          <w:rFonts w:ascii="Times New Roman" w:hAnsi="Times New Roman" w:cs="Times New Roman"/>
        </w:rPr>
      </w:pPr>
      <w:r w:rsidRPr="009E7070">
        <w:rPr>
          <w:rFonts w:ascii="Times New Roman" w:hAnsi="Times New Roman" w:cs="Times New Roman"/>
        </w:rPr>
        <w:tab/>
        <w:t xml:space="preserve">Although the Commission agreed with the ALJ’s dismissal of the Complaint with prejudice in the </w:t>
      </w:r>
      <w:r w:rsidRPr="009E7070">
        <w:rPr>
          <w:rFonts w:ascii="Times New Roman" w:hAnsi="Times New Roman" w:cs="Times New Roman"/>
          <w:i/>
        </w:rPr>
        <w:t xml:space="preserve">Reynolds </w:t>
      </w:r>
      <w:r w:rsidRPr="009E7070">
        <w:rPr>
          <w:rFonts w:ascii="Times New Roman" w:hAnsi="Times New Roman" w:cs="Times New Roman"/>
        </w:rPr>
        <w:t xml:space="preserve">case, it disagreed with the ALJ’s basis for the dismissal.  The Commission held that the doctrine of </w:t>
      </w:r>
      <w:r w:rsidRPr="009E7070">
        <w:rPr>
          <w:rFonts w:ascii="Times New Roman" w:hAnsi="Times New Roman" w:cs="Times New Roman"/>
          <w:i/>
        </w:rPr>
        <w:t xml:space="preserve">res judicata </w:t>
      </w:r>
      <w:r w:rsidRPr="009E7070">
        <w:rPr>
          <w:rFonts w:ascii="Times New Roman" w:hAnsi="Times New Roman" w:cs="Times New Roman"/>
        </w:rPr>
        <w:t xml:space="preserve">did not apply in that case because there was never a decision by the Commission on the merits of the case with regard to the May 2009 Complaint proceeding.  Rather, </w:t>
      </w:r>
      <w:r w:rsidR="009144FE">
        <w:rPr>
          <w:rFonts w:ascii="Times New Roman" w:hAnsi="Times New Roman" w:cs="Times New Roman"/>
        </w:rPr>
        <w:t>a</w:t>
      </w:r>
      <w:r w:rsidRPr="009E7070">
        <w:rPr>
          <w:rFonts w:ascii="Times New Roman" w:hAnsi="Times New Roman" w:cs="Times New Roman"/>
        </w:rPr>
        <w:t xml:space="preserve"> Certificate of Satisfaction, which resolved the May 2009 Complaint and was approved by the Commission, ha</w:t>
      </w:r>
      <w:r w:rsidR="00CC6674" w:rsidRPr="009E7070">
        <w:rPr>
          <w:rFonts w:ascii="Times New Roman" w:hAnsi="Times New Roman" w:cs="Times New Roman"/>
        </w:rPr>
        <w:t>d</w:t>
      </w:r>
      <w:r w:rsidRPr="009E7070">
        <w:rPr>
          <w:rFonts w:ascii="Times New Roman" w:hAnsi="Times New Roman" w:cs="Times New Roman"/>
        </w:rPr>
        <w:t xml:space="preserve"> precluded the Complainant from raising the same claims before the Commission a second time.</w:t>
      </w:r>
    </w:p>
    <w:p w:rsidR="003C3847" w:rsidRPr="009E7070" w:rsidRDefault="003C3847" w:rsidP="003C3847">
      <w:pPr>
        <w:spacing w:line="360" w:lineRule="auto"/>
        <w:ind w:firstLine="1440"/>
        <w:rPr>
          <w:rFonts w:ascii="Times New Roman" w:hAnsi="Times New Roman" w:cs="Times New Roman"/>
        </w:rPr>
      </w:pPr>
    </w:p>
    <w:p w:rsidR="003C3847" w:rsidRPr="009E7070" w:rsidRDefault="003C3847" w:rsidP="003C3847">
      <w:pPr>
        <w:spacing w:line="360" w:lineRule="auto"/>
        <w:ind w:firstLine="1440"/>
        <w:rPr>
          <w:rFonts w:ascii="Times New Roman" w:hAnsi="Times New Roman" w:cs="Times New Roman"/>
        </w:rPr>
      </w:pPr>
      <w:r w:rsidRPr="009E7070">
        <w:rPr>
          <w:rFonts w:ascii="Times New Roman" w:hAnsi="Times New Roman" w:cs="Times New Roman"/>
        </w:rPr>
        <w:t>As the ALJ noted, a final valid judgment on the merits by a court of competent jurisdiction bars any future suit between the same parties, on the same cause of action.</w:t>
      </w:r>
      <w:r w:rsidRPr="009E7070">
        <w:rPr>
          <w:rStyle w:val="FootnoteReference"/>
          <w:rFonts w:ascii="Times New Roman" w:hAnsi="Times New Roman" w:cs="Times New Roman"/>
        </w:rPr>
        <w:footnoteReference w:id="1"/>
      </w:r>
      <w:r w:rsidRPr="009E7070">
        <w:rPr>
          <w:rFonts w:ascii="Times New Roman" w:hAnsi="Times New Roman" w:cs="Times New Roman"/>
        </w:rPr>
        <w:t xml:space="preserve">  In the </w:t>
      </w:r>
      <w:r w:rsidRPr="009E7070">
        <w:rPr>
          <w:rFonts w:ascii="Times New Roman" w:hAnsi="Times New Roman" w:cs="Times New Roman"/>
          <w:i/>
        </w:rPr>
        <w:t xml:space="preserve">Reynolds </w:t>
      </w:r>
      <w:r w:rsidRPr="009E7070">
        <w:rPr>
          <w:rFonts w:ascii="Times New Roman" w:hAnsi="Times New Roman" w:cs="Times New Roman"/>
        </w:rPr>
        <w:t xml:space="preserve">case, however, the Commission did not hear the case on its merits and did not issue a decision based upon the merits of the case.  Rather, a settlement was reached, to which neither party objected, resulting in the Commission closing the action.  The Commission held that while it was true that the four elements of the doctrine of </w:t>
      </w:r>
      <w:r w:rsidRPr="009E7070">
        <w:rPr>
          <w:rFonts w:ascii="Times New Roman" w:hAnsi="Times New Roman" w:cs="Times New Roman"/>
          <w:i/>
        </w:rPr>
        <w:t>res judicata</w:t>
      </w:r>
      <w:r w:rsidR="00764D94">
        <w:rPr>
          <w:rFonts w:ascii="Times New Roman" w:hAnsi="Times New Roman" w:cs="Times New Roman"/>
        </w:rPr>
        <w:t xml:space="preserve"> were met, specifically: 1) </w:t>
      </w:r>
      <w:r w:rsidRPr="009E7070">
        <w:rPr>
          <w:rFonts w:ascii="Times New Roman" w:hAnsi="Times New Roman" w:cs="Times New Roman"/>
        </w:rPr>
        <w:t>identical issues; 2) identical causes of action; 3) identical parties to the action; and 4) identical quality and capacity of the parties suing or sued, the threshold consideration in determining whether the doctrine applies was not met.  That threshold inquiry is whether the Commission reached a final valid judgm</w:t>
      </w:r>
      <w:r w:rsidR="006E6C3C">
        <w:rPr>
          <w:rFonts w:ascii="Times New Roman" w:hAnsi="Times New Roman" w:cs="Times New Roman"/>
        </w:rPr>
        <w:t>ent on the merits of the case.</w:t>
      </w:r>
    </w:p>
    <w:p w:rsidR="003C3847" w:rsidRPr="009E7070" w:rsidRDefault="003C3847" w:rsidP="003C3847">
      <w:pPr>
        <w:spacing w:line="360" w:lineRule="auto"/>
        <w:ind w:firstLine="1440"/>
        <w:rPr>
          <w:rFonts w:ascii="Times New Roman" w:hAnsi="Times New Roman" w:cs="Times New Roman"/>
        </w:rPr>
      </w:pPr>
    </w:p>
    <w:p w:rsidR="003C3847" w:rsidRPr="009E7070" w:rsidRDefault="003C3847" w:rsidP="003C3847">
      <w:pPr>
        <w:spacing w:line="360" w:lineRule="auto"/>
        <w:ind w:firstLine="1440"/>
        <w:rPr>
          <w:rFonts w:ascii="Times New Roman" w:hAnsi="Times New Roman" w:cs="Times New Roman"/>
        </w:rPr>
      </w:pPr>
      <w:r w:rsidRPr="009E7070">
        <w:rPr>
          <w:rFonts w:ascii="Times New Roman" w:hAnsi="Times New Roman" w:cs="Times New Roman"/>
        </w:rPr>
        <w:t xml:space="preserve">The instant case can be distinguished from the </w:t>
      </w:r>
      <w:r w:rsidRPr="009E7070">
        <w:rPr>
          <w:rFonts w:ascii="Times New Roman" w:hAnsi="Times New Roman" w:cs="Times New Roman"/>
          <w:i/>
        </w:rPr>
        <w:t>Reynolds</w:t>
      </w:r>
      <w:r w:rsidRPr="009E7070">
        <w:rPr>
          <w:rFonts w:ascii="Times New Roman" w:hAnsi="Times New Roman" w:cs="Times New Roman"/>
        </w:rPr>
        <w:t xml:space="preserve"> case because Dolores </w:t>
      </w:r>
      <w:proofErr w:type="spellStart"/>
      <w:r w:rsidRPr="009E7070">
        <w:rPr>
          <w:rFonts w:ascii="Times New Roman" w:hAnsi="Times New Roman" w:cs="Times New Roman"/>
        </w:rPr>
        <w:t>Sarno</w:t>
      </w:r>
      <w:proofErr w:type="spellEnd"/>
      <w:r w:rsidRPr="009E7070">
        <w:rPr>
          <w:rFonts w:ascii="Times New Roman" w:hAnsi="Times New Roman" w:cs="Times New Roman"/>
        </w:rPr>
        <w:t xml:space="preserve"> had a fully litigated proceeding.  She had a hearing at Docket No. C-2011-2263549 on February 29, 2012.  An Initial Decision was rendered by ALJ Christopher Pell on June 22, 2012.  </w:t>
      </w:r>
      <w:proofErr w:type="gramStart"/>
      <w:r w:rsidRPr="009E7070">
        <w:rPr>
          <w:rFonts w:ascii="Times New Roman" w:hAnsi="Times New Roman" w:cs="Times New Roman"/>
        </w:rPr>
        <w:t xml:space="preserve">Whereas, in the </w:t>
      </w:r>
      <w:r w:rsidRPr="009E7070">
        <w:rPr>
          <w:rFonts w:ascii="Times New Roman" w:hAnsi="Times New Roman" w:cs="Times New Roman"/>
          <w:i/>
        </w:rPr>
        <w:t xml:space="preserve">Reynolds </w:t>
      </w:r>
      <w:r w:rsidRPr="009E7070">
        <w:rPr>
          <w:rFonts w:ascii="Times New Roman" w:hAnsi="Times New Roman" w:cs="Times New Roman"/>
        </w:rPr>
        <w:t>case, the Complainant did not have a hearing.</w:t>
      </w:r>
      <w:proofErr w:type="gramEnd"/>
      <w:r w:rsidRPr="009E7070">
        <w:rPr>
          <w:rFonts w:ascii="Times New Roman" w:hAnsi="Times New Roman" w:cs="Times New Roman"/>
        </w:rPr>
        <w:t xml:space="preserve">  Her case was settled by </w:t>
      </w:r>
      <w:r w:rsidR="00D07D7B">
        <w:rPr>
          <w:rFonts w:ascii="Times New Roman" w:hAnsi="Times New Roman" w:cs="Times New Roman"/>
        </w:rPr>
        <w:t>a certificate of satisfaction.</w:t>
      </w:r>
    </w:p>
    <w:p w:rsidR="003C3847" w:rsidRPr="009E7070" w:rsidRDefault="003C3847" w:rsidP="003C3847">
      <w:pPr>
        <w:spacing w:line="360" w:lineRule="auto"/>
        <w:ind w:firstLine="1440"/>
        <w:rPr>
          <w:rFonts w:ascii="Times New Roman" w:hAnsi="Times New Roman" w:cs="Times New Roman"/>
        </w:rPr>
      </w:pPr>
    </w:p>
    <w:p w:rsidR="003C3847" w:rsidRPr="009E7070" w:rsidRDefault="003C3847" w:rsidP="003C3847">
      <w:pPr>
        <w:spacing w:line="360" w:lineRule="auto"/>
        <w:ind w:firstLine="1440"/>
        <w:rPr>
          <w:rFonts w:ascii="Times New Roman" w:hAnsi="Times New Roman" w:cs="Times New Roman"/>
        </w:rPr>
      </w:pPr>
      <w:r w:rsidRPr="009E7070">
        <w:rPr>
          <w:rFonts w:ascii="Times New Roman" w:hAnsi="Times New Roman" w:cs="Times New Roman"/>
        </w:rPr>
        <w:t xml:space="preserve">Ms. </w:t>
      </w:r>
      <w:proofErr w:type="spellStart"/>
      <w:r w:rsidRPr="009E7070">
        <w:rPr>
          <w:rFonts w:ascii="Times New Roman" w:hAnsi="Times New Roman" w:cs="Times New Roman"/>
        </w:rPr>
        <w:t>Sarno</w:t>
      </w:r>
      <w:proofErr w:type="spellEnd"/>
      <w:r w:rsidRPr="009E7070">
        <w:rPr>
          <w:rFonts w:ascii="Times New Roman" w:hAnsi="Times New Roman" w:cs="Times New Roman"/>
        </w:rPr>
        <w:t xml:space="preserve"> had an opportunity to file exceptions to ALJ Pell’s Initial Decision,</w:t>
      </w:r>
      <w:r w:rsidR="00532E7E" w:rsidRPr="009E7070">
        <w:rPr>
          <w:rFonts w:ascii="Times New Roman" w:hAnsi="Times New Roman" w:cs="Times New Roman"/>
        </w:rPr>
        <w:t xml:space="preserve"> but she did not; consequently, on August 16, 2012, a Final Order was entered and the Initial Decision beca</w:t>
      </w:r>
      <w:r w:rsidR="005D6779">
        <w:rPr>
          <w:rFonts w:ascii="Times New Roman" w:hAnsi="Times New Roman" w:cs="Times New Roman"/>
        </w:rPr>
        <w:t xml:space="preserve">me final by operation of law.  </w:t>
      </w:r>
      <w:r w:rsidR="00532E7E" w:rsidRPr="009E7070">
        <w:rPr>
          <w:rFonts w:ascii="Times New Roman" w:hAnsi="Times New Roman" w:cs="Times New Roman"/>
        </w:rPr>
        <w:t xml:space="preserve">More than thirty days after the date of entry of the final order, Ms. </w:t>
      </w:r>
      <w:proofErr w:type="spellStart"/>
      <w:r w:rsidR="00532E7E" w:rsidRPr="009E7070">
        <w:rPr>
          <w:rFonts w:ascii="Times New Roman" w:hAnsi="Times New Roman" w:cs="Times New Roman"/>
        </w:rPr>
        <w:t>Sarno</w:t>
      </w:r>
      <w:proofErr w:type="spellEnd"/>
      <w:r w:rsidR="00532E7E" w:rsidRPr="009E7070">
        <w:rPr>
          <w:rFonts w:ascii="Times New Roman" w:hAnsi="Times New Roman" w:cs="Times New Roman"/>
        </w:rPr>
        <w:t xml:space="preserve"> filed another complaint essentially requesting reconsideration of the Final Order.  A</w:t>
      </w:r>
      <w:r w:rsidRPr="009E7070">
        <w:rPr>
          <w:rFonts w:ascii="Times New Roman" w:hAnsi="Times New Roman" w:cs="Times New Roman"/>
        </w:rPr>
        <w:t xml:space="preserve">ccordingly, since the same parties are involved, the same issues are involved, and the prior complaint was already fully litigated before this administrative agency, I will grant the Preliminary Objections of </w:t>
      </w:r>
      <w:r w:rsidR="003F7830">
        <w:rPr>
          <w:rFonts w:ascii="Times New Roman" w:hAnsi="Times New Roman" w:cs="Times New Roman"/>
        </w:rPr>
        <w:t>PECO</w:t>
      </w:r>
      <w:r w:rsidRPr="009E7070">
        <w:rPr>
          <w:rFonts w:ascii="Times New Roman" w:hAnsi="Times New Roman" w:cs="Times New Roman"/>
        </w:rPr>
        <w:t xml:space="preserve"> and treat them as a Motion for Judgment on the Pleadings, dismissing the Complaint with prejudice, and </w:t>
      </w:r>
      <w:r w:rsidR="00532E7E" w:rsidRPr="009E7070">
        <w:rPr>
          <w:rFonts w:ascii="Times New Roman" w:hAnsi="Times New Roman" w:cs="Times New Roman"/>
        </w:rPr>
        <w:t xml:space="preserve">will </w:t>
      </w:r>
      <w:r w:rsidR="00066DFA">
        <w:rPr>
          <w:rFonts w:ascii="Times New Roman" w:hAnsi="Times New Roman" w:cs="Times New Roman"/>
        </w:rPr>
        <w:t>mark the record closed.</w:t>
      </w:r>
    </w:p>
    <w:p w:rsidR="00207703" w:rsidRDefault="00207703" w:rsidP="00CC6674">
      <w:pPr>
        <w:pStyle w:val="BodyText"/>
        <w:ind w:firstLine="1440"/>
        <w:jc w:val="left"/>
        <w:rPr>
          <w:sz w:val="24"/>
          <w:szCs w:val="24"/>
        </w:rPr>
      </w:pPr>
    </w:p>
    <w:p w:rsidR="00CC6674" w:rsidRPr="009E7070" w:rsidRDefault="00CC6674" w:rsidP="00CC6674">
      <w:pPr>
        <w:pStyle w:val="BodyText"/>
        <w:ind w:firstLine="1440"/>
        <w:jc w:val="left"/>
        <w:rPr>
          <w:sz w:val="24"/>
          <w:szCs w:val="24"/>
        </w:rPr>
      </w:pPr>
      <w:r w:rsidRPr="009E7070">
        <w:rPr>
          <w:sz w:val="24"/>
          <w:szCs w:val="24"/>
        </w:rPr>
        <w:t xml:space="preserve">Similar to the </w:t>
      </w:r>
      <w:r w:rsidRPr="009E7070">
        <w:rPr>
          <w:i/>
          <w:sz w:val="24"/>
          <w:szCs w:val="24"/>
        </w:rPr>
        <w:t xml:space="preserve">Reynolds </w:t>
      </w:r>
      <w:r w:rsidRPr="009E7070">
        <w:rPr>
          <w:sz w:val="24"/>
          <w:szCs w:val="24"/>
        </w:rPr>
        <w:t>case, I will treat the Preliminary Objections as a Motion for Judgment on the Pleadings.  Motions for judgment on the pl</w:t>
      </w:r>
      <w:r w:rsidR="00207703">
        <w:rPr>
          <w:sz w:val="24"/>
          <w:szCs w:val="24"/>
        </w:rPr>
        <w:t>eadings are governed by Section </w:t>
      </w:r>
      <w:r w:rsidRPr="009E7070">
        <w:rPr>
          <w:sz w:val="24"/>
          <w:szCs w:val="24"/>
        </w:rPr>
        <w:t xml:space="preserve">5.102 of our Regulations, 52 Pa. Code § 5.102.  Judgment on the pleadings is available when the pleadings show that there is no genuine issue of material fact and the moving party is entitled to judgment as a matter of law.  Judgment on the pleadings should only be granted when the right to relief is clear and free from doubt.  In determining the absence of a genuine issue of material fact, the Commission must take the view of the evidence most favorable to the non-moving party and resolve any doubts against the entry of the judgment.  </w:t>
      </w:r>
      <w:proofErr w:type="gramStart"/>
      <w:r w:rsidRPr="009E7070">
        <w:rPr>
          <w:i/>
          <w:sz w:val="24"/>
          <w:szCs w:val="24"/>
        </w:rPr>
        <w:t xml:space="preserve">Day v. </w:t>
      </w:r>
      <w:proofErr w:type="spellStart"/>
      <w:r w:rsidRPr="009E7070">
        <w:rPr>
          <w:i/>
          <w:sz w:val="24"/>
          <w:szCs w:val="24"/>
        </w:rPr>
        <w:t>Volkswagenwerk</w:t>
      </w:r>
      <w:proofErr w:type="spellEnd"/>
      <w:r w:rsidRPr="009E7070">
        <w:rPr>
          <w:i/>
          <w:sz w:val="24"/>
          <w:szCs w:val="24"/>
        </w:rPr>
        <w:t xml:space="preserve"> </w:t>
      </w:r>
      <w:proofErr w:type="spellStart"/>
      <w:r w:rsidRPr="009E7070">
        <w:rPr>
          <w:i/>
          <w:sz w:val="24"/>
          <w:szCs w:val="24"/>
        </w:rPr>
        <w:t>Aktiengesellschaft</w:t>
      </w:r>
      <w:proofErr w:type="spellEnd"/>
      <w:r w:rsidRPr="009E7070">
        <w:rPr>
          <w:sz w:val="24"/>
          <w:szCs w:val="24"/>
        </w:rPr>
        <w:t>, 318 Pa. Super.</w:t>
      </w:r>
      <w:proofErr w:type="gramEnd"/>
      <w:r w:rsidRPr="009E7070">
        <w:rPr>
          <w:sz w:val="24"/>
          <w:szCs w:val="24"/>
        </w:rPr>
        <w:t xml:space="preserve"> </w:t>
      </w:r>
      <w:proofErr w:type="gramStart"/>
      <w:r w:rsidRPr="009E7070">
        <w:rPr>
          <w:sz w:val="24"/>
          <w:szCs w:val="24"/>
        </w:rPr>
        <w:t>Ct. 225, 2</w:t>
      </w:r>
      <w:r w:rsidR="00DB7A4B">
        <w:rPr>
          <w:sz w:val="24"/>
          <w:szCs w:val="24"/>
        </w:rPr>
        <w:t>31, 464 A.2d 1313, 1316 (1983).</w:t>
      </w:r>
      <w:proofErr w:type="gramEnd"/>
    </w:p>
    <w:p w:rsidR="00CC6674" w:rsidRPr="009E7070" w:rsidRDefault="00CC6674" w:rsidP="00CC6674">
      <w:pPr>
        <w:pStyle w:val="BodyText"/>
        <w:ind w:firstLine="1440"/>
        <w:jc w:val="left"/>
        <w:rPr>
          <w:sz w:val="24"/>
          <w:szCs w:val="24"/>
        </w:rPr>
      </w:pPr>
    </w:p>
    <w:p w:rsidR="00CC6674" w:rsidRPr="009E7070" w:rsidRDefault="00CC6674" w:rsidP="00CC6674">
      <w:pPr>
        <w:pStyle w:val="ParaTab1"/>
        <w:spacing w:line="360" w:lineRule="auto"/>
        <w:ind w:firstLine="1350"/>
        <w:rPr>
          <w:rFonts w:ascii="Times New Roman" w:hAnsi="Times New Roman" w:cs="Times New Roman"/>
          <w:i/>
        </w:rPr>
      </w:pPr>
      <w:r w:rsidRPr="009E7070">
        <w:rPr>
          <w:rFonts w:ascii="Times New Roman" w:hAnsi="Times New Roman" w:cs="Times New Roman"/>
        </w:rPr>
        <w:t xml:space="preserve">The doctrine of </w:t>
      </w:r>
      <w:r w:rsidRPr="009E7070">
        <w:rPr>
          <w:rFonts w:ascii="Times New Roman" w:hAnsi="Times New Roman" w:cs="Times New Roman"/>
          <w:i/>
        </w:rPr>
        <w:t xml:space="preserve">res judicata </w:t>
      </w:r>
      <w:r w:rsidRPr="009E7070">
        <w:rPr>
          <w:rFonts w:ascii="Times New Roman" w:hAnsi="Times New Roman" w:cs="Times New Roman"/>
        </w:rPr>
        <w:t xml:space="preserve">operates to prevent re-litigation of claims already litigated on the merits.  As stated by the Commission in </w:t>
      </w:r>
      <w:r w:rsidRPr="009E7070">
        <w:rPr>
          <w:rFonts w:ascii="Times New Roman" w:hAnsi="Times New Roman" w:cs="Times New Roman"/>
          <w:i/>
        </w:rPr>
        <w:t xml:space="preserve">Frank </w:t>
      </w:r>
      <w:proofErr w:type="spellStart"/>
      <w:r w:rsidRPr="009E7070">
        <w:rPr>
          <w:rFonts w:ascii="Times New Roman" w:hAnsi="Times New Roman" w:cs="Times New Roman"/>
          <w:i/>
        </w:rPr>
        <w:t>Tomazin</w:t>
      </w:r>
      <w:proofErr w:type="spellEnd"/>
      <w:r w:rsidRPr="009E7070">
        <w:rPr>
          <w:rFonts w:ascii="Times New Roman" w:hAnsi="Times New Roman" w:cs="Times New Roman"/>
          <w:i/>
        </w:rPr>
        <w:t xml:space="preserve"> v. Pennsylvania-American Water Company </w:t>
      </w:r>
      <w:r w:rsidRPr="009E7070">
        <w:rPr>
          <w:rFonts w:ascii="Times New Roman" w:hAnsi="Times New Roman" w:cs="Times New Roman"/>
        </w:rPr>
        <w:t xml:space="preserve">1997 </w:t>
      </w:r>
      <w:proofErr w:type="spellStart"/>
      <w:r w:rsidRPr="009E7070">
        <w:rPr>
          <w:rFonts w:ascii="Times New Roman" w:hAnsi="Times New Roman" w:cs="Times New Roman"/>
        </w:rPr>
        <w:t>Pa.PUC</w:t>
      </w:r>
      <w:proofErr w:type="spellEnd"/>
      <w:r w:rsidRPr="009E7070">
        <w:rPr>
          <w:rFonts w:ascii="Times New Roman" w:hAnsi="Times New Roman" w:cs="Times New Roman"/>
        </w:rPr>
        <w:t xml:space="preserve"> Lexis 52 (1997), “the policies underlying the doctrine of </w:t>
      </w:r>
      <w:r w:rsidRPr="009E7070">
        <w:rPr>
          <w:rFonts w:ascii="Times New Roman" w:hAnsi="Times New Roman" w:cs="Times New Roman"/>
          <w:i/>
        </w:rPr>
        <w:t>res judicata</w:t>
      </w:r>
      <w:r w:rsidRPr="009E7070">
        <w:rPr>
          <w:rFonts w:ascii="Times New Roman" w:hAnsi="Times New Roman" w:cs="Times New Roman"/>
        </w:rPr>
        <w:t xml:space="preserve"> are minimizing judicial energy devoted to individual cases, establishing certainty, and respect for court judgments, and protecting the party relying on the prior adjudication from vexatious litigation.”  </w:t>
      </w:r>
      <w:r w:rsidRPr="009E7070">
        <w:rPr>
          <w:rFonts w:ascii="Times New Roman" w:hAnsi="Times New Roman" w:cs="Times New Roman"/>
          <w:i/>
        </w:rPr>
        <w:t>Id.</w:t>
      </w:r>
    </w:p>
    <w:p w:rsidR="00CC6674" w:rsidRPr="009E7070" w:rsidRDefault="00CC6674" w:rsidP="00CC6674">
      <w:pPr>
        <w:pStyle w:val="ParaTab1"/>
        <w:spacing w:line="360" w:lineRule="auto"/>
        <w:ind w:firstLine="1350"/>
        <w:rPr>
          <w:rFonts w:ascii="Times New Roman" w:hAnsi="Times New Roman" w:cs="Times New Roman"/>
          <w:i/>
        </w:rPr>
      </w:pPr>
    </w:p>
    <w:p w:rsidR="00CC6674" w:rsidRPr="009E7070" w:rsidRDefault="00CC6674" w:rsidP="00CC6674">
      <w:pPr>
        <w:pStyle w:val="ParaTab1"/>
        <w:spacing w:line="360" w:lineRule="auto"/>
        <w:ind w:firstLine="1350"/>
        <w:rPr>
          <w:rFonts w:ascii="Times New Roman" w:hAnsi="Times New Roman" w:cs="Times New Roman"/>
        </w:rPr>
      </w:pPr>
      <w:r w:rsidRPr="009E7070">
        <w:rPr>
          <w:rFonts w:ascii="Times New Roman" w:hAnsi="Times New Roman" w:cs="Times New Roman"/>
        </w:rPr>
        <w:t xml:space="preserve">The doctrine of </w:t>
      </w:r>
      <w:r w:rsidRPr="009E7070">
        <w:rPr>
          <w:rFonts w:ascii="Times New Roman" w:hAnsi="Times New Roman" w:cs="Times New Roman"/>
          <w:i/>
        </w:rPr>
        <w:t>res judicata</w:t>
      </w:r>
      <w:r w:rsidRPr="009E7070">
        <w:rPr>
          <w:rFonts w:ascii="Times New Roman" w:hAnsi="Times New Roman" w:cs="Times New Roman"/>
        </w:rPr>
        <w:t xml:space="preserve"> applies to cases before the Commission.  </w:t>
      </w:r>
      <w:r w:rsidRPr="009E7070">
        <w:rPr>
          <w:rFonts w:ascii="Times New Roman" w:hAnsi="Times New Roman" w:cs="Times New Roman"/>
          <w:i/>
        </w:rPr>
        <w:t xml:space="preserve">See O’Toole v. Bell Telephone Co. of Pennsylvania, Inc., </w:t>
      </w:r>
      <w:r w:rsidRPr="009E7070">
        <w:rPr>
          <w:rFonts w:ascii="Times New Roman" w:hAnsi="Times New Roman" w:cs="Times New Roman"/>
        </w:rPr>
        <w:t xml:space="preserve">77 Pa. PUC 98, 104 (1992).  The doctrine of </w:t>
      </w:r>
      <w:r w:rsidRPr="009E7070">
        <w:rPr>
          <w:rFonts w:ascii="Times New Roman" w:hAnsi="Times New Roman" w:cs="Times New Roman"/>
          <w:i/>
        </w:rPr>
        <w:t>res judicata</w:t>
      </w:r>
      <w:r w:rsidRPr="009E7070">
        <w:rPr>
          <w:rFonts w:ascii="Times New Roman" w:hAnsi="Times New Roman" w:cs="Times New Roman"/>
        </w:rPr>
        <w:t xml:space="preserve"> reflects the refusal of the law to tolerate the re-litigation of a matter decided by a co</w:t>
      </w:r>
      <w:r w:rsidR="00AD7B3A">
        <w:rPr>
          <w:rFonts w:ascii="Times New Roman" w:hAnsi="Times New Roman" w:cs="Times New Roman"/>
        </w:rPr>
        <w:t>urt of competent jurisdiction.</w:t>
      </w:r>
    </w:p>
    <w:p w:rsidR="00CC6674" w:rsidRPr="009E7070" w:rsidRDefault="00CC6674" w:rsidP="00CC6674">
      <w:pPr>
        <w:pStyle w:val="ParaTab1"/>
        <w:spacing w:line="360" w:lineRule="auto"/>
        <w:ind w:firstLine="1350"/>
        <w:rPr>
          <w:rFonts w:ascii="Times New Roman" w:hAnsi="Times New Roman" w:cs="Times New Roman"/>
        </w:rPr>
      </w:pPr>
    </w:p>
    <w:p w:rsidR="00CC6674" w:rsidRPr="009E7070" w:rsidRDefault="00CC6674" w:rsidP="00CC6674">
      <w:pPr>
        <w:spacing w:line="360" w:lineRule="auto"/>
        <w:ind w:firstLine="1440"/>
        <w:rPr>
          <w:rFonts w:ascii="Times New Roman" w:hAnsi="Times New Roman" w:cs="Times New Roman"/>
        </w:rPr>
      </w:pPr>
      <w:r w:rsidRPr="009E7070">
        <w:rPr>
          <w:rFonts w:ascii="Times New Roman" w:hAnsi="Times New Roman" w:cs="Times New Roman"/>
        </w:rPr>
        <w:t xml:space="preserve">The doctrine of </w:t>
      </w:r>
      <w:r w:rsidRPr="009E7070">
        <w:rPr>
          <w:rFonts w:ascii="Times New Roman" w:hAnsi="Times New Roman" w:cs="Times New Roman"/>
          <w:i/>
        </w:rPr>
        <w:t>res judicata</w:t>
      </w:r>
      <w:r w:rsidRPr="009E7070">
        <w:rPr>
          <w:rFonts w:ascii="Times New Roman" w:hAnsi="Times New Roman" w:cs="Times New Roman"/>
        </w:rPr>
        <w:t xml:space="preserve"> prevents a suit between the same parties on the same cause of action after a court of competent jurisdiction has rendered a final judgment on the merits.  In order for the doctrine to prevail, all of the following </w:t>
      </w:r>
      <w:r w:rsidR="002D6A94">
        <w:rPr>
          <w:rFonts w:ascii="Times New Roman" w:hAnsi="Times New Roman" w:cs="Times New Roman"/>
        </w:rPr>
        <w:t xml:space="preserve">four requirements must be met: </w:t>
      </w:r>
      <w:r w:rsidRPr="009E7070">
        <w:rPr>
          <w:rFonts w:ascii="Times New Roman" w:hAnsi="Times New Roman" w:cs="Times New Roman"/>
        </w:rPr>
        <w:t xml:space="preserve">“(1) identity of issues, (2) identity of causes of action, (3) identity of persons and parties to the action, and (4) identity of the quality or capacity of the parties suing or sued.”  </w:t>
      </w:r>
      <w:r w:rsidRPr="009E7070">
        <w:rPr>
          <w:rFonts w:ascii="Times New Roman" w:hAnsi="Times New Roman" w:cs="Times New Roman"/>
          <w:i/>
        </w:rPr>
        <w:t xml:space="preserve">Day </w:t>
      </w:r>
      <w:r w:rsidRPr="009E7070">
        <w:rPr>
          <w:rFonts w:ascii="Times New Roman" w:hAnsi="Times New Roman" w:cs="Times New Roman"/>
        </w:rPr>
        <w:t>at 1316-1317.</w:t>
      </w:r>
    </w:p>
    <w:p w:rsidR="003C3847" w:rsidRPr="009E7070" w:rsidRDefault="003C3847" w:rsidP="003C3847">
      <w:pPr>
        <w:spacing w:line="360" w:lineRule="auto"/>
        <w:ind w:firstLine="1440"/>
        <w:rPr>
          <w:rFonts w:ascii="Times New Roman" w:hAnsi="Times New Roman" w:cs="Times New Roman"/>
        </w:rPr>
      </w:pPr>
    </w:p>
    <w:p w:rsidR="003C3847" w:rsidRPr="009E7070" w:rsidRDefault="003C3847" w:rsidP="003C3847">
      <w:pPr>
        <w:spacing w:line="360" w:lineRule="auto"/>
        <w:ind w:firstLine="1440"/>
        <w:rPr>
          <w:rFonts w:ascii="Times New Roman" w:hAnsi="Times New Roman" w:cs="Times New Roman"/>
        </w:rPr>
      </w:pPr>
      <w:proofErr w:type="gramStart"/>
      <w:r w:rsidRPr="009E7070">
        <w:rPr>
          <w:rFonts w:ascii="Times New Roman" w:hAnsi="Times New Roman" w:cs="Times New Roman"/>
        </w:rPr>
        <w:t xml:space="preserve">In </w:t>
      </w:r>
      <w:proofErr w:type="spellStart"/>
      <w:r w:rsidRPr="009E7070">
        <w:rPr>
          <w:rFonts w:ascii="Times New Roman" w:hAnsi="Times New Roman" w:cs="Times New Roman"/>
          <w:i/>
        </w:rPr>
        <w:t>Carlock</w:t>
      </w:r>
      <w:proofErr w:type="spellEnd"/>
      <w:r w:rsidRPr="009E7070">
        <w:rPr>
          <w:rFonts w:ascii="Times New Roman" w:hAnsi="Times New Roman" w:cs="Times New Roman"/>
          <w:i/>
        </w:rPr>
        <w:t xml:space="preserve"> v.</w:t>
      </w:r>
      <w:proofErr w:type="gramEnd"/>
      <w:r w:rsidRPr="009E7070">
        <w:rPr>
          <w:rFonts w:ascii="Times New Roman" w:hAnsi="Times New Roman" w:cs="Times New Roman"/>
          <w:i/>
        </w:rPr>
        <w:t xml:space="preserve"> The United Telephone Company of Pennsylvania</w:t>
      </w:r>
      <w:r w:rsidRPr="009E7070">
        <w:rPr>
          <w:rFonts w:ascii="Times New Roman" w:hAnsi="Times New Roman" w:cs="Times New Roman"/>
        </w:rPr>
        <w:t xml:space="preserve">, Docket No. F-00163617 (Order entered July 14, 1993), the Commission held that, in the normal course, it would not dismiss a </w:t>
      </w:r>
      <w:r w:rsidRPr="009E7070">
        <w:rPr>
          <w:rFonts w:ascii="Times New Roman" w:hAnsi="Times New Roman" w:cs="Times New Roman"/>
          <w:i/>
        </w:rPr>
        <w:t>pro se</w:t>
      </w:r>
      <w:r w:rsidRPr="009E7070">
        <w:rPr>
          <w:rFonts w:ascii="Times New Roman" w:hAnsi="Times New Roman" w:cs="Times New Roman"/>
        </w:rPr>
        <w:t xml:space="preserve"> complaint without first providing a hearing during which the </w:t>
      </w:r>
      <w:r w:rsidRPr="009E7070">
        <w:rPr>
          <w:rFonts w:ascii="Times New Roman" w:hAnsi="Times New Roman" w:cs="Times New Roman"/>
          <w:i/>
        </w:rPr>
        <w:t>pro se</w:t>
      </w:r>
      <w:r w:rsidRPr="009E7070">
        <w:rPr>
          <w:rFonts w:ascii="Times New Roman" w:hAnsi="Times New Roman" w:cs="Times New Roman"/>
        </w:rPr>
        <w:t xml:space="preserve"> complainant could further explain his or her position and the factual basis for the complaint.  The concern was that, in general, </w:t>
      </w:r>
      <w:r w:rsidRPr="009E7070">
        <w:rPr>
          <w:rFonts w:ascii="Times New Roman" w:hAnsi="Times New Roman" w:cs="Times New Roman"/>
          <w:i/>
        </w:rPr>
        <w:t>pro se</w:t>
      </w:r>
      <w:r w:rsidRPr="009E7070">
        <w:rPr>
          <w:rFonts w:ascii="Times New Roman" w:hAnsi="Times New Roman" w:cs="Times New Roman"/>
        </w:rPr>
        <w:t xml:space="preserve"> complainants may find it difficult to navigate through pre-hearing motions and should be given the chance to orally describe their basic issue and supporting facts.  The present case is distinguishable from </w:t>
      </w:r>
      <w:proofErr w:type="spellStart"/>
      <w:r w:rsidRPr="009E7070">
        <w:rPr>
          <w:rFonts w:ascii="Times New Roman" w:hAnsi="Times New Roman" w:cs="Times New Roman"/>
          <w:i/>
        </w:rPr>
        <w:t>Carlock</w:t>
      </w:r>
      <w:proofErr w:type="spellEnd"/>
      <w:r w:rsidRPr="009E7070">
        <w:rPr>
          <w:rFonts w:ascii="Times New Roman" w:hAnsi="Times New Roman" w:cs="Times New Roman"/>
        </w:rPr>
        <w:t xml:space="preserve"> because the Complainant was provided with an opportunity to be heard, in the context of the earlier Complaint proceeding, which involved the same facts regarding high billing and a payment arrangement that the Complainant alleges in this proceeding.  Accordingly, dismissal at the pleadings stage in this case is appropriate because there are no genuine issues of material fact and, based on the language of the Commission’s Fina</w:t>
      </w:r>
      <w:r w:rsidR="00184A1B">
        <w:rPr>
          <w:rFonts w:ascii="Times New Roman" w:hAnsi="Times New Roman" w:cs="Times New Roman"/>
        </w:rPr>
        <w:t xml:space="preserve">l Order dated August 16, 2012, </w:t>
      </w:r>
      <w:r w:rsidRPr="009E7070">
        <w:rPr>
          <w:rFonts w:ascii="Times New Roman" w:hAnsi="Times New Roman" w:cs="Times New Roman"/>
        </w:rPr>
        <w:t>Complainant is precluded from bringing her 2012 Complaint.  Therefore, PECO is entitled to judgment as a matter of law.</w:t>
      </w:r>
    </w:p>
    <w:p w:rsidR="00C94FC7" w:rsidRPr="009E7070" w:rsidRDefault="00C94FC7" w:rsidP="00C94FC7">
      <w:pPr>
        <w:pStyle w:val="BodyText"/>
        <w:ind w:firstLine="1440"/>
        <w:jc w:val="left"/>
        <w:rPr>
          <w:sz w:val="24"/>
          <w:szCs w:val="24"/>
        </w:rPr>
      </w:pPr>
    </w:p>
    <w:p w:rsidR="00CC6674" w:rsidRPr="009E7070" w:rsidRDefault="00C94FC7" w:rsidP="00CC6674">
      <w:pPr>
        <w:pStyle w:val="BodyText"/>
        <w:ind w:firstLine="1440"/>
        <w:jc w:val="left"/>
        <w:rPr>
          <w:sz w:val="24"/>
          <w:szCs w:val="24"/>
        </w:rPr>
      </w:pPr>
      <w:r w:rsidRPr="009E7070">
        <w:rPr>
          <w:sz w:val="24"/>
          <w:szCs w:val="24"/>
        </w:rPr>
        <w:t xml:space="preserve">In </w:t>
      </w:r>
      <w:r w:rsidR="00CC6674" w:rsidRPr="009E7070">
        <w:rPr>
          <w:sz w:val="24"/>
          <w:szCs w:val="24"/>
        </w:rPr>
        <w:t>conclusion</w:t>
      </w:r>
      <w:r w:rsidRPr="009E7070">
        <w:rPr>
          <w:sz w:val="24"/>
          <w:szCs w:val="24"/>
        </w:rPr>
        <w:t xml:space="preserve">, </w:t>
      </w:r>
      <w:r w:rsidR="005C73A7" w:rsidRPr="009E7070">
        <w:rPr>
          <w:sz w:val="24"/>
          <w:szCs w:val="24"/>
        </w:rPr>
        <w:t>I find</w:t>
      </w:r>
      <w:r w:rsidRPr="009E7070">
        <w:rPr>
          <w:sz w:val="24"/>
          <w:szCs w:val="24"/>
        </w:rPr>
        <w:t xml:space="preserve"> that Ms. </w:t>
      </w:r>
      <w:proofErr w:type="spellStart"/>
      <w:r w:rsidR="005C73A7" w:rsidRPr="009E7070">
        <w:rPr>
          <w:sz w:val="24"/>
          <w:szCs w:val="24"/>
        </w:rPr>
        <w:t>Sarno</w:t>
      </w:r>
      <w:r w:rsidRPr="009E7070">
        <w:rPr>
          <w:sz w:val="24"/>
          <w:szCs w:val="24"/>
        </w:rPr>
        <w:t>’</w:t>
      </w:r>
      <w:r w:rsidR="005C73A7" w:rsidRPr="009E7070">
        <w:rPr>
          <w:sz w:val="24"/>
          <w:szCs w:val="24"/>
        </w:rPr>
        <w:t>s</w:t>
      </w:r>
      <w:proofErr w:type="spellEnd"/>
      <w:r w:rsidRPr="009E7070">
        <w:rPr>
          <w:sz w:val="24"/>
          <w:szCs w:val="24"/>
        </w:rPr>
        <w:t xml:space="preserve"> Complaint </w:t>
      </w:r>
      <w:r w:rsidR="005C73A7" w:rsidRPr="009E7070">
        <w:rPr>
          <w:sz w:val="24"/>
          <w:szCs w:val="24"/>
        </w:rPr>
        <w:t>is</w:t>
      </w:r>
      <w:r w:rsidRPr="009E7070">
        <w:rPr>
          <w:sz w:val="24"/>
          <w:szCs w:val="24"/>
        </w:rPr>
        <w:t xml:space="preserve"> barred by the doctrine of </w:t>
      </w:r>
      <w:r w:rsidRPr="009E7070">
        <w:rPr>
          <w:i/>
          <w:sz w:val="24"/>
          <w:szCs w:val="24"/>
        </w:rPr>
        <w:t>res judicata</w:t>
      </w:r>
      <w:r w:rsidRPr="009E7070">
        <w:rPr>
          <w:sz w:val="24"/>
          <w:szCs w:val="24"/>
        </w:rPr>
        <w:t xml:space="preserve"> and should be dismissed</w:t>
      </w:r>
      <w:r w:rsidR="005C73A7" w:rsidRPr="009E7070">
        <w:rPr>
          <w:sz w:val="24"/>
          <w:szCs w:val="24"/>
        </w:rPr>
        <w:t xml:space="preserve"> because</w:t>
      </w:r>
      <w:r w:rsidRPr="009E7070">
        <w:rPr>
          <w:sz w:val="24"/>
          <w:szCs w:val="24"/>
        </w:rPr>
        <w:t xml:space="preserve"> all four of the conditions required for </w:t>
      </w:r>
      <w:r w:rsidRPr="009E7070">
        <w:rPr>
          <w:i/>
          <w:sz w:val="24"/>
          <w:szCs w:val="24"/>
        </w:rPr>
        <w:t>res judicata</w:t>
      </w:r>
      <w:r w:rsidRPr="009E7070">
        <w:rPr>
          <w:sz w:val="24"/>
          <w:szCs w:val="24"/>
        </w:rPr>
        <w:t xml:space="preserve"> ha</w:t>
      </w:r>
      <w:r w:rsidR="005C73A7" w:rsidRPr="009E7070">
        <w:rPr>
          <w:sz w:val="24"/>
          <w:szCs w:val="24"/>
        </w:rPr>
        <w:t>ve</w:t>
      </w:r>
      <w:r w:rsidRPr="009E7070">
        <w:rPr>
          <w:sz w:val="24"/>
          <w:szCs w:val="24"/>
        </w:rPr>
        <w:t xml:space="preserve"> been met</w:t>
      </w:r>
      <w:r w:rsidR="005C73A7" w:rsidRPr="009E7070">
        <w:rPr>
          <w:sz w:val="24"/>
          <w:szCs w:val="24"/>
        </w:rPr>
        <w:t>.  Specifically, I find</w:t>
      </w:r>
      <w:r w:rsidR="00CC6674" w:rsidRPr="009E7070">
        <w:rPr>
          <w:sz w:val="24"/>
          <w:szCs w:val="24"/>
        </w:rPr>
        <w:t xml:space="preserve"> that</w:t>
      </w:r>
      <w:r w:rsidR="005C73A7" w:rsidRPr="009E7070">
        <w:rPr>
          <w:sz w:val="24"/>
          <w:szCs w:val="24"/>
        </w:rPr>
        <w:t xml:space="preserve">: </w:t>
      </w:r>
      <w:r w:rsidR="00CC6674" w:rsidRPr="009E7070">
        <w:rPr>
          <w:sz w:val="24"/>
          <w:szCs w:val="24"/>
        </w:rPr>
        <w:t xml:space="preserve">1) the issues are identical (both Complaints pertain to an outstanding balance from PECO of approximately $26,845); 2) the causes of action are identical (Complainant argues in both Complaints that her bill is outrageous and that she does not know how her bill got so high); 3) the persons and parties to the action are identical (both Complaints involve Complainant and  Respondent and the same Service Address); and 4) the quality and capacity of the parties suing or sued are also identical.  </w:t>
      </w:r>
      <w:r w:rsidR="005C73A7" w:rsidRPr="009E7070">
        <w:rPr>
          <w:sz w:val="24"/>
          <w:szCs w:val="24"/>
        </w:rPr>
        <w:t xml:space="preserve">Further, I find </w:t>
      </w:r>
      <w:r w:rsidR="00CC6674" w:rsidRPr="009E7070">
        <w:rPr>
          <w:sz w:val="24"/>
          <w:szCs w:val="24"/>
        </w:rPr>
        <w:t>the same issues between the same parties regarding the same service address were fully litigated and that Complainant exhausted her administrative remedy before the Commission.</w:t>
      </w:r>
    </w:p>
    <w:p w:rsidR="00C94FC7" w:rsidRPr="009E7070" w:rsidRDefault="00C94FC7" w:rsidP="0003290F">
      <w:pPr>
        <w:pStyle w:val="BodyText"/>
        <w:ind w:right="1354"/>
        <w:jc w:val="left"/>
        <w:rPr>
          <w:sz w:val="24"/>
          <w:szCs w:val="24"/>
        </w:rPr>
      </w:pPr>
    </w:p>
    <w:p w:rsidR="00CC6674" w:rsidRPr="009E7070" w:rsidRDefault="00CC6674" w:rsidP="00CC6674">
      <w:pPr>
        <w:pStyle w:val="ParaTab1"/>
        <w:spacing w:line="360" w:lineRule="auto"/>
        <w:ind w:hanging="90"/>
        <w:jc w:val="center"/>
        <w:rPr>
          <w:rFonts w:ascii="Times New Roman" w:hAnsi="Times New Roman" w:cs="Times New Roman"/>
          <w:u w:val="single"/>
        </w:rPr>
      </w:pPr>
      <w:r w:rsidRPr="009E7070">
        <w:rPr>
          <w:rFonts w:ascii="Times New Roman" w:hAnsi="Times New Roman" w:cs="Times New Roman"/>
          <w:u w:val="single"/>
        </w:rPr>
        <w:t>CONCLUSIONS OF LAW</w:t>
      </w:r>
    </w:p>
    <w:p w:rsidR="00CC6674" w:rsidRPr="009E7070" w:rsidRDefault="00CC6674" w:rsidP="00CC6674">
      <w:pPr>
        <w:spacing w:line="360" w:lineRule="auto"/>
        <w:rPr>
          <w:rFonts w:ascii="Times New Roman" w:hAnsi="Times New Roman" w:cs="Times New Roman"/>
        </w:rPr>
      </w:pPr>
    </w:p>
    <w:p w:rsidR="00CC6674" w:rsidRPr="009E7070" w:rsidRDefault="00CC6674" w:rsidP="00CC6674">
      <w:pPr>
        <w:autoSpaceDE/>
        <w:autoSpaceDN/>
        <w:spacing w:line="360" w:lineRule="auto"/>
        <w:ind w:firstLine="1440"/>
        <w:rPr>
          <w:rFonts w:ascii="Times New Roman" w:hAnsi="Times New Roman" w:cs="Times New Roman"/>
        </w:rPr>
      </w:pPr>
      <w:r w:rsidRPr="009E7070">
        <w:rPr>
          <w:rFonts w:ascii="Times New Roman" w:hAnsi="Times New Roman" w:cs="Times New Roman"/>
        </w:rPr>
        <w:t>1.</w:t>
      </w:r>
      <w:r w:rsidRPr="009E7070">
        <w:rPr>
          <w:rFonts w:ascii="Times New Roman" w:hAnsi="Times New Roman" w:cs="Times New Roman"/>
        </w:rPr>
        <w:tab/>
        <w:t xml:space="preserve">The Commission has jurisdiction over the parties and the subject matter of this dispute.  </w:t>
      </w:r>
      <w:proofErr w:type="gramStart"/>
      <w:r w:rsidRPr="009E7070">
        <w:rPr>
          <w:rFonts w:ascii="Times New Roman" w:hAnsi="Times New Roman" w:cs="Times New Roman"/>
        </w:rPr>
        <w:t>66 Pa. C.S.A. §701.</w:t>
      </w:r>
      <w:proofErr w:type="gramEnd"/>
    </w:p>
    <w:p w:rsidR="00CC6674" w:rsidRPr="009E7070" w:rsidRDefault="00CC6674" w:rsidP="00CC6674">
      <w:pPr>
        <w:autoSpaceDE/>
        <w:autoSpaceDN/>
        <w:spacing w:line="360" w:lineRule="auto"/>
        <w:rPr>
          <w:rFonts w:ascii="Times New Roman" w:hAnsi="Times New Roman" w:cs="Times New Roman"/>
        </w:rPr>
      </w:pPr>
    </w:p>
    <w:p w:rsidR="00CC6674" w:rsidRPr="009E7070" w:rsidRDefault="00CC6674" w:rsidP="00CC6674">
      <w:pPr>
        <w:pStyle w:val="BodyText"/>
        <w:ind w:firstLine="1440"/>
        <w:jc w:val="left"/>
        <w:rPr>
          <w:sz w:val="24"/>
          <w:szCs w:val="24"/>
        </w:rPr>
      </w:pPr>
      <w:r w:rsidRPr="009E7070">
        <w:rPr>
          <w:sz w:val="24"/>
          <w:szCs w:val="24"/>
        </w:rPr>
        <w:t>2.</w:t>
      </w:r>
      <w:r w:rsidRPr="009E7070">
        <w:rPr>
          <w:sz w:val="24"/>
          <w:szCs w:val="24"/>
        </w:rPr>
        <w:tab/>
        <w:t xml:space="preserve">The doctrine of </w:t>
      </w:r>
      <w:r w:rsidRPr="009E7070">
        <w:rPr>
          <w:i/>
          <w:sz w:val="24"/>
          <w:szCs w:val="24"/>
        </w:rPr>
        <w:t>res judicata</w:t>
      </w:r>
      <w:r w:rsidRPr="009E7070">
        <w:rPr>
          <w:sz w:val="24"/>
          <w:szCs w:val="24"/>
        </w:rPr>
        <w:t xml:space="preserve"> prevents a suit between the same parties on the same cause of action after a court of competent jurisdiction has rendered a final judgment on the merits.  In order for the doctrine to prevail, all of the following </w:t>
      </w:r>
      <w:r w:rsidR="003119E9">
        <w:rPr>
          <w:sz w:val="24"/>
          <w:szCs w:val="24"/>
        </w:rPr>
        <w:t xml:space="preserve">four requirements must be met: </w:t>
      </w:r>
      <w:r w:rsidRPr="009E7070">
        <w:rPr>
          <w:sz w:val="24"/>
          <w:szCs w:val="24"/>
        </w:rPr>
        <w:t xml:space="preserve">“(1) identity of issues, (2) identity of causes of action, (3) identity of persons and parties to the action, and (4) identity of the quality or capacity of the parties suing or sued.”  </w:t>
      </w:r>
      <w:proofErr w:type="gramStart"/>
      <w:r w:rsidRPr="009E7070">
        <w:rPr>
          <w:i/>
          <w:sz w:val="24"/>
          <w:szCs w:val="24"/>
        </w:rPr>
        <w:t xml:space="preserve">Day v. </w:t>
      </w:r>
      <w:proofErr w:type="spellStart"/>
      <w:r w:rsidRPr="009E7070">
        <w:rPr>
          <w:i/>
          <w:sz w:val="24"/>
          <w:szCs w:val="24"/>
        </w:rPr>
        <w:t>Volkswagenwerk</w:t>
      </w:r>
      <w:proofErr w:type="spellEnd"/>
      <w:r w:rsidRPr="009E7070">
        <w:rPr>
          <w:i/>
          <w:sz w:val="24"/>
          <w:szCs w:val="24"/>
        </w:rPr>
        <w:t xml:space="preserve"> </w:t>
      </w:r>
      <w:proofErr w:type="spellStart"/>
      <w:r w:rsidRPr="009E7070">
        <w:rPr>
          <w:i/>
          <w:sz w:val="24"/>
          <w:szCs w:val="24"/>
        </w:rPr>
        <w:t>Aktiengesellschaft</w:t>
      </w:r>
      <w:proofErr w:type="spellEnd"/>
      <w:r w:rsidRPr="009E7070">
        <w:rPr>
          <w:sz w:val="24"/>
          <w:szCs w:val="24"/>
        </w:rPr>
        <w:t>, 318 Pa. Super.</w:t>
      </w:r>
      <w:proofErr w:type="gramEnd"/>
      <w:r w:rsidRPr="009E7070">
        <w:rPr>
          <w:sz w:val="24"/>
          <w:szCs w:val="24"/>
        </w:rPr>
        <w:t xml:space="preserve"> </w:t>
      </w:r>
      <w:proofErr w:type="gramStart"/>
      <w:r w:rsidRPr="009E7070">
        <w:rPr>
          <w:sz w:val="24"/>
          <w:szCs w:val="24"/>
        </w:rPr>
        <w:t>Ct. 225, 2</w:t>
      </w:r>
      <w:r w:rsidR="00266D78">
        <w:rPr>
          <w:sz w:val="24"/>
          <w:szCs w:val="24"/>
        </w:rPr>
        <w:t>31, 464 A.2d 1313, 1316 (1983).</w:t>
      </w:r>
      <w:proofErr w:type="gramEnd"/>
    </w:p>
    <w:p w:rsidR="00CC6674" w:rsidRPr="009E7070" w:rsidRDefault="00CC6674" w:rsidP="00266D78">
      <w:pPr>
        <w:spacing w:line="360" w:lineRule="auto"/>
        <w:rPr>
          <w:rFonts w:ascii="Times New Roman" w:hAnsi="Times New Roman" w:cs="Times New Roman"/>
        </w:rPr>
      </w:pPr>
    </w:p>
    <w:p w:rsidR="00CC6674" w:rsidRPr="009E7070" w:rsidRDefault="00CC6674" w:rsidP="00CC6674">
      <w:pPr>
        <w:spacing w:line="360" w:lineRule="auto"/>
        <w:ind w:firstLine="1440"/>
        <w:rPr>
          <w:rFonts w:ascii="Times New Roman" w:hAnsi="Times New Roman" w:cs="Times New Roman"/>
        </w:rPr>
      </w:pPr>
      <w:r w:rsidRPr="009E7070">
        <w:rPr>
          <w:rFonts w:ascii="Times New Roman" w:hAnsi="Times New Roman" w:cs="Times New Roman"/>
        </w:rPr>
        <w:t>3.</w:t>
      </w:r>
      <w:r w:rsidRPr="009E7070">
        <w:rPr>
          <w:rFonts w:ascii="Times New Roman" w:hAnsi="Times New Roman" w:cs="Times New Roman"/>
        </w:rPr>
        <w:tab/>
        <w:t>Review of these complaints shows that 1) the issues are identical (both Complaints pertain to an outstanding balance from PECO of approximately $26,845); 2) the causes of action are identical (Complainant argues in both Complaints that her bill is outrageous and that she does not know how her bill got so high); 3) the persons and parties to the action are identical (both Comp</w:t>
      </w:r>
      <w:r w:rsidR="006D0C5A">
        <w:rPr>
          <w:rFonts w:ascii="Times New Roman" w:hAnsi="Times New Roman" w:cs="Times New Roman"/>
        </w:rPr>
        <w:t xml:space="preserve">laints involve Complainant and </w:t>
      </w:r>
      <w:r w:rsidRPr="009E7070">
        <w:rPr>
          <w:rFonts w:ascii="Times New Roman" w:hAnsi="Times New Roman" w:cs="Times New Roman"/>
        </w:rPr>
        <w:t>Respondent and the same Service Address); and 4) the quality and capacity of the parties suing or sued are also identical.</w:t>
      </w:r>
    </w:p>
    <w:p w:rsidR="00CC6674" w:rsidRPr="009E7070" w:rsidRDefault="00CC6674" w:rsidP="00CC6674">
      <w:pPr>
        <w:spacing w:line="360" w:lineRule="auto"/>
        <w:ind w:firstLine="1440"/>
        <w:rPr>
          <w:rFonts w:ascii="Times New Roman" w:hAnsi="Times New Roman" w:cs="Times New Roman"/>
        </w:rPr>
      </w:pPr>
    </w:p>
    <w:p w:rsidR="00CC6674" w:rsidRPr="009E7070" w:rsidRDefault="00CC6674" w:rsidP="00CC6674">
      <w:pPr>
        <w:pStyle w:val="BodyText"/>
        <w:ind w:firstLine="1440"/>
        <w:jc w:val="left"/>
        <w:rPr>
          <w:sz w:val="24"/>
          <w:szCs w:val="24"/>
        </w:rPr>
      </w:pPr>
      <w:r w:rsidRPr="009E7070">
        <w:rPr>
          <w:sz w:val="24"/>
          <w:szCs w:val="24"/>
        </w:rPr>
        <w:t>4.</w:t>
      </w:r>
      <w:r w:rsidRPr="009E7070">
        <w:rPr>
          <w:sz w:val="24"/>
          <w:szCs w:val="24"/>
        </w:rPr>
        <w:tab/>
        <w:t>The same issues between the same parties regarding the same service address were fully litigated and Complainant exhausted her administrative remedy before the Commission.</w:t>
      </w:r>
    </w:p>
    <w:p w:rsidR="00C94FC7" w:rsidRPr="009E7070" w:rsidRDefault="00C94FC7" w:rsidP="00CC6674">
      <w:pPr>
        <w:spacing w:line="360" w:lineRule="auto"/>
        <w:rPr>
          <w:rFonts w:ascii="Times New Roman" w:hAnsi="Times New Roman" w:cs="Times New Roman"/>
        </w:rPr>
      </w:pPr>
    </w:p>
    <w:p w:rsidR="005C4B52" w:rsidRPr="003F7830" w:rsidRDefault="005C4B52" w:rsidP="00CC6674">
      <w:pPr>
        <w:spacing w:line="360" w:lineRule="auto"/>
        <w:ind w:firstLine="720"/>
        <w:jc w:val="center"/>
        <w:rPr>
          <w:rFonts w:ascii="Times New Roman" w:hAnsi="Times New Roman" w:cs="Times New Roman"/>
          <w:u w:val="single"/>
        </w:rPr>
      </w:pPr>
      <w:r w:rsidRPr="003F7830">
        <w:rPr>
          <w:rFonts w:ascii="Times New Roman" w:hAnsi="Times New Roman" w:cs="Times New Roman"/>
          <w:u w:val="single"/>
        </w:rPr>
        <w:t>ORDER</w:t>
      </w:r>
    </w:p>
    <w:p w:rsidR="005C4B52" w:rsidRPr="003F7830" w:rsidRDefault="005C4B52" w:rsidP="00C94FC7">
      <w:pPr>
        <w:spacing w:line="360" w:lineRule="auto"/>
        <w:ind w:firstLine="1440"/>
        <w:rPr>
          <w:rFonts w:ascii="Times New Roman" w:hAnsi="Times New Roman" w:cs="Times New Roman"/>
        </w:rPr>
      </w:pPr>
    </w:p>
    <w:p w:rsidR="00D4502C" w:rsidRPr="003F7830" w:rsidRDefault="00D4502C" w:rsidP="00C94FC7">
      <w:pPr>
        <w:spacing w:line="360" w:lineRule="auto"/>
        <w:ind w:firstLine="1440"/>
        <w:rPr>
          <w:rFonts w:ascii="Times New Roman" w:hAnsi="Times New Roman" w:cs="Times New Roman"/>
        </w:rPr>
      </w:pPr>
    </w:p>
    <w:p w:rsidR="00C94FC7" w:rsidRPr="003F7830" w:rsidRDefault="00C94FC7" w:rsidP="00C94FC7">
      <w:pPr>
        <w:spacing w:line="360" w:lineRule="auto"/>
        <w:ind w:firstLine="1440"/>
        <w:rPr>
          <w:rFonts w:ascii="Times New Roman" w:hAnsi="Times New Roman" w:cs="Times New Roman"/>
        </w:rPr>
      </w:pPr>
      <w:r w:rsidRPr="003F7830">
        <w:rPr>
          <w:rFonts w:ascii="Times New Roman" w:hAnsi="Times New Roman" w:cs="Times New Roman"/>
        </w:rPr>
        <w:t>THEREFORE,</w:t>
      </w:r>
    </w:p>
    <w:p w:rsidR="00C94FC7" w:rsidRPr="003F7830" w:rsidRDefault="00C94FC7" w:rsidP="00C94FC7">
      <w:pPr>
        <w:rPr>
          <w:rFonts w:ascii="Times New Roman" w:hAnsi="Times New Roman" w:cs="Times New Roman"/>
        </w:rPr>
      </w:pPr>
    </w:p>
    <w:p w:rsidR="00C94FC7" w:rsidRPr="003F7830" w:rsidRDefault="00C94FC7" w:rsidP="003213EF">
      <w:pPr>
        <w:spacing w:line="360" w:lineRule="auto"/>
        <w:ind w:firstLine="1440"/>
        <w:rPr>
          <w:rFonts w:ascii="Times New Roman" w:hAnsi="Times New Roman" w:cs="Times New Roman"/>
        </w:rPr>
      </w:pPr>
      <w:r w:rsidRPr="003F7830">
        <w:rPr>
          <w:rFonts w:ascii="Times New Roman" w:hAnsi="Times New Roman" w:cs="Times New Roman"/>
        </w:rPr>
        <w:t>IT IS ORDERED:</w:t>
      </w:r>
    </w:p>
    <w:p w:rsidR="00C94FC7" w:rsidRPr="009E7070" w:rsidRDefault="00C94FC7" w:rsidP="003213EF">
      <w:pPr>
        <w:spacing w:line="360" w:lineRule="auto"/>
        <w:rPr>
          <w:rFonts w:ascii="Times New Roman" w:hAnsi="Times New Roman" w:cs="Times New Roman"/>
        </w:rPr>
      </w:pPr>
    </w:p>
    <w:p w:rsidR="00C94FC7" w:rsidRPr="009E7070" w:rsidRDefault="005C4B52" w:rsidP="00C94FC7">
      <w:pPr>
        <w:spacing w:line="360" w:lineRule="auto"/>
        <w:ind w:firstLine="1440"/>
        <w:rPr>
          <w:rFonts w:ascii="Times New Roman" w:hAnsi="Times New Roman" w:cs="Times New Roman"/>
        </w:rPr>
      </w:pPr>
      <w:r w:rsidRPr="009E7070">
        <w:rPr>
          <w:rFonts w:ascii="Times New Roman" w:hAnsi="Times New Roman" w:cs="Times New Roman"/>
        </w:rPr>
        <w:t>1</w:t>
      </w:r>
      <w:r w:rsidR="00C94FC7" w:rsidRPr="009E7070">
        <w:rPr>
          <w:rFonts w:ascii="Times New Roman" w:hAnsi="Times New Roman" w:cs="Times New Roman"/>
        </w:rPr>
        <w:t>.</w:t>
      </w:r>
      <w:r w:rsidR="00C94FC7" w:rsidRPr="009E7070">
        <w:rPr>
          <w:rFonts w:ascii="Times New Roman" w:hAnsi="Times New Roman" w:cs="Times New Roman"/>
        </w:rPr>
        <w:tab/>
        <w:t>That the Preliminary Objections filed by P</w:t>
      </w:r>
      <w:r w:rsidRPr="009E7070">
        <w:rPr>
          <w:rFonts w:ascii="Times New Roman" w:hAnsi="Times New Roman" w:cs="Times New Roman"/>
        </w:rPr>
        <w:t>ECO Energy Company,</w:t>
      </w:r>
      <w:r w:rsidR="00C94FC7" w:rsidRPr="009E7070">
        <w:rPr>
          <w:rFonts w:ascii="Times New Roman" w:hAnsi="Times New Roman" w:cs="Times New Roman"/>
        </w:rPr>
        <w:t xml:space="preserve"> treated as a Motion for Judgment on the Pleadings</w:t>
      </w:r>
      <w:r w:rsidRPr="009E7070">
        <w:rPr>
          <w:rFonts w:ascii="Times New Roman" w:hAnsi="Times New Roman" w:cs="Times New Roman"/>
        </w:rPr>
        <w:t>,</w:t>
      </w:r>
      <w:r w:rsidR="00C94FC7" w:rsidRPr="009E7070">
        <w:rPr>
          <w:rFonts w:ascii="Times New Roman" w:hAnsi="Times New Roman" w:cs="Times New Roman"/>
        </w:rPr>
        <w:t xml:space="preserve"> are granted</w:t>
      </w:r>
      <w:r w:rsidRPr="009E7070">
        <w:rPr>
          <w:rFonts w:ascii="Times New Roman" w:hAnsi="Times New Roman" w:cs="Times New Roman"/>
        </w:rPr>
        <w:t xml:space="preserve"> under the doctrine of </w:t>
      </w:r>
      <w:r w:rsidRPr="009E7070">
        <w:rPr>
          <w:rFonts w:ascii="Times New Roman" w:hAnsi="Times New Roman" w:cs="Times New Roman"/>
          <w:i/>
        </w:rPr>
        <w:t>res judicata</w:t>
      </w:r>
      <w:r w:rsidR="00C94FC7" w:rsidRPr="009E7070">
        <w:rPr>
          <w:rFonts w:ascii="Times New Roman" w:hAnsi="Times New Roman" w:cs="Times New Roman"/>
        </w:rPr>
        <w:t>.</w:t>
      </w:r>
    </w:p>
    <w:p w:rsidR="00C94FC7" w:rsidRPr="009E7070" w:rsidRDefault="00C94FC7" w:rsidP="00C94FC7">
      <w:pPr>
        <w:spacing w:line="360" w:lineRule="auto"/>
        <w:ind w:firstLine="1440"/>
        <w:rPr>
          <w:rFonts w:ascii="Times New Roman" w:hAnsi="Times New Roman" w:cs="Times New Roman"/>
        </w:rPr>
      </w:pPr>
    </w:p>
    <w:p w:rsidR="00C94FC7" w:rsidRPr="009E7070" w:rsidRDefault="00C94FC7" w:rsidP="00C94FC7">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r>
      <w:r w:rsidR="005C4B52" w:rsidRPr="009E7070">
        <w:rPr>
          <w:rFonts w:ascii="Times New Roman" w:hAnsi="Times New Roman" w:cs="Times New Roman"/>
        </w:rPr>
        <w:t>2</w:t>
      </w:r>
      <w:r w:rsidRPr="009E7070">
        <w:rPr>
          <w:rFonts w:ascii="Times New Roman" w:hAnsi="Times New Roman" w:cs="Times New Roman"/>
        </w:rPr>
        <w:t>.</w:t>
      </w:r>
      <w:r w:rsidRPr="009E7070">
        <w:rPr>
          <w:rFonts w:ascii="Times New Roman" w:hAnsi="Times New Roman" w:cs="Times New Roman"/>
        </w:rPr>
        <w:tab/>
        <w:t xml:space="preserve">That the Complaint filed on </w:t>
      </w:r>
      <w:r w:rsidR="005C4B52" w:rsidRPr="009E7070">
        <w:rPr>
          <w:rFonts w:ascii="Times New Roman" w:hAnsi="Times New Roman" w:cs="Times New Roman"/>
        </w:rPr>
        <w:t>October 12, 2012</w:t>
      </w:r>
      <w:r w:rsidRPr="009E7070">
        <w:rPr>
          <w:rFonts w:ascii="Times New Roman" w:hAnsi="Times New Roman" w:cs="Times New Roman"/>
        </w:rPr>
        <w:t xml:space="preserve">, by </w:t>
      </w:r>
      <w:r w:rsidR="005C4B52" w:rsidRPr="009E7070">
        <w:rPr>
          <w:rFonts w:ascii="Times New Roman" w:hAnsi="Times New Roman" w:cs="Times New Roman"/>
        </w:rPr>
        <w:t xml:space="preserve">Dolores </w:t>
      </w:r>
      <w:proofErr w:type="spellStart"/>
      <w:r w:rsidR="005C4B52" w:rsidRPr="009E7070">
        <w:rPr>
          <w:rFonts w:ascii="Times New Roman" w:hAnsi="Times New Roman" w:cs="Times New Roman"/>
        </w:rPr>
        <w:t>Sarno</w:t>
      </w:r>
      <w:proofErr w:type="spellEnd"/>
      <w:r w:rsidRPr="009E7070">
        <w:rPr>
          <w:rFonts w:ascii="Times New Roman" w:hAnsi="Times New Roman" w:cs="Times New Roman"/>
        </w:rPr>
        <w:t xml:space="preserve"> against </w:t>
      </w:r>
      <w:r w:rsidR="005C4B52" w:rsidRPr="009E7070">
        <w:rPr>
          <w:rFonts w:ascii="Times New Roman" w:hAnsi="Times New Roman" w:cs="Times New Roman"/>
        </w:rPr>
        <w:t>PECO Energy Company</w:t>
      </w:r>
      <w:r w:rsidRPr="009E7070">
        <w:rPr>
          <w:rFonts w:ascii="Times New Roman" w:hAnsi="Times New Roman" w:cs="Times New Roman"/>
        </w:rPr>
        <w:t>, at Docket No.</w:t>
      </w:r>
      <w:r w:rsidR="009144FE">
        <w:rPr>
          <w:rFonts w:ascii="Times New Roman" w:hAnsi="Times New Roman" w:cs="Times New Roman"/>
        </w:rPr>
        <w:t xml:space="preserve"> C-2012-</w:t>
      </w:r>
      <w:proofErr w:type="gramStart"/>
      <w:r w:rsidR="009144FE">
        <w:rPr>
          <w:rFonts w:ascii="Times New Roman" w:hAnsi="Times New Roman" w:cs="Times New Roman"/>
        </w:rPr>
        <w:t>2329048</w:t>
      </w:r>
      <w:r w:rsidRPr="009E7070">
        <w:rPr>
          <w:rFonts w:ascii="Times New Roman" w:hAnsi="Times New Roman" w:cs="Times New Roman"/>
        </w:rPr>
        <w:t>,</w:t>
      </w:r>
      <w:proofErr w:type="gramEnd"/>
      <w:r w:rsidRPr="009E7070">
        <w:rPr>
          <w:rFonts w:ascii="Times New Roman" w:hAnsi="Times New Roman" w:cs="Times New Roman"/>
        </w:rPr>
        <w:t xml:space="preserve"> is dismissed with prejudice.</w:t>
      </w:r>
    </w:p>
    <w:p w:rsidR="00C94FC7" w:rsidRPr="009E7070" w:rsidRDefault="00C94FC7" w:rsidP="00C94FC7">
      <w:pPr>
        <w:spacing w:line="360" w:lineRule="auto"/>
        <w:rPr>
          <w:rFonts w:ascii="Times New Roman" w:hAnsi="Times New Roman" w:cs="Times New Roman"/>
        </w:rPr>
      </w:pPr>
    </w:p>
    <w:p w:rsidR="007C190C" w:rsidRDefault="00C94FC7" w:rsidP="00C94FC7">
      <w:pPr>
        <w:spacing w:line="360" w:lineRule="auto"/>
        <w:rPr>
          <w:rFonts w:ascii="Times New Roman" w:hAnsi="Times New Roman" w:cs="Times New Roman"/>
        </w:rPr>
      </w:pPr>
      <w:r w:rsidRPr="009E7070">
        <w:rPr>
          <w:rFonts w:ascii="Times New Roman" w:hAnsi="Times New Roman" w:cs="Times New Roman"/>
        </w:rPr>
        <w:tab/>
      </w:r>
      <w:r w:rsidRPr="009E7070">
        <w:rPr>
          <w:rFonts w:ascii="Times New Roman" w:hAnsi="Times New Roman" w:cs="Times New Roman"/>
        </w:rPr>
        <w:tab/>
      </w:r>
      <w:r w:rsidR="007C190C">
        <w:rPr>
          <w:rFonts w:ascii="Times New Roman" w:hAnsi="Times New Roman" w:cs="Times New Roman"/>
        </w:rPr>
        <w:br w:type="page"/>
      </w:r>
    </w:p>
    <w:p w:rsidR="00C94FC7" w:rsidRPr="009E7070" w:rsidRDefault="009144FE" w:rsidP="00C94FC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C4B52" w:rsidRPr="009E7070">
        <w:rPr>
          <w:rFonts w:ascii="Times New Roman" w:hAnsi="Times New Roman" w:cs="Times New Roman"/>
        </w:rPr>
        <w:t>3</w:t>
      </w:r>
      <w:r w:rsidR="00C94FC7" w:rsidRPr="009E7070">
        <w:rPr>
          <w:rFonts w:ascii="Times New Roman" w:hAnsi="Times New Roman" w:cs="Times New Roman"/>
        </w:rPr>
        <w:t>.</w:t>
      </w:r>
      <w:r w:rsidR="00C94FC7" w:rsidRPr="009E7070">
        <w:rPr>
          <w:rFonts w:ascii="Times New Roman" w:hAnsi="Times New Roman" w:cs="Times New Roman"/>
        </w:rPr>
        <w:tab/>
        <w:t xml:space="preserve">That the proceeding at Docket No. </w:t>
      </w:r>
      <w:r w:rsidR="005C4B52" w:rsidRPr="009E7070">
        <w:rPr>
          <w:rFonts w:ascii="Times New Roman" w:hAnsi="Times New Roman" w:cs="Times New Roman"/>
        </w:rPr>
        <w:t>C-2012-2329048</w:t>
      </w:r>
      <w:r w:rsidR="00C94FC7" w:rsidRPr="009E7070">
        <w:rPr>
          <w:rFonts w:ascii="Times New Roman" w:hAnsi="Times New Roman" w:cs="Times New Roman"/>
        </w:rPr>
        <w:t xml:space="preserve"> shall be marked closed.</w:t>
      </w:r>
    </w:p>
    <w:p w:rsidR="005C4B52" w:rsidRPr="009E7070" w:rsidRDefault="005C4B52" w:rsidP="00C94FC7">
      <w:pPr>
        <w:spacing w:line="360" w:lineRule="auto"/>
        <w:rPr>
          <w:rFonts w:ascii="Times New Roman" w:hAnsi="Times New Roman" w:cs="Times New Roman"/>
        </w:rPr>
      </w:pPr>
    </w:p>
    <w:p w:rsidR="005C4B52" w:rsidRPr="009E7070" w:rsidRDefault="005C4B52" w:rsidP="00C94FC7">
      <w:pPr>
        <w:spacing w:line="360" w:lineRule="auto"/>
        <w:rPr>
          <w:rFonts w:ascii="Times New Roman" w:hAnsi="Times New Roman" w:cs="Times New Roman"/>
        </w:rPr>
      </w:pPr>
    </w:p>
    <w:p w:rsidR="00070A8F" w:rsidRPr="009E7070" w:rsidRDefault="00070A8F" w:rsidP="00BF0642">
      <w:pPr>
        <w:pStyle w:val="ParaTab1"/>
        <w:tabs>
          <w:tab w:val="clear" w:pos="-720"/>
        </w:tabs>
        <w:ind w:firstLine="0"/>
        <w:rPr>
          <w:rFonts w:ascii="Times New Roman" w:hAnsi="Times New Roman" w:cs="Times New Roman"/>
          <w:spacing w:val="-3"/>
        </w:rPr>
      </w:pPr>
      <w:r w:rsidRPr="009E7070">
        <w:rPr>
          <w:rFonts w:ascii="Times New Roman" w:hAnsi="Times New Roman" w:cs="Times New Roman"/>
          <w:spacing w:val="-3"/>
        </w:rPr>
        <w:t>Date:</w:t>
      </w:r>
      <w:r w:rsidRPr="009E7070">
        <w:rPr>
          <w:rFonts w:ascii="Times New Roman" w:hAnsi="Times New Roman" w:cs="Times New Roman"/>
          <w:spacing w:val="-3"/>
        </w:rPr>
        <w:tab/>
      </w:r>
      <w:r w:rsidR="00532E7E" w:rsidRPr="009E7070">
        <w:rPr>
          <w:rFonts w:ascii="Times New Roman" w:hAnsi="Times New Roman" w:cs="Times New Roman"/>
          <w:spacing w:val="-3"/>
          <w:u w:val="single"/>
        </w:rPr>
        <w:t>December 18</w:t>
      </w:r>
      <w:r w:rsidR="007A59A3" w:rsidRPr="009E7070">
        <w:rPr>
          <w:rFonts w:ascii="Times New Roman" w:hAnsi="Times New Roman" w:cs="Times New Roman"/>
          <w:spacing w:val="-3"/>
          <w:u w:val="single"/>
        </w:rPr>
        <w:t>, 2012</w:t>
      </w:r>
      <w:r w:rsidRPr="009E7070">
        <w:rPr>
          <w:rFonts w:ascii="Times New Roman" w:hAnsi="Times New Roman" w:cs="Times New Roman"/>
          <w:spacing w:val="-3"/>
        </w:rPr>
        <w:tab/>
      </w:r>
      <w:r w:rsidRPr="009E7070">
        <w:rPr>
          <w:rFonts w:ascii="Times New Roman" w:hAnsi="Times New Roman" w:cs="Times New Roman"/>
          <w:spacing w:val="-3"/>
        </w:rPr>
        <w:tab/>
      </w:r>
      <w:r w:rsidRPr="009E7070">
        <w:rPr>
          <w:rFonts w:ascii="Times New Roman" w:hAnsi="Times New Roman" w:cs="Times New Roman"/>
          <w:spacing w:val="-3"/>
        </w:rPr>
        <w:tab/>
      </w:r>
      <w:r w:rsidR="00537DDE" w:rsidRPr="009E7070">
        <w:rPr>
          <w:rFonts w:ascii="Times New Roman" w:hAnsi="Times New Roman" w:cs="Times New Roman"/>
          <w:spacing w:val="-3"/>
        </w:rPr>
        <w:tab/>
      </w:r>
      <w:r w:rsidRPr="009E7070">
        <w:rPr>
          <w:rFonts w:ascii="Times New Roman" w:hAnsi="Times New Roman" w:cs="Times New Roman"/>
          <w:spacing w:val="-3"/>
        </w:rPr>
        <w:t>_______________________</w:t>
      </w:r>
    </w:p>
    <w:p w:rsidR="00070A8F" w:rsidRPr="009E7070" w:rsidRDefault="00070A8F" w:rsidP="00BF0642">
      <w:pPr>
        <w:pStyle w:val="ParaTab1"/>
        <w:tabs>
          <w:tab w:val="clear" w:pos="-720"/>
          <w:tab w:val="left" w:pos="720"/>
          <w:tab w:val="left" w:pos="5040"/>
        </w:tabs>
        <w:ind w:firstLine="0"/>
        <w:rPr>
          <w:rFonts w:ascii="Times New Roman" w:hAnsi="Times New Roman" w:cs="Times New Roman"/>
          <w:spacing w:val="-3"/>
        </w:rPr>
      </w:pPr>
      <w:r w:rsidRPr="009E7070">
        <w:rPr>
          <w:rFonts w:ascii="Times New Roman" w:hAnsi="Times New Roman" w:cs="Times New Roman"/>
          <w:spacing w:val="-3"/>
        </w:rPr>
        <w:tab/>
      </w:r>
      <w:r w:rsidRPr="009E7070">
        <w:rPr>
          <w:rFonts w:ascii="Times New Roman" w:hAnsi="Times New Roman" w:cs="Times New Roman"/>
          <w:spacing w:val="-3"/>
        </w:rPr>
        <w:tab/>
      </w:r>
      <w:r w:rsidR="004B39CF" w:rsidRPr="009E7070">
        <w:rPr>
          <w:rFonts w:ascii="Times New Roman" w:hAnsi="Times New Roman" w:cs="Times New Roman"/>
          <w:spacing w:val="-3"/>
        </w:rPr>
        <w:t>Elizabeth H. Barnes</w:t>
      </w:r>
    </w:p>
    <w:p w:rsidR="00070A8F" w:rsidRPr="009E7070" w:rsidRDefault="00070A8F" w:rsidP="00BF0642">
      <w:pPr>
        <w:pStyle w:val="ParaTab1"/>
        <w:tabs>
          <w:tab w:val="clear" w:pos="-720"/>
          <w:tab w:val="left" w:pos="720"/>
          <w:tab w:val="left" w:pos="5040"/>
        </w:tabs>
        <w:ind w:firstLine="0"/>
        <w:rPr>
          <w:rFonts w:ascii="Times New Roman" w:hAnsi="Times New Roman" w:cs="Times New Roman"/>
          <w:spacing w:val="-3"/>
        </w:rPr>
      </w:pPr>
      <w:r w:rsidRPr="009E7070">
        <w:rPr>
          <w:rFonts w:ascii="Times New Roman" w:hAnsi="Times New Roman" w:cs="Times New Roman"/>
          <w:spacing w:val="-3"/>
        </w:rPr>
        <w:tab/>
      </w:r>
      <w:r w:rsidRPr="009E7070">
        <w:rPr>
          <w:rFonts w:ascii="Times New Roman" w:hAnsi="Times New Roman" w:cs="Times New Roman"/>
          <w:spacing w:val="-3"/>
        </w:rPr>
        <w:tab/>
        <w:t>Administrative Law Judge</w:t>
      </w:r>
    </w:p>
    <w:sectPr w:rsidR="00070A8F" w:rsidRPr="009E7070" w:rsidSect="00BF064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46" w:rsidRDefault="00481D46">
      <w:r>
        <w:separator/>
      </w:r>
    </w:p>
  </w:endnote>
  <w:endnote w:type="continuationSeparator" w:id="0">
    <w:p w:rsidR="00481D46" w:rsidRDefault="0048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836FC1" w:rsidP="00991C3B">
    <w:pPr>
      <w:pStyle w:val="Footer"/>
      <w:framePr w:wrap="around" w:vAnchor="text" w:hAnchor="margin" w:xAlign="center" w:y="1"/>
      <w:rPr>
        <w:rStyle w:val="PageNumber"/>
      </w:rPr>
    </w:pPr>
    <w:r>
      <w:rPr>
        <w:rStyle w:val="PageNumber"/>
      </w:rPr>
      <w:fldChar w:fldCharType="begin"/>
    </w:r>
    <w:r w:rsidR="009F2CEF">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80346A" w:rsidRDefault="00836FC1" w:rsidP="00991C3B">
    <w:pPr>
      <w:pStyle w:val="Footer"/>
      <w:framePr w:wrap="around" w:vAnchor="text" w:hAnchor="margin" w:xAlign="center" w:y="1"/>
      <w:rPr>
        <w:rStyle w:val="PageNumber"/>
        <w:rFonts w:ascii="Times New Roman" w:hAnsi="Times New Roman" w:cs="Times New Roman"/>
        <w:sz w:val="20"/>
        <w:szCs w:val="20"/>
      </w:rPr>
    </w:pPr>
    <w:r w:rsidRPr="0080346A">
      <w:rPr>
        <w:rStyle w:val="PageNumber"/>
        <w:rFonts w:ascii="Times New Roman" w:hAnsi="Times New Roman" w:cs="Times New Roman"/>
        <w:sz w:val="20"/>
        <w:szCs w:val="20"/>
      </w:rPr>
      <w:fldChar w:fldCharType="begin"/>
    </w:r>
    <w:r w:rsidR="009F2CEF" w:rsidRPr="0080346A">
      <w:rPr>
        <w:rStyle w:val="PageNumber"/>
        <w:rFonts w:ascii="Times New Roman" w:hAnsi="Times New Roman" w:cs="Times New Roman"/>
        <w:sz w:val="20"/>
        <w:szCs w:val="20"/>
      </w:rPr>
      <w:instrText xml:space="preserve">PAGE  </w:instrText>
    </w:r>
    <w:r w:rsidRPr="0080346A">
      <w:rPr>
        <w:rStyle w:val="PageNumber"/>
        <w:rFonts w:ascii="Times New Roman" w:hAnsi="Times New Roman" w:cs="Times New Roman"/>
        <w:sz w:val="20"/>
        <w:szCs w:val="20"/>
      </w:rPr>
      <w:fldChar w:fldCharType="separate"/>
    </w:r>
    <w:r w:rsidR="006250B9">
      <w:rPr>
        <w:rStyle w:val="PageNumber"/>
        <w:rFonts w:ascii="Times New Roman" w:hAnsi="Times New Roman" w:cs="Times New Roman"/>
        <w:noProof/>
        <w:sz w:val="20"/>
        <w:szCs w:val="20"/>
      </w:rPr>
      <w:t>6</w:t>
    </w:r>
    <w:r w:rsidRPr="0080346A">
      <w:rPr>
        <w:rStyle w:val="PageNumber"/>
        <w:rFonts w:ascii="Times New Roman" w:hAnsi="Times New Roman" w:cs="Times New Roman"/>
        <w:sz w:val="20"/>
        <w:szCs w:val="20"/>
      </w:rPr>
      <w:fldChar w:fldCharType="end"/>
    </w:r>
  </w:p>
  <w:p w:rsidR="009F2CEF" w:rsidRDefault="009F2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46" w:rsidRDefault="00481D46">
      <w:r>
        <w:separator/>
      </w:r>
    </w:p>
  </w:footnote>
  <w:footnote w:type="continuationSeparator" w:id="0">
    <w:p w:rsidR="00481D46" w:rsidRDefault="00481D46">
      <w:r>
        <w:continuationSeparator/>
      </w:r>
    </w:p>
  </w:footnote>
  <w:footnote w:id="1">
    <w:p w:rsidR="003C3847" w:rsidRPr="00CC6674" w:rsidRDefault="003C3847" w:rsidP="00A922E2">
      <w:pPr>
        <w:pStyle w:val="FootnoteText"/>
      </w:pPr>
      <w:r>
        <w:rPr>
          <w:rStyle w:val="FootnoteReference"/>
          <w:sz w:val="22"/>
          <w:szCs w:val="22"/>
        </w:rPr>
        <w:footnoteRef/>
      </w:r>
      <w:r>
        <w:rPr>
          <w:sz w:val="22"/>
          <w:szCs w:val="22"/>
        </w:rPr>
        <w:t xml:space="preserve"> </w:t>
      </w:r>
      <w:r>
        <w:tab/>
      </w:r>
      <w:r w:rsidRPr="00CC6674">
        <w:rPr>
          <w:i/>
        </w:rPr>
        <w:t xml:space="preserve">McCarthy, et al. v. Township of </w:t>
      </w:r>
      <w:proofErr w:type="spellStart"/>
      <w:r w:rsidRPr="00CC6674">
        <w:rPr>
          <w:i/>
        </w:rPr>
        <w:t>McCandless</w:t>
      </w:r>
      <w:proofErr w:type="spellEnd"/>
      <w:r w:rsidRPr="00CC6674">
        <w:t xml:space="preserve">, 7 Pa. </w:t>
      </w:r>
      <w:proofErr w:type="spellStart"/>
      <w:r w:rsidRPr="00CC6674">
        <w:t>Commw</w:t>
      </w:r>
      <w:proofErr w:type="spellEnd"/>
      <w:r w:rsidRPr="00CC6674">
        <w:t xml:space="preserve">. </w:t>
      </w:r>
      <w:proofErr w:type="gramStart"/>
      <w:r w:rsidRPr="00CC6674">
        <w:t xml:space="preserve">Ct. 611, 300 A.2d 815 (Pa. Cmwlth. 1973); </w:t>
      </w:r>
      <w:r w:rsidRPr="00CC6674">
        <w:rPr>
          <w:i/>
        </w:rPr>
        <w:t>Martin v. Poole</w:t>
      </w:r>
      <w:r w:rsidRPr="00CC6674">
        <w:t>, 232 Pa. Super.</w:t>
      </w:r>
      <w:proofErr w:type="gramEnd"/>
      <w:r w:rsidRPr="00CC6674">
        <w:t xml:space="preserve"> </w:t>
      </w:r>
      <w:proofErr w:type="gramStart"/>
      <w:r w:rsidRPr="00CC6674">
        <w:t>Ct. 263, 177 A.2d 339 (1975).</w:t>
      </w:r>
      <w:proofErr w:type="gramEnd"/>
      <w:r w:rsidRPr="00CC667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FD94BD1"/>
    <w:multiLevelType w:val="hybridMultilevel"/>
    <w:tmpl w:val="87A0ABD4"/>
    <w:lvl w:ilvl="0" w:tplc="7400B5CC">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52F"/>
    <w:rsid w:val="00006651"/>
    <w:rsid w:val="00007103"/>
    <w:rsid w:val="000119C7"/>
    <w:rsid w:val="00013979"/>
    <w:rsid w:val="0002457D"/>
    <w:rsid w:val="00025DEA"/>
    <w:rsid w:val="00027B76"/>
    <w:rsid w:val="0003290F"/>
    <w:rsid w:val="00033609"/>
    <w:rsid w:val="0003529E"/>
    <w:rsid w:val="00037D1F"/>
    <w:rsid w:val="0004037D"/>
    <w:rsid w:val="00043A29"/>
    <w:rsid w:val="00047D1A"/>
    <w:rsid w:val="0005205C"/>
    <w:rsid w:val="00052E0F"/>
    <w:rsid w:val="00054320"/>
    <w:rsid w:val="00054798"/>
    <w:rsid w:val="0005504E"/>
    <w:rsid w:val="00055329"/>
    <w:rsid w:val="00056A8B"/>
    <w:rsid w:val="000603EC"/>
    <w:rsid w:val="00064FED"/>
    <w:rsid w:val="000667FB"/>
    <w:rsid w:val="00066DFA"/>
    <w:rsid w:val="00070014"/>
    <w:rsid w:val="000700D9"/>
    <w:rsid w:val="00070A8F"/>
    <w:rsid w:val="00071FE9"/>
    <w:rsid w:val="000752F1"/>
    <w:rsid w:val="000755C5"/>
    <w:rsid w:val="000834F8"/>
    <w:rsid w:val="0008356B"/>
    <w:rsid w:val="00083735"/>
    <w:rsid w:val="00086067"/>
    <w:rsid w:val="00086E68"/>
    <w:rsid w:val="000958BA"/>
    <w:rsid w:val="00096FAE"/>
    <w:rsid w:val="0009718B"/>
    <w:rsid w:val="000976D8"/>
    <w:rsid w:val="000A1CB8"/>
    <w:rsid w:val="000A2D9E"/>
    <w:rsid w:val="000A3536"/>
    <w:rsid w:val="000A3853"/>
    <w:rsid w:val="000B1623"/>
    <w:rsid w:val="000B2770"/>
    <w:rsid w:val="000B5E39"/>
    <w:rsid w:val="000C4DEF"/>
    <w:rsid w:val="000C58B4"/>
    <w:rsid w:val="000C58FC"/>
    <w:rsid w:val="000C7E6A"/>
    <w:rsid w:val="000D3718"/>
    <w:rsid w:val="000E5F49"/>
    <w:rsid w:val="000F3B20"/>
    <w:rsid w:val="000F5CAE"/>
    <w:rsid w:val="000F7BFF"/>
    <w:rsid w:val="00101135"/>
    <w:rsid w:val="001013EB"/>
    <w:rsid w:val="00101A48"/>
    <w:rsid w:val="001040C2"/>
    <w:rsid w:val="001045E1"/>
    <w:rsid w:val="0010513C"/>
    <w:rsid w:val="00106EAA"/>
    <w:rsid w:val="00107078"/>
    <w:rsid w:val="001141A0"/>
    <w:rsid w:val="001164B0"/>
    <w:rsid w:val="00126DB9"/>
    <w:rsid w:val="001270BE"/>
    <w:rsid w:val="0013355C"/>
    <w:rsid w:val="00133D16"/>
    <w:rsid w:val="00134EA4"/>
    <w:rsid w:val="00135F6B"/>
    <w:rsid w:val="0013754B"/>
    <w:rsid w:val="001437D5"/>
    <w:rsid w:val="00150AA1"/>
    <w:rsid w:val="00153D55"/>
    <w:rsid w:val="00155B0B"/>
    <w:rsid w:val="00160FC3"/>
    <w:rsid w:val="00162F1D"/>
    <w:rsid w:val="00165D64"/>
    <w:rsid w:val="00170514"/>
    <w:rsid w:val="00170EC4"/>
    <w:rsid w:val="00171106"/>
    <w:rsid w:val="00172302"/>
    <w:rsid w:val="00173032"/>
    <w:rsid w:val="001761F4"/>
    <w:rsid w:val="001803B4"/>
    <w:rsid w:val="00180E22"/>
    <w:rsid w:val="00182D27"/>
    <w:rsid w:val="00183FD4"/>
    <w:rsid w:val="00184A1B"/>
    <w:rsid w:val="00184A8E"/>
    <w:rsid w:val="001902EF"/>
    <w:rsid w:val="001910D6"/>
    <w:rsid w:val="00192363"/>
    <w:rsid w:val="00193D5C"/>
    <w:rsid w:val="0019493F"/>
    <w:rsid w:val="0019645C"/>
    <w:rsid w:val="00197158"/>
    <w:rsid w:val="001A1782"/>
    <w:rsid w:val="001A3A4A"/>
    <w:rsid w:val="001A7D99"/>
    <w:rsid w:val="001B132E"/>
    <w:rsid w:val="001B3FBC"/>
    <w:rsid w:val="001B4189"/>
    <w:rsid w:val="001B4593"/>
    <w:rsid w:val="001B7C8D"/>
    <w:rsid w:val="001C0619"/>
    <w:rsid w:val="001C0AFB"/>
    <w:rsid w:val="001C201A"/>
    <w:rsid w:val="001C2388"/>
    <w:rsid w:val="001C2F6E"/>
    <w:rsid w:val="001C3A91"/>
    <w:rsid w:val="001C4B6E"/>
    <w:rsid w:val="001C4FE8"/>
    <w:rsid w:val="001C7752"/>
    <w:rsid w:val="001D2AE7"/>
    <w:rsid w:val="001D374E"/>
    <w:rsid w:val="001D4992"/>
    <w:rsid w:val="001D5892"/>
    <w:rsid w:val="001E09DF"/>
    <w:rsid w:val="001F0D49"/>
    <w:rsid w:val="001F166D"/>
    <w:rsid w:val="001F5161"/>
    <w:rsid w:val="001F558F"/>
    <w:rsid w:val="00202C5D"/>
    <w:rsid w:val="002042CE"/>
    <w:rsid w:val="00204499"/>
    <w:rsid w:val="00204801"/>
    <w:rsid w:val="002063DC"/>
    <w:rsid w:val="00206ECF"/>
    <w:rsid w:val="00207703"/>
    <w:rsid w:val="00214ECA"/>
    <w:rsid w:val="0021701C"/>
    <w:rsid w:val="0022145E"/>
    <w:rsid w:val="00223B03"/>
    <w:rsid w:val="002240BD"/>
    <w:rsid w:val="00231158"/>
    <w:rsid w:val="00232AC4"/>
    <w:rsid w:val="00233E3D"/>
    <w:rsid w:val="00234585"/>
    <w:rsid w:val="00235C95"/>
    <w:rsid w:val="00241FC9"/>
    <w:rsid w:val="0024533E"/>
    <w:rsid w:val="00246A50"/>
    <w:rsid w:val="00251BBE"/>
    <w:rsid w:val="00256085"/>
    <w:rsid w:val="002572F8"/>
    <w:rsid w:val="00257D53"/>
    <w:rsid w:val="002638E5"/>
    <w:rsid w:val="0026431D"/>
    <w:rsid w:val="00265B45"/>
    <w:rsid w:val="00265D5F"/>
    <w:rsid w:val="002669C0"/>
    <w:rsid w:val="00266D78"/>
    <w:rsid w:val="00267472"/>
    <w:rsid w:val="0027093F"/>
    <w:rsid w:val="00272255"/>
    <w:rsid w:val="0027257D"/>
    <w:rsid w:val="0027334B"/>
    <w:rsid w:val="00274782"/>
    <w:rsid w:val="00276671"/>
    <w:rsid w:val="0028227A"/>
    <w:rsid w:val="00282B62"/>
    <w:rsid w:val="00284883"/>
    <w:rsid w:val="00284A7F"/>
    <w:rsid w:val="002932E7"/>
    <w:rsid w:val="002949A4"/>
    <w:rsid w:val="00294AED"/>
    <w:rsid w:val="0029556A"/>
    <w:rsid w:val="00295A15"/>
    <w:rsid w:val="00295FE9"/>
    <w:rsid w:val="002A0665"/>
    <w:rsid w:val="002A1762"/>
    <w:rsid w:val="002A329B"/>
    <w:rsid w:val="002A38A3"/>
    <w:rsid w:val="002A5839"/>
    <w:rsid w:val="002A6F0C"/>
    <w:rsid w:val="002B1D4D"/>
    <w:rsid w:val="002B41C4"/>
    <w:rsid w:val="002B45F0"/>
    <w:rsid w:val="002B5BAB"/>
    <w:rsid w:val="002B74B4"/>
    <w:rsid w:val="002C354E"/>
    <w:rsid w:val="002C6332"/>
    <w:rsid w:val="002C7B30"/>
    <w:rsid w:val="002D0371"/>
    <w:rsid w:val="002D0559"/>
    <w:rsid w:val="002D08A6"/>
    <w:rsid w:val="002D09A6"/>
    <w:rsid w:val="002D371D"/>
    <w:rsid w:val="002D6A94"/>
    <w:rsid w:val="002D7812"/>
    <w:rsid w:val="002E084F"/>
    <w:rsid w:val="002E14D0"/>
    <w:rsid w:val="002E29D5"/>
    <w:rsid w:val="002E4A3B"/>
    <w:rsid w:val="002E583C"/>
    <w:rsid w:val="002E6D43"/>
    <w:rsid w:val="002E7BC6"/>
    <w:rsid w:val="002F3967"/>
    <w:rsid w:val="002F7F1B"/>
    <w:rsid w:val="0030155D"/>
    <w:rsid w:val="003019DC"/>
    <w:rsid w:val="00305DF3"/>
    <w:rsid w:val="00306CD2"/>
    <w:rsid w:val="003119E9"/>
    <w:rsid w:val="003126E4"/>
    <w:rsid w:val="00314E1C"/>
    <w:rsid w:val="0031514D"/>
    <w:rsid w:val="0031617C"/>
    <w:rsid w:val="003166D6"/>
    <w:rsid w:val="00317956"/>
    <w:rsid w:val="003213EF"/>
    <w:rsid w:val="00322044"/>
    <w:rsid w:val="00325DF8"/>
    <w:rsid w:val="00330A1A"/>
    <w:rsid w:val="00331AAF"/>
    <w:rsid w:val="00333D5A"/>
    <w:rsid w:val="00333DDA"/>
    <w:rsid w:val="00337527"/>
    <w:rsid w:val="00340BE2"/>
    <w:rsid w:val="00340C3B"/>
    <w:rsid w:val="003416B0"/>
    <w:rsid w:val="003432EB"/>
    <w:rsid w:val="003437F6"/>
    <w:rsid w:val="00346B9A"/>
    <w:rsid w:val="00346D85"/>
    <w:rsid w:val="00352146"/>
    <w:rsid w:val="00360316"/>
    <w:rsid w:val="00360909"/>
    <w:rsid w:val="003619E4"/>
    <w:rsid w:val="00362573"/>
    <w:rsid w:val="00362BDE"/>
    <w:rsid w:val="003633C9"/>
    <w:rsid w:val="0036352C"/>
    <w:rsid w:val="00364924"/>
    <w:rsid w:val="0036515E"/>
    <w:rsid w:val="003656BF"/>
    <w:rsid w:val="00365D87"/>
    <w:rsid w:val="00366359"/>
    <w:rsid w:val="003708C0"/>
    <w:rsid w:val="00374F1B"/>
    <w:rsid w:val="00376F5E"/>
    <w:rsid w:val="00377C12"/>
    <w:rsid w:val="00382437"/>
    <w:rsid w:val="00383F10"/>
    <w:rsid w:val="00383F76"/>
    <w:rsid w:val="003842C6"/>
    <w:rsid w:val="00386AA3"/>
    <w:rsid w:val="003931A0"/>
    <w:rsid w:val="00394082"/>
    <w:rsid w:val="00395086"/>
    <w:rsid w:val="0039630D"/>
    <w:rsid w:val="0039769A"/>
    <w:rsid w:val="003A2FF2"/>
    <w:rsid w:val="003A3C2F"/>
    <w:rsid w:val="003B0706"/>
    <w:rsid w:val="003B0A2B"/>
    <w:rsid w:val="003B1203"/>
    <w:rsid w:val="003B1DA5"/>
    <w:rsid w:val="003B1F10"/>
    <w:rsid w:val="003B4AF1"/>
    <w:rsid w:val="003C0028"/>
    <w:rsid w:val="003C00A2"/>
    <w:rsid w:val="003C32FB"/>
    <w:rsid w:val="003C3847"/>
    <w:rsid w:val="003D1048"/>
    <w:rsid w:val="003D3B02"/>
    <w:rsid w:val="003D46E1"/>
    <w:rsid w:val="003D63C1"/>
    <w:rsid w:val="003D76B2"/>
    <w:rsid w:val="003E0E9C"/>
    <w:rsid w:val="003F34C1"/>
    <w:rsid w:val="003F53DD"/>
    <w:rsid w:val="003F547A"/>
    <w:rsid w:val="003F561F"/>
    <w:rsid w:val="003F7830"/>
    <w:rsid w:val="004000B3"/>
    <w:rsid w:val="0040068A"/>
    <w:rsid w:val="0040431E"/>
    <w:rsid w:val="004043AF"/>
    <w:rsid w:val="00412350"/>
    <w:rsid w:val="00412610"/>
    <w:rsid w:val="00413969"/>
    <w:rsid w:val="00414628"/>
    <w:rsid w:val="00414B0F"/>
    <w:rsid w:val="004164D7"/>
    <w:rsid w:val="00417830"/>
    <w:rsid w:val="0042028E"/>
    <w:rsid w:val="0042259B"/>
    <w:rsid w:val="00423DC6"/>
    <w:rsid w:val="00423EB4"/>
    <w:rsid w:val="00425B40"/>
    <w:rsid w:val="00425E5A"/>
    <w:rsid w:val="004266F5"/>
    <w:rsid w:val="00430B1F"/>
    <w:rsid w:val="00433D4E"/>
    <w:rsid w:val="00433E67"/>
    <w:rsid w:val="00434F6D"/>
    <w:rsid w:val="0043530D"/>
    <w:rsid w:val="0043777A"/>
    <w:rsid w:val="0043784E"/>
    <w:rsid w:val="00437993"/>
    <w:rsid w:val="00440747"/>
    <w:rsid w:val="00440BF6"/>
    <w:rsid w:val="00440F69"/>
    <w:rsid w:val="00441E82"/>
    <w:rsid w:val="0044647D"/>
    <w:rsid w:val="00447BE7"/>
    <w:rsid w:val="0045361D"/>
    <w:rsid w:val="0045696E"/>
    <w:rsid w:val="00464621"/>
    <w:rsid w:val="004670EC"/>
    <w:rsid w:val="00470F9C"/>
    <w:rsid w:val="0047158A"/>
    <w:rsid w:val="004744D7"/>
    <w:rsid w:val="0047632F"/>
    <w:rsid w:val="00480121"/>
    <w:rsid w:val="00481D46"/>
    <w:rsid w:val="00482D97"/>
    <w:rsid w:val="00484AF3"/>
    <w:rsid w:val="00492072"/>
    <w:rsid w:val="0049244B"/>
    <w:rsid w:val="004951C3"/>
    <w:rsid w:val="004954D1"/>
    <w:rsid w:val="004957F3"/>
    <w:rsid w:val="004A3195"/>
    <w:rsid w:val="004A4E2A"/>
    <w:rsid w:val="004A6552"/>
    <w:rsid w:val="004B1259"/>
    <w:rsid w:val="004B293D"/>
    <w:rsid w:val="004B3311"/>
    <w:rsid w:val="004B39CF"/>
    <w:rsid w:val="004B443A"/>
    <w:rsid w:val="004B5A14"/>
    <w:rsid w:val="004B5B3F"/>
    <w:rsid w:val="004B5BB0"/>
    <w:rsid w:val="004B6706"/>
    <w:rsid w:val="004B6BBD"/>
    <w:rsid w:val="004B7F12"/>
    <w:rsid w:val="004C0677"/>
    <w:rsid w:val="004C090F"/>
    <w:rsid w:val="004C12A6"/>
    <w:rsid w:val="004C23EE"/>
    <w:rsid w:val="004C5209"/>
    <w:rsid w:val="004C64F6"/>
    <w:rsid w:val="004D1513"/>
    <w:rsid w:val="004D5C9D"/>
    <w:rsid w:val="004E3F01"/>
    <w:rsid w:val="004E4C38"/>
    <w:rsid w:val="004E5DF3"/>
    <w:rsid w:val="004E614F"/>
    <w:rsid w:val="005017E9"/>
    <w:rsid w:val="00501CCD"/>
    <w:rsid w:val="005078BA"/>
    <w:rsid w:val="00510671"/>
    <w:rsid w:val="005115A3"/>
    <w:rsid w:val="00515A74"/>
    <w:rsid w:val="00522B90"/>
    <w:rsid w:val="00523E37"/>
    <w:rsid w:val="00526C1D"/>
    <w:rsid w:val="00526FC2"/>
    <w:rsid w:val="00527508"/>
    <w:rsid w:val="00532E7E"/>
    <w:rsid w:val="00534598"/>
    <w:rsid w:val="00537DDE"/>
    <w:rsid w:val="005428F7"/>
    <w:rsid w:val="00545F92"/>
    <w:rsid w:val="0055298B"/>
    <w:rsid w:val="0056158B"/>
    <w:rsid w:val="0056358C"/>
    <w:rsid w:val="005643A2"/>
    <w:rsid w:val="00565EB9"/>
    <w:rsid w:val="00567E95"/>
    <w:rsid w:val="0057043D"/>
    <w:rsid w:val="00571FE0"/>
    <w:rsid w:val="0057449C"/>
    <w:rsid w:val="00576D29"/>
    <w:rsid w:val="005770BA"/>
    <w:rsid w:val="0058223D"/>
    <w:rsid w:val="005833D5"/>
    <w:rsid w:val="00586711"/>
    <w:rsid w:val="00587665"/>
    <w:rsid w:val="00593922"/>
    <w:rsid w:val="005A0ADE"/>
    <w:rsid w:val="005A1994"/>
    <w:rsid w:val="005A2A65"/>
    <w:rsid w:val="005A2F17"/>
    <w:rsid w:val="005A4779"/>
    <w:rsid w:val="005A4CF7"/>
    <w:rsid w:val="005B04A5"/>
    <w:rsid w:val="005B07F2"/>
    <w:rsid w:val="005B0CF1"/>
    <w:rsid w:val="005B618F"/>
    <w:rsid w:val="005C1D35"/>
    <w:rsid w:val="005C22C9"/>
    <w:rsid w:val="005C2A9A"/>
    <w:rsid w:val="005C4B52"/>
    <w:rsid w:val="005C4E97"/>
    <w:rsid w:val="005C73A7"/>
    <w:rsid w:val="005D051C"/>
    <w:rsid w:val="005D6779"/>
    <w:rsid w:val="005E27B9"/>
    <w:rsid w:val="005E3534"/>
    <w:rsid w:val="005E3C55"/>
    <w:rsid w:val="005E4345"/>
    <w:rsid w:val="005E47E9"/>
    <w:rsid w:val="005F10F2"/>
    <w:rsid w:val="005F3151"/>
    <w:rsid w:val="005F59BF"/>
    <w:rsid w:val="005F677F"/>
    <w:rsid w:val="00602DAB"/>
    <w:rsid w:val="00605A56"/>
    <w:rsid w:val="0060737E"/>
    <w:rsid w:val="00607CA5"/>
    <w:rsid w:val="00610125"/>
    <w:rsid w:val="006164B9"/>
    <w:rsid w:val="00617959"/>
    <w:rsid w:val="006216CE"/>
    <w:rsid w:val="006240F1"/>
    <w:rsid w:val="006241D4"/>
    <w:rsid w:val="006250B9"/>
    <w:rsid w:val="00630B93"/>
    <w:rsid w:val="0063306E"/>
    <w:rsid w:val="0064231A"/>
    <w:rsid w:val="00642816"/>
    <w:rsid w:val="0065256E"/>
    <w:rsid w:val="00653BD5"/>
    <w:rsid w:val="00657784"/>
    <w:rsid w:val="006608BF"/>
    <w:rsid w:val="00661A84"/>
    <w:rsid w:val="006624F7"/>
    <w:rsid w:val="00665FCD"/>
    <w:rsid w:val="00672622"/>
    <w:rsid w:val="00672D0D"/>
    <w:rsid w:val="00673C0E"/>
    <w:rsid w:val="00675675"/>
    <w:rsid w:val="0067664B"/>
    <w:rsid w:val="006777B6"/>
    <w:rsid w:val="00681E5C"/>
    <w:rsid w:val="00682E41"/>
    <w:rsid w:val="00684537"/>
    <w:rsid w:val="00690BAD"/>
    <w:rsid w:val="00691BE1"/>
    <w:rsid w:val="006938C7"/>
    <w:rsid w:val="00695F4C"/>
    <w:rsid w:val="006A1D94"/>
    <w:rsid w:val="006A2F5C"/>
    <w:rsid w:val="006A3062"/>
    <w:rsid w:val="006A7889"/>
    <w:rsid w:val="006B1BC2"/>
    <w:rsid w:val="006B35EB"/>
    <w:rsid w:val="006B64B9"/>
    <w:rsid w:val="006C1BFA"/>
    <w:rsid w:val="006C7213"/>
    <w:rsid w:val="006C7CA9"/>
    <w:rsid w:val="006D0C5A"/>
    <w:rsid w:val="006D46BD"/>
    <w:rsid w:val="006E1266"/>
    <w:rsid w:val="006E6C3C"/>
    <w:rsid w:val="006F21ED"/>
    <w:rsid w:val="006F2C3E"/>
    <w:rsid w:val="006F346C"/>
    <w:rsid w:val="006F6374"/>
    <w:rsid w:val="00701DFE"/>
    <w:rsid w:val="007072D8"/>
    <w:rsid w:val="00710763"/>
    <w:rsid w:val="00714045"/>
    <w:rsid w:val="007167C0"/>
    <w:rsid w:val="0072300C"/>
    <w:rsid w:val="00724FBC"/>
    <w:rsid w:val="00725F62"/>
    <w:rsid w:val="0072691A"/>
    <w:rsid w:val="00727D04"/>
    <w:rsid w:val="00733648"/>
    <w:rsid w:val="00735CB6"/>
    <w:rsid w:val="007365A3"/>
    <w:rsid w:val="0074506E"/>
    <w:rsid w:val="00746ACD"/>
    <w:rsid w:val="00747286"/>
    <w:rsid w:val="007509C3"/>
    <w:rsid w:val="00754C4B"/>
    <w:rsid w:val="0075516A"/>
    <w:rsid w:val="00755AB3"/>
    <w:rsid w:val="00760B5A"/>
    <w:rsid w:val="007649C6"/>
    <w:rsid w:val="00764D94"/>
    <w:rsid w:val="00767176"/>
    <w:rsid w:val="00767CB3"/>
    <w:rsid w:val="00770713"/>
    <w:rsid w:val="00770C02"/>
    <w:rsid w:val="0077144A"/>
    <w:rsid w:val="0077184C"/>
    <w:rsid w:val="0077381D"/>
    <w:rsid w:val="007751D8"/>
    <w:rsid w:val="00775457"/>
    <w:rsid w:val="00776A09"/>
    <w:rsid w:val="0078229E"/>
    <w:rsid w:val="00782995"/>
    <w:rsid w:val="00782D88"/>
    <w:rsid w:val="00782FD3"/>
    <w:rsid w:val="007840C8"/>
    <w:rsid w:val="00786DB4"/>
    <w:rsid w:val="00786E9E"/>
    <w:rsid w:val="0079238C"/>
    <w:rsid w:val="007940A0"/>
    <w:rsid w:val="00797D8F"/>
    <w:rsid w:val="007A2356"/>
    <w:rsid w:val="007A59A3"/>
    <w:rsid w:val="007A6A82"/>
    <w:rsid w:val="007B0A5D"/>
    <w:rsid w:val="007B27B8"/>
    <w:rsid w:val="007B3A1E"/>
    <w:rsid w:val="007B693F"/>
    <w:rsid w:val="007C08F1"/>
    <w:rsid w:val="007C190C"/>
    <w:rsid w:val="007C1CBD"/>
    <w:rsid w:val="007C4CA7"/>
    <w:rsid w:val="007C659F"/>
    <w:rsid w:val="007D1E96"/>
    <w:rsid w:val="007D1ECB"/>
    <w:rsid w:val="007D28F2"/>
    <w:rsid w:val="007D354B"/>
    <w:rsid w:val="007E0B93"/>
    <w:rsid w:val="007E1D19"/>
    <w:rsid w:val="007E3F02"/>
    <w:rsid w:val="007E542B"/>
    <w:rsid w:val="007E570F"/>
    <w:rsid w:val="007E6150"/>
    <w:rsid w:val="007E662E"/>
    <w:rsid w:val="007F35C8"/>
    <w:rsid w:val="008004A4"/>
    <w:rsid w:val="00800ED8"/>
    <w:rsid w:val="0080274D"/>
    <w:rsid w:val="0080346A"/>
    <w:rsid w:val="008047D2"/>
    <w:rsid w:val="0080536D"/>
    <w:rsid w:val="00807C70"/>
    <w:rsid w:val="0081451E"/>
    <w:rsid w:val="008213A0"/>
    <w:rsid w:val="00827514"/>
    <w:rsid w:val="0083021B"/>
    <w:rsid w:val="00830E89"/>
    <w:rsid w:val="00836FC1"/>
    <w:rsid w:val="00840C90"/>
    <w:rsid w:val="00842EBD"/>
    <w:rsid w:val="008448C7"/>
    <w:rsid w:val="00844C4A"/>
    <w:rsid w:val="0084675D"/>
    <w:rsid w:val="00853D32"/>
    <w:rsid w:val="00856D10"/>
    <w:rsid w:val="0086047B"/>
    <w:rsid w:val="00867CA8"/>
    <w:rsid w:val="00871CE2"/>
    <w:rsid w:val="00881643"/>
    <w:rsid w:val="00883342"/>
    <w:rsid w:val="008843F0"/>
    <w:rsid w:val="008868F6"/>
    <w:rsid w:val="00887CE7"/>
    <w:rsid w:val="00894291"/>
    <w:rsid w:val="00895DD6"/>
    <w:rsid w:val="008A068F"/>
    <w:rsid w:val="008A39DA"/>
    <w:rsid w:val="008A4E15"/>
    <w:rsid w:val="008A5A20"/>
    <w:rsid w:val="008B1B0D"/>
    <w:rsid w:val="008B4162"/>
    <w:rsid w:val="008B435B"/>
    <w:rsid w:val="008B4CA1"/>
    <w:rsid w:val="008B50B8"/>
    <w:rsid w:val="008B6843"/>
    <w:rsid w:val="008C26CA"/>
    <w:rsid w:val="008C2F95"/>
    <w:rsid w:val="008C7108"/>
    <w:rsid w:val="008D44C0"/>
    <w:rsid w:val="008E27FF"/>
    <w:rsid w:val="008E37E7"/>
    <w:rsid w:val="008E6898"/>
    <w:rsid w:val="008E71EB"/>
    <w:rsid w:val="008E741C"/>
    <w:rsid w:val="008F165B"/>
    <w:rsid w:val="008F4441"/>
    <w:rsid w:val="008F7369"/>
    <w:rsid w:val="008F7994"/>
    <w:rsid w:val="008F7D94"/>
    <w:rsid w:val="00901692"/>
    <w:rsid w:val="009022C8"/>
    <w:rsid w:val="00910993"/>
    <w:rsid w:val="009109C4"/>
    <w:rsid w:val="00911638"/>
    <w:rsid w:val="009144FE"/>
    <w:rsid w:val="00915064"/>
    <w:rsid w:val="0092032B"/>
    <w:rsid w:val="0092173D"/>
    <w:rsid w:val="00925A75"/>
    <w:rsid w:val="00933038"/>
    <w:rsid w:val="00937428"/>
    <w:rsid w:val="0094139C"/>
    <w:rsid w:val="00942648"/>
    <w:rsid w:val="00945E37"/>
    <w:rsid w:val="00947050"/>
    <w:rsid w:val="0094768A"/>
    <w:rsid w:val="00952266"/>
    <w:rsid w:val="00954172"/>
    <w:rsid w:val="00954B69"/>
    <w:rsid w:val="009572C6"/>
    <w:rsid w:val="009602B5"/>
    <w:rsid w:val="00960BE0"/>
    <w:rsid w:val="009645EE"/>
    <w:rsid w:val="00970590"/>
    <w:rsid w:val="0097301F"/>
    <w:rsid w:val="00974242"/>
    <w:rsid w:val="00982216"/>
    <w:rsid w:val="0098633D"/>
    <w:rsid w:val="0098707F"/>
    <w:rsid w:val="00987C2D"/>
    <w:rsid w:val="00990C3D"/>
    <w:rsid w:val="00991C3B"/>
    <w:rsid w:val="00991DA3"/>
    <w:rsid w:val="00992B0C"/>
    <w:rsid w:val="00993C79"/>
    <w:rsid w:val="00995E4A"/>
    <w:rsid w:val="0099637D"/>
    <w:rsid w:val="009966B7"/>
    <w:rsid w:val="00997873"/>
    <w:rsid w:val="009A09B6"/>
    <w:rsid w:val="009A25A8"/>
    <w:rsid w:val="009A7743"/>
    <w:rsid w:val="009B11E3"/>
    <w:rsid w:val="009B532E"/>
    <w:rsid w:val="009B6F4A"/>
    <w:rsid w:val="009C0A8B"/>
    <w:rsid w:val="009C3869"/>
    <w:rsid w:val="009C6C7C"/>
    <w:rsid w:val="009C6EAF"/>
    <w:rsid w:val="009C6F70"/>
    <w:rsid w:val="009D4916"/>
    <w:rsid w:val="009D50E7"/>
    <w:rsid w:val="009E09E7"/>
    <w:rsid w:val="009E0A2F"/>
    <w:rsid w:val="009E6862"/>
    <w:rsid w:val="009E7070"/>
    <w:rsid w:val="009F0063"/>
    <w:rsid w:val="009F1692"/>
    <w:rsid w:val="009F1AE8"/>
    <w:rsid w:val="009F2CEF"/>
    <w:rsid w:val="009F4C58"/>
    <w:rsid w:val="009F7D76"/>
    <w:rsid w:val="00A0146D"/>
    <w:rsid w:val="00A02260"/>
    <w:rsid w:val="00A048D3"/>
    <w:rsid w:val="00A0680C"/>
    <w:rsid w:val="00A07F1B"/>
    <w:rsid w:val="00A1370E"/>
    <w:rsid w:val="00A20963"/>
    <w:rsid w:val="00A22EF0"/>
    <w:rsid w:val="00A2493F"/>
    <w:rsid w:val="00A2712C"/>
    <w:rsid w:val="00A331A7"/>
    <w:rsid w:val="00A33FA1"/>
    <w:rsid w:val="00A43E9B"/>
    <w:rsid w:val="00A44F19"/>
    <w:rsid w:val="00A47310"/>
    <w:rsid w:val="00A47A77"/>
    <w:rsid w:val="00A5034D"/>
    <w:rsid w:val="00A53CA0"/>
    <w:rsid w:val="00A551DB"/>
    <w:rsid w:val="00A55817"/>
    <w:rsid w:val="00A55A8F"/>
    <w:rsid w:val="00A6033B"/>
    <w:rsid w:val="00A61ACF"/>
    <w:rsid w:val="00A63575"/>
    <w:rsid w:val="00A63A5C"/>
    <w:rsid w:val="00A66B7B"/>
    <w:rsid w:val="00A673DA"/>
    <w:rsid w:val="00A77785"/>
    <w:rsid w:val="00A80400"/>
    <w:rsid w:val="00A81CF3"/>
    <w:rsid w:val="00A90EF0"/>
    <w:rsid w:val="00A922E2"/>
    <w:rsid w:val="00A93111"/>
    <w:rsid w:val="00A9569B"/>
    <w:rsid w:val="00A95CC0"/>
    <w:rsid w:val="00A97020"/>
    <w:rsid w:val="00AA3A91"/>
    <w:rsid w:val="00AA60F1"/>
    <w:rsid w:val="00AA7062"/>
    <w:rsid w:val="00AB0855"/>
    <w:rsid w:val="00AB3CB8"/>
    <w:rsid w:val="00AB3D96"/>
    <w:rsid w:val="00AB4C19"/>
    <w:rsid w:val="00AB5313"/>
    <w:rsid w:val="00AB57F2"/>
    <w:rsid w:val="00AB6548"/>
    <w:rsid w:val="00AC3B7D"/>
    <w:rsid w:val="00AC4752"/>
    <w:rsid w:val="00AD3150"/>
    <w:rsid w:val="00AD7B3A"/>
    <w:rsid w:val="00AE009C"/>
    <w:rsid w:val="00AE103E"/>
    <w:rsid w:val="00AE11B0"/>
    <w:rsid w:val="00AE4241"/>
    <w:rsid w:val="00AE70C9"/>
    <w:rsid w:val="00AF04F6"/>
    <w:rsid w:val="00AF2841"/>
    <w:rsid w:val="00AF30C1"/>
    <w:rsid w:val="00AF4CDD"/>
    <w:rsid w:val="00AF4D04"/>
    <w:rsid w:val="00AF4FE0"/>
    <w:rsid w:val="00B0406C"/>
    <w:rsid w:val="00B04B48"/>
    <w:rsid w:val="00B05ECE"/>
    <w:rsid w:val="00B125A1"/>
    <w:rsid w:val="00B14815"/>
    <w:rsid w:val="00B15AC6"/>
    <w:rsid w:val="00B17AB1"/>
    <w:rsid w:val="00B208E9"/>
    <w:rsid w:val="00B21EAC"/>
    <w:rsid w:val="00B24ABD"/>
    <w:rsid w:val="00B2624A"/>
    <w:rsid w:val="00B32190"/>
    <w:rsid w:val="00B33B08"/>
    <w:rsid w:val="00B34824"/>
    <w:rsid w:val="00B35DFF"/>
    <w:rsid w:val="00B35EC0"/>
    <w:rsid w:val="00B369B3"/>
    <w:rsid w:val="00B43D27"/>
    <w:rsid w:val="00B46481"/>
    <w:rsid w:val="00B5796D"/>
    <w:rsid w:val="00B609F7"/>
    <w:rsid w:val="00B61EF4"/>
    <w:rsid w:val="00B6330B"/>
    <w:rsid w:val="00B67F4E"/>
    <w:rsid w:val="00B701F4"/>
    <w:rsid w:val="00B71D3E"/>
    <w:rsid w:val="00B85F24"/>
    <w:rsid w:val="00B87F0E"/>
    <w:rsid w:val="00B911A6"/>
    <w:rsid w:val="00B91450"/>
    <w:rsid w:val="00B95A53"/>
    <w:rsid w:val="00B95A5F"/>
    <w:rsid w:val="00BA1C00"/>
    <w:rsid w:val="00BA4E6E"/>
    <w:rsid w:val="00BA6F5D"/>
    <w:rsid w:val="00BB0908"/>
    <w:rsid w:val="00BB39A6"/>
    <w:rsid w:val="00BB5EFB"/>
    <w:rsid w:val="00BC0322"/>
    <w:rsid w:val="00BC27F5"/>
    <w:rsid w:val="00BC5976"/>
    <w:rsid w:val="00BC6A4F"/>
    <w:rsid w:val="00BC7331"/>
    <w:rsid w:val="00BD13A5"/>
    <w:rsid w:val="00BE12D6"/>
    <w:rsid w:val="00BE2792"/>
    <w:rsid w:val="00BE4E06"/>
    <w:rsid w:val="00BE7899"/>
    <w:rsid w:val="00BF0642"/>
    <w:rsid w:val="00BF29CE"/>
    <w:rsid w:val="00BF7D2A"/>
    <w:rsid w:val="00C00237"/>
    <w:rsid w:val="00C0149E"/>
    <w:rsid w:val="00C02792"/>
    <w:rsid w:val="00C036AD"/>
    <w:rsid w:val="00C03FAA"/>
    <w:rsid w:val="00C054FE"/>
    <w:rsid w:val="00C06F6C"/>
    <w:rsid w:val="00C10684"/>
    <w:rsid w:val="00C1113B"/>
    <w:rsid w:val="00C116D8"/>
    <w:rsid w:val="00C14AE0"/>
    <w:rsid w:val="00C159C1"/>
    <w:rsid w:val="00C15D19"/>
    <w:rsid w:val="00C162D0"/>
    <w:rsid w:val="00C330D0"/>
    <w:rsid w:val="00C3430A"/>
    <w:rsid w:val="00C360D7"/>
    <w:rsid w:val="00C3731D"/>
    <w:rsid w:val="00C40495"/>
    <w:rsid w:val="00C40B2C"/>
    <w:rsid w:val="00C41352"/>
    <w:rsid w:val="00C427A6"/>
    <w:rsid w:val="00C43434"/>
    <w:rsid w:val="00C46859"/>
    <w:rsid w:val="00C47CE3"/>
    <w:rsid w:val="00C50096"/>
    <w:rsid w:val="00C5108F"/>
    <w:rsid w:val="00C52F77"/>
    <w:rsid w:val="00C56150"/>
    <w:rsid w:val="00C5630D"/>
    <w:rsid w:val="00C57AE3"/>
    <w:rsid w:val="00C612AD"/>
    <w:rsid w:val="00C63930"/>
    <w:rsid w:val="00C651E9"/>
    <w:rsid w:val="00C6537F"/>
    <w:rsid w:val="00C66C12"/>
    <w:rsid w:val="00C679EA"/>
    <w:rsid w:val="00C702F2"/>
    <w:rsid w:val="00C71309"/>
    <w:rsid w:val="00C72885"/>
    <w:rsid w:val="00C77F56"/>
    <w:rsid w:val="00C80A67"/>
    <w:rsid w:val="00C8144E"/>
    <w:rsid w:val="00C814EE"/>
    <w:rsid w:val="00C8317E"/>
    <w:rsid w:val="00C83F8F"/>
    <w:rsid w:val="00C912BF"/>
    <w:rsid w:val="00C93E07"/>
    <w:rsid w:val="00C94FC7"/>
    <w:rsid w:val="00C9671A"/>
    <w:rsid w:val="00CA1F77"/>
    <w:rsid w:val="00CA53E3"/>
    <w:rsid w:val="00CA5470"/>
    <w:rsid w:val="00CA6231"/>
    <w:rsid w:val="00CB04AF"/>
    <w:rsid w:val="00CB16D7"/>
    <w:rsid w:val="00CB294C"/>
    <w:rsid w:val="00CB6348"/>
    <w:rsid w:val="00CB6AD6"/>
    <w:rsid w:val="00CC2664"/>
    <w:rsid w:val="00CC4666"/>
    <w:rsid w:val="00CC5110"/>
    <w:rsid w:val="00CC654B"/>
    <w:rsid w:val="00CC6674"/>
    <w:rsid w:val="00CC7DAB"/>
    <w:rsid w:val="00CD5088"/>
    <w:rsid w:val="00CE12F1"/>
    <w:rsid w:val="00CE2971"/>
    <w:rsid w:val="00CE37CC"/>
    <w:rsid w:val="00CE41CD"/>
    <w:rsid w:val="00CE48BD"/>
    <w:rsid w:val="00CE76B3"/>
    <w:rsid w:val="00CF3F28"/>
    <w:rsid w:val="00D004FA"/>
    <w:rsid w:val="00D00853"/>
    <w:rsid w:val="00D03291"/>
    <w:rsid w:val="00D0331C"/>
    <w:rsid w:val="00D07D7B"/>
    <w:rsid w:val="00D10481"/>
    <w:rsid w:val="00D107A1"/>
    <w:rsid w:val="00D10B88"/>
    <w:rsid w:val="00D13CC0"/>
    <w:rsid w:val="00D14F76"/>
    <w:rsid w:val="00D16089"/>
    <w:rsid w:val="00D165B7"/>
    <w:rsid w:val="00D22529"/>
    <w:rsid w:val="00D231B1"/>
    <w:rsid w:val="00D24224"/>
    <w:rsid w:val="00D26503"/>
    <w:rsid w:val="00D277F5"/>
    <w:rsid w:val="00D3236C"/>
    <w:rsid w:val="00D33598"/>
    <w:rsid w:val="00D4502C"/>
    <w:rsid w:val="00D510A0"/>
    <w:rsid w:val="00D548FF"/>
    <w:rsid w:val="00D5516A"/>
    <w:rsid w:val="00D62524"/>
    <w:rsid w:val="00D64561"/>
    <w:rsid w:val="00D64D15"/>
    <w:rsid w:val="00D65DD1"/>
    <w:rsid w:val="00D671E5"/>
    <w:rsid w:val="00D71546"/>
    <w:rsid w:val="00D778A2"/>
    <w:rsid w:val="00D779B3"/>
    <w:rsid w:val="00D84D3F"/>
    <w:rsid w:val="00D84F02"/>
    <w:rsid w:val="00D85F05"/>
    <w:rsid w:val="00D87994"/>
    <w:rsid w:val="00D87D35"/>
    <w:rsid w:val="00D91D6E"/>
    <w:rsid w:val="00D92B74"/>
    <w:rsid w:val="00D944EA"/>
    <w:rsid w:val="00DA158F"/>
    <w:rsid w:val="00DA2C95"/>
    <w:rsid w:val="00DA2E58"/>
    <w:rsid w:val="00DA44CE"/>
    <w:rsid w:val="00DA7ADD"/>
    <w:rsid w:val="00DB0991"/>
    <w:rsid w:val="00DB7A4B"/>
    <w:rsid w:val="00DC5255"/>
    <w:rsid w:val="00DC666C"/>
    <w:rsid w:val="00DC7137"/>
    <w:rsid w:val="00DC7F34"/>
    <w:rsid w:val="00DD2924"/>
    <w:rsid w:val="00DD49C5"/>
    <w:rsid w:val="00DD65D4"/>
    <w:rsid w:val="00DD735B"/>
    <w:rsid w:val="00DE2801"/>
    <w:rsid w:val="00DE2A26"/>
    <w:rsid w:val="00DE47B2"/>
    <w:rsid w:val="00DE52F2"/>
    <w:rsid w:val="00DE6DD4"/>
    <w:rsid w:val="00DE7625"/>
    <w:rsid w:val="00DF0618"/>
    <w:rsid w:val="00DF1F7E"/>
    <w:rsid w:val="00DF2A5C"/>
    <w:rsid w:val="00DF7E21"/>
    <w:rsid w:val="00E01100"/>
    <w:rsid w:val="00E01E05"/>
    <w:rsid w:val="00E05FD4"/>
    <w:rsid w:val="00E07603"/>
    <w:rsid w:val="00E13159"/>
    <w:rsid w:val="00E14608"/>
    <w:rsid w:val="00E1616B"/>
    <w:rsid w:val="00E2244B"/>
    <w:rsid w:val="00E320C2"/>
    <w:rsid w:val="00E33216"/>
    <w:rsid w:val="00E337E3"/>
    <w:rsid w:val="00E41F3E"/>
    <w:rsid w:val="00E4261D"/>
    <w:rsid w:val="00E42E03"/>
    <w:rsid w:val="00E434DB"/>
    <w:rsid w:val="00E4636E"/>
    <w:rsid w:val="00E51DC4"/>
    <w:rsid w:val="00E54362"/>
    <w:rsid w:val="00E56420"/>
    <w:rsid w:val="00E56EB1"/>
    <w:rsid w:val="00E62A85"/>
    <w:rsid w:val="00E63A63"/>
    <w:rsid w:val="00E67F78"/>
    <w:rsid w:val="00E7140A"/>
    <w:rsid w:val="00E7168B"/>
    <w:rsid w:val="00E71B6D"/>
    <w:rsid w:val="00E71FBB"/>
    <w:rsid w:val="00E7210A"/>
    <w:rsid w:val="00E75454"/>
    <w:rsid w:val="00E75956"/>
    <w:rsid w:val="00E76006"/>
    <w:rsid w:val="00E772D5"/>
    <w:rsid w:val="00E81A6C"/>
    <w:rsid w:val="00E81D7F"/>
    <w:rsid w:val="00E843C9"/>
    <w:rsid w:val="00E84699"/>
    <w:rsid w:val="00E860BA"/>
    <w:rsid w:val="00E902D3"/>
    <w:rsid w:val="00E90A78"/>
    <w:rsid w:val="00E91802"/>
    <w:rsid w:val="00E9254E"/>
    <w:rsid w:val="00E94FFA"/>
    <w:rsid w:val="00E964A7"/>
    <w:rsid w:val="00EA42E7"/>
    <w:rsid w:val="00EA4BCC"/>
    <w:rsid w:val="00EB1693"/>
    <w:rsid w:val="00EB7CAF"/>
    <w:rsid w:val="00EC594E"/>
    <w:rsid w:val="00EC5F6F"/>
    <w:rsid w:val="00EC65A4"/>
    <w:rsid w:val="00ED1032"/>
    <w:rsid w:val="00ED189C"/>
    <w:rsid w:val="00ED3433"/>
    <w:rsid w:val="00ED40EF"/>
    <w:rsid w:val="00ED61B7"/>
    <w:rsid w:val="00ED6610"/>
    <w:rsid w:val="00EE0006"/>
    <w:rsid w:val="00EE20D6"/>
    <w:rsid w:val="00EE4687"/>
    <w:rsid w:val="00EE52CA"/>
    <w:rsid w:val="00EE57DD"/>
    <w:rsid w:val="00EF27DB"/>
    <w:rsid w:val="00EF3ADF"/>
    <w:rsid w:val="00EF7CBC"/>
    <w:rsid w:val="00F0000B"/>
    <w:rsid w:val="00F0265D"/>
    <w:rsid w:val="00F0361D"/>
    <w:rsid w:val="00F100FD"/>
    <w:rsid w:val="00F11E0E"/>
    <w:rsid w:val="00F132FE"/>
    <w:rsid w:val="00F14666"/>
    <w:rsid w:val="00F156AF"/>
    <w:rsid w:val="00F15946"/>
    <w:rsid w:val="00F170E5"/>
    <w:rsid w:val="00F17135"/>
    <w:rsid w:val="00F226AA"/>
    <w:rsid w:val="00F226E8"/>
    <w:rsid w:val="00F24011"/>
    <w:rsid w:val="00F24ACA"/>
    <w:rsid w:val="00F25286"/>
    <w:rsid w:val="00F27482"/>
    <w:rsid w:val="00F303A6"/>
    <w:rsid w:val="00F30836"/>
    <w:rsid w:val="00F30FB0"/>
    <w:rsid w:val="00F40260"/>
    <w:rsid w:val="00F42183"/>
    <w:rsid w:val="00F42D74"/>
    <w:rsid w:val="00F43969"/>
    <w:rsid w:val="00F43C5B"/>
    <w:rsid w:val="00F43E20"/>
    <w:rsid w:val="00F501B2"/>
    <w:rsid w:val="00F51ECB"/>
    <w:rsid w:val="00F5286F"/>
    <w:rsid w:val="00F52912"/>
    <w:rsid w:val="00F562A6"/>
    <w:rsid w:val="00F6214C"/>
    <w:rsid w:val="00F6393C"/>
    <w:rsid w:val="00F642F6"/>
    <w:rsid w:val="00F64D0B"/>
    <w:rsid w:val="00F64DF2"/>
    <w:rsid w:val="00F712A4"/>
    <w:rsid w:val="00F71846"/>
    <w:rsid w:val="00F72BBF"/>
    <w:rsid w:val="00F73364"/>
    <w:rsid w:val="00F73370"/>
    <w:rsid w:val="00F8458B"/>
    <w:rsid w:val="00F85A08"/>
    <w:rsid w:val="00F86833"/>
    <w:rsid w:val="00F908AF"/>
    <w:rsid w:val="00F912E9"/>
    <w:rsid w:val="00F941F4"/>
    <w:rsid w:val="00F9581E"/>
    <w:rsid w:val="00F97105"/>
    <w:rsid w:val="00FA1E79"/>
    <w:rsid w:val="00FA3BD9"/>
    <w:rsid w:val="00FA3EEF"/>
    <w:rsid w:val="00FA4ADE"/>
    <w:rsid w:val="00FA4BE1"/>
    <w:rsid w:val="00FA756E"/>
    <w:rsid w:val="00FB1E2E"/>
    <w:rsid w:val="00FC3E58"/>
    <w:rsid w:val="00FC71F2"/>
    <w:rsid w:val="00FD149F"/>
    <w:rsid w:val="00FD15FF"/>
    <w:rsid w:val="00FD4040"/>
    <w:rsid w:val="00FE2899"/>
    <w:rsid w:val="00FE49B5"/>
    <w:rsid w:val="00FE4F56"/>
    <w:rsid w:val="00FE586A"/>
    <w:rsid w:val="00FF126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unhideWhenUsed/>
    <w:rsid w:val="00A61ACF"/>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A61ACF"/>
  </w:style>
  <w:style w:type="character" w:customStyle="1" w:styleId="term1">
    <w:name w:val="term1"/>
    <w:basedOn w:val="DefaultParagraphFont"/>
    <w:rsid w:val="00A61ACF"/>
    <w:rPr>
      <w:b/>
      <w:bCs/>
    </w:rPr>
  </w:style>
  <w:style w:type="paragraph" w:styleId="Header">
    <w:name w:val="header"/>
    <w:basedOn w:val="Normal"/>
    <w:link w:val="HeaderChar"/>
    <w:rsid w:val="00BC7331"/>
    <w:pPr>
      <w:tabs>
        <w:tab w:val="center" w:pos="4680"/>
        <w:tab w:val="right" w:pos="9360"/>
      </w:tabs>
    </w:pPr>
  </w:style>
  <w:style w:type="character" w:customStyle="1" w:styleId="HeaderChar">
    <w:name w:val="Header Char"/>
    <w:basedOn w:val="DefaultParagraphFont"/>
    <w:link w:val="Header"/>
    <w:rsid w:val="00BC7331"/>
    <w:rPr>
      <w:rFonts w:ascii="CG Times" w:hAnsi="CG Times" w:cs="CG Times"/>
      <w:sz w:val="24"/>
      <w:szCs w:val="24"/>
    </w:rPr>
  </w:style>
  <w:style w:type="paragraph" w:styleId="BodyText">
    <w:name w:val="Body Text"/>
    <w:basedOn w:val="Normal"/>
    <w:link w:val="BodyTextChar"/>
    <w:unhideWhenUsed/>
    <w:rsid w:val="00C94FC7"/>
    <w:pPr>
      <w:autoSpaceDE/>
      <w:autoSpaceDN/>
      <w:spacing w:line="360" w:lineRule="auto"/>
      <w:jc w:val="both"/>
    </w:pPr>
    <w:rPr>
      <w:rFonts w:ascii="Times New Roman" w:eastAsia="SimSun" w:hAnsi="Times New Roman" w:cs="Times New Roman"/>
      <w:sz w:val="26"/>
      <w:szCs w:val="20"/>
    </w:rPr>
  </w:style>
  <w:style w:type="character" w:customStyle="1" w:styleId="BodyTextChar">
    <w:name w:val="Body Text Char"/>
    <w:basedOn w:val="DefaultParagraphFont"/>
    <w:link w:val="BodyText"/>
    <w:rsid w:val="00C94FC7"/>
    <w:rPr>
      <w:rFonts w:eastAsia="SimSun"/>
      <w:sz w:val="26"/>
    </w:rPr>
  </w:style>
  <w:style w:type="character" w:styleId="FootnoteReference">
    <w:name w:val="footnote reference"/>
    <w:uiPriority w:val="99"/>
    <w:unhideWhenUsed/>
    <w:rsid w:val="00C94F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unhideWhenUsed/>
    <w:rsid w:val="00A61ACF"/>
    <w:pPr>
      <w:autoSpaceDE/>
      <w:autoSpaceDN/>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A61ACF"/>
  </w:style>
  <w:style w:type="character" w:customStyle="1" w:styleId="term1">
    <w:name w:val="term1"/>
    <w:basedOn w:val="DefaultParagraphFont"/>
    <w:rsid w:val="00A61ACF"/>
    <w:rPr>
      <w:b/>
      <w:bCs/>
    </w:rPr>
  </w:style>
  <w:style w:type="paragraph" w:styleId="Header">
    <w:name w:val="header"/>
    <w:basedOn w:val="Normal"/>
    <w:link w:val="HeaderChar"/>
    <w:rsid w:val="00BC7331"/>
    <w:pPr>
      <w:tabs>
        <w:tab w:val="center" w:pos="4680"/>
        <w:tab w:val="right" w:pos="9360"/>
      </w:tabs>
    </w:pPr>
  </w:style>
  <w:style w:type="character" w:customStyle="1" w:styleId="HeaderChar">
    <w:name w:val="Header Char"/>
    <w:basedOn w:val="DefaultParagraphFont"/>
    <w:link w:val="Header"/>
    <w:rsid w:val="00BC7331"/>
    <w:rPr>
      <w:rFonts w:ascii="CG Times" w:hAnsi="CG Times" w:cs="CG Times"/>
      <w:sz w:val="24"/>
      <w:szCs w:val="24"/>
    </w:rPr>
  </w:style>
  <w:style w:type="paragraph" w:styleId="BodyText">
    <w:name w:val="Body Text"/>
    <w:basedOn w:val="Normal"/>
    <w:link w:val="BodyTextChar"/>
    <w:unhideWhenUsed/>
    <w:rsid w:val="00C94FC7"/>
    <w:pPr>
      <w:autoSpaceDE/>
      <w:autoSpaceDN/>
      <w:spacing w:line="360" w:lineRule="auto"/>
      <w:jc w:val="both"/>
    </w:pPr>
    <w:rPr>
      <w:rFonts w:ascii="Times New Roman" w:eastAsia="SimSun" w:hAnsi="Times New Roman" w:cs="Times New Roman"/>
      <w:sz w:val="26"/>
      <w:szCs w:val="20"/>
    </w:rPr>
  </w:style>
  <w:style w:type="character" w:customStyle="1" w:styleId="BodyTextChar">
    <w:name w:val="Body Text Char"/>
    <w:basedOn w:val="DefaultParagraphFont"/>
    <w:link w:val="BodyText"/>
    <w:rsid w:val="00C94FC7"/>
    <w:rPr>
      <w:rFonts w:eastAsia="SimSun"/>
      <w:sz w:val="26"/>
    </w:rPr>
  </w:style>
  <w:style w:type="character" w:styleId="FootnoteReference">
    <w:name w:val="footnote reference"/>
    <w:uiPriority w:val="99"/>
    <w:unhideWhenUsed/>
    <w:rsid w:val="00C94F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70840">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62F9-53D5-4BC7-98F3-6BC175A8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2</cp:revision>
  <cp:lastPrinted>2012-12-19T17:32:00Z</cp:lastPrinted>
  <dcterms:created xsi:type="dcterms:W3CDTF">2013-01-09T20:49:00Z</dcterms:created>
  <dcterms:modified xsi:type="dcterms:W3CDTF">2013-01-09T20:49:00Z</dcterms:modified>
</cp:coreProperties>
</file>