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AE51C9" w:rsidRDefault="00303D99" w:rsidP="00B86FD3">
      <w:pPr>
        <w:jc w:val="center"/>
        <w:rPr>
          <w:b/>
          <w:bCs/>
          <w:sz w:val="24"/>
          <w:szCs w:val="24"/>
        </w:rPr>
      </w:pPr>
      <w:bookmarkStart w:id="0" w:name="_GoBack"/>
      <w:bookmarkEnd w:id="0"/>
      <w:r w:rsidRPr="00AE51C9">
        <w:rPr>
          <w:b/>
          <w:bCs/>
          <w:sz w:val="24"/>
          <w:szCs w:val="24"/>
        </w:rPr>
        <w:t>BEFORE THE</w:t>
      </w:r>
    </w:p>
    <w:p w:rsidR="00303D99" w:rsidRPr="00AE51C9" w:rsidRDefault="00303D99" w:rsidP="00B86FD3">
      <w:pPr>
        <w:jc w:val="center"/>
        <w:rPr>
          <w:b/>
          <w:bCs/>
          <w:sz w:val="24"/>
          <w:szCs w:val="24"/>
        </w:rPr>
      </w:pPr>
      <w:r w:rsidRPr="00AE51C9">
        <w:rPr>
          <w:b/>
          <w:bCs/>
          <w:sz w:val="24"/>
          <w:szCs w:val="24"/>
        </w:rPr>
        <w:t>PENNSYLVANIA PUBLIC UTILITY</w:t>
      </w:r>
      <w:r w:rsidR="00042D7B" w:rsidRPr="00AE51C9">
        <w:rPr>
          <w:b/>
          <w:bCs/>
          <w:sz w:val="24"/>
          <w:szCs w:val="24"/>
        </w:rPr>
        <w:t xml:space="preserve"> COMMISSION</w:t>
      </w:r>
    </w:p>
    <w:p w:rsidR="00303D99" w:rsidRPr="00AE51C9" w:rsidRDefault="00303D99" w:rsidP="00B86FD3">
      <w:pPr>
        <w:ind w:firstLine="1440"/>
        <w:rPr>
          <w:sz w:val="24"/>
          <w:szCs w:val="24"/>
        </w:rPr>
      </w:pPr>
    </w:p>
    <w:p w:rsidR="00647160" w:rsidRPr="00AE51C9" w:rsidRDefault="00647160" w:rsidP="00647160">
      <w:pPr>
        <w:ind w:firstLine="1440"/>
        <w:rPr>
          <w:sz w:val="24"/>
          <w:szCs w:val="24"/>
        </w:rPr>
      </w:pPr>
    </w:p>
    <w:p w:rsidR="00647160" w:rsidRPr="00AE51C9" w:rsidRDefault="00647160" w:rsidP="00647160">
      <w:pPr>
        <w:ind w:firstLine="1440"/>
        <w:rPr>
          <w:sz w:val="24"/>
          <w:szCs w:val="24"/>
        </w:rPr>
      </w:pPr>
    </w:p>
    <w:p w:rsidR="00647160" w:rsidRPr="00AE51C9" w:rsidRDefault="00647160" w:rsidP="00647160">
      <w:pPr>
        <w:tabs>
          <w:tab w:val="left" w:pos="5040"/>
          <w:tab w:val="left" w:pos="7200"/>
        </w:tabs>
        <w:jc w:val="both"/>
        <w:rPr>
          <w:sz w:val="24"/>
          <w:szCs w:val="24"/>
        </w:rPr>
      </w:pPr>
      <w:r w:rsidRPr="00AE51C9">
        <w:rPr>
          <w:sz w:val="24"/>
          <w:szCs w:val="24"/>
        </w:rPr>
        <w:t>Daniel Helwig</w:t>
      </w:r>
      <w:r w:rsidRPr="00AE51C9">
        <w:rPr>
          <w:sz w:val="24"/>
          <w:szCs w:val="24"/>
        </w:rPr>
        <w:tab/>
        <w:t>:</w:t>
      </w:r>
    </w:p>
    <w:p w:rsidR="00647160" w:rsidRPr="00AE51C9" w:rsidRDefault="00647160" w:rsidP="00647160">
      <w:pPr>
        <w:tabs>
          <w:tab w:val="left" w:pos="5040"/>
          <w:tab w:val="left" w:pos="7200"/>
        </w:tabs>
        <w:jc w:val="both"/>
        <w:rPr>
          <w:sz w:val="24"/>
          <w:szCs w:val="24"/>
        </w:rPr>
      </w:pPr>
      <w:r w:rsidRPr="00AE51C9">
        <w:rPr>
          <w:sz w:val="24"/>
          <w:szCs w:val="24"/>
        </w:rPr>
        <w:tab/>
        <w:t>:</w:t>
      </w:r>
    </w:p>
    <w:p w:rsidR="00647160" w:rsidRPr="00AE51C9" w:rsidRDefault="00AE51C9" w:rsidP="00AE51C9">
      <w:pPr>
        <w:tabs>
          <w:tab w:val="left" w:pos="720"/>
          <w:tab w:val="left" w:pos="5040"/>
          <w:tab w:val="left" w:pos="6480"/>
        </w:tabs>
        <w:jc w:val="both"/>
        <w:rPr>
          <w:sz w:val="24"/>
          <w:szCs w:val="24"/>
        </w:rPr>
      </w:pPr>
      <w:r>
        <w:rPr>
          <w:sz w:val="24"/>
          <w:szCs w:val="24"/>
        </w:rPr>
        <w:tab/>
        <w:t>v.</w:t>
      </w:r>
      <w:r>
        <w:rPr>
          <w:sz w:val="24"/>
          <w:szCs w:val="24"/>
        </w:rPr>
        <w:tab/>
        <w:t>:</w:t>
      </w:r>
      <w:r>
        <w:rPr>
          <w:sz w:val="24"/>
          <w:szCs w:val="24"/>
        </w:rPr>
        <w:tab/>
      </w:r>
      <w:r w:rsidR="00647160" w:rsidRPr="00AE51C9">
        <w:rPr>
          <w:sz w:val="24"/>
          <w:szCs w:val="24"/>
        </w:rPr>
        <w:t>F-2012-2299753</w:t>
      </w:r>
    </w:p>
    <w:p w:rsidR="00647160" w:rsidRPr="00AE51C9" w:rsidRDefault="00647160" w:rsidP="00647160">
      <w:pPr>
        <w:jc w:val="both"/>
        <w:rPr>
          <w:sz w:val="24"/>
          <w:szCs w:val="24"/>
        </w:rPr>
      </w:pP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t>:</w:t>
      </w:r>
    </w:p>
    <w:p w:rsidR="00647160" w:rsidRPr="00AE51C9" w:rsidRDefault="00647160" w:rsidP="00647160">
      <w:pPr>
        <w:jc w:val="both"/>
        <w:rPr>
          <w:sz w:val="24"/>
          <w:szCs w:val="24"/>
        </w:rPr>
      </w:pPr>
      <w:r w:rsidRPr="00AE51C9">
        <w:rPr>
          <w:sz w:val="24"/>
          <w:szCs w:val="24"/>
        </w:rPr>
        <w:t>PECO Energy Company</w:t>
      </w:r>
      <w:r w:rsidRPr="00AE51C9">
        <w:rPr>
          <w:sz w:val="24"/>
          <w:szCs w:val="24"/>
        </w:rPr>
        <w:tab/>
      </w:r>
      <w:r w:rsidRPr="00AE51C9">
        <w:rPr>
          <w:sz w:val="24"/>
          <w:szCs w:val="24"/>
        </w:rPr>
        <w:tab/>
      </w:r>
      <w:r w:rsidRPr="00AE51C9">
        <w:rPr>
          <w:sz w:val="24"/>
          <w:szCs w:val="24"/>
        </w:rPr>
        <w:tab/>
      </w:r>
      <w:r w:rsidRPr="00AE51C9">
        <w:rPr>
          <w:sz w:val="24"/>
          <w:szCs w:val="24"/>
        </w:rPr>
        <w:tab/>
        <w:t>:</w:t>
      </w:r>
    </w:p>
    <w:p w:rsidR="00647160" w:rsidRPr="00AE51C9" w:rsidRDefault="00647160" w:rsidP="00647160">
      <w:pPr>
        <w:ind w:firstLine="1440"/>
        <w:rPr>
          <w:sz w:val="24"/>
          <w:szCs w:val="24"/>
        </w:rPr>
      </w:pPr>
    </w:p>
    <w:p w:rsidR="00647160" w:rsidRPr="00AE51C9" w:rsidRDefault="00647160" w:rsidP="00647160">
      <w:pPr>
        <w:ind w:firstLine="1440"/>
        <w:rPr>
          <w:sz w:val="24"/>
          <w:szCs w:val="24"/>
        </w:rPr>
      </w:pPr>
    </w:p>
    <w:p w:rsidR="00303D99" w:rsidRPr="00AE51C9" w:rsidRDefault="00303D99" w:rsidP="00B86FD3">
      <w:pPr>
        <w:ind w:firstLine="1440"/>
        <w:rPr>
          <w:sz w:val="24"/>
          <w:szCs w:val="24"/>
        </w:rPr>
      </w:pPr>
    </w:p>
    <w:p w:rsidR="00303D99" w:rsidRPr="00AE51C9" w:rsidRDefault="002E1524" w:rsidP="00B86FD3">
      <w:pPr>
        <w:jc w:val="center"/>
        <w:rPr>
          <w:b/>
          <w:bCs/>
          <w:sz w:val="24"/>
          <w:szCs w:val="24"/>
          <w:u w:val="single"/>
        </w:rPr>
      </w:pPr>
      <w:r w:rsidRPr="00AE51C9">
        <w:rPr>
          <w:b/>
          <w:bCs/>
          <w:sz w:val="24"/>
          <w:szCs w:val="24"/>
          <w:u w:val="single"/>
        </w:rPr>
        <w:t>INITIAL DECISION</w:t>
      </w:r>
    </w:p>
    <w:p w:rsidR="00187230" w:rsidRPr="00AE51C9" w:rsidRDefault="00187230" w:rsidP="00B86FD3">
      <w:pPr>
        <w:jc w:val="center"/>
        <w:rPr>
          <w:b/>
          <w:bCs/>
          <w:sz w:val="24"/>
          <w:szCs w:val="24"/>
          <w:u w:val="single"/>
        </w:rPr>
      </w:pPr>
    </w:p>
    <w:p w:rsidR="00B446A3" w:rsidRPr="00AE51C9" w:rsidRDefault="00B446A3" w:rsidP="00B86FD3">
      <w:pPr>
        <w:jc w:val="center"/>
        <w:rPr>
          <w:b/>
          <w:bCs/>
          <w:sz w:val="24"/>
          <w:szCs w:val="24"/>
          <w:u w:val="single"/>
        </w:rPr>
      </w:pPr>
    </w:p>
    <w:p w:rsidR="00303D99" w:rsidRPr="00AE51C9" w:rsidRDefault="00303D99" w:rsidP="00B86FD3">
      <w:pPr>
        <w:jc w:val="center"/>
        <w:rPr>
          <w:sz w:val="24"/>
          <w:szCs w:val="24"/>
        </w:rPr>
      </w:pPr>
      <w:r w:rsidRPr="00AE51C9">
        <w:rPr>
          <w:sz w:val="24"/>
          <w:szCs w:val="24"/>
        </w:rPr>
        <w:t>Before</w:t>
      </w:r>
    </w:p>
    <w:p w:rsidR="00303D99" w:rsidRPr="00AE51C9" w:rsidRDefault="00042D7B" w:rsidP="00B86FD3">
      <w:pPr>
        <w:jc w:val="center"/>
        <w:rPr>
          <w:sz w:val="24"/>
          <w:szCs w:val="24"/>
        </w:rPr>
      </w:pPr>
      <w:r w:rsidRPr="00AE51C9">
        <w:rPr>
          <w:sz w:val="24"/>
          <w:szCs w:val="24"/>
        </w:rPr>
        <w:t>Elizabeth Barnes</w:t>
      </w:r>
    </w:p>
    <w:p w:rsidR="00303D99" w:rsidRPr="00AE51C9" w:rsidRDefault="00303D99" w:rsidP="00B86FD3">
      <w:pPr>
        <w:jc w:val="center"/>
        <w:rPr>
          <w:sz w:val="24"/>
          <w:szCs w:val="24"/>
        </w:rPr>
      </w:pPr>
      <w:r w:rsidRPr="00AE51C9">
        <w:rPr>
          <w:sz w:val="24"/>
          <w:szCs w:val="24"/>
        </w:rPr>
        <w:t>Administrative Law Judge</w:t>
      </w:r>
    </w:p>
    <w:p w:rsidR="00303D99" w:rsidRPr="00AE51C9" w:rsidRDefault="00303D99" w:rsidP="00B86FD3">
      <w:pPr>
        <w:ind w:firstLine="1440"/>
        <w:rPr>
          <w:sz w:val="24"/>
          <w:szCs w:val="24"/>
        </w:rPr>
      </w:pPr>
    </w:p>
    <w:p w:rsidR="00B86FD3" w:rsidRPr="00AE51C9" w:rsidRDefault="00B86FD3" w:rsidP="00B86FD3">
      <w:pPr>
        <w:ind w:firstLine="1440"/>
        <w:rPr>
          <w:sz w:val="24"/>
          <w:szCs w:val="24"/>
        </w:rPr>
      </w:pPr>
    </w:p>
    <w:p w:rsidR="00303D99" w:rsidRPr="00AE51C9" w:rsidRDefault="00B446A3" w:rsidP="00B86FD3">
      <w:pPr>
        <w:jc w:val="center"/>
        <w:rPr>
          <w:sz w:val="24"/>
          <w:szCs w:val="24"/>
          <w:u w:val="single"/>
        </w:rPr>
      </w:pPr>
      <w:r w:rsidRPr="00AE51C9">
        <w:rPr>
          <w:sz w:val="24"/>
          <w:szCs w:val="24"/>
          <w:u w:val="single"/>
        </w:rPr>
        <w:t>HISTORY OF THE PROCEEDING</w:t>
      </w:r>
    </w:p>
    <w:p w:rsidR="00303D99" w:rsidRPr="00AE51C9" w:rsidRDefault="00303D99" w:rsidP="00B86FD3">
      <w:pPr>
        <w:ind w:firstLine="1440"/>
        <w:rPr>
          <w:sz w:val="24"/>
          <w:szCs w:val="24"/>
          <w:u w:val="single"/>
        </w:rPr>
      </w:pPr>
    </w:p>
    <w:p w:rsidR="00DC38FC" w:rsidRPr="00AE51C9" w:rsidRDefault="00DC38FC" w:rsidP="00B86FD3">
      <w:pPr>
        <w:ind w:firstLine="1440"/>
        <w:rPr>
          <w:sz w:val="24"/>
          <w:szCs w:val="24"/>
          <w:u w:val="single"/>
        </w:rPr>
      </w:pPr>
    </w:p>
    <w:p w:rsidR="00303D99" w:rsidRPr="00AE51C9" w:rsidRDefault="00303D99" w:rsidP="00B86FD3">
      <w:pPr>
        <w:spacing w:line="360" w:lineRule="auto"/>
        <w:ind w:firstLine="1440"/>
        <w:rPr>
          <w:sz w:val="24"/>
          <w:szCs w:val="24"/>
        </w:rPr>
      </w:pPr>
      <w:r w:rsidRPr="00AE51C9">
        <w:rPr>
          <w:sz w:val="24"/>
          <w:szCs w:val="24"/>
        </w:rPr>
        <w:t xml:space="preserve">On </w:t>
      </w:r>
      <w:r w:rsidR="002A781B" w:rsidRPr="00AE51C9">
        <w:rPr>
          <w:sz w:val="24"/>
          <w:szCs w:val="24"/>
        </w:rPr>
        <w:t xml:space="preserve">April 17, 2012, </w:t>
      </w:r>
      <w:r w:rsidR="00ED34D3" w:rsidRPr="00AE51C9">
        <w:rPr>
          <w:sz w:val="24"/>
          <w:szCs w:val="24"/>
        </w:rPr>
        <w:t>Daniel Helwig</w:t>
      </w:r>
      <w:r w:rsidRPr="00AE51C9">
        <w:rPr>
          <w:sz w:val="24"/>
          <w:szCs w:val="24"/>
        </w:rPr>
        <w:t xml:space="preserve"> (</w:t>
      </w:r>
      <w:r w:rsidR="00042D7B" w:rsidRPr="00AE51C9">
        <w:rPr>
          <w:sz w:val="24"/>
          <w:szCs w:val="24"/>
        </w:rPr>
        <w:t>C</w:t>
      </w:r>
      <w:r w:rsidRPr="00AE51C9">
        <w:rPr>
          <w:sz w:val="24"/>
          <w:szCs w:val="24"/>
        </w:rPr>
        <w:t>omplainant),</w:t>
      </w:r>
      <w:r w:rsidR="00042D7B" w:rsidRPr="00AE51C9">
        <w:rPr>
          <w:sz w:val="24"/>
          <w:szCs w:val="24"/>
        </w:rPr>
        <w:t xml:space="preserve"> </w:t>
      </w:r>
      <w:r w:rsidR="00042D7B" w:rsidRPr="00AE51C9">
        <w:rPr>
          <w:i/>
          <w:sz w:val="24"/>
          <w:szCs w:val="24"/>
        </w:rPr>
        <w:t>pro se</w:t>
      </w:r>
      <w:r w:rsidRPr="00AE51C9">
        <w:rPr>
          <w:sz w:val="24"/>
          <w:szCs w:val="24"/>
        </w:rPr>
        <w:t xml:space="preserve"> filed a formal Complaint (Complaint) against PECO Energy Company (PECO), (</w:t>
      </w:r>
      <w:r w:rsidR="00042D7B" w:rsidRPr="00AE51C9">
        <w:rPr>
          <w:sz w:val="24"/>
          <w:szCs w:val="24"/>
        </w:rPr>
        <w:t>R</w:t>
      </w:r>
      <w:r w:rsidRPr="00AE51C9">
        <w:rPr>
          <w:sz w:val="24"/>
          <w:szCs w:val="24"/>
        </w:rPr>
        <w:t>espondent), with the Pennsylvania Public Utility Commission (Commission)</w:t>
      </w:r>
      <w:r w:rsidR="00042D7B" w:rsidRPr="00AE51C9">
        <w:rPr>
          <w:sz w:val="24"/>
          <w:szCs w:val="24"/>
        </w:rPr>
        <w:t xml:space="preserve"> at Docket No. </w:t>
      </w:r>
      <w:r w:rsidR="00ED34D3" w:rsidRPr="00AE51C9">
        <w:rPr>
          <w:sz w:val="24"/>
          <w:szCs w:val="24"/>
        </w:rPr>
        <w:t>F-2012-2299753.</w:t>
      </w:r>
      <w:r w:rsidR="00ED34D3" w:rsidRPr="00AE51C9">
        <w:rPr>
          <w:rStyle w:val="FootnoteReference"/>
          <w:sz w:val="24"/>
          <w:szCs w:val="24"/>
        </w:rPr>
        <w:footnoteReference w:id="1"/>
      </w:r>
    </w:p>
    <w:p w:rsidR="00906B96" w:rsidRPr="00AE51C9" w:rsidRDefault="00906B96" w:rsidP="00B86FD3">
      <w:pPr>
        <w:spacing w:line="360" w:lineRule="auto"/>
        <w:ind w:firstLine="1440"/>
        <w:rPr>
          <w:sz w:val="24"/>
          <w:szCs w:val="24"/>
        </w:rPr>
      </w:pPr>
    </w:p>
    <w:p w:rsidR="002A781B" w:rsidRPr="00AE51C9" w:rsidRDefault="002A781B" w:rsidP="00B86FD3">
      <w:pPr>
        <w:spacing w:line="360" w:lineRule="auto"/>
        <w:ind w:firstLine="1440"/>
        <w:rPr>
          <w:sz w:val="24"/>
          <w:szCs w:val="24"/>
        </w:rPr>
      </w:pPr>
      <w:r w:rsidRPr="00AE51C9">
        <w:rPr>
          <w:sz w:val="24"/>
          <w:szCs w:val="24"/>
        </w:rPr>
        <w:t xml:space="preserve">Complainant avers </w:t>
      </w:r>
      <w:r w:rsidR="004E2A39" w:rsidRPr="00AE51C9">
        <w:rPr>
          <w:sz w:val="24"/>
          <w:szCs w:val="24"/>
        </w:rPr>
        <w:t xml:space="preserve">that </w:t>
      </w:r>
      <w:r w:rsidRPr="00AE51C9">
        <w:rPr>
          <w:sz w:val="24"/>
          <w:szCs w:val="24"/>
        </w:rPr>
        <w:t xml:space="preserve">he is the property manager for the landlord, Roslyn </w:t>
      </w:r>
      <w:r w:rsidR="004E2A39" w:rsidRPr="00AE51C9">
        <w:rPr>
          <w:sz w:val="24"/>
          <w:szCs w:val="24"/>
        </w:rPr>
        <w:t>d</w:t>
      </w:r>
      <w:r w:rsidRPr="00AE51C9">
        <w:rPr>
          <w:sz w:val="24"/>
          <w:szCs w:val="24"/>
        </w:rPr>
        <w:t>e</w:t>
      </w:r>
      <w:r w:rsidR="004E2A39" w:rsidRPr="00AE51C9">
        <w:rPr>
          <w:sz w:val="24"/>
          <w:szCs w:val="24"/>
        </w:rPr>
        <w:t xml:space="preserve"> L</w:t>
      </w:r>
      <w:r w:rsidRPr="00AE51C9">
        <w:rPr>
          <w:sz w:val="24"/>
          <w:szCs w:val="24"/>
        </w:rPr>
        <w:t xml:space="preserve">izarriturri, who owns the service residence at 6303 Sunnybrook Rd., First Floor, Flourtown, PA.  Complainant seeks a reduction in a bill that the landlord received on February 21, 2012 in the amount of </w:t>
      </w:r>
      <w:r w:rsidR="00F801F9" w:rsidRPr="00AE51C9">
        <w:rPr>
          <w:sz w:val="24"/>
          <w:szCs w:val="24"/>
        </w:rPr>
        <w:t>$1,717.57</w:t>
      </w:r>
      <w:r w:rsidRPr="00AE51C9">
        <w:rPr>
          <w:sz w:val="24"/>
          <w:szCs w:val="24"/>
        </w:rPr>
        <w:t xml:space="preserve"> for service to prior tenant</w:t>
      </w:r>
      <w:r w:rsidR="008C0ADE" w:rsidRPr="00AE51C9">
        <w:rPr>
          <w:sz w:val="24"/>
          <w:szCs w:val="24"/>
        </w:rPr>
        <w:t>s</w:t>
      </w:r>
      <w:r w:rsidR="00DF34E4" w:rsidRPr="00AE51C9">
        <w:rPr>
          <w:sz w:val="24"/>
          <w:szCs w:val="24"/>
        </w:rPr>
        <w:t>, Margaret and Timothy Saiber,</w:t>
      </w:r>
      <w:r w:rsidR="005E7D93" w:rsidRPr="00AE51C9">
        <w:rPr>
          <w:sz w:val="24"/>
          <w:szCs w:val="24"/>
        </w:rPr>
        <w:t xml:space="preserve"> which</w:t>
      </w:r>
      <w:r w:rsidRPr="00AE51C9">
        <w:rPr>
          <w:sz w:val="24"/>
          <w:szCs w:val="24"/>
        </w:rPr>
        <w:t xml:space="preserve"> is unreasonable given the nature of the minor foreign load issues regarding the account.  Complainant avers the bill mostly consists of four months of unpaid electric and gas service at the service property.  Complainant argues the bills the landlord received are not reasonably attributable to the foreign load</w:t>
      </w:r>
      <w:r w:rsidR="008C0ADE" w:rsidRPr="00AE51C9">
        <w:rPr>
          <w:sz w:val="24"/>
          <w:szCs w:val="24"/>
        </w:rPr>
        <w:t xml:space="preserve"> in violation of the Commission’s decision in </w:t>
      </w:r>
      <w:r w:rsidR="00016631" w:rsidRPr="00AE51C9">
        <w:rPr>
          <w:i/>
          <w:sz w:val="24"/>
          <w:szCs w:val="24"/>
        </w:rPr>
        <w:t xml:space="preserve">Afshari </w:t>
      </w:r>
      <w:r w:rsidR="008C0ADE" w:rsidRPr="00AE51C9">
        <w:rPr>
          <w:i/>
          <w:sz w:val="24"/>
          <w:szCs w:val="24"/>
        </w:rPr>
        <w:t>v. PPL Electric Utilities Corporation</w:t>
      </w:r>
      <w:r w:rsidR="008C0ADE" w:rsidRPr="00AE51C9">
        <w:rPr>
          <w:sz w:val="24"/>
          <w:szCs w:val="24"/>
        </w:rPr>
        <w:t>, Docket No. C-20055547, Order (April 9, 2008).</w:t>
      </w:r>
    </w:p>
    <w:p w:rsidR="002A781B" w:rsidRPr="00AE51C9" w:rsidRDefault="002A781B" w:rsidP="00B86FD3">
      <w:pPr>
        <w:spacing w:line="360" w:lineRule="auto"/>
        <w:ind w:firstLine="1440"/>
        <w:rPr>
          <w:sz w:val="24"/>
          <w:szCs w:val="24"/>
        </w:rPr>
      </w:pPr>
    </w:p>
    <w:p w:rsidR="004C1B54" w:rsidRPr="00AE51C9" w:rsidRDefault="00303D99" w:rsidP="004C1B54">
      <w:pPr>
        <w:spacing w:line="360" w:lineRule="auto"/>
        <w:ind w:firstLine="1440"/>
        <w:rPr>
          <w:sz w:val="24"/>
          <w:szCs w:val="24"/>
        </w:rPr>
      </w:pPr>
      <w:r w:rsidRPr="00AE51C9">
        <w:rPr>
          <w:sz w:val="24"/>
          <w:szCs w:val="24"/>
        </w:rPr>
        <w:lastRenderedPageBreak/>
        <w:t xml:space="preserve">On </w:t>
      </w:r>
      <w:r w:rsidR="002247C3" w:rsidRPr="00AE51C9">
        <w:rPr>
          <w:sz w:val="24"/>
          <w:szCs w:val="24"/>
        </w:rPr>
        <w:t>May 1</w:t>
      </w:r>
      <w:r w:rsidRPr="00AE51C9">
        <w:rPr>
          <w:sz w:val="24"/>
          <w:szCs w:val="24"/>
        </w:rPr>
        <w:t>0</w:t>
      </w:r>
      <w:r w:rsidR="0057507A" w:rsidRPr="00AE51C9">
        <w:rPr>
          <w:sz w:val="24"/>
          <w:szCs w:val="24"/>
        </w:rPr>
        <w:t>, 201</w:t>
      </w:r>
      <w:r w:rsidR="002247C3" w:rsidRPr="00AE51C9">
        <w:rPr>
          <w:sz w:val="24"/>
          <w:szCs w:val="24"/>
        </w:rPr>
        <w:t>2</w:t>
      </w:r>
      <w:r w:rsidRPr="00AE51C9">
        <w:rPr>
          <w:sz w:val="24"/>
          <w:szCs w:val="24"/>
        </w:rPr>
        <w:t xml:space="preserve">, PECO </w:t>
      </w:r>
      <w:r w:rsidR="00C401B1" w:rsidRPr="00AE51C9">
        <w:rPr>
          <w:sz w:val="24"/>
          <w:szCs w:val="24"/>
        </w:rPr>
        <w:t xml:space="preserve">timely </w:t>
      </w:r>
      <w:r w:rsidRPr="00AE51C9">
        <w:rPr>
          <w:sz w:val="24"/>
          <w:szCs w:val="24"/>
        </w:rPr>
        <w:t xml:space="preserve">filed and served an Answer and New Matter (Answer) and </w:t>
      </w:r>
      <w:r w:rsidR="0057507A" w:rsidRPr="00AE51C9">
        <w:rPr>
          <w:sz w:val="24"/>
          <w:szCs w:val="24"/>
        </w:rPr>
        <w:t>Preliminary Objection</w:t>
      </w:r>
      <w:r w:rsidR="00906F34" w:rsidRPr="00AE51C9">
        <w:rPr>
          <w:sz w:val="24"/>
          <w:szCs w:val="24"/>
        </w:rPr>
        <w:t>s</w:t>
      </w:r>
      <w:r w:rsidRPr="00AE51C9">
        <w:rPr>
          <w:sz w:val="24"/>
          <w:szCs w:val="24"/>
        </w:rPr>
        <w:t>.  The Answer admitted and denied various material facts in the Complaint.</w:t>
      </w:r>
      <w:r w:rsidR="0057507A" w:rsidRPr="00AE51C9">
        <w:rPr>
          <w:sz w:val="24"/>
          <w:szCs w:val="24"/>
        </w:rPr>
        <w:t xml:space="preserve">  PECO denied</w:t>
      </w:r>
      <w:r w:rsidR="008C0ADE" w:rsidRPr="00AE51C9">
        <w:rPr>
          <w:sz w:val="24"/>
          <w:szCs w:val="24"/>
        </w:rPr>
        <w:t xml:space="preserve"> that</w:t>
      </w:r>
      <w:r w:rsidR="0057507A" w:rsidRPr="00AE51C9">
        <w:rPr>
          <w:sz w:val="24"/>
          <w:szCs w:val="24"/>
        </w:rPr>
        <w:t xml:space="preserve"> </w:t>
      </w:r>
      <w:r w:rsidR="002247C3" w:rsidRPr="00AE51C9">
        <w:rPr>
          <w:sz w:val="24"/>
          <w:szCs w:val="24"/>
        </w:rPr>
        <w:t xml:space="preserve">Daniel Helwig </w:t>
      </w:r>
      <w:r w:rsidR="002E1524" w:rsidRPr="00AE51C9">
        <w:rPr>
          <w:sz w:val="24"/>
          <w:szCs w:val="24"/>
        </w:rPr>
        <w:t>is</w:t>
      </w:r>
      <w:r w:rsidR="002247C3" w:rsidRPr="00AE51C9">
        <w:rPr>
          <w:sz w:val="24"/>
          <w:szCs w:val="24"/>
        </w:rPr>
        <w:t xml:space="preserve"> customer of record for the account; rather, Roslyn </w:t>
      </w:r>
      <w:r w:rsidR="004E2A39" w:rsidRPr="00AE51C9">
        <w:rPr>
          <w:sz w:val="24"/>
          <w:szCs w:val="24"/>
        </w:rPr>
        <w:t>de L</w:t>
      </w:r>
      <w:r w:rsidR="00DF34E4" w:rsidRPr="00AE51C9">
        <w:rPr>
          <w:sz w:val="24"/>
          <w:szCs w:val="24"/>
        </w:rPr>
        <w:t>izarriturri</w:t>
      </w:r>
      <w:r w:rsidR="002247C3" w:rsidRPr="00AE51C9">
        <w:rPr>
          <w:sz w:val="24"/>
          <w:szCs w:val="24"/>
        </w:rPr>
        <w:t xml:space="preserve"> is the customer.  </w:t>
      </w:r>
      <w:r w:rsidR="004C1B54" w:rsidRPr="00AE51C9">
        <w:rPr>
          <w:sz w:val="24"/>
          <w:szCs w:val="24"/>
        </w:rPr>
        <w:t xml:space="preserve">PECO </w:t>
      </w:r>
      <w:r w:rsidR="00CC7122" w:rsidRPr="00AE51C9">
        <w:rPr>
          <w:sz w:val="24"/>
          <w:szCs w:val="24"/>
        </w:rPr>
        <w:t>admitted</w:t>
      </w:r>
      <w:r w:rsidR="004C1B54" w:rsidRPr="00AE51C9">
        <w:rPr>
          <w:sz w:val="24"/>
          <w:szCs w:val="24"/>
        </w:rPr>
        <w:t xml:space="preserve"> that foreign wiring was discovered at the service property at a field visit on January 10, 2012.  The service visit was made at the request of the tenants of the property at that time (Margaret and Timothy Saiber).  PECO </w:t>
      </w:r>
      <w:r w:rsidR="00CC7122" w:rsidRPr="00AE51C9">
        <w:rPr>
          <w:sz w:val="24"/>
          <w:szCs w:val="24"/>
        </w:rPr>
        <w:t>averred</w:t>
      </w:r>
      <w:r w:rsidR="004C1B54" w:rsidRPr="00AE51C9">
        <w:rPr>
          <w:sz w:val="24"/>
          <w:szCs w:val="24"/>
        </w:rPr>
        <w:t xml:space="preserve"> that during its visit, it found the basement light, outlet, and alarm were connected to the electric meter for the first floor.  Additionally, PECO found the first floor was connected to the hallway gas heat.  PECO admitted it informed the landlord of the foreign piping/wiring during the field visit and explained that it would list the account, including any arrearages, in the landlord’s name until the issues were corrected.  PECO admitted Complainant later contacted PECO and advised that the foreign piping/wiring issue had been corrected.  A follow-up </w:t>
      </w:r>
      <w:r w:rsidR="00307398">
        <w:rPr>
          <w:sz w:val="24"/>
          <w:szCs w:val="24"/>
        </w:rPr>
        <w:t>visit was conducted on February 16, </w:t>
      </w:r>
      <w:r w:rsidR="004C1B54" w:rsidRPr="00AE51C9">
        <w:rPr>
          <w:sz w:val="24"/>
          <w:szCs w:val="24"/>
        </w:rPr>
        <w:t>2012, and after the PECO technician verified the issue was resolved, service was placed back into the tenants</w:t>
      </w:r>
      <w:r w:rsidR="001700D0">
        <w:rPr>
          <w:sz w:val="24"/>
          <w:szCs w:val="24"/>
        </w:rPr>
        <w:t>’</w:t>
      </w:r>
      <w:r w:rsidR="004C1B54" w:rsidRPr="00AE51C9">
        <w:rPr>
          <w:sz w:val="24"/>
          <w:szCs w:val="24"/>
        </w:rPr>
        <w:t xml:space="preserve"> names effective February 16, 2012.</w:t>
      </w:r>
    </w:p>
    <w:p w:rsidR="00E61BE9" w:rsidRPr="00AE51C9" w:rsidRDefault="00E61BE9" w:rsidP="00B86FD3">
      <w:pPr>
        <w:spacing w:line="360" w:lineRule="auto"/>
        <w:ind w:firstLine="1440"/>
        <w:rPr>
          <w:sz w:val="24"/>
          <w:szCs w:val="24"/>
        </w:rPr>
      </w:pPr>
    </w:p>
    <w:p w:rsidR="00E61BE9" w:rsidRPr="00AE51C9" w:rsidRDefault="00E61BE9" w:rsidP="00B86FD3">
      <w:pPr>
        <w:spacing w:line="360" w:lineRule="auto"/>
        <w:ind w:firstLine="1440"/>
        <w:rPr>
          <w:sz w:val="24"/>
          <w:szCs w:val="24"/>
        </w:rPr>
      </w:pPr>
      <w:r w:rsidRPr="00AE51C9">
        <w:rPr>
          <w:sz w:val="24"/>
          <w:szCs w:val="24"/>
        </w:rPr>
        <w:t>In its New Matter</w:t>
      </w:r>
      <w:r w:rsidR="008C0ADE" w:rsidRPr="00AE51C9">
        <w:rPr>
          <w:sz w:val="24"/>
          <w:szCs w:val="24"/>
        </w:rPr>
        <w:t>,</w:t>
      </w:r>
      <w:r w:rsidRPr="00AE51C9">
        <w:rPr>
          <w:sz w:val="24"/>
          <w:szCs w:val="24"/>
        </w:rPr>
        <w:t xml:space="preserve"> PECO argue</w:t>
      </w:r>
      <w:r w:rsidR="002E1524" w:rsidRPr="00AE51C9">
        <w:rPr>
          <w:sz w:val="24"/>
          <w:szCs w:val="24"/>
        </w:rPr>
        <w:t>d</w:t>
      </w:r>
      <w:r w:rsidRPr="00AE51C9">
        <w:rPr>
          <w:sz w:val="24"/>
          <w:szCs w:val="24"/>
        </w:rPr>
        <w:t xml:space="preserve"> Mr. Helwig d</w:t>
      </w:r>
      <w:r w:rsidR="002E1524" w:rsidRPr="00AE51C9">
        <w:rPr>
          <w:sz w:val="24"/>
          <w:szCs w:val="24"/>
        </w:rPr>
        <w:t>id</w:t>
      </w:r>
      <w:r w:rsidRPr="00AE51C9">
        <w:rPr>
          <w:sz w:val="24"/>
          <w:szCs w:val="24"/>
        </w:rPr>
        <w:t xml:space="preserve"> not have standing to prosecute the instant Complaint, and Ms. De</w:t>
      </w:r>
      <w:r w:rsidR="001700D0">
        <w:rPr>
          <w:sz w:val="24"/>
          <w:szCs w:val="24"/>
        </w:rPr>
        <w:t xml:space="preserve"> L</w:t>
      </w:r>
      <w:r w:rsidRPr="00AE51C9">
        <w:rPr>
          <w:sz w:val="24"/>
          <w:szCs w:val="24"/>
        </w:rPr>
        <w:t xml:space="preserve">izarriturri </w:t>
      </w:r>
      <w:r w:rsidR="002E1524" w:rsidRPr="00AE51C9">
        <w:rPr>
          <w:sz w:val="24"/>
          <w:szCs w:val="24"/>
        </w:rPr>
        <w:t>wa</w:t>
      </w:r>
      <w:r w:rsidRPr="00AE51C9">
        <w:rPr>
          <w:sz w:val="24"/>
          <w:szCs w:val="24"/>
        </w:rPr>
        <w:t>s the correct Complainant in this proceeding.</w:t>
      </w:r>
      <w:r w:rsidR="002E1524" w:rsidRPr="00AE51C9">
        <w:rPr>
          <w:sz w:val="24"/>
          <w:szCs w:val="24"/>
        </w:rPr>
        <w:t xml:space="preserve">  </w:t>
      </w:r>
      <w:r w:rsidR="004C1B54" w:rsidRPr="00AE51C9">
        <w:rPr>
          <w:sz w:val="24"/>
          <w:szCs w:val="24"/>
        </w:rPr>
        <w:t xml:space="preserve">Complainant filed an Answer to New Matter on May 22, 2012.  </w:t>
      </w:r>
      <w:r w:rsidR="002E1524" w:rsidRPr="00AE51C9">
        <w:rPr>
          <w:sz w:val="24"/>
          <w:szCs w:val="24"/>
        </w:rPr>
        <w:t>By Order entered July 13, 2012, the presiding officer denied Respondent’s Preliminary Objections and direct</w:t>
      </w:r>
      <w:r w:rsidR="00F93BED" w:rsidRPr="00AE51C9">
        <w:rPr>
          <w:sz w:val="24"/>
          <w:szCs w:val="24"/>
        </w:rPr>
        <w:t>ed</w:t>
      </w:r>
      <w:r w:rsidR="002E1524" w:rsidRPr="00AE51C9">
        <w:rPr>
          <w:sz w:val="24"/>
          <w:szCs w:val="24"/>
        </w:rPr>
        <w:t xml:space="preserve"> </w:t>
      </w:r>
      <w:r w:rsidR="00F93BED" w:rsidRPr="00AE51C9">
        <w:rPr>
          <w:sz w:val="24"/>
          <w:szCs w:val="24"/>
        </w:rPr>
        <w:t>Complainant</w:t>
      </w:r>
      <w:r w:rsidR="002E1524" w:rsidRPr="00AE51C9">
        <w:rPr>
          <w:sz w:val="24"/>
          <w:szCs w:val="24"/>
        </w:rPr>
        <w:t xml:space="preserve"> to file evidence that he is an attorney for the landlord and account holder Roslyn </w:t>
      </w:r>
      <w:r w:rsidR="00F93BED" w:rsidRPr="00AE51C9">
        <w:rPr>
          <w:sz w:val="24"/>
          <w:szCs w:val="24"/>
        </w:rPr>
        <w:t>d</w:t>
      </w:r>
      <w:r w:rsidR="002E1524" w:rsidRPr="00AE51C9">
        <w:rPr>
          <w:sz w:val="24"/>
          <w:szCs w:val="24"/>
        </w:rPr>
        <w:t>e</w:t>
      </w:r>
      <w:r w:rsidR="00F93BED" w:rsidRPr="00AE51C9">
        <w:rPr>
          <w:sz w:val="24"/>
          <w:szCs w:val="24"/>
        </w:rPr>
        <w:t xml:space="preserve"> L</w:t>
      </w:r>
      <w:r w:rsidR="002E1524" w:rsidRPr="00AE51C9">
        <w:rPr>
          <w:sz w:val="24"/>
          <w:szCs w:val="24"/>
        </w:rPr>
        <w:t>izarriturri or evidence that he is legally qualified to represent the landlord’s interests within thirty days</w:t>
      </w:r>
      <w:r w:rsidR="004E2A39" w:rsidRPr="00AE51C9">
        <w:rPr>
          <w:sz w:val="24"/>
          <w:szCs w:val="24"/>
        </w:rPr>
        <w:t>,</w:t>
      </w:r>
      <w:r w:rsidR="002E1524" w:rsidRPr="00AE51C9">
        <w:rPr>
          <w:sz w:val="24"/>
          <w:szCs w:val="24"/>
        </w:rPr>
        <w:t xml:space="preserve"> or</w:t>
      </w:r>
      <w:r w:rsidR="004E2A39" w:rsidRPr="00AE51C9">
        <w:rPr>
          <w:sz w:val="24"/>
          <w:szCs w:val="24"/>
        </w:rPr>
        <w:t>,</w:t>
      </w:r>
      <w:r w:rsidR="002E1524" w:rsidRPr="00AE51C9">
        <w:rPr>
          <w:sz w:val="24"/>
          <w:szCs w:val="24"/>
        </w:rPr>
        <w:t xml:space="preserve"> alternatively</w:t>
      </w:r>
      <w:r w:rsidR="004E2A39" w:rsidRPr="00AE51C9">
        <w:rPr>
          <w:sz w:val="24"/>
          <w:szCs w:val="24"/>
        </w:rPr>
        <w:t>,</w:t>
      </w:r>
      <w:r w:rsidR="002E1524" w:rsidRPr="00AE51C9">
        <w:rPr>
          <w:sz w:val="24"/>
          <w:szCs w:val="24"/>
        </w:rPr>
        <w:t xml:space="preserve"> Roslyn </w:t>
      </w:r>
      <w:r w:rsidR="00F93BED" w:rsidRPr="00AE51C9">
        <w:rPr>
          <w:sz w:val="24"/>
          <w:szCs w:val="24"/>
        </w:rPr>
        <w:t>d</w:t>
      </w:r>
      <w:r w:rsidR="002E1524" w:rsidRPr="00AE51C9">
        <w:rPr>
          <w:sz w:val="24"/>
          <w:szCs w:val="24"/>
        </w:rPr>
        <w:t>e</w:t>
      </w:r>
      <w:r w:rsidR="00F93BED" w:rsidRPr="00AE51C9">
        <w:rPr>
          <w:sz w:val="24"/>
          <w:szCs w:val="24"/>
        </w:rPr>
        <w:t xml:space="preserve"> L</w:t>
      </w:r>
      <w:r w:rsidR="002E1524" w:rsidRPr="00AE51C9">
        <w:rPr>
          <w:sz w:val="24"/>
          <w:szCs w:val="24"/>
        </w:rPr>
        <w:t>izarriturri may file an am</w:t>
      </w:r>
      <w:r w:rsidR="003A6D7E">
        <w:rPr>
          <w:sz w:val="24"/>
          <w:szCs w:val="24"/>
        </w:rPr>
        <w:t>ended complaint within 30 days.</w:t>
      </w:r>
    </w:p>
    <w:p w:rsidR="004C1B54" w:rsidRPr="00AE51C9" w:rsidRDefault="004C1B54" w:rsidP="00B86FD3">
      <w:pPr>
        <w:spacing w:line="360" w:lineRule="auto"/>
        <w:ind w:firstLine="1440"/>
        <w:rPr>
          <w:sz w:val="24"/>
          <w:szCs w:val="24"/>
        </w:rPr>
      </w:pPr>
    </w:p>
    <w:p w:rsidR="00726B67" w:rsidRPr="00AE51C9" w:rsidRDefault="004C1B54" w:rsidP="00341D3A">
      <w:pPr>
        <w:spacing w:line="360" w:lineRule="auto"/>
        <w:ind w:firstLine="1440"/>
        <w:rPr>
          <w:sz w:val="24"/>
          <w:szCs w:val="24"/>
          <w:u w:val="single"/>
        </w:rPr>
      </w:pPr>
      <w:r w:rsidRPr="00AE51C9">
        <w:rPr>
          <w:sz w:val="24"/>
          <w:szCs w:val="24"/>
        </w:rPr>
        <w:t xml:space="preserve">On August 9, 2012, Roslyn de Lizarriturri filed a letter with the Commission explaining that since she travels frequently, she has given Mr. Helwig Power of Attorney to proceed with the Complaint.  A hearing was scheduled for and held on October 16, 2012.  Roslyn De Lizarriturri and Dan Helwig testified for Complainant and Shawane Lee, Esquire appeared on behalf of Respondent.  Dana McCollum, a regulatory assessor, and Tom Lerro, a </w:t>
      </w:r>
      <w:r w:rsidR="004E2A39" w:rsidRPr="00AE51C9">
        <w:rPr>
          <w:sz w:val="24"/>
          <w:szCs w:val="24"/>
        </w:rPr>
        <w:t xml:space="preserve">senior supervisor of field representatives </w:t>
      </w:r>
      <w:r w:rsidRPr="00AE51C9">
        <w:rPr>
          <w:sz w:val="24"/>
          <w:szCs w:val="24"/>
        </w:rPr>
        <w:t>testified on behalf of Respondent.</w:t>
      </w:r>
      <w:r w:rsidR="00182A16">
        <w:rPr>
          <w:sz w:val="24"/>
          <w:szCs w:val="24"/>
        </w:rPr>
        <w:t xml:space="preserve">   The record closed on </w:t>
      </w:r>
      <w:r w:rsidR="00341D3A">
        <w:rPr>
          <w:sz w:val="24"/>
          <w:szCs w:val="24"/>
        </w:rPr>
        <w:t>October 16, 2012.</w:t>
      </w:r>
    </w:p>
    <w:p w:rsidR="003D6FC3" w:rsidRDefault="003D6FC3" w:rsidP="00B86FD3">
      <w:pPr>
        <w:spacing w:line="360" w:lineRule="auto"/>
        <w:jc w:val="center"/>
        <w:rPr>
          <w:sz w:val="24"/>
          <w:szCs w:val="24"/>
        </w:rPr>
      </w:pPr>
      <w:r>
        <w:rPr>
          <w:sz w:val="24"/>
          <w:szCs w:val="24"/>
        </w:rPr>
        <w:br w:type="page"/>
      </w:r>
    </w:p>
    <w:p w:rsidR="00D94420" w:rsidRPr="00AE51C9" w:rsidRDefault="00F94253" w:rsidP="00B86FD3">
      <w:pPr>
        <w:spacing w:line="360" w:lineRule="auto"/>
        <w:jc w:val="center"/>
        <w:rPr>
          <w:sz w:val="24"/>
          <w:szCs w:val="24"/>
          <w:u w:val="single"/>
        </w:rPr>
      </w:pPr>
      <w:r w:rsidRPr="00AE51C9">
        <w:rPr>
          <w:sz w:val="24"/>
          <w:szCs w:val="24"/>
          <w:u w:val="single"/>
        </w:rPr>
        <w:t>FINDINGS OF FACT</w:t>
      </w:r>
    </w:p>
    <w:p w:rsidR="00D94420" w:rsidRPr="00AE51C9" w:rsidRDefault="00D94420" w:rsidP="00B86FD3">
      <w:pPr>
        <w:spacing w:line="360" w:lineRule="auto"/>
        <w:ind w:firstLine="1440"/>
        <w:rPr>
          <w:sz w:val="24"/>
          <w:szCs w:val="24"/>
        </w:rPr>
      </w:pPr>
    </w:p>
    <w:p w:rsidR="002C24EB" w:rsidRPr="00AE51C9" w:rsidRDefault="00D94420" w:rsidP="00B86FD3">
      <w:pPr>
        <w:spacing w:line="360" w:lineRule="auto"/>
        <w:ind w:firstLine="1440"/>
        <w:rPr>
          <w:sz w:val="24"/>
          <w:szCs w:val="24"/>
        </w:rPr>
      </w:pPr>
      <w:r w:rsidRPr="00AE51C9">
        <w:rPr>
          <w:sz w:val="24"/>
          <w:szCs w:val="24"/>
        </w:rPr>
        <w:t>1.</w:t>
      </w:r>
      <w:r w:rsidRPr="00AE51C9">
        <w:rPr>
          <w:sz w:val="24"/>
          <w:szCs w:val="24"/>
        </w:rPr>
        <w:tab/>
        <w:t>Complainant</w:t>
      </w:r>
      <w:r w:rsidR="002C24EB" w:rsidRPr="00AE51C9">
        <w:rPr>
          <w:sz w:val="24"/>
          <w:szCs w:val="24"/>
        </w:rPr>
        <w:t xml:space="preserve"> is </w:t>
      </w:r>
      <w:r w:rsidR="002A781B" w:rsidRPr="00AE51C9">
        <w:rPr>
          <w:sz w:val="24"/>
          <w:szCs w:val="24"/>
        </w:rPr>
        <w:t>Daniel Helwig</w:t>
      </w:r>
      <w:r w:rsidR="00016631" w:rsidRPr="00AE51C9">
        <w:rPr>
          <w:sz w:val="24"/>
          <w:szCs w:val="24"/>
        </w:rPr>
        <w:t>, property manager for the service property of 6303 Sunnybrook Rd., First Floor, Flourtown, PA</w:t>
      </w:r>
      <w:r w:rsidR="002A781B" w:rsidRPr="00AE51C9">
        <w:rPr>
          <w:sz w:val="24"/>
          <w:szCs w:val="24"/>
        </w:rPr>
        <w:t>.</w:t>
      </w:r>
    </w:p>
    <w:p w:rsidR="00016631" w:rsidRPr="00AE51C9" w:rsidRDefault="00016631" w:rsidP="00B86FD3">
      <w:pPr>
        <w:spacing w:line="360" w:lineRule="auto"/>
        <w:ind w:firstLine="1440"/>
        <w:rPr>
          <w:sz w:val="24"/>
          <w:szCs w:val="24"/>
        </w:rPr>
      </w:pPr>
    </w:p>
    <w:p w:rsidR="00016631" w:rsidRPr="00AE51C9" w:rsidRDefault="00016631" w:rsidP="00B86FD3">
      <w:pPr>
        <w:spacing w:line="360" w:lineRule="auto"/>
        <w:ind w:firstLine="1440"/>
        <w:rPr>
          <w:sz w:val="24"/>
          <w:szCs w:val="24"/>
        </w:rPr>
      </w:pPr>
      <w:r w:rsidRPr="00AE51C9">
        <w:rPr>
          <w:sz w:val="24"/>
          <w:szCs w:val="24"/>
        </w:rPr>
        <w:t>2.</w:t>
      </w:r>
      <w:r w:rsidRPr="00AE51C9">
        <w:rPr>
          <w:sz w:val="24"/>
          <w:szCs w:val="24"/>
        </w:rPr>
        <w:tab/>
        <w:t>Roslyn De</w:t>
      </w:r>
      <w:r w:rsidR="001700D0">
        <w:rPr>
          <w:sz w:val="24"/>
          <w:szCs w:val="24"/>
        </w:rPr>
        <w:t xml:space="preserve"> Li</w:t>
      </w:r>
      <w:r w:rsidRPr="00AE51C9">
        <w:rPr>
          <w:sz w:val="24"/>
          <w:szCs w:val="24"/>
        </w:rPr>
        <w:t>zarriturri is the owner and landlord of the service property.</w:t>
      </w:r>
    </w:p>
    <w:p w:rsidR="002C24EB" w:rsidRPr="00AE51C9" w:rsidRDefault="002C24EB" w:rsidP="00B86FD3">
      <w:pPr>
        <w:spacing w:line="360" w:lineRule="auto"/>
        <w:ind w:firstLine="1440"/>
        <w:rPr>
          <w:sz w:val="24"/>
          <w:szCs w:val="24"/>
        </w:rPr>
      </w:pPr>
    </w:p>
    <w:p w:rsidR="004C1B54" w:rsidRPr="00AE51C9" w:rsidRDefault="00726B67" w:rsidP="00B86FD3">
      <w:pPr>
        <w:spacing w:line="360" w:lineRule="auto"/>
        <w:ind w:firstLine="1440"/>
        <w:rPr>
          <w:sz w:val="24"/>
          <w:szCs w:val="24"/>
        </w:rPr>
      </w:pPr>
      <w:r w:rsidRPr="00AE51C9">
        <w:rPr>
          <w:sz w:val="24"/>
          <w:szCs w:val="24"/>
        </w:rPr>
        <w:t>3</w:t>
      </w:r>
      <w:r w:rsidR="002C24EB" w:rsidRPr="00AE51C9">
        <w:rPr>
          <w:sz w:val="24"/>
          <w:szCs w:val="24"/>
        </w:rPr>
        <w:t>.</w:t>
      </w:r>
      <w:r w:rsidR="002C24EB" w:rsidRPr="00AE51C9">
        <w:rPr>
          <w:sz w:val="24"/>
          <w:szCs w:val="24"/>
        </w:rPr>
        <w:tab/>
      </w:r>
      <w:r w:rsidR="004C1B54" w:rsidRPr="00AE51C9">
        <w:rPr>
          <w:sz w:val="24"/>
          <w:szCs w:val="24"/>
        </w:rPr>
        <w:t>Complainant has Power of Attorney from</w:t>
      </w:r>
      <w:r w:rsidR="001700D0">
        <w:rPr>
          <w:sz w:val="24"/>
          <w:szCs w:val="24"/>
        </w:rPr>
        <w:t xml:space="preserve"> the</w:t>
      </w:r>
      <w:r w:rsidR="004C1B54" w:rsidRPr="00AE51C9">
        <w:rPr>
          <w:sz w:val="24"/>
          <w:szCs w:val="24"/>
        </w:rPr>
        <w:t xml:space="preserve"> landlord to represent her interest in the proceeding.</w:t>
      </w:r>
    </w:p>
    <w:p w:rsidR="004C1B54" w:rsidRPr="00AE51C9" w:rsidRDefault="004C1B54" w:rsidP="00B86FD3">
      <w:pPr>
        <w:spacing w:line="360" w:lineRule="auto"/>
        <w:ind w:firstLine="1440"/>
        <w:rPr>
          <w:sz w:val="24"/>
          <w:szCs w:val="24"/>
        </w:rPr>
      </w:pPr>
    </w:p>
    <w:p w:rsidR="00122A73" w:rsidRPr="00AE51C9" w:rsidRDefault="004C1B54" w:rsidP="00B86FD3">
      <w:pPr>
        <w:spacing w:line="360" w:lineRule="auto"/>
        <w:ind w:firstLine="1440"/>
        <w:rPr>
          <w:sz w:val="24"/>
          <w:szCs w:val="24"/>
        </w:rPr>
      </w:pPr>
      <w:r w:rsidRPr="00AE51C9">
        <w:rPr>
          <w:sz w:val="24"/>
          <w:szCs w:val="24"/>
        </w:rPr>
        <w:t>4.</w:t>
      </w:r>
      <w:r w:rsidRPr="00AE51C9">
        <w:rPr>
          <w:sz w:val="24"/>
          <w:szCs w:val="24"/>
        </w:rPr>
        <w:tab/>
      </w:r>
      <w:r w:rsidR="002C24EB" w:rsidRPr="00AE51C9">
        <w:rPr>
          <w:sz w:val="24"/>
          <w:szCs w:val="24"/>
        </w:rPr>
        <w:t>Respondent is PECO Energy Company, an electric distribution company.</w:t>
      </w:r>
    </w:p>
    <w:p w:rsidR="00D94420" w:rsidRPr="00AE51C9" w:rsidRDefault="00D94420" w:rsidP="00B86FD3">
      <w:pPr>
        <w:spacing w:line="360" w:lineRule="auto"/>
        <w:ind w:firstLine="1440"/>
        <w:rPr>
          <w:sz w:val="24"/>
          <w:szCs w:val="24"/>
        </w:rPr>
      </w:pPr>
    </w:p>
    <w:p w:rsidR="0022615E" w:rsidRPr="00AE51C9" w:rsidRDefault="0022615E" w:rsidP="004C1B54">
      <w:pPr>
        <w:spacing w:line="360" w:lineRule="auto"/>
        <w:ind w:firstLine="1440"/>
        <w:rPr>
          <w:sz w:val="24"/>
          <w:szCs w:val="24"/>
        </w:rPr>
      </w:pPr>
      <w:r w:rsidRPr="00AE51C9">
        <w:rPr>
          <w:sz w:val="24"/>
          <w:szCs w:val="24"/>
        </w:rPr>
        <w:t>5</w:t>
      </w:r>
      <w:r w:rsidR="00D94420" w:rsidRPr="00AE51C9">
        <w:rPr>
          <w:sz w:val="24"/>
          <w:szCs w:val="24"/>
        </w:rPr>
        <w:t>.</w:t>
      </w:r>
      <w:r w:rsidR="00D94420" w:rsidRPr="00AE51C9">
        <w:rPr>
          <w:sz w:val="24"/>
          <w:szCs w:val="24"/>
        </w:rPr>
        <w:tab/>
      </w:r>
      <w:r w:rsidRPr="00AE51C9">
        <w:rPr>
          <w:sz w:val="24"/>
          <w:szCs w:val="24"/>
        </w:rPr>
        <w:t>Dana McC</w:t>
      </w:r>
      <w:r w:rsidR="004E2A39" w:rsidRPr="00AE51C9">
        <w:rPr>
          <w:sz w:val="24"/>
          <w:szCs w:val="24"/>
        </w:rPr>
        <w:t>o</w:t>
      </w:r>
      <w:r w:rsidRPr="00AE51C9">
        <w:rPr>
          <w:sz w:val="24"/>
          <w:szCs w:val="24"/>
        </w:rPr>
        <w:t>llum is a regulatory assessor for Respondent.</w:t>
      </w:r>
    </w:p>
    <w:p w:rsidR="004E2A39" w:rsidRPr="00AE51C9" w:rsidRDefault="004E2A39" w:rsidP="004C1B54">
      <w:pPr>
        <w:spacing w:line="360" w:lineRule="auto"/>
        <w:ind w:firstLine="1440"/>
        <w:rPr>
          <w:sz w:val="24"/>
          <w:szCs w:val="24"/>
        </w:rPr>
      </w:pPr>
    </w:p>
    <w:p w:rsidR="004E2A39" w:rsidRPr="00AE51C9" w:rsidRDefault="004E2A39" w:rsidP="004C1B54">
      <w:pPr>
        <w:spacing w:line="360" w:lineRule="auto"/>
        <w:ind w:firstLine="1440"/>
        <w:rPr>
          <w:sz w:val="24"/>
          <w:szCs w:val="24"/>
        </w:rPr>
      </w:pPr>
      <w:r w:rsidRPr="00AE51C9">
        <w:rPr>
          <w:sz w:val="24"/>
          <w:szCs w:val="24"/>
        </w:rPr>
        <w:t>6.</w:t>
      </w:r>
      <w:r w:rsidRPr="00AE51C9">
        <w:rPr>
          <w:sz w:val="24"/>
          <w:szCs w:val="24"/>
        </w:rPr>
        <w:tab/>
        <w:t>Tom Lerro is a senior supervisor of field representatives who visited the service property.</w:t>
      </w:r>
    </w:p>
    <w:p w:rsidR="0022615E" w:rsidRPr="00AE51C9" w:rsidRDefault="0022615E" w:rsidP="004C1B54">
      <w:pPr>
        <w:spacing w:line="360" w:lineRule="auto"/>
        <w:ind w:firstLine="1440"/>
        <w:rPr>
          <w:sz w:val="24"/>
          <w:szCs w:val="24"/>
        </w:rPr>
      </w:pPr>
    </w:p>
    <w:p w:rsidR="0022615E" w:rsidRPr="00AE51C9" w:rsidRDefault="00E3509B" w:rsidP="004C1B54">
      <w:pPr>
        <w:spacing w:line="360" w:lineRule="auto"/>
        <w:ind w:firstLine="1440"/>
        <w:rPr>
          <w:sz w:val="24"/>
          <w:szCs w:val="24"/>
        </w:rPr>
      </w:pPr>
      <w:r w:rsidRPr="00AE51C9">
        <w:rPr>
          <w:sz w:val="24"/>
          <w:szCs w:val="24"/>
        </w:rPr>
        <w:t>7</w:t>
      </w:r>
      <w:r w:rsidR="0022615E" w:rsidRPr="00AE51C9">
        <w:rPr>
          <w:sz w:val="24"/>
          <w:szCs w:val="24"/>
        </w:rPr>
        <w:t>.</w:t>
      </w:r>
      <w:r w:rsidR="0022615E" w:rsidRPr="00AE51C9">
        <w:rPr>
          <w:sz w:val="24"/>
          <w:szCs w:val="24"/>
        </w:rPr>
        <w:tab/>
        <w:t xml:space="preserve">On November 14, 2011, </w:t>
      </w:r>
      <w:r w:rsidR="004E2A39" w:rsidRPr="00AE51C9">
        <w:rPr>
          <w:sz w:val="24"/>
          <w:szCs w:val="24"/>
        </w:rPr>
        <w:t>the</w:t>
      </w:r>
      <w:r w:rsidR="0022615E" w:rsidRPr="00AE51C9">
        <w:rPr>
          <w:sz w:val="24"/>
          <w:szCs w:val="24"/>
        </w:rPr>
        <w:t xml:space="preserve"> tenant, Margaret Saiber, initially contacted </w:t>
      </w:r>
      <w:r w:rsidR="004C1B54" w:rsidRPr="00AE51C9">
        <w:rPr>
          <w:sz w:val="24"/>
          <w:szCs w:val="24"/>
        </w:rPr>
        <w:t xml:space="preserve">PECO </w:t>
      </w:r>
      <w:r w:rsidR="0022615E" w:rsidRPr="00AE51C9">
        <w:rPr>
          <w:sz w:val="24"/>
          <w:szCs w:val="24"/>
        </w:rPr>
        <w:t xml:space="preserve">complaining of suspected foreign wiring at the </w:t>
      </w:r>
      <w:r w:rsidR="004E2A39" w:rsidRPr="00AE51C9">
        <w:rPr>
          <w:sz w:val="24"/>
          <w:szCs w:val="24"/>
        </w:rPr>
        <w:t xml:space="preserve">service </w:t>
      </w:r>
      <w:r w:rsidR="0022615E" w:rsidRPr="00AE51C9">
        <w:rPr>
          <w:sz w:val="24"/>
          <w:szCs w:val="24"/>
        </w:rPr>
        <w:t>property.  N.T. 1</w:t>
      </w:r>
      <w:r w:rsidR="004E2A39" w:rsidRPr="00AE51C9">
        <w:rPr>
          <w:sz w:val="24"/>
          <w:szCs w:val="24"/>
        </w:rPr>
        <w:t>, PECO Exhibit 5</w:t>
      </w:r>
      <w:r w:rsidR="0022615E" w:rsidRPr="00AE51C9">
        <w:rPr>
          <w:sz w:val="24"/>
          <w:szCs w:val="24"/>
        </w:rPr>
        <w:t>.</w:t>
      </w:r>
    </w:p>
    <w:p w:rsidR="0022615E" w:rsidRPr="00AE51C9" w:rsidRDefault="0022615E" w:rsidP="004C1B54">
      <w:pPr>
        <w:spacing w:line="360" w:lineRule="auto"/>
        <w:ind w:firstLine="1440"/>
        <w:rPr>
          <w:sz w:val="24"/>
          <w:szCs w:val="24"/>
        </w:rPr>
      </w:pPr>
    </w:p>
    <w:p w:rsidR="0022615E" w:rsidRPr="00AE51C9" w:rsidRDefault="00E3509B" w:rsidP="004C1B54">
      <w:pPr>
        <w:spacing w:line="360" w:lineRule="auto"/>
        <w:ind w:firstLine="1440"/>
        <w:rPr>
          <w:sz w:val="24"/>
          <w:szCs w:val="24"/>
        </w:rPr>
      </w:pPr>
      <w:r w:rsidRPr="00AE51C9">
        <w:rPr>
          <w:sz w:val="24"/>
          <w:szCs w:val="24"/>
        </w:rPr>
        <w:t>8</w:t>
      </w:r>
      <w:r w:rsidR="0022615E" w:rsidRPr="00AE51C9">
        <w:rPr>
          <w:sz w:val="24"/>
          <w:szCs w:val="24"/>
        </w:rPr>
        <w:t>.</w:t>
      </w:r>
      <w:r w:rsidR="0022615E" w:rsidRPr="00AE51C9">
        <w:rPr>
          <w:sz w:val="24"/>
          <w:szCs w:val="24"/>
        </w:rPr>
        <w:tab/>
        <w:t>Fo</w:t>
      </w:r>
      <w:r w:rsidR="004C1B54" w:rsidRPr="00AE51C9">
        <w:rPr>
          <w:sz w:val="24"/>
          <w:szCs w:val="24"/>
        </w:rPr>
        <w:t xml:space="preserve">reign wiring was discovered at the service property at a field visit on January 10, 2012.  </w:t>
      </w:r>
      <w:r w:rsidR="0022615E" w:rsidRPr="00AE51C9">
        <w:rPr>
          <w:sz w:val="24"/>
          <w:szCs w:val="24"/>
        </w:rPr>
        <w:t>N.T. 16</w:t>
      </w:r>
      <w:r w:rsidR="004E2A39" w:rsidRPr="00AE51C9">
        <w:rPr>
          <w:sz w:val="24"/>
          <w:szCs w:val="24"/>
        </w:rPr>
        <w:t>, 29-34, PECO Exhibit 4</w:t>
      </w:r>
      <w:r w:rsidR="00CF5E82">
        <w:rPr>
          <w:sz w:val="24"/>
          <w:szCs w:val="24"/>
        </w:rPr>
        <w:t>.</w:t>
      </w:r>
    </w:p>
    <w:p w:rsidR="0022615E" w:rsidRPr="00AE51C9" w:rsidRDefault="0022615E" w:rsidP="004C1B54">
      <w:pPr>
        <w:spacing w:line="360" w:lineRule="auto"/>
        <w:ind w:firstLine="1440"/>
        <w:rPr>
          <w:sz w:val="24"/>
          <w:szCs w:val="24"/>
        </w:rPr>
      </w:pPr>
    </w:p>
    <w:p w:rsidR="0022615E" w:rsidRPr="00AE51C9" w:rsidRDefault="00E3509B" w:rsidP="004C1B54">
      <w:pPr>
        <w:spacing w:line="360" w:lineRule="auto"/>
        <w:ind w:firstLine="1440"/>
        <w:rPr>
          <w:sz w:val="24"/>
          <w:szCs w:val="24"/>
        </w:rPr>
      </w:pPr>
      <w:r w:rsidRPr="00AE51C9">
        <w:rPr>
          <w:sz w:val="24"/>
          <w:szCs w:val="24"/>
        </w:rPr>
        <w:t>9</w:t>
      </w:r>
      <w:r w:rsidR="0022615E" w:rsidRPr="00AE51C9">
        <w:rPr>
          <w:sz w:val="24"/>
          <w:szCs w:val="24"/>
        </w:rPr>
        <w:t>.</w:t>
      </w:r>
      <w:r w:rsidR="0022615E" w:rsidRPr="00AE51C9">
        <w:rPr>
          <w:sz w:val="24"/>
          <w:szCs w:val="24"/>
        </w:rPr>
        <w:tab/>
      </w:r>
      <w:r w:rsidR="004C1B54" w:rsidRPr="00AE51C9">
        <w:rPr>
          <w:sz w:val="24"/>
          <w:szCs w:val="24"/>
        </w:rPr>
        <w:t xml:space="preserve">The service visit was made at the request of the tenants of the property at that time (Margaret and Timothy Saiber).  </w:t>
      </w:r>
      <w:r w:rsidR="009318CC">
        <w:rPr>
          <w:sz w:val="24"/>
          <w:szCs w:val="24"/>
        </w:rPr>
        <w:t>N.T. 16-17.</w:t>
      </w:r>
    </w:p>
    <w:p w:rsidR="0022615E" w:rsidRPr="00AE51C9" w:rsidRDefault="0022615E" w:rsidP="004C1B54">
      <w:pPr>
        <w:spacing w:line="360" w:lineRule="auto"/>
        <w:ind w:firstLine="1440"/>
        <w:rPr>
          <w:sz w:val="24"/>
          <w:szCs w:val="24"/>
        </w:rPr>
      </w:pPr>
    </w:p>
    <w:p w:rsidR="004D00D9" w:rsidRPr="00AE51C9" w:rsidRDefault="00E3509B" w:rsidP="004C1B54">
      <w:pPr>
        <w:spacing w:line="360" w:lineRule="auto"/>
        <w:ind w:firstLine="1440"/>
        <w:rPr>
          <w:sz w:val="24"/>
          <w:szCs w:val="24"/>
        </w:rPr>
      </w:pPr>
      <w:r w:rsidRPr="00AE51C9">
        <w:rPr>
          <w:sz w:val="24"/>
          <w:szCs w:val="24"/>
        </w:rPr>
        <w:t>10</w:t>
      </w:r>
      <w:r w:rsidR="004D00D9" w:rsidRPr="00AE51C9">
        <w:rPr>
          <w:sz w:val="24"/>
          <w:szCs w:val="24"/>
        </w:rPr>
        <w:t>.</w:t>
      </w:r>
      <w:r w:rsidR="004D00D9" w:rsidRPr="00AE51C9">
        <w:rPr>
          <w:sz w:val="24"/>
          <w:szCs w:val="24"/>
        </w:rPr>
        <w:tab/>
        <w:t>PECO’s technician entered the landlord’s property and the basement area without notifying the landlord at the tenant’s request</w:t>
      </w:r>
      <w:r w:rsidR="004E2A39" w:rsidRPr="00AE51C9">
        <w:rPr>
          <w:sz w:val="24"/>
          <w:szCs w:val="24"/>
        </w:rPr>
        <w:t xml:space="preserve"> and the landlord was not present at the time of the field visit</w:t>
      </w:r>
      <w:r w:rsidR="004D00D9" w:rsidRPr="00AE51C9">
        <w:rPr>
          <w:sz w:val="24"/>
          <w:szCs w:val="24"/>
        </w:rPr>
        <w:t>.  N.T. 24-25</w:t>
      </w:r>
      <w:r w:rsidR="004E2A39" w:rsidRPr="00AE51C9">
        <w:rPr>
          <w:sz w:val="24"/>
          <w:szCs w:val="24"/>
        </w:rPr>
        <w:t>, 30-31</w:t>
      </w:r>
      <w:r w:rsidR="00784CC9">
        <w:rPr>
          <w:sz w:val="24"/>
          <w:szCs w:val="24"/>
        </w:rPr>
        <w:t>.</w:t>
      </w:r>
    </w:p>
    <w:p w:rsidR="004D00D9" w:rsidRPr="00AE51C9" w:rsidRDefault="004D00D9" w:rsidP="004C1B54">
      <w:pPr>
        <w:spacing w:line="360" w:lineRule="auto"/>
        <w:ind w:firstLine="1440"/>
        <w:rPr>
          <w:sz w:val="24"/>
          <w:szCs w:val="24"/>
        </w:rPr>
      </w:pPr>
    </w:p>
    <w:p w:rsidR="0022615E" w:rsidRPr="00AE51C9" w:rsidRDefault="00F93BED" w:rsidP="004C1B54">
      <w:pPr>
        <w:spacing w:line="360" w:lineRule="auto"/>
        <w:ind w:firstLine="1440"/>
        <w:rPr>
          <w:sz w:val="24"/>
          <w:szCs w:val="24"/>
        </w:rPr>
      </w:pPr>
      <w:r w:rsidRPr="00AE51C9">
        <w:rPr>
          <w:sz w:val="24"/>
          <w:szCs w:val="24"/>
        </w:rPr>
        <w:t>1</w:t>
      </w:r>
      <w:r w:rsidR="00E3509B" w:rsidRPr="00AE51C9">
        <w:rPr>
          <w:sz w:val="24"/>
          <w:szCs w:val="24"/>
        </w:rPr>
        <w:t>1</w:t>
      </w:r>
      <w:r w:rsidR="0022615E" w:rsidRPr="00AE51C9">
        <w:rPr>
          <w:sz w:val="24"/>
          <w:szCs w:val="24"/>
        </w:rPr>
        <w:t>.</w:t>
      </w:r>
      <w:r w:rsidR="0022615E" w:rsidRPr="00AE51C9">
        <w:rPr>
          <w:sz w:val="24"/>
          <w:szCs w:val="24"/>
        </w:rPr>
        <w:tab/>
        <w:t>D</w:t>
      </w:r>
      <w:r w:rsidR="004C1B54" w:rsidRPr="00AE51C9">
        <w:rPr>
          <w:sz w:val="24"/>
          <w:szCs w:val="24"/>
        </w:rPr>
        <w:t xml:space="preserve">uring </w:t>
      </w:r>
      <w:r w:rsidR="0022615E" w:rsidRPr="00AE51C9">
        <w:rPr>
          <w:sz w:val="24"/>
          <w:szCs w:val="24"/>
        </w:rPr>
        <w:t>his</w:t>
      </w:r>
      <w:r w:rsidR="004C1B54" w:rsidRPr="00AE51C9">
        <w:rPr>
          <w:sz w:val="24"/>
          <w:szCs w:val="24"/>
        </w:rPr>
        <w:t xml:space="preserve"> visit, </w:t>
      </w:r>
      <w:r w:rsidR="0022615E" w:rsidRPr="00AE51C9">
        <w:rPr>
          <w:sz w:val="24"/>
          <w:szCs w:val="24"/>
        </w:rPr>
        <w:t xml:space="preserve">a PECO technician </w:t>
      </w:r>
      <w:r w:rsidR="004C1B54" w:rsidRPr="00AE51C9">
        <w:rPr>
          <w:sz w:val="24"/>
          <w:szCs w:val="24"/>
        </w:rPr>
        <w:t xml:space="preserve">found the basement light, outlet, and alarm were connected to the electric meter for the first floor.  Additionally, PECO found the first floor was connected to the hallway gas heat.  </w:t>
      </w:r>
      <w:r w:rsidR="005E4696">
        <w:rPr>
          <w:sz w:val="24"/>
          <w:szCs w:val="24"/>
        </w:rPr>
        <w:t xml:space="preserve">N.T. </w:t>
      </w:r>
      <w:r w:rsidR="0022615E" w:rsidRPr="00AE51C9">
        <w:rPr>
          <w:sz w:val="24"/>
          <w:szCs w:val="24"/>
        </w:rPr>
        <w:t>17.</w:t>
      </w:r>
    </w:p>
    <w:p w:rsidR="0022615E" w:rsidRPr="00AE51C9" w:rsidRDefault="0022615E" w:rsidP="004C1B54">
      <w:pPr>
        <w:spacing w:line="360" w:lineRule="auto"/>
        <w:ind w:firstLine="1440"/>
        <w:rPr>
          <w:sz w:val="24"/>
          <w:szCs w:val="24"/>
        </w:rPr>
      </w:pPr>
    </w:p>
    <w:p w:rsidR="0022615E" w:rsidRPr="00AE51C9" w:rsidRDefault="00F93BED" w:rsidP="004C1B54">
      <w:pPr>
        <w:spacing w:line="360" w:lineRule="auto"/>
        <w:ind w:firstLine="1440"/>
        <w:rPr>
          <w:sz w:val="24"/>
          <w:szCs w:val="24"/>
        </w:rPr>
      </w:pPr>
      <w:r w:rsidRPr="00AE51C9">
        <w:rPr>
          <w:sz w:val="24"/>
          <w:szCs w:val="24"/>
        </w:rPr>
        <w:t>1</w:t>
      </w:r>
      <w:r w:rsidR="00E3509B" w:rsidRPr="00AE51C9">
        <w:rPr>
          <w:sz w:val="24"/>
          <w:szCs w:val="24"/>
        </w:rPr>
        <w:t>2</w:t>
      </w:r>
      <w:r w:rsidRPr="00AE51C9">
        <w:rPr>
          <w:sz w:val="24"/>
          <w:szCs w:val="24"/>
        </w:rPr>
        <w:t>.</w:t>
      </w:r>
      <w:r w:rsidRPr="00AE51C9">
        <w:rPr>
          <w:sz w:val="24"/>
          <w:szCs w:val="24"/>
        </w:rPr>
        <w:tab/>
      </w:r>
      <w:r w:rsidR="0022615E" w:rsidRPr="00AE51C9">
        <w:rPr>
          <w:sz w:val="24"/>
          <w:szCs w:val="24"/>
        </w:rPr>
        <w:t>PECO</w:t>
      </w:r>
      <w:r w:rsidR="004C1B54" w:rsidRPr="00AE51C9">
        <w:rPr>
          <w:sz w:val="24"/>
          <w:szCs w:val="24"/>
        </w:rPr>
        <w:t xml:space="preserve"> informed the landlord of the foreign piping/wiring during the field visit and explained that it would list the account, including any arrearages, in the landlord’s name until the issues were corrected.</w:t>
      </w:r>
    </w:p>
    <w:p w:rsidR="0022615E" w:rsidRPr="00AE51C9" w:rsidRDefault="0022615E" w:rsidP="004C1B54">
      <w:pPr>
        <w:spacing w:line="360" w:lineRule="auto"/>
        <w:ind w:firstLine="1440"/>
        <w:rPr>
          <w:sz w:val="24"/>
          <w:szCs w:val="24"/>
        </w:rPr>
      </w:pPr>
    </w:p>
    <w:p w:rsidR="0022615E" w:rsidRPr="00AE51C9" w:rsidRDefault="00F93BED" w:rsidP="004C1B54">
      <w:pPr>
        <w:spacing w:line="360" w:lineRule="auto"/>
        <w:ind w:firstLine="1440"/>
        <w:rPr>
          <w:sz w:val="24"/>
          <w:szCs w:val="24"/>
        </w:rPr>
      </w:pPr>
      <w:r w:rsidRPr="00AE51C9">
        <w:rPr>
          <w:sz w:val="24"/>
          <w:szCs w:val="24"/>
        </w:rPr>
        <w:t>1</w:t>
      </w:r>
      <w:r w:rsidR="00E3509B" w:rsidRPr="00AE51C9">
        <w:rPr>
          <w:sz w:val="24"/>
          <w:szCs w:val="24"/>
        </w:rPr>
        <w:t>3</w:t>
      </w:r>
      <w:r w:rsidRPr="00AE51C9">
        <w:rPr>
          <w:sz w:val="24"/>
          <w:szCs w:val="24"/>
        </w:rPr>
        <w:t>.</w:t>
      </w:r>
      <w:r w:rsidRPr="00AE51C9">
        <w:rPr>
          <w:sz w:val="24"/>
          <w:szCs w:val="24"/>
        </w:rPr>
        <w:tab/>
      </w:r>
      <w:r w:rsidR="0022615E" w:rsidRPr="00AE51C9">
        <w:rPr>
          <w:sz w:val="24"/>
          <w:szCs w:val="24"/>
        </w:rPr>
        <w:t>On February 3, 2012, the tenants’ balance of $1,193.54 was transferred over to the landlord’s account.  N.T. 18, PECO Energy Exhibit 1, 3.</w:t>
      </w:r>
    </w:p>
    <w:p w:rsidR="0022615E" w:rsidRPr="00AE51C9" w:rsidRDefault="0022615E" w:rsidP="004C1B54">
      <w:pPr>
        <w:spacing w:line="360" w:lineRule="auto"/>
        <w:ind w:firstLine="1440"/>
        <w:rPr>
          <w:sz w:val="24"/>
          <w:szCs w:val="24"/>
        </w:rPr>
      </w:pPr>
    </w:p>
    <w:p w:rsidR="004C1B54" w:rsidRPr="00AE51C9" w:rsidRDefault="00F93BED" w:rsidP="004C1B54">
      <w:pPr>
        <w:spacing w:line="360" w:lineRule="auto"/>
        <w:ind w:firstLine="1440"/>
        <w:rPr>
          <w:sz w:val="24"/>
          <w:szCs w:val="24"/>
        </w:rPr>
      </w:pPr>
      <w:r w:rsidRPr="00AE51C9">
        <w:rPr>
          <w:sz w:val="24"/>
          <w:szCs w:val="24"/>
        </w:rPr>
        <w:t>1</w:t>
      </w:r>
      <w:r w:rsidR="00E3509B" w:rsidRPr="00AE51C9">
        <w:rPr>
          <w:sz w:val="24"/>
          <w:szCs w:val="24"/>
        </w:rPr>
        <w:t>4</w:t>
      </w:r>
      <w:r w:rsidRPr="00AE51C9">
        <w:rPr>
          <w:sz w:val="24"/>
          <w:szCs w:val="24"/>
        </w:rPr>
        <w:t>.</w:t>
      </w:r>
      <w:r w:rsidRPr="00AE51C9">
        <w:rPr>
          <w:sz w:val="24"/>
          <w:szCs w:val="24"/>
        </w:rPr>
        <w:tab/>
      </w:r>
      <w:r w:rsidR="004C1B54" w:rsidRPr="00AE51C9">
        <w:rPr>
          <w:sz w:val="24"/>
          <w:szCs w:val="24"/>
        </w:rPr>
        <w:t>Complainant later contacted PECO and advised that the foreign piping/wiring issue had been corrected.  A follow-up visit was conducted on February 16, 2012, and after the PECO technician verified the issue was resolved, service was placed back into the tenants</w:t>
      </w:r>
      <w:r w:rsidR="001700D0">
        <w:rPr>
          <w:sz w:val="24"/>
          <w:szCs w:val="24"/>
        </w:rPr>
        <w:t>,</w:t>
      </w:r>
      <w:r w:rsidR="004C1B54" w:rsidRPr="00AE51C9">
        <w:rPr>
          <w:sz w:val="24"/>
          <w:szCs w:val="24"/>
        </w:rPr>
        <w:t xml:space="preserve"> names effective February 16, 2012.</w:t>
      </w:r>
      <w:r w:rsidR="004D00D9" w:rsidRPr="00AE51C9">
        <w:rPr>
          <w:sz w:val="24"/>
          <w:szCs w:val="24"/>
        </w:rPr>
        <w:t xml:space="preserve">  N.T. 19-20.</w:t>
      </w:r>
    </w:p>
    <w:p w:rsidR="00D94420" w:rsidRPr="00AE51C9" w:rsidRDefault="00D94420" w:rsidP="003C0AE1">
      <w:pPr>
        <w:spacing w:line="360" w:lineRule="auto"/>
        <w:rPr>
          <w:sz w:val="24"/>
          <w:szCs w:val="24"/>
        </w:rPr>
      </w:pPr>
    </w:p>
    <w:p w:rsidR="00A82FC1" w:rsidRPr="00AE51C9" w:rsidRDefault="00A82FC1" w:rsidP="00726B67">
      <w:pPr>
        <w:tabs>
          <w:tab w:val="left" w:pos="-1440"/>
          <w:tab w:val="left" w:pos="-720"/>
        </w:tabs>
        <w:suppressAutoHyphens/>
        <w:spacing w:line="360" w:lineRule="auto"/>
        <w:jc w:val="center"/>
        <w:rPr>
          <w:sz w:val="24"/>
          <w:szCs w:val="24"/>
          <w:u w:val="single"/>
        </w:rPr>
      </w:pPr>
      <w:r w:rsidRPr="00AE51C9">
        <w:rPr>
          <w:sz w:val="24"/>
          <w:szCs w:val="24"/>
          <w:u w:val="single"/>
        </w:rPr>
        <w:t>DISCUSSION</w:t>
      </w:r>
    </w:p>
    <w:p w:rsidR="00A82FC1" w:rsidRPr="00AE51C9" w:rsidRDefault="00A82FC1" w:rsidP="00B86FD3">
      <w:pPr>
        <w:tabs>
          <w:tab w:val="left" w:pos="-1440"/>
          <w:tab w:val="left" w:pos="-720"/>
        </w:tabs>
        <w:suppressAutoHyphens/>
        <w:spacing w:line="360" w:lineRule="auto"/>
        <w:ind w:firstLine="1440"/>
        <w:rPr>
          <w:sz w:val="24"/>
          <w:szCs w:val="24"/>
        </w:rPr>
      </w:pPr>
    </w:p>
    <w:p w:rsidR="00F93BED" w:rsidRPr="00AE51C9" w:rsidRDefault="00F93BED" w:rsidP="00F93BED">
      <w:pPr>
        <w:pStyle w:val="BodyText"/>
        <w:spacing w:after="0" w:line="360" w:lineRule="auto"/>
      </w:pPr>
      <w:r w:rsidRPr="00AE51C9">
        <w:tab/>
      </w:r>
      <w:r w:rsidRPr="00AE51C9">
        <w:tab/>
        <w:t xml:space="preserve">The Complainant in this proceeding has </w:t>
      </w:r>
      <w:r w:rsidRPr="00AE51C9">
        <w:rPr>
          <w:spacing w:val="-3"/>
        </w:rPr>
        <w:t xml:space="preserve">the burden of proof to show that the Respondent is responsible or accountable for the problem described in the complaint.  </w:t>
      </w:r>
      <w:r w:rsidRPr="00AE51C9">
        <w:rPr>
          <w:i/>
          <w:spacing w:val="-3"/>
        </w:rPr>
        <w:t xml:space="preserve">Patterson v. Bell Telephone Co. of Pennsylvania, </w:t>
      </w:r>
      <w:r w:rsidRPr="00AE51C9">
        <w:rPr>
          <w:spacing w:val="-3"/>
        </w:rPr>
        <w:t xml:space="preserve">72 Pa. PUC 196 (1990), </w:t>
      </w:r>
      <w:r w:rsidRPr="00AE51C9">
        <w:rPr>
          <w:i/>
          <w:spacing w:val="-3"/>
        </w:rPr>
        <w:t>Feinstein v. Philadelphia Suburban Water Co.,</w:t>
      </w:r>
      <w:r w:rsidRPr="00AE51C9">
        <w:rPr>
          <w:spacing w:val="-3"/>
        </w:rPr>
        <w:t xml:space="preserve"> 50 Pa. PUC 300 (1976).  The Complainant must establish h</w:t>
      </w:r>
      <w:r w:rsidR="004E2A39" w:rsidRPr="00AE51C9">
        <w:rPr>
          <w:spacing w:val="-3"/>
        </w:rPr>
        <w:t>is</w:t>
      </w:r>
      <w:r w:rsidRPr="00AE51C9">
        <w:rPr>
          <w:spacing w:val="-3"/>
        </w:rPr>
        <w:t xml:space="preserve"> case by a preponderance of the evidence.  </w:t>
      </w:r>
      <w:r w:rsidRPr="00AE51C9">
        <w:rPr>
          <w:i/>
          <w:spacing w:val="-3"/>
        </w:rPr>
        <w:t>Samuel J. Lansberry, Inc. v. Pa. Public Utility Comm’n</w:t>
      </w:r>
      <w:r w:rsidRPr="00AE51C9">
        <w:rPr>
          <w:spacing w:val="-3"/>
        </w:rPr>
        <w:t xml:space="preserve">, 578 A.2d 600 (Pa. Cmwlth. 1990), </w:t>
      </w:r>
      <w:r w:rsidRPr="00AE51C9">
        <w:rPr>
          <w:i/>
          <w:spacing w:val="-3"/>
        </w:rPr>
        <w:t>alloc. den.</w:t>
      </w:r>
      <w:r w:rsidRPr="00AE51C9">
        <w:rPr>
          <w:spacing w:val="-3"/>
        </w:rPr>
        <w:t>, 602 A.2d 863 (Pa. 1992).  To meet h</w:t>
      </w:r>
      <w:r w:rsidR="004E2A39" w:rsidRPr="00AE51C9">
        <w:rPr>
          <w:spacing w:val="-3"/>
        </w:rPr>
        <w:t>is</w:t>
      </w:r>
      <w:r w:rsidRPr="00AE51C9">
        <w:rPr>
          <w:spacing w:val="-3"/>
        </w:rPr>
        <w:t xml:space="preserve"> burden of proof, the Complainant must present evidence more convincing, by even the smallest amount, than that presented by the Respondent.  </w:t>
      </w:r>
      <w:r w:rsidRPr="00AE51C9">
        <w:rPr>
          <w:i/>
          <w:spacing w:val="-3"/>
        </w:rPr>
        <w:t>Se-Ling Hosiery v. Margulies,</w:t>
      </w:r>
      <w:r w:rsidRPr="00AE51C9">
        <w:rPr>
          <w:spacing w:val="-3"/>
        </w:rPr>
        <w:t xml:space="preserve"> 70 A.2d 854 (Pa.1950).  </w:t>
      </w:r>
      <w:r w:rsidRPr="00AE51C9">
        <w:t>In this case, the Complainant appeals the BCS decision.</w:t>
      </w:r>
    </w:p>
    <w:p w:rsidR="00F93BED" w:rsidRPr="00AE51C9" w:rsidRDefault="00F93BED" w:rsidP="00F93BED">
      <w:pPr>
        <w:pStyle w:val="BodyText"/>
        <w:spacing w:after="0" w:line="360" w:lineRule="auto"/>
      </w:pPr>
    </w:p>
    <w:p w:rsidR="00C10E88" w:rsidRPr="00AE51C9" w:rsidRDefault="008548A8" w:rsidP="00B86FD3">
      <w:pPr>
        <w:tabs>
          <w:tab w:val="left" w:pos="-1440"/>
          <w:tab w:val="left" w:pos="-720"/>
        </w:tabs>
        <w:suppressAutoHyphens/>
        <w:spacing w:line="360" w:lineRule="auto"/>
        <w:ind w:firstLine="1440"/>
        <w:rPr>
          <w:sz w:val="24"/>
          <w:szCs w:val="24"/>
        </w:rPr>
      </w:pPr>
      <w:r w:rsidRPr="00AE51C9">
        <w:rPr>
          <w:sz w:val="24"/>
          <w:szCs w:val="24"/>
        </w:rPr>
        <w:t xml:space="preserve">The Commission must act within, and cannot exceed its jurisdiction.  </w:t>
      </w:r>
      <w:r w:rsidRPr="00AE51C9">
        <w:rPr>
          <w:i/>
          <w:sz w:val="24"/>
          <w:szCs w:val="24"/>
        </w:rPr>
        <w:t xml:space="preserve">City of Pittsburgh v. PUC, </w:t>
      </w:r>
      <w:r w:rsidRPr="00AE51C9">
        <w:rPr>
          <w:sz w:val="24"/>
          <w:szCs w:val="24"/>
        </w:rPr>
        <w:t xml:space="preserve">157 Pa. Super 595, 43 A.2d 348 (1945).  Jurisdiction may not be conferred by the parties where none exists.  </w:t>
      </w:r>
      <w:r w:rsidRPr="00AE51C9">
        <w:rPr>
          <w:i/>
          <w:sz w:val="24"/>
          <w:szCs w:val="24"/>
        </w:rPr>
        <w:t xml:space="preserve">Roberts v. Martorano, </w:t>
      </w:r>
      <w:r w:rsidRPr="00AE51C9">
        <w:rPr>
          <w:sz w:val="24"/>
          <w:szCs w:val="24"/>
        </w:rPr>
        <w:t>427 Pa. 581, 235 A.2d 602(1967).</w:t>
      </w:r>
    </w:p>
    <w:p w:rsidR="00F93BED" w:rsidRPr="00AE51C9" w:rsidRDefault="00F93BED" w:rsidP="00B86FD3">
      <w:pPr>
        <w:tabs>
          <w:tab w:val="left" w:pos="-1440"/>
          <w:tab w:val="left" w:pos="-720"/>
        </w:tabs>
        <w:suppressAutoHyphens/>
        <w:spacing w:line="360" w:lineRule="auto"/>
        <w:ind w:firstLine="1440"/>
        <w:rPr>
          <w:sz w:val="24"/>
          <w:szCs w:val="24"/>
        </w:rPr>
      </w:pPr>
    </w:p>
    <w:p w:rsidR="00016631" w:rsidRPr="00AE51C9" w:rsidRDefault="002A781B" w:rsidP="00B86FD3">
      <w:pPr>
        <w:spacing w:line="360" w:lineRule="auto"/>
        <w:ind w:firstLine="1440"/>
        <w:rPr>
          <w:sz w:val="24"/>
          <w:szCs w:val="24"/>
        </w:rPr>
      </w:pPr>
      <w:r w:rsidRPr="00AE51C9">
        <w:rPr>
          <w:sz w:val="24"/>
          <w:szCs w:val="24"/>
        </w:rPr>
        <w:t xml:space="preserve">In the instant case, Complainant avers he is the property manager for the landlord, Roslyn </w:t>
      </w:r>
      <w:r w:rsidR="00341D3A">
        <w:rPr>
          <w:sz w:val="24"/>
          <w:szCs w:val="24"/>
        </w:rPr>
        <w:t>D</w:t>
      </w:r>
      <w:r w:rsidRPr="00AE51C9">
        <w:rPr>
          <w:sz w:val="24"/>
          <w:szCs w:val="24"/>
        </w:rPr>
        <w:t>e</w:t>
      </w:r>
      <w:r w:rsidR="004E2A39" w:rsidRPr="00AE51C9">
        <w:rPr>
          <w:sz w:val="24"/>
          <w:szCs w:val="24"/>
        </w:rPr>
        <w:t xml:space="preserve"> L</w:t>
      </w:r>
      <w:r w:rsidRPr="00AE51C9">
        <w:rPr>
          <w:sz w:val="24"/>
          <w:szCs w:val="24"/>
        </w:rPr>
        <w:t>izarriturri, who owns the service residence at 6303 Sunnybrook Rd., First Floor, Flourtown, PA.  Complainant seeks a reduction in a bill that the landlord received on Feb</w:t>
      </w:r>
      <w:r w:rsidR="00CC5923">
        <w:rPr>
          <w:sz w:val="24"/>
          <w:szCs w:val="24"/>
        </w:rPr>
        <w:t>ruary 21, </w:t>
      </w:r>
      <w:r w:rsidRPr="00AE51C9">
        <w:rPr>
          <w:sz w:val="24"/>
          <w:szCs w:val="24"/>
        </w:rPr>
        <w:t xml:space="preserve">2012 in the amount of $1,717.57 for service to a prior tenant that is unreasonable given the nature of the minor foreign load issues regarding the account.  Complainant avers the bill </w:t>
      </w:r>
      <w:r w:rsidR="00016631" w:rsidRPr="00AE51C9">
        <w:rPr>
          <w:sz w:val="24"/>
          <w:szCs w:val="24"/>
        </w:rPr>
        <w:t>c</w:t>
      </w:r>
      <w:r w:rsidRPr="00AE51C9">
        <w:rPr>
          <w:sz w:val="24"/>
          <w:szCs w:val="24"/>
        </w:rPr>
        <w:t xml:space="preserve">onsists of four months of unpaid electric and gas service at the service property.  Complainant argues the bills the landlord received are not reasonably attributable to the foreign load.  </w:t>
      </w:r>
      <w:r w:rsidR="00016631" w:rsidRPr="00AE51C9">
        <w:rPr>
          <w:sz w:val="24"/>
          <w:szCs w:val="24"/>
        </w:rPr>
        <w:t>Complainant requests a reduction to mak</w:t>
      </w:r>
      <w:r w:rsidR="001700D0">
        <w:rPr>
          <w:sz w:val="24"/>
          <w:szCs w:val="24"/>
        </w:rPr>
        <w:t>e</w:t>
      </w:r>
      <w:r w:rsidR="00016631" w:rsidRPr="00AE51C9">
        <w:rPr>
          <w:sz w:val="24"/>
          <w:szCs w:val="24"/>
        </w:rPr>
        <w:t xml:space="preserve"> Ms. De</w:t>
      </w:r>
      <w:r w:rsidR="001700D0">
        <w:rPr>
          <w:sz w:val="24"/>
          <w:szCs w:val="24"/>
        </w:rPr>
        <w:t xml:space="preserve"> L</w:t>
      </w:r>
      <w:r w:rsidR="00016631" w:rsidRPr="00AE51C9">
        <w:rPr>
          <w:sz w:val="24"/>
          <w:szCs w:val="24"/>
        </w:rPr>
        <w:t>izarriturri responsible for only 3.25% of the electric bill and 4.0% of the gas bill that accrued while the foreign wiring and piping existed.</w:t>
      </w:r>
    </w:p>
    <w:p w:rsidR="00F93BED" w:rsidRPr="00AE51C9" w:rsidRDefault="00F93BED" w:rsidP="00B86FD3">
      <w:pPr>
        <w:spacing w:line="360" w:lineRule="auto"/>
        <w:ind w:firstLine="1440"/>
        <w:rPr>
          <w:sz w:val="24"/>
          <w:szCs w:val="24"/>
        </w:rPr>
      </w:pPr>
    </w:p>
    <w:p w:rsidR="00F93BED" w:rsidRPr="00AE51C9" w:rsidRDefault="00F93BED" w:rsidP="00B86FD3">
      <w:pPr>
        <w:spacing w:line="360" w:lineRule="auto"/>
        <w:ind w:firstLine="1440"/>
        <w:rPr>
          <w:sz w:val="24"/>
          <w:szCs w:val="24"/>
        </w:rPr>
      </w:pPr>
      <w:r w:rsidRPr="00AE51C9">
        <w:rPr>
          <w:sz w:val="24"/>
          <w:szCs w:val="24"/>
        </w:rPr>
        <w:t xml:space="preserve">Complainant complains he had no notice from PECO before PECO inspected the property for foreign wiring, and he asserts this is </w:t>
      </w:r>
      <w:r w:rsidR="00C03D67">
        <w:rPr>
          <w:sz w:val="24"/>
          <w:szCs w:val="24"/>
        </w:rPr>
        <w:t xml:space="preserve">a privacy violation.  N.T. 8.  </w:t>
      </w:r>
      <w:r w:rsidR="00264933" w:rsidRPr="00AE51C9">
        <w:rPr>
          <w:sz w:val="24"/>
          <w:szCs w:val="24"/>
        </w:rPr>
        <w:t>Complainant also testified it is unreasonable for Respondent to allow the tenants to not pay for their electric service and give them opportunity with deferred payments to increase their balances without notifying the landlord and in essence mak</w:t>
      </w:r>
      <w:r w:rsidR="001700D0">
        <w:rPr>
          <w:sz w:val="24"/>
          <w:szCs w:val="24"/>
        </w:rPr>
        <w:t>ing</w:t>
      </w:r>
      <w:r w:rsidR="00264933" w:rsidRPr="00AE51C9">
        <w:rPr>
          <w:sz w:val="24"/>
          <w:szCs w:val="24"/>
        </w:rPr>
        <w:t xml:space="preserve"> the landlord possibly liable for larger arrears.  This practice encourages tenant fraud and abuse.  N.T. 9.</w:t>
      </w:r>
    </w:p>
    <w:p w:rsidR="00016631" w:rsidRPr="00AE51C9" w:rsidRDefault="00016631" w:rsidP="00B86FD3">
      <w:pPr>
        <w:spacing w:line="360" w:lineRule="auto"/>
        <w:ind w:firstLine="1440"/>
        <w:rPr>
          <w:sz w:val="24"/>
          <w:szCs w:val="24"/>
        </w:rPr>
      </w:pPr>
    </w:p>
    <w:p w:rsidR="00273D52" w:rsidRPr="00AE51C9" w:rsidRDefault="00273D52" w:rsidP="00273D52">
      <w:pPr>
        <w:spacing w:line="360" w:lineRule="auto"/>
        <w:ind w:firstLine="1440"/>
        <w:rPr>
          <w:sz w:val="24"/>
          <w:szCs w:val="24"/>
        </w:rPr>
      </w:pPr>
      <w:r w:rsidRPr="00AE51C9">
        <w:rPr>
          <w:sz w:val="24"/>
          <w:szCs w:val="24"/>
        </w:rPr>
        <w:t xml:space="preserve">In </w:t>
      </w:r>
      <w:r w:rsidRPr="00AE51C9">
        <w:rPr>
          <w:i/>
          <w:sz w:val="24"/>
          <w:szCs w:val="24"/>
        </w:rPr>
        <w:t>Ace Checking Inc. v. Philadelphia Gas Works,</w:t>
      </w:r>
      <w:r w:rsidRPr="00AE51C9">
        <w:rPr>
          <w:sz w:val="24"/>
          <w:szCs w:val="24"/>
        </w:rPr>
        <w:t xml:space="preserve"> Docket No. C-2008-2056428, Order (May 21, 2010)</w:t>
      </w:r>
      <w:r w:rsidRPr="00AE51C9">
        <w:rPr>
          <w:i/>
          <w:sz w:val="24"/>
          <w:szCs w:val="24"/>
        </w:rPr>
        <w:t xml:space="preserve">, </w:t>
      </w:r>
      <w:r w:rsidR="00264933" w:rsidRPr="00AE51C9">
        <w:rPr>
          <w:sz w:val="24"/>
          <w:szCs w:val="24"/>
        </w:rPr>
        <w:t xml:space="preserve">the Commission found that the ultimate dispute in a foreign load case is the financial responsibility for an established amount of charges for past utility service between a landlord and tenant.  The dispute does not concern the utility or the utility’s service, and, therefore, its resolution does not require the Commission’s regulatory expertise.  </w:t>
      </w:r>
      <w:r w:rsidRPr="00AE51C9">
        <w:rPr>
          <w:sz w:val="24"/>
          <w:szCs w:val="24"/>
        </w:rPr>
        <w:t xml:space="preserve">The approach of determining what portion of the tenant’s arrearage was related to foreign load was abandoned in </w:t>
      </w:r>
      <w:r w:rsidRPr="00AE51C9">
        <w:rPr>
          <w:i/>
          <w:sz w:val="24"/>
          <w:szCs w:val="24"/>
        </w:rPr>
        <w:t>Ace Check Cashing</w:t>
      </w:r>
      <w:r w:rsidRPr="00AE51C9">
        <w:rPr>
          <w:sz w:val="24"/>
          <w:szCs w:val="24"/>
        </w:rPr>
        <w:t xml:space="preserve"> because the Commission was being inserted into a dispute between the tenant and the landlord, and it was reasoned that those disputes are better left to courts of common pleas and district magistrates to manage concerning contractual disputes between landlords and tenants.</w:t>
      </w:r>
    </w:p>
    <w:p w:rsidR="00273D52" w:rsidRPr="00AE51C9" w:rsidRDefault="00273D52" w:rsidP="00A3480E">
      <w:pPr>
        <w:spacing w:line="360" w:lineRule="auto"/>
        <w:rPr>
          <w:sz w:val="24"/>
          <w:szCs w:val="24"/>
        </w:rPr>
      </w:pPr>
    </w:p>
    <w:p w:rsidR="007937DD" w:rsidRPr="00AE51C9" w:rsidRDefault="007937DD" w:rsidP="00B86FD3">
      <w:pPr>
        <w:spacing w:line="360" w:lineRule="auto"/>
        <w:ind w:firstLine="1440"/>
        <w:rPr>
          <w:sz w:val="24"/>
          <w:szCs w:val="24"/>
        </w:rPr>
      </w:pPr>
      <w:r w:rsidRPr="00AE51C9">
        <w:rPr>
          <w:sz w:val="24"/>
          <w:szCs w:val="24"/>
        </w:rPr>
        <w:t xml:space="preserve">By contrast, in </w:t>
      </w:r>
      <w:r w:rsidRPr="00AE51C9">
        <w:rPr>
          <w:i/>
          <w:sz w:val="24"/>
          <w:szCs w:val="24"/>
        </w:rPr>
        <w:t xml:space="preserve">Afshari, </w:t>
      </w:r>
      <w:r w:rsidRPr="00AE51C9">
        <w:rPr>
          <w:sz w:val="24"/>
          <w:szCs w:val="24"/>
        </w:rPr>
        <w:t xml:space="preserve">when foreign load was found, the landlord became responsible only for the portion of the tenant’s arrearage that was related to foreign load.  This approach was abandoned in </w:t>
      </w:r>
      <w:r w:rsidRPr="00AE51C9">
        <w:rPr>
          <w:i/>
          <w:sz w:val="24"/>
          <w:szCs w:val="24"/>
        </w:rPr>
        <w:t>Ace Check Cashing</w:t>
      </w:r>
      <w:r w:rsidRPr="00AE51C9">
        <w:rPr>
          <w:sz w:val="24"/>
          <w:szCs w:val="24"/>
        </w:rPr>
        <w:t xml:space="preserve"> because the Commission was being inserted into a dispute between the tenant and the landlord, and it was reasoned that those disputes are better left to courts of common pleas and district magistrates to manage concerning contractual disputes between landlords and tenants.</w:t>
      </w:r>
    </w:p>
    <w:p w:rsidR="007937DD" w:rsidRPr="00AE51C9" w:rsidRDefault="007937DD" w:rsidP="00B86FD3">
      <w:pPr>
        <w:spacing w:line="360" w:lineRule="auto"/>
        <w:ind w:firstLine="1440"/>
        <w:rPr>
          <w:sz w:val="24"/>
          <w:szCs w:val="24"/>
        </w:rPr>
      </w:pPr>
    </w:p>
    <w:p w:rsidR="007937DD" w:rsidRPr="00AE51C9" w:rsidRDefault="00273D52" w:rsidP="00B86FD3">
      <w:pPr>
        <w:spacing w:line="360" w:lineRule="auto"/>
        <w:ind w:firstLine="1440"/>
        <w:rPr>
          <w:sz w:val="24"/>
          <w:szCs w:val="24"/>
        </w:rPr>
      </w:pPr>
      <w:r w:rsidRPr="00AE51C9">
        <w:rPr>
          <w:sz w:val="24"/>
          <w:szCs w:val="24"/>
        </w:rPr>
        <w:t xml:space="preserve">The policy adopted by the Commission in </w:t>
      </w:r>
      <w:r w:rsidRPr="00AE51C9">
        <w:rPr>
          <w:i/>
          <w:sz w:val="24"/>
          <w:szCs w:val="24"/>
        </w:rPr>
        <w:t>Ace Check Cashing</w:t>
      </w:r>
      <w:r w:rsidRPr="00AE51C9">
        <w:rPr>
          <w:sz w:val="24"/>
          <w:szCs w:val="24"/>
        </w:rPr>
        <w:t xml:space="preserve"> is consistent with the plain meaning of Section 1529.1 of the Public Utility Code, which holds the landlord financially responsible for a tenant’s entire account, once foreign load is verified on the tenant’s service.  </w:t>
      </w:r>
      <w:r w:rsidR="007937DD" w:rsidRPr="00AE51C9">
        <w:rPr>
          <w:sz w:val="24"/>
          <w:szCs w:val="24"/>
        </w:rPr>
        <w:t xml:space="preserve">The account is returned to the tenant after the foreign load is corrected but any arrearage stays with the landlord/owner even though the amount might exceed the portion of the arrearage attributable to the foreign load.  Although this may seem unreasonable to the landlord, he or she is not without </w:t>
      </w:r>
      <w:r w:rsidR="00112B63" w:rsidRPr="00AE51C9">
        <w:rPr>
          <w:sz w:val="24"/>
          <w:szCs w:val="24"/>
        </w:rPr>
        <w:t xml:space="preserve">legal </w:t>
      </w:r>
      <w:r w:rsidR="007937DD" w:rsidRPr="00AE51C9">
        <w:rPr>
          <w:sz w:val="24"/>
          <w:szCs w:val="24"/>
        </w:rPr>
        <w:t>recourse.  A civil lawsuit may be brought before a district magistrate or court of common pleas for compensation.</w:t>
      </w:r>
      <w:r w:rsidR="00483D24" w:rsidRPr="00AE51C9">
        <w:rPr>
          <w:sz w:val="24"/>
          <w:szCs w:val="24"/>
        </w:rPr>
        <w:t xml:space="preserve">  The public policy behind this law is that the owner is in the better position to know about the existence of a foreign load than is the tenant; and the law encourages the landlord to correct the situation and remove the foreign load from the tenant’s meter.</w:t>
      </w:r>
      <w:r w:rsidR="00112B63" w:rsidRPr="00AE51C9">
        <w:rPr>
          <w:sz w:val="24"/>
          <w:szCs w:val="24"/>
        </w:rPr>
        <w:t xml:space="preserve">  Further, in administrative proceedings, there is no issue regarding joining a third party tenant</w:t>
      </w:r>
      <w:r w:rsidR="00DF34E4" w:rsidRPr="00AE51C9">
        <w:rPr>
          <w:sz w:val="24"/>
          <w:szCs w:val="24"/>
        </w:rPr>
        <w:t xml:space="preserve"> as a party or witness</w:t>
      </w:r>
      <w:r w:rsidR="00DC0010">
        <w:rPr>
          <w:sz w:val="24"/>
          <w:szCs w:val="24"/>
        </w:rPr>
        <w:t xml:space="preserve"> in order to resolve the case.</w:t>
      </w:r>
    </w:p>
    <w:p w:rsidR="00112B63" w:rsidRPr="00AE51C9" w:rsidRDefault="00112B63" w:rsidP="00B86FD3">
      <w:pPr>
        <w:spacing w:line="360" w:lineRule="auto"/>
        <w:ind w:firstLine="1440"/>
        <w:rPr>
          <w:sz w:val="24"/>
          <w:szCs w:val="24"/>
        </w:rPr>
      </w:pPr>
    </w:p>
    <w:p w:rsidR="004925A0" w:rsidRPr="00AE51C9" w:rsidRDefault="004925A0" w:rsidP="00B86FD3">
      <w:pPr>
        <w:spacing w:line="360" w:lineRule="auto"/>
        <w:ind w:firstLine="1440"/>
        <w:rPr>
          <w:sz w:val="24"/>
          <w:szCs w:val="24"/>
        </w:rPr>
      </w:pPr>
      <w:r w:rsidRPr="00AE51C9">
        <w:rPr>
          <w:sz w:val="24"/>
          <w:szCs w:val="24"/>
        </w:rPr>
        <w:t xml:space="preserve">Section 1529.1 of the Code, </w:t>
      </w:r>
      <w:r w:rsidR="00273D52" w:rsidRPr="00AE51C9">
        <w:rPr>
          <w:sz w:val="24"/>
          <w:szCs w:val="24"/>
        </w:rPr>
        <w:t xml:space="preserve">66 Pa. C.S. § 1529.1 </w:t>
      </w:r>
      <w:r w:rsidRPr="00AE51C9">
        <w:rPr>
          <w:sz w:val="24"/>
          <w:szCs w:val="24"/>
        </w:rPr>
        <w:t>states the following:</w:t>
      </w:r>
    </w:p>
    <w:p w:rsidR="004925A0" w:rsidRPr="00AE51C9" w:rsidRDefault="004925A0" w:rsidP="00B86FD3">
      <w:pPr>
        <w:spacing w:line="360" w:lineRule="auto"/>
        <w:ind w:firstLine="1440"/>
        <w:rPr>
          <w:sz w:val="24"/>
          <w:szCs w:val="24"/>
        </w:rPr>
      </w:pPr>
    </w:p>
    <w:p w:rsidR="004925A0" w:rsidRPr="00AE51C9" w:rsidRDefault="004925A0" w:rsidP="00B86FD3">
      <w:pPr>
        <w:adjustRightInd w:val="0"/>
        <w:ind w:left="1440"/>
        <w:rPr>
          <w:b/>
          <w:bCs/>
          <w:color w:val="000000"/>
          <w:sz w:val="24"/>
          <w:szCs w:val="24"/>
        </w:rPr>
      </w:pPr>
      <w:r w:rsidRPr="00AE51C9">
        <w:rPr>
          <w:b/>
          <w:bCs/>
          <w:color w:val="000000"/>
          <w:sz w:val="24"/>
          <w:szCs w:val="24"/>
        </w:rPr>
        <w:t>§ 1529.1.  Duty of owners of rental property.</w:t>
      </w:r>
    </w:p>
    <w:p w:rsidR="004925A0" w:rsidRPr="00AE51C9" w:rsidRDefault="004925A0" w:rsidP="00B86FD3">
      <w:pPr>
        <w:adjustRightInd w:val="0"/>
        <w:ind w:left="1440"/>
        <w:rPr>
          <w:b/>
          <w:bCs/>
          <w:color w:val="000000"/>
          <w:sz w:val="24"/>
          <w:szCs w:val="24"/>
        </w:rPr>
      </w:pPr>
    </w:p>
    <w:p w:rsidR="004925A0" w:rsidRPr="00AE51C9" w:rsidRDefault="004925A0" w:rsidP="00B86FD3">
      <w:pPr>
        <w:adjustRightInd w:val="0"/>
        <w:ind w:left="1440" w:firstLine="720"/>
        <w:rPr>
          <w:color w:val="000000"/>
          <w:sz w:val="24"/>
          <w:szCs w:val="24"/>
        </w:rPr>
      </w:pPr>
      <w:r w:rsidRPr="00AE51C9">
        <w:rPr>
          <w:b/>
          <w:bCs/>
          <w:color w:val="000000"/>
          <w:sz w:val="24"/>
          <w:szCs w:val="24"/>
        </w:rPr>
        <w:t>(a)  Notice to public utility.—</w:t>
      </w:r>
      <w:r w:rsidRPr="00AE51C9">
        <w:rPr>
          <w:color w:val="000000"/>
          <w:sz w:val="24"/>
          <w:szCs w:val="24"/>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1" w:name="IN;3"/>
      <w:bookmarkStart w:id="2" w:name="SP;a83b000018c76"/>
      <w:bookmarkEnd w:id="1"/>
      <w:bookmarkEnd w:id="2"/>
    </w:p>
    <w:p w:rsidR="004925A0" w:rsidRPr="00AE51C9" w:rsidRDefault="004925A0" w:rsidP="00B86FD3">
      <w:pPr>
        <w:adjustRightInd w:val="0"/>
        <w:ind w:left="1440"/>
        <w:rPr>
          <w:b/>
          <w:bCs/>
          <w:color w:val="000000"/>
          <w:sz w:val="24"/>
          <w:szCs w:val="24"/>
        </w:rPr>
      </w:pPr>
    </w:p>
    <w:p w:rsidR="004925A0" w:rsidRPr="00AE51C9" w:rsidRDefault="004925A0" w:rsidP="00B86FD3">
      <w:pPr>
        <w:ind w:left="1440" w:firstLine="720"/>
        <w:rPr>
          <w:color w:val="000000"/>
          <w:sz w:val="24"/>
          <w:szCs w:val="24"/>
        </w:rPr>
      </w:pPr>
      <w:r w:rsidRPr="00AE51C9">
        <w:rPr>
          <w:b/>
          <w:bCs/>
          <w:color w:val="000000"/>
          <w:sz w:val="24"/>
          <w:szCs w:val="24"/>
        </w:rPr>
        <w:t>(b)  History of account.—</w:t>
      </w:r>
      <w:r w:rsidRPr="00AE51C9">
        <w:rPr>
          <w:color w:val="000000"/>
          <w:sz w:val="24"/>
          <w:szCs w:val="24"/>
        </w:rPr>
        <w:t xml:space="preserve">Upon receipt of the notice provided in this section, if the mobile home park or residential building contains one or more dwelling </w:t>
      </w:r>
      <w:bookmarkStart w:id="3" w:name="SDU_2"/>
      <w:bookmarkEnd w:id="3"/>
      <w:r w:rsidRPr="00AE51C9">
        <w:rPr>
          <w:color w:val="000000"/>
          <w:sz w:val="24"/>
          <w:szCs w:val="24"/>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4" w:name="IN;4"/>
      <w:bookmarkStart w:id="5" w:name="SP;4b24000003ba5"/>
      <w:bookmarkEnd w:id="4"/>
      <w:bookmarkEnd w:id="5"/>
    </w:p>
    <w:p w:rsidR="004925A0" w:rsidRPr="00AE51C9" w:rsidRDefault="004925A0" w:rsidP="00B86FD3">
      <w:pPr>
        <w:ind w:left="1440"/>
        <w:rPr>
          <w:b/>
          <w:bCs/>
          <w:color w:val="000000"/>
          <w:sz w:val="24"/>
          <w:szCs w:val="24"/>
        </w:rPr>
      </w:pPr>
    </w:p>
    <w:p w:rsidR="004925A0" w:rsidRPr="00AE51C9" w:rsidRDefault="004925A0" w:rsidP="00B86FD3">
      <w:pPr>
        <w:ind w:left="1440" w:firstLine="720"/>
        <w:rPr>
          <w:rFonts w:eastAsia="Calibri"/>
          <w:sz w:val="24"/>
          <w:szCs w:val="24"/>
        </w:rPr>
      </w:pPr>
      <w:r w:rsidRPr="00AE51C9">
        <w:rPr>
          <w:b/>
          <w:bCs/>
          <w:color w:val="000000"/>
          <w:sz w:val="24"/>
          <w:szCs w:val="24"/>
        </w:rPr>
        <w:t>(c)  Failure to give notice.—</w:t>
      </w:r>
      <w:r w:rsidRPr="00AE51C9">
        <w:rPr>
          <w:color w:val="000000"/>
          <w:sz w:val="24"/>
          <w:szCs w:val="24"/>
        </w:rPr>
        <w:t>Any owner of a residential building or mobile home park failing to notify affected public utilities as required by this section shall nonetheless be responsible for payment of the utility services as if the required notice had been given.</w:t>
      </w:r>
    </w:p>
    <w:p w:rsidR="004925A0" w:rsidRPr="00AE51C9" w:rsidRDefault="004925A0" w:rsidP="00B86FD3">
      <w:pPr>
        <w:spacing w:line="360" w:lineRule="auto"/>
        <w:rPr>
          <w:sz w:val="24"/>
          <w:szCs w:val="24"/>
        </w:rPr>
      </w:pPr>
    </w:p>
    <w:p w:rsidR="004925A0" w:rsidRPr="00AE51C9" w:rsidRDefault="004925A0" w:rsidP="006C7F60">
      <w:pPr>
        <w:spacing w:line="360" w:lineRule="auto"/>
        <w:ind w:firstLine="1440"/>
        <w:rPr>
          <w:sz w:val="24"/>
          <w:szCs w:val="24"/>
        </w:rPr>
      </w:pPr>
      <w:r w:rsidRPr="00AE51C9">
        <w:rPr>
          <w:sz w:val="24"/>
          <w:szCs w:val="24"/>
        </w:rPr>
        <w:t>The express language of this statutory provision provides that the owner of the rental property is responsible for the payment of all utility services provided to the property when the usage of several tenants is recorded on one meter and billed accordingly, regardless of whether or not the owner has notified the utility providing the service.</w:t>
      </w:r>
    </w:p>
    <w:p w:rsidR="004925A0" w:rsidRPr="00AE51C9" w:rsidRDefault="004925A0" w:rsidP="00B86FD3">
      <w:pPr>
        <w:spacing w:line="360" w:lineRule="auto"/>
        <w:rPr>
          <w:sz w:val="24"/>
          <w:szCs w:val="24"/>
        </w:rPr>
      </w:pPr>
    </w:p>
    <w:p w:rsidR="004925A0" w:rsidRPr="00AE51C9" w:rsidRDefault="004925A0" w:rsidP="00B86FD3">
      <w:pPr>
        <w:spacing w:line="360" w:lineRule="auto"/>
        <w:rPr>
          <w:sz w:val="24"/>
          <w:szCs w:val="24"/>
        </w:rPr>
      </w:pPr>
      <w:r w:rsidRPr="00AE51C9">
        <w:rPr>
          <w:sz w:val="24"/>
          <w:szCs w:val="24"/>
        </w:rPr>
        <w:tab/>
      </w:r>
      <w:r w:rsidRPr="00AE51C9">
        <w:rPr>
          <w:sz w:val="24"/>
          <w:szCs w:val="24"/>
        </w:rPr>
        <w:tab/>
        <w:t xml:space="preserve">In interpreting this provision, the Commission has determined that well-established precedent “holds the property owner financially responsible for a tenant’s entire account, once foreign load is verified on the tenant’s service.”  </w:t>
      </w:r>
      <w:r w:rsidRPr="00AE51C9">
        <w:rPr>
          <w:i/>
          <w:sz w:val="24"/>
          <w:szCs w:val="24"/>
        </w:rPr>
        <w:t>Ace Check Cashing, Inc. v. Philadelphia Gas Works</w:t>
      </w:r>
      <w:r w:rsidRPr="00AE51C9">
        <w:rPr>
          <w:sz w:val="24"/>
          <w:szCs w:val="24"/>
        </w:rPr>
        <w:t xml:space="preserve">, Docket No. C-2008-2056428 (Order entered May 21, 2010) at </w:t>
      </w:r>
      <w:r w:rsidR="00346A9E" w:rsidRPr="00AE51C9">
        <w:rPr>
          <w:sz w:val="24"/>
          <w:szCs w:val="24"/>
        </w:rPr>
        <w:t>*</w:t>
      </w:r>
      <w:r w:rsidRPr="00AE51C9">
        <w:rPr>
          <w:sz w:val="24"/>
          <w:szCs w:val="24"/>
        </w:rPr>
        <w:t xml:space="preserve">6.  </w:t>
      </w:r>
      <w:r w:rsidRPr="00AE51C9">
        <w:rPr>
          <w:i/>
          <w:sz w:val="24"/>
          <w:szCs w:val="24"/>
        </w:rPr>
        <w:t>See also, Santos v. Metropolitan Edison Co.</w:t>
      </w:r>
      <w:r w:rsidRPr="00AE51C9">
        <w:rPr>
          <w:sz w:val="24"/>
          <w:szCs w:val="24"/>
        </w:rPr>
        <w:t xml:space="preserve">, 1997 Pa. PUC LEXIS 184 at *21 (finding that, upon discovery of foreign load and identification that the dwelling unit is not separately metered, the utility must switch the account into the name of the landlord and bill the landlord’s account for any unpaid billing on the account).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r w:rsidRPr="00AE51C9">
        <w:rPr>
          <w:i/>
          <w:sz w:val="24"/>
          <w:szCs w:val="24"/>
        </w:rPr>
        <w:t>Id</w:t>
      </w:r>
      <w:r w:rsidRPr="00AE51C9">
        <w:rPr>
          <w:sz w:val="24"/>
          <w:szCs w:val="24"/>
        </w:rPr>
        <w:t xml:space="preserve">. at 7.  However, the landlord remains responsible for any arrearages on the tenant’s account.  </w:t>
      </w:r>
      <w:r w:rsidRPr="00AE51C9">
        <w:rPr>
          <w:i/>
          <w:sz w:val="24"/>
          <w:szCs w:val="24"/>
        </w:rPr>
        <w:t>Id</w:t>
      </w:r>
      <w:r w:rsidRPr="00AE51C9">
        <w:rPr>
          <w:sz w:val="24"/>
          <w:szCs w:val="24"/>
        </w:rPr>
        <w:t xml:space="preserve">. at 7-8.  This rule applies even if the amount of usage attributable to foreign load is considered </w:t>
      </w:r>
      <w:r w:rsidRPr="00AE51C9">
        <w:rPr>
          <w:i/>
          <w:sz w:val="24"/>
          <w:szCs w:val="24"/>
        </w:rPr>
        <w:t>de minimus</w:t>
      </w:r>
      <w:r w:rsidRPr="00AE51C9">
        <w:rPr>
          <w:sz w:val="24"/>
          <w:szCs w:val="24"/>
        </w:rPr>
        <w:t xml:space="preserve">.  The Commission does not have jurisdiction over disputes concerning the financial responsibilities of private parties, such as the landlord and tenant, and such matters are to be resolved in the Court of Common Pleas.  </w:t>
      </w:r>
      <w:r w:rsidRPr="00AE51C9">
        <w:rPr>
          <w:i/>
          <w:sz w:val="24"/>
          <w:szCs w:val="24"/>
        </w:rPr>
        <w:t>Id</w:t>
      </w:r>
      <w:r w:rsidRPr="00AE51C9">
        <w:rPr>
          <w:sz w:val="24"/>
          <w:szCs w:val="24"/>
        </w:rPr>
        <w:t>. at 8.</w:t>
      </w:r>
    </w:p>
    <w:p w:rsidR="004925A0" w:rsidRPr="00AE51C9" w:rsidRDefault="004925A0" w:rsidP="00B86FD3">
      <w:pPr>
        <w:spacing w:line="360" w:lineRule="auto"/>
        <w:rPr>
          <w:sz w:val="24"/>
          <w:szCs w:val="24"/>
        </w:rPr>
      </w:pPr>
    </w:p>
    <w:p w:rsidR="00303D99" w:rsidRPr="00AE51C9" w:rsidRDefault="004925A0" w:rsidP="00205CF1">
      <w:pPr>
        <w:spacing w:line="360" w:lineRule="auto"/>
        <w:rPr>
          <w:sz w:val="24"/>
          <w:szCs w:val="24"/>
        </w:rPr>
      </w:pPr>
      <w:r w:rsidRPr="00AE51C9">
        <w:rPr>
          <w:sz w:val="24"/>
          <w:szCs w:val="24"/>
        </w:rPr>
        <w:tab/>
      </w:r>
      <w:r w:rsidRPr="00AE51C9">
        <w:rPr>
          <w:sz w:val="24"/>
          <w:szCs w:val="24"/>
        </w:rPr>
        <w:tab/>
        <w:t xml:space="preserve">Based on the evidence in </w:t>
      </w:r>
      <w:r w:rsidR="00DF34E4" w:rsidRPr="00AE51C9">
        <w:rPr>
          <w:sz w:val="24"/>
          <w:szCs w:val="24"/>
        </w:rPr>
        <w:t>the instant</w:t>
      </w:r>
      <w:r w:rsidRPr="00AE51C9">
        <w:rPr>
          <w:sz w:val="24"/>
          <w:szCs w:val="24"/>
        </w:rPr>
        <w:t xml:space="preserve"> case, </w:t>
      </w:r>
      <w:r w:rsidR="00F801F9" w:rsidRPr="00AE51C9">
        <w:rPr>
          <w:sz w:val="24"/>
          <w:szCs w:val="24"/>
        </w:rPr>
        <w:t xml:space="preserve">PECO </w:t>
      </w:r>
      <w:r w:rsidRPr="00AE51C9">
        <w:rPr>
          <w:sz w:val="24"/>
          <w:szCs w:val="24"/>
        </w:rPr>
        <w:t xml:space="preserve">complied with the law by placing the </w:t>
      </w:r>
      <w:r w:rsidR="00DF34E4" w:rsidRPr="00AE51C9">
        <w:rPr>
          <w:sz w:val="24"/>
          <w:szCs w:val="24"/>
        </w:rPr>
        <w:t>f</w:t>
      </w:r>
      <w:r w:rsidRPr="00AE51C9">
        <w:rPr>
          <w:sz w:val="24"/>
          <w:szCs w:val="24"/>
        </w:rPr>
        <w:t>irst floor tenants</w:t>
      </w:r>
      <w:r w:rsidR="00DF34E4" w:rsidRPr="00AE51C9">
        <w:rPr>
          <w:sz w:val="24"/>
          <w:szCs w:val="24"/>
        </w:rPr>
        <w:t>’</w:t>
      </w:r>
      <w:r w:rsidRPr="00AE51C9">
        <w:rPr>
          <w:sz w:val="24"/>
          <w:szCs w:val="24"/>
        </w:rPr>
        <w:t xml:space="preserve"> account into the</w:t>
      </w:r>
      <w:r w:rsidR="00F801F9" w:rsidRPr="00AE51C9">
        <w:rPr>
          <w:sz w:val="24"/>
          <w:szCs w:val="24"/>
        </w:rPr>
        <w:t xml:space="preserve"> landlord’s</w:t>
      </w:r>
      <w:r w:rsidRPr="00AE51C9">
        <w:rPr>
          <w:sz w:val="24"/>
          <w:szCs w:val="24"/>
        </w:rPr>
        <w:t xml:space="preserve"> name.  </w:t>
      </w:r>
      <w:r w:rsidR="00F801F9" w:rsidRPr="00AE51C9">
        <w:rPr>
          <w:sz w:val="24"/>
          <w:szCs w:val="24"/>
        </w:rPr>
        <w:t>There is no dispute as to the existe</w:t>
      </w:r>
      <w:r w:rsidRPr="00AE51C9">
        <w:rPr>
          <w:sz w:val="24"/>
          <w:szCs w:val="24"/>
        </w:rPr>
        <w:t xml:space="preserve">nce of foreign load on </w:t>
      </w:r>
      <w:r w:rsidR="00F801F9" w:rsidRPr="00AE51C9">
        <w:rPr>
          <w:sz w:val="24"/>
          <w:szCs w:val="24"/>
        </w:rPr>
        <w:t>January 10, 2012</w:t>
      </w:r>
      <w:r w:rsidRPr="00AE51C9">
        <w:rPr>
          <w:sz w:val="24"/>
          <w:szCs w:val="24"/>
        </w:rPr>
        <w:t xml:space="preserve">, when </w:t>
      </w:r>
      <w:r w:rsidR="00F801F9" w:rsidRPr="00AE51C9">
        <w:rPr>
          <w:sz w:val="24"/>
          <w:szCs w:val="24"/>
        </w:rPr>
        <w:t>PECO’s</w:t>
      </w:r>
      <w:r w:rsidRPr="00AE51C9">
        <w:rPr>
          <w:sz w:val="24"/>
          <w:szCs w:val="24"/>
        </w:rPr>
        <w:t xml:space="preserve"> technician traced the gas lines in the rental property and found that </w:t>
      </w:r>
      <w:r w:rsidR="001700D0">
        <w:rPr>
          <w:sz w:val="24"/>
          <w:szCs w:val="24"/>
        </w:rPr>
        <w:t xml:space="preserve">the </w:t>
      </w:r>
      <w:r w:rsidR="00DF34E4" w:rsidRPr="00AE51C9">
        <w:rPr>
          <w:sz w:val="24"/>
          <w:szCs w:val="24"/>
        </w:rPr>
        <w:t>tenants were also paying for a gas heater in the hallway and electric units in the basement.</w:t>
      </w:r>
      <w:r w:rsidR="00F801F9" w:rsidRPr="00AE51C9">
        <w:rPr>
          <w:sz w:val="24"/>
          <w:szCs w:val="24"/>
        </w:rPr>
        <w:t xml:space="preserve">  </w:t>
      </w:r>
      <w:r w:rsidRPr="00AE51C9">
        <w:rPr>
          <w:sz w:val="24"/>
          <w:szCs w:val="24"/>
        </w:rPr>
        <w:t xml:space="preserve">The Complainant did not deny that foreign load existed on </w:t>
      </w:r>
      <w:r w:rsidR="00F801F9" w:rsidRPr="00AE51C9">
        <w:rPr>
          <w:sz w:val="24"/>
          <w:szCs w:val="24"/>
        </w:rPr>
        <w:t>January 10, 2012.</w:t>
      </w:r>
      <w:r w:rsidRPr="00AE51C9">
        <w:rPr>
          <w:sz w:val="24"/>
          <w:szCs w:val="24"/>
        </w:rPr>
        <w:t xml:space="preserve">  Accordingly, </w:t>
      </w:r>
      <w:r w:rsidR="00F801F9" w:rsidRPr="00AE51C9">
        <w:rPr>
          <w:sz w:val="24"/>
          <w:szCs w:val="24"/>
        </w:rPr>
        <w:t>PECO</w:t>
      </w:r>
      <w:r w:rsidRPr="00AE51C9">
        <w:rPr>
          <w:sz w:val="24"/>
          <w:szCs w:val="24"/>
        </w:rPr>
        <w:t xml:space="preserve"> was required to place the tenants</w:t>
      </w:r>
      <w:r w:rsidR="00DF34E4" w:rsidRPr="00AE51C9">
        <w:rPr>
          <w:sz w:val="24"/>
          <w:szCs w:val="24"/>
        </w:rPr>
        <w:t>’</w:t>
      </w:r>
      <w:r w:rsidRPr="00AE51C9">
        <w:rPr>
          <w:sz w:val="24"/>
          <w:szCs w:val="24"/>
        </w:rPr>
        <w:t xml:space="preserve"> entire account balance of </w:t>
      </w:r>
      <w:r w:rsidR="00F801F9" w:rsidRPr="00AE51C9">
        <w:rPr>
          <w:sz w:val="24"/>
          <w:szCs w:val="24"/>
        </w:rPr>
        <w:t>$1,717.57</w:t>
      </w:r>
      <w:r w:rsidRPr="00AE51C9">
        <w:rPr>
          <w:sz w:val="24"/>
          <w:szCs w:val="24"/>
        </w:rPr>
        <w:t xml:space="preserve">, into the </w:t>
      </w:r>
      <w:r w:rsidR="00F801F9" w:rsidRPr="00AE51C9">
        <w:rPr>
          <w:sz w:val="24"/>
          <w:szCs w:val="24"/>
        </w:rPr>
        <w:t>landlord’s</w:t>
      </w:r>
      <w:r w:rsidRPr="00AE51C9">
        <w:rPr>
          <w:sz w:val="24"/>
          <w:szCs w:val="24"/>
        </w:rPr>
        <w:t xml:space="preserve"> name, regardless of the amount of the balance that may have been attributable to foreign load.  </w:t>
      </w:r>
      <w:r w:rsidR="00F801F9" w:rsidRPr="00AE51C9">
        <w:rPr>
          <w:sz w:val="24"/>
          <w:szCs w:val="24"/>
        </w:rPr>
        <w:t xml:space="preserve">Additionally, there is no dispute that effective February 16, 2012, the foreign load problem had been resolved and the tenants were again held responsible for their account except for the arrearage which remained the landlord’s responsibility.  These actions are within the </w:t>
      </w:r>
      <w:r w:rsidR="00553982" w:rsidRPr="00AE51C9">
        <w:rPr>
          <w:sz w:val="24"/>
          <w:szCs w:val="24"/>
        </w:rPr>
        <w:t xml:space="preserve">legal constraints of </w:t>
      </w:r>
      <w:r w:rsidR="00553982" w:rsidRPr="00AE51C9">
        <w:rPr>
          <w:i/>
          <w:sz w:val="24"/>
          <w:szCs w:val="24"/>
        </w:rPr>
        <w:t>Ace Check Cashing</w:t>
      </w:r>
      <w:r w:rsidR="00553982" w:rsidRPr="00AE51C9">
        <w:rPr>
          <w:sz w:val="24"/>
          <w:szCs w:val="24"/>
        </w:rPr>
        <w:t xml:space="preserve"> and </w:t>
      </w:r>
      <w:r w:rsidR="00553982" w:rsidRPr="00AE51C9">
        <w:rPr>
          <w:i/>
          <w:sz w:val="24"/>
          <w:szCs w:val="24"/>
        </w:rPr>
        <w:t>Santos.</w:t>
      </w:r>
      <w:r w:rsidR="00F801F9" w:rsidRPr="00AE51C9">
        <w:rPr>
          <w:sz w:val="24"/>
          <w:szCs w:val="24"/>
        </w:rPr>
        <w:t xml:space="preserve">  </w:t>
      </w:r>
      <w:r w:rsidRPr="00AE51C9">
        <w:rPr>
          <w:sz w:val="24"/>
          <w:szCs w:val="24"/>
        </w:rPr>
        <w:t xml:space="preserve">As such, </w:t>
      </w:r>
      <w:r w:rsidR="00273D52" w:rsidRPr="00AE51C9">
        <w:rPr>
          <w:sz w:val="24"/>
          <w:szCs w:val="24"/>
        </w:rPr>
        <w:t>the Complaint shall be dismissed.</w:t>
      </w:r>
    </w:p>
    <w:p w:rsidR="00AF00AB" w:rsidRPr="00AE51C9" w:rsidRDefault="00AF00AB" w:rsidP="00B86FD3">
      <w:pPr>
        <w:spacing w:line="360" w:lineRule="auto"/>
        <w:jc w:val="center"/>
        <w:rPr>
          <w:sz w:val="24"/>
          <w:szCs w:val="24"/>
          <w:u w:val="single"/>
        </w:rPr>
      </w:pPr>
    </w:p>
    <w:p w:rsidR="00303D99" w:rsidRPr="00AE51C9" w:rsidRDefault="008E53AB" w:rsidP="00B86FD3">
      <w:pPr>
        <w:spacing w:line="360" w:lineRule="auto"/>
        <w:jc w:val="center"/>
        <w:rPr>
          <w:sz w:val="24"/>
          <w:szCs w:val="24"/>
        </w:rPr>
      </w:pPr>
      <w:r w:rsidRPr="00AE51C9">
        <w:rPr>
          <w:sz w:val="24"/>
          <w:szCs w:val="24"/>
          <w:u w:val="single"/>
        </w:rPr>
        <w:t>CONCLUSION OF LAW</w:t>
      </w:r>
    </w:p>
    <w:p w:rsidR="00326CCF" w:rsidRPr="00AE51C9" w:rsidRDefault="00326CCF" w:rsidP="00B86FD3">
      <w:pPr>
        <w:spacing w:line="360" w:lineRule="auto"/>
        <w:ind w:firstLine="1440"/>
        <w:rPr>
          <w:sz w:val="24"/>
          <w:szCs w:val="24"/>
        </w:rPr>
      </w:pPr>
    </w:p>
    <w:p w:rsidR="00303D99" w:rsidRPr="00AE51C9" w:rsidRDefault="00303D99" w:rsidP="00B86FD3">
      <w:pPr>
        <w:spacing w:line="360" w:lineRule="auto"/>
        <w:ind w:firstLine="1440"/>
        <w:rPr>
          <w:sz w:val="24"/>
          <w:szCs w:val="24"/>
        </w:rPr>
      </w:pPr>
      <w:r w:rsidRPr="00AE51C9">
        <w:rPr>
          <w:sz w:val="24"/>
          <w:szCs w:val="24"/>
        </w:rPr>
        <w:t>1.</w:t>
      </w:r>
      <w:r w:rsidRPr="00AE51C9">
        <w:rPr>
          <w:sz w:val="24"/>
          <w:szCs w:val="24"/>
        </w:rPr>
        <w:tab/>
      </w:r>
      <w:r w:rsidR="00273D52" w:rsidRPr="00AE51C9">
        <w:rPr>
          <w:sz w:val="24"/>
          <w:szCs w:val="24"/>
        </w:rPr>
        <w:t>Complainant failed to sustain his burden of proving the Respondent violated a Commission statute</w:t>
      </w:r>
      <w:r w:rsidR="00CC7122" w:rsidRPr="00AE51C9">
        <w:rPr>
          <w:sz w:val="24"/>
          <w:szCs w:val="24"/>
        </w:rPr>
        <w:t>, order,</w:t>
      </w:r>
      <w:r w:rsidR="00273D52" w:rsidRPr="00AE51C9">
        <w:rPr>
          <w:sz w:val="24"/>
          <w:szCs w:val="24"/>
        </w:rPr>
        <w:t xml:space="preserve"> or regulation.</w:t>
      </w:r>
    </w:p>
    <w:p w:rsidR="00303D99" w:rsidRPr="00AE51C9" w:rsidRDefault="00303D99" w:rsidP="00B86FD3">
      <w:pPr>
        <w:spacing w:line="360" w:lineRule="auto"/>
        <w:ind w:firstLine="1440"/>
        <w:rPr>
          <w:sz w:val="24"/>
          <w:szCs w:val="24"/>
        </w:rPr>
      </w:pPr>
    </w:p>
    <w:p w:rsidR="00273D52" w:rsidRPr="00AE51C9" w:rsidRDefault="00273D52" w:rsidP="00273D52">
      <w:pPr>
        <w:spacing w:line="360" w:lineRule="auto"/>
        <w:ind w:firstLine="1440"/>
        <w:rPr>
          <w:sz w:val="24"/>
          <w:szCs w:val="24"/>
        </w:rPr>
      </w:pPr>
      <w:r w:rsidRPr="00AE51C9">
        <w:rPr>
          <w:sz w:val="24"/>
          <w:szCs w:val="24"/>
        </w:rPr>
        <w:t>2.</w:t>
      </w:r>
      <w:r w:rsidRPr="00AE51C9">
        <w:rPr>
          <w:sz w:val="24"/>
          <w:szCs w:val="24"/>
        </w:rPr>
        <w:tab/>
        <w:t xml:space="preserve">The approach of determining what portion of the tenant’s arrearage was related to foreign load </w:t>
      </w:r>
      <w:r w:rsidR="00CC7122" w:rsidRPr="00AE51C9">
        <w:rPr>
          <w:sz w:val="24"/>
          <w:szCs w:val="24"/>
        </w:rPr>
        <w:t>has been</w:t>
      </w:r>
      <w:r w:rsidRPr="00AE51C9">
        <w:rPr>
          <w:sz w:val="24"/>
          <w:szCs w:val="24"/>
        </w:rPr>
        <w:t xml:space="preserve"> abandoned because the Commission was being inserted into a dispute between the tenant and the landlord, and it was reasoned that those disputes are better left to courts of common pleas and district magistrates to manage concerning contractual disputes between landlords and tenants.  </w:t>
      </w:r>
      <w:r w:rsidRPr="00AE51C9">
        <w:rPr>
          <w:i/>
          <w:sz w:val="24"/>
          <w:szCs w:val="24"/>
        </w:rPr>
        <w:t>Ace Checking Inc. v. Philadelphia Gas Works,</w:t>
      </w:r>
      <w:r w:rsidRPr="00AE51C9">
        <w:rPr>
          <w:sz w:val="24"/>
          <w:szCs w:val="24"/>
        </w:rPr>
        <w:t xml:space="preserve"> Docket No. C-2008-2056428, Order (May 21, 2010)</w:t>
      </w:r>
      <w:r w:rsidR="00BA2E1E">
        <w:rPr>
          <w:i/>
          <w:sz w:val="24"/>
          <w:szCs w:val="24"/>
        </w:rPr>
        <w:t>.</w:t>
      </w:r>
    </w:p>
    <w:p w:rsidR="00346A9E" w:rsidRPr="00AE51C9" w:rsidRDefault="00346A9E" w:rsidP="00B86FD3">
      <w:pPr>
        <w:spacing w:line="360" w:lineRule="auto"/>
        <w:ind w:firstLine="1440"/>
        <w:rPr>
          <w:sz w:val="24"/>
          <w:szCs w:val="24"/>
        </w:rPr>
      </w:pPr>
    </w:p>
    <w:p w:rsidR="00273D52" w:rsidRPr="00AE51C9" w:rsidRDefault="00273D52" w:rsidP="00273D52">
      <w:pPr>
        <w:spacing w:line="360" w:lineRule="auto"/>
        <w:ind w:firstLine="1440"/>
        <w:rPr>
          <w:sz w:val="24"/>
          <w:szCs w:val="24"/>
        </w:rPr>
      </w:pPr>
      <w:r w:rsidRPr="00AE51C9">
        <w:rPr>
          <w:sz w:val="24"/>
          <w:szCs w:val="24"/>
        </w:rPr>
        <w:t>3.</w:t>
      </w:r>
      <w:r w:rsidRPr="00AE51C9">
        <w:rPr>
          <w:sz w:val="24"/>
          <w:szCs w:val="24"/>
        </w:rPr>
        <w:tab/>
        <w:t xml:space="preserve">The policy adopted by the Commission in </w:t>
      </w:r>
      <w:r w:rsidRPr="00AE51C9">
        <w:rPr>
          <w:i/>
          <w:sz w:val="24"/>
          <w:szCs w:val="24"/>
        </w:rPr>
        <w:t>Ace Check Cashing</w:t>
      </w:r>
      <w:r w:rsidRPr="00AE51C9">
        <w:rPr>
          <w:sz w:val="24"/>
          <w:szCs w:val="24"/>
        </w:rPr>
        <w:t xml:space="preserve"> is consistent with the plain meaning of Section 1529.1 of the Public Utility Code, which holds the landlord financially responsible for a tenant’s entire account, once foreign load is verified on the tenant’s service.  66 Pa. C.S. § 1529.1.</w:t>
      </w:r>
    </w:p>
    <w:p w:rsidR="00273D52" w:rsidRPr="00AE51C9" w:rsidRDefault="00273D52" w:rsidP="00273D52">
      <w:pPr>
        <w:spacing w:line="360" w:lineRule="auto"/>
        <w:ind w:firstLine="1440"/>
        <w:rPr>
          <w:sz w:val="24"/>
          <w:szCs w:val="24"/>
        </w:rPr>
      </w:pPr>
    </w:p>
    <w:p w:rsidR="00273D52" w:rsidRPr="00AE51C9" w:rsidRDefault="00273D52" w:rsidP="00273D52">
      <w:pPr>
        <w:spacing w:line="360" w:lineRule="auto"/>
        <w:ind w:firstLine="1440"/>
        <w:rPr>
          <w:sz w:val="24"/>
          <w:szCs w:val="24"/>
        </w:rPr>
      </w:pPr>
      <w:r w:rsidRPr="00AE51C9">
        <w:rPr>
          <w:sz w:val="24"/>
          <w:szCs w:val="24"/>
        </w:rPr>
        <w:t>4.</w:t>
      </w:r>
      <w:r w:rsidRPr="00AE51C9">
        <w:rPr>
          <w:sz w:val="24"/>
          <w:szCs w:val="24"/>
        </w:rPr>
        <w:tab/>
        <w:t xml:space="preserve">Respondent had no legal obligation to notify Complainant that it intended to perform a foreign wiring investigation on </w:t>
      </w:r>
      <w:r w:rsidR="00CC7122" w:rsidRPr="00AE51C9">
        <w:rPr>
          <w:sz w:val="24"/>
          <w:szCs w:val="24"/>
        </w:rPr>
        <w:t xml:space="preserve">the </w:t>
      </w:r>
      <w:r w:rsidRPr="00AE51C9">
        <w:rPr>
          <w:sz w:val="24"/>
          <w:szCs w:val="24"/>
        </w:rPr>
        <w:t>landlord’s property because it was invited on and given access to the property by the tenants.</w:t>
      </w:r>
    </w:p>
    <w:p w:rsidR="00273D52" w:rsidRPr="00AE51C9" w:rsidRDefault="00273D52" w:rsidP="00471AC3">
      <w:pPr>
        <w:spacing w:line="360" w:lineRule="auto"/>
        <w:rPr>
          <w:sz w:val="24"/>
          <w:szCs w:val="24"/>
        </w:rPr>
      </w:pPr>
    </w:p>
    <w:p w:rsidR="00303D99" w:rsidRPr="00471AC3" w:rsidRDefault="00471AC3" w:rsidP="00471AC3">
      <w:pPr>
        <w:spacing w:line="360" w:lineRule="auto"/>
        <w:ind w:firstLine="1440"/>
        <w:jc w:val="center"/>
        <w:rPr>
          <w:bCs/>
          <w:sz w:val="24"/>
          <w:szCs w:val="24"/>
        </w:rPr>
      </w:pPr>
      <w:r>
        <w:rPr>
          <w:bCs/>
          <w:sz w:val="24"/>
          <w:szCs w:val="24"/>
        </w:rPr>
        <w:br w:type="page"/>
      </w:r>
      <w:r w:rsidR="00497F46" w:rsidRPr="00AE51C9">
        <w:rPr>
          <w:bCs/>
          <w:sz w:val="24"/>
          <w:szCs w:val="24"/>
          <w:u w:val="single"/>
        </w:rPr>
        <w:t>O</w:t>
      </w:r>
      <w:r w:rsidR="00AF00AB" w:rsidRPr="00AE51C9">
        <w:rPr>
          <w:bCs/>
          <w:sz w:val="24"/>
          <w:szCs w:val="24"/>
          <w:u w:val="single"/>
        </w:rPr>
        <w:t>RDER</w:t>
      </w:r>
    </w:p>
    <w:p w:rsidR="00303D99" w:rsidRDefault="00303D99" w:rsidP="00B86FD3">
      <w:pPr>
        <w:spacing w:line="360" w:lineRule="auto"/>
        <w:ind w:firstLine="1440"/>
        <w:rPr>
          <w:sz w:val="24"/>
          <w:szCs w:val="24"/>
          <w:u w:val="single"/>
        </w:rPr>
      </w:pPr>
    </w:p>
    <w:p w:rsidR="00471AC3" w:rsidRPr="00AE51C9" w:rsidRDefault="00471AC3" w:rsidP="00B86FD3">
      <w:pPr>
        <w:spacing w:line="360" w:lineRule="auto"/>
        <w:ind w:firstLine="1440"/>
        <w:rPr>
          <w:sz w:val="24"/>
          <w:szCs w:val="24"/>
          <w:u w:val="single"/>
        </w:rPr>
      </w:pPr>
    </w:p>
    <w:p w:rsidR="00303D99" w:rsidRPr="00AE51C9" w:rsidRDefault="00303D99" w:rsidP="00B86FD3">
      <w:pPr>
        <w:spacing w:line="360" w:lineRule="auto"/>
        <w:ind w:firstLine="1440"/>
        <w:rPr>
          <w:sz w:val="24"/>
          <w:szCs w:val="24"/>
        </w:rPr>
      </w:pPr>
      <w:r w:rsidRPr="00AE51C9">
        <w:rPr>
          <w:bCs/>
          <w:sz w:val="24"/>
          <w:szCs w:val="24"/>
        </w:rPr>
        <w:t>THEREFORE,</w:t>
      </w:r>
    </w:p>
    <w:p w:rsidR="00303D99" w:rsidRPr="00AE51C9" w:rsidRDefault="00303D99" w:rsidP="00B86FD3">
      <w:pPr>
        <w:spacing w:line="360" w:lineRule="auto"/>
        <w:ind w:firstLine="1440"/>
        <w:rPr>
          <w:sz w:val="24"/>
          <w:szCs w:val="24"/>
        </w:rPr>
      </w:pPr>
    </w:p>
    <w:p w:rsidR="00303D99" w:rsidRPr="00AE51C9" w:rsidRDefault="00303D99" w:rsidP="00B86FD3">
      <w:pPr>
        <w:spacing w:line="360" w:lineRule="auto"/>
        <w:ind w:firstLine="1440"/>
        <w:rPr>
          <w:bCs/>
          <w:sz w:val="24"/>
          <w:szCs w:val="24"/>
        </w:rPr>
      </w:pPr>
      <w:r w:rsidRPr="00AE51C9">
        <w:rPr>
          <w:bCs/>
          <w:sz w:val="24"/>
          <w:szCs w:val="24"/>
        </w:rPr>
        <w:t>IT IS ORDERED:</w:t>
      </w:r>
    </w:p>
    <w:p w:rsidR="00303D99" w:rsidRPr="00AE51C9" w:rsidRDefault="00303D99" w:rsidP="00B86FD3">
      <w:pPr>
        <w:spacing w:line="360" w:lineRule="auto"/>
        <w:ind w:firstLine="1440"/>
        <w:rPr>
          <w:sz w:val="24"/>
          <w:szCs w:val="24"/>
        </w:rPr>
      </w:pPr>
    </w:p>
    <w:p w:rsidR="00E3509B" w:rsidRPr="00AE51C9" w:rsidRDefault="00303D99" w:rsidP="00B86FD3">
      <w:pPr>
        <w:spacing w:line="360" w:lineRule="auto"/>
        <w:ind w:firstLine="1440"/>
        <w:rPr>
          <w:sz w:val="24"/>
          <w:szCs w:val="24"/>
        </w:rPr>
      </w:pPr>
      <w:r w:rsidRPr="00AE51C9">
        <w:rPr>
          <w:sz w:val="24"/>
          <w:szCs w:val="24"/>
        </w:rPr>
        <w:t>1.</w:t>
      </w:r>
      <w:r w:rsidRPr="00AE51C9">
        <w:rPr>
          <w:sz w:val="24"/>
          <w:szCs w:val="24"/>
        </w:rPr>
        <w:tab/>
        <w:t xml:space="preserve">That the Complaint filed by </w:t>
      </w:r>
      <w:r w:rsidR="008C0ADE" w:rsidRPr="00AE51C9">
        <w:rPr>
          <w:sz w:val="24"/>
          <w:szCs w:val="24"/>
        </w:rPr>
        <w:t xml:space="preserve">Daniel Helwig against PECO Energy </w:t>
      </w:r>
      <w:r w:rsidRPr="00AE51C9">
        <w:rPr>
          <w:sz w:val="24"/>
          <w:szCs w:val="24"/>
        </w:rPr>
        <w:t xml:space="preserve">Company </w:t>
      </w:r>
      <w:r w:rsidR="00A36F6C" w:rsidRPr="00AE51C9">
        <w:rPr>
          <w:sz w:val="24"/>
          <w:szCs w:val="24"/>
        </w:rPr>
        <w:t>at</w:t>
      </w:r>
      <w:r w:rsidRPr="00AE51C9">
        <w:rPr>
          <w:sz w:val="24"/>
          <w:szCs w:val="24"/>
        </w:rPr>
        <w:t xml:space="preserve"> Docket N</w:t>
      </w:r>
      <w:r w:rsidR="00E3509B" w:rsidRPr="00AE51C9">
        <w:rPr>
          <w:sz w:val="24"/>
          <w:szCs w:val="24"/>
        </w:rPr>
        <w:t>o.</w:t>
      </w:r>
      <w:r w:rsidRPr="00AE51C9">
        <w:rPr>
          <w:sz w:val="24"/>
          <w:szCs w:val="24"/>
        </w:rPr>
        <w:t xml:space="preserve"> </w:t>
      </w:r>
      <w:r w:rsidR="008C0ADE" w:rsidRPr="00AE51C9">
        <w:rPr>
          <w:sz w:val="24"/>
          <w:szCs w:val="24"/>
        </w:rPr>
        <w:t>F-2012-2299753</w:t>
      </w:r>
      <w:r w:rsidRPr="00AE51C9">
        <w:rPr>
          <w:sz w:val="24"/>
          <w:szCs w:val="24"/>
        </w:rPr>
        <w:t xml:space="preserve"> is dismissed</w:t>
      </w:r>
      <w:r w:rsidR="00E3509B" w:rsidRPr="00AE51C9">
        <w:rPr>
          <w:sz w:val="24"/>
          <w:szCs w:val="24"/>
        </w:rPr>
        <w:t>.</w:t>
      </w:r>
    </w:p>
    <w:p w:rsidR="00E3509B" w:rsidRPr="00AE51C9" w:rsidRDefault="00E3509B" w:rsidP="00B86FD3">
      <w:pPr>
        <w:spacing w:line="360" w:lineRule="auto"/>
        <w:ind w:firstLine="1440"/>
        <w:rPr>
          <w:sz w:val="24"/>
          <w:szCs w:val="24"/>
        </w:rPr>
      </w:pPr>
    </w:p>
    <w:p w:rsidR="00303D99" w:rsidRPr="00AE51C9" w:rsidRDefault="00E3509B" w:rsidP="00B86FD3">
      <w:pPr>
        <w:spacing w:line="360" w:lineRule="auto"/>
        <w:ind w:firstLine="1440"/>
        <w:rPr>
          <w:sz w:val="24"/>
          <w:szCs w:val="24"/>
        </w:rPr>
      </w:pPr>
      <w:r w:rsidRPr="00AE51C9">
        <w:rPr>
          <w:sz w:val="24"/>
          <w:szCs w:val="24"/>
        </w:rPr>
        <w:t>2.</w:t>
      </w:r>
      <w:r w:rsidRPr="00AE51C9">
        <w:rPr>
          <w:sz w:val="24"/>
          <w:szCs w:val="24"/>
        </w:rPr>
        <w:tab/>
        <w:t>That</w:t>
      </w:r>
      <w:r w:rsidR="00303D99" w:rsidRPr="00AE51C9">
        <w:rPr>
          <w:sz w:val="24"/>
          <w:szCs w:val="24"/>
        </w:rPr>
        <w:t xml:space="preserve"> the record </w:t>
      </w:r>
      <w:r w:rsidRPr="00AE51C9">
        <w:rPr>
          <w:sz w:val="24"/>
          <w:szCs w:val="24"/>
        </w:rPr>
        <w:t>at Docket No. F-2012-229</w:t>
      </w:r>
      <w:r w:rsidR="001700D0">
        <w:rPr>
          <w:sz w:val="24"/>
          <w:szCs w:val="24"/>
        </w:rPr>
        <w:t>9</w:t>
      </w:r>
      <w:r w:rsidRPr="00AE51C9">
        <w:rPr>
          <w:sz w:val="24"/>
          <w:szCs w:val="24"/>
        </w:rPr>
        <w:t xml:space="preserve">753 </w:t>
      </w:r>
      <w:r w:rsidR="00273D52" w:rsidRPr="00AE51C9">
        <w:rPr>
          <w:sz w:val="24"/>
          <w:szCs w:val="24"/>
        </w:rPr>
        <w:t xml:space="preserve">be </w:t>
      </w:r>
      <w:r w:rsidR="00303D99" w:rsidRPr="00AE51C9">
        <w:rPr>
          <w:sz w:val="24"/>
          <w:szCs w:val="24"/>
        </w:rPr>
        <w:t>marked</w:t>
      </w:r>
      <w:r w:rsidR="00273D52" w:rsidRPr="00AE51C9">
        <w:rPr>
          <w:sz w:val="24"/>
          <w:szCs w:val="24"/>
        </w:rPr>
        <w:t xml:space="preserve"> </w:t>
      </w:r>
      <w:r w:rsidR="00303D99" w:rsidRPr="00AE51C9">
        <w:rPr>
          <w:sz w:val="24"/>
          <w:szCs w:val="24"/>
        </w:rPr>
        <w:t>closed.</w:t>
      </w:r>
    </w:p>
    <w:p w:rsidR="00303D99" w:rsidRPr="00AE51C9" w:rsidRDefault="00303D99" w:rsidP="00B86FD3">
      <w:pPr>
        <w:spacing w:line="360" w:lineRule="auto"/>
        <w:ind w:firstLine="1440"/>
        <w:rPr>
          <w:sz w:val="24"/>
          <w:szCs w:val="24"/>
        </w:rPr>
      </w:pPr>
    </w:p>
    <w:p w:rsidR="00303D99" w:rsidRPr="00AE51C9" w:rsidRDefault="008E53AB" w:rsidP="00B86FD3">
      <w:pPr>
        <w:spacing w:line="360" w:lineRule="auto"/>
        <w:rPr>
          <w:sz w:val="24"/>
          <w:szCs w:val="24"/>
        </w:rPr>
      </w:pPr>
      <w:r w:rsidRPr="00AE51C9">
        <w:rPr>
          <w:sz w:val="24"/>
          <w:szCs w:val="24"/>
        </w:rPr>
        <w:tab/>
      </w:r>
      <w:r w:rsidRPr="00AE51C9">
        <w:rPr>
          <w:sz w:val="24"/>
          <w:szCs w:val="24"/>
        </w:rPr>
        <w:tab/>
      </w:r>
    </w:p>
    <w:p w:rsidR="00A9235D" w:rsidRPr="00AE51C9" w:rsidRDefault="00AF00AB" w:rsidP="00B86FD3">
      <w:pPr>
        <w:rPr>
          <w:sz w:val="24"/>
          <w:szCs w:val="24"/>
        </w:rPr>
      </w:pPr>
      <w:r w:rsidRPr="00AE51C9">
        <w:rPr>
          <w:sz w:val="24"/>
          <w:szCs w:val="24"/>
        </w:rPr>
        <w:t xml:space="preserve">Date:  </w:t>
      </w:r>
      <w:r w:rsidR="00273D52" w:rsidRPr="00AE51C9">
        <w:rPr>
          <w:sz w:val="24"/>
          <w:szCs w:val="24"/>
          <w:u w:val="single"/>
        </w:rPr>
        <w:t>December 12, 2012</w:t>
      </w:r>
      <w:r w:rsidRPr="00AE51C9">
        <w:rPr>
          <w:sz w:val="24"/>
          <w:szCs w:val="24"/>
        </w:rPr>
        <w:tab/>
      </w:r>
      <w:r w:rsidR="008C0ADE" w:rsidRPr="00AE51C9">
        <w:rPr>
          <w:sz w:val="24"/>
          <w:szCs w:val="24"/>
        </w:rPr>
        <w:tab/>
      </w:r>
      <w:r w:rsidR="00303D99" w:rsidRPr="00AE51C9">
        <w:rPr>
          <w:sz w:val="24"/>
          <w:szCs w:val="24"/>
        </w:rPr>
        <w:tab/>
      </w:r>
      <w:r w:rsidR="00303D99" w:rsidRPr="00AE51C9">
        <w:rPr>
          <w:sz w:val="24"/>
          <w:szCs w:val="24"/>
        </w:rPr>
        <w:tab/>
        <w:t>__________</w:t>
      </w:r>
      <w:r w:rsidR="00A9235D" w:rsidRPr="00AE51C9">
        <w:rPr>
          <w:sz w:val="24"/>
          <w:szCs w:val="24"/>
        </w:rPr>
        <w:t>_____________________</w:t>
      </w:r>
    </w:p>
    <w:p w:rsidR="00303D99" w:rsidRPr="00AE51C9" w:rsidRDefault="00303D99" w:rsidP="00B86FD3">
      <w:pPr>
        <w:rPr>
          <w:sz w:val="24"/>
          <w:szCs w:val="24"/>
        </w:rPr>
      </w:pP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r>
      <w:r w:rsidR="00927C1A" w:rsidRPr="00AE51C9">
        <w:rPr>
          <w:sz w:val="24"/>
          <w:szCs w:val="24"/>
        </w:rPr>
        <w:t>Elizabeth Barnes</w:t>
      </w:r>
    </w:p>
    <w:p w:rsidR="00303D99" w:rsidRPr="00AE51C9" w:rsidRDefault="00303D99" w:rsidP="00B86FD3">
      <w:pPr>
        <w:rPr>
          <w:sz w:val="24"/>
          <w:szCs w:val="24"/>
          <w:u w:val="single"/>
        </w:rPr>
      </w:pP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r>
      <w:r w:rsidRPr="00AE51C9">
        <w:rPr>
          <w:sz w:val="24"/>
          <w:szCs w:val="24"/>
        </w:rPr>
        <w:tab/>
        <w:t>Administrative Law Judge</w:t>
      </w:r>
    </w:p>
    <w:sectPr w:rsidR="00303D99" w:rsidRPr="00AE51C9">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29" w:rsidRDefault="00555B29">
      <w:r>
        <w:separator/>
      </w:r>
    </w:p>
  </w:endnote>
  <w:endnote w:type="continuationSeparator" w:id="0">
    <w:p w:rsidR="00555B29" w:rsidRDefault="0055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303D99">
    <w:pPr>
      <w:pStyle w:val="Footer"/>
      <w:framePr w:wrap="auto" w:vAnchor="text" w:hAnchor="margin" w:xAlign="center" w:y="1"/>
      <w:rPr>
        <w:rStyle w:val="PageNumber"/>
        <w:sz w:val="20"/>
        <w:szCs w:val="20"/>
      </w:rPr>
    </w:pPr>
    <w:r w:rsidRPr="00B446A3">
      <w:rPr>
        <w:rStyle w:val="PageNumber"/>
        <w:sz w:val="20"/>
        <w:szCs w:val="20"/>
      </w:rPr>
      <w:fldChar w:fldCharType="begin"/>
    </w:r>
    <w:r w:rsidRPr="00B446A3">
      <w:rPr>
        <w:rStyle w:val="PageNumber"/>
        <w:sz w:val="20"/>
        <w:szCs w:val="20"/>
      </w:rPr>
      <w:instrText xml:space="preserve">PAGE  </w:instrText>
    </w:r>
    <w:r w:rsidRPr="00B446A3">
      <w:rPr>
        <w:rStyle w:val="PageNumber"/>
        <w:sz w:val="20"/>
        <w:szCs w:val="20"/>
      </w:rPr>
      <w:fldChar w:fldCharType="separate"/>
    </w:r>
    <w:r w:rsidR="00102000">
      <w:rPr>
        <w:rStyle w:val="PageNumber"/>
        <w:noProof/>
        <w:sz w:val="20"/>
        <w:szCs w:val="20"/>
      </w:rPr>
      <w:t>9</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29" w:rsidRDefault="00555B29">
      <w:r>
        <w:separator/>
      </w:r>
    </w:p>
  </w:footnote>
  <w:footnote w:type="continuationSeparator" w:id="0">
    <w:p w:rsidR="00555B29" w:rsidRDefault="00555B29">
      <w:r>
        <w:continuationSeparator/>
      </w:r>
    </w:p>
  </w:footnote>
  <w:footnote w:id="1">
    <w:p w:rsidR="00ED34D3" w:rsidRDefault="00ED34D3" w:rsidP="00C9243A">
      <w:pPr>
        <w:pStyle w:val="FootnoteText"/>
        <w:tabs>
          <w:tab w:val="left" w:pos="720"/>
        </w:tabs>
      </w:pPr>
      <w:r>
        <w:rPr>
          <w:rStyle w:val="FootnoteReference"/>
        </w:rPr>
        <w:footnoteRef/>
      </w:r>
      <w:r w:rsidR="00A36F6C">
        <w:t xml:space="preserve"> </w:t>
      </w:r>
      <w:r w:rsidR="00A36F6C">
        <w:tab/>
      </w:r>
      <w:r>
        <w:t>This is a timely appeal of a BCS Decision at Case No. 2928830.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03542"/>
    <w:rsid w:val="00016631"/>
    <w:rsid w:val="00037F84"/>
    <w:rsid w:val="00042D7B"/>
    <w:rsid w:val="000441FB"/>
    <w:rsid w:val="000467D0"/>
    <w:rsid w:val="00070759"/>
    <w:rsid w:val="000C374F"/>
    <w:rsid w:val="000C66E8"/>
    <w:rsid w:val="000D0114"/>
    <w:rsid w:val="000D4264"/>
    <w:rsid w:val="00102000"/>
    <w:rsid w:val="00107A1E"/>
    <w:rsid w:val="00112B63"/>
    <w:rsid w:val="001144F6"/>
    <w:rsid w:val="00122A73"/>
    <w:rsid w:val="00123231"/>
    <w:rsid w:val="00161E0D"/>
    <w:rsid w:val="001700D0"/>
    <w:rsid w:val="00182A16"/>
    <w:rsid w:val="00187230"/>
    <w:rsid w:val="001B155A"/>
    <w:rsid w:val="001C0D7E"/>
    <w:rsid w:val="001D56D9"/>
    <w:rsid w:val="001F24D6"/>
    <w:rsid w:val="001F56E5"/>
    <w:rsid w:val="00205CF1"/>
    <w:rsid w:val="002139BC"/>
    <w:rsid w:val="002220FC"/>
    <w:rsid w:val="002247C3"/>
    <w:rsid w:val="0022615E"/>
    <w:rsid w:val="00264933"/>
    <w:rsid w:val="00273D52"/>
    <w:rsid w:val="0029358C"/>
    <w:rsid w:val="00295C99"/>
    <w:rsid w:val="002A5A01"/>
    <w:rsid w:val="002A781B"/>
    <w:rsid w:val="002C24EB"/>
    <w:rsid w:val="002E1524"/>
    <w:rsid w:val="00303D99"/>
    <w:rsid w:val="00307398"/>
    <w:rsid w:val="00326CCF"/>
    <w:rsid w:val="00341D3A"/>
    <w:rsid w:val="00346A9E"/>
    <w:rsid w:val="00347F0F"/>
    <w:rsid w:val="003860A3"/>
    <w:rsid w:val="003A37DD"/>
    <w:rsid w:val="003A6D7E"/>
    <w:rsid w:val="003C0AE1"/>
    <w:rsid w:val="003D431E"/>
    <w:rsid w:val="003D6FC3"/>
    <w:rsid w:val="00402118"/>
    <w:rsid w:val="00411B25"/>
    <w:rsid w:val="004514C6"/>
    <w:rsid w:val="00471AC3"/>
    <w:rsid w:val="00474823"/>
    <w:rsid w:val="00481A75"/>
    <w:rsid w:val="00483D24"/>
    <w:rsid w:val="00491988"/>
    <w:rsid w:val="004925A0"/>
    <w:rsid w:val="004957C0"/>
    <w:rsid w:val="00497F46"/>
    <w:rsid w:val="004A5EDA"/>
    <w:rsid w:val="004B0531"/>
    <w:rsid w:val="004C00DF"/>
    <w:rsid w:val="004C1B54"/>
    <w:rsid w:val="004D00D9"/>
    <w:rsid w:val="004E0670"/>
    <w:rsid w:val="004E27B6"/>
    <w:rsid w:val="004E2A39"/>
    <w:rsid w:val="004E7477"/>
    <w:rsid w:val="004F53DA"/>
    <w:rsid w:val="00532303"/>
    <w:rsid w:val="005344E8"/>
    <w:rsid w:val="0054043D"/>
    <w:rsid w:val="00546CD2"/>
    <w:rsid w:val="00553982"/>
    <w:rsid w:val="00553B7A"/>
    <w:rsid w:val="00555B29"/>
    <w:rsid w:val="0057507A"/>
    <w:rsid w:val="005E4696"/>
    <w:rsid w:val="005E7D93"/>
    <w:rsid w:val="00636FE2"/>
    <w:rsid w:val="00647160"/>
    <w:rsid w:val="0066192B"/>
    <w:rsid w:val="006C7F60"/>
    <w:rsid w:val="0070461E"/>
    <w:rsid w:val="00726B67"/>
    <w:rsid w:val="007511C7"/>
    <w:rsid w:val="0075731D"/>
    <w:rsid w:val="00770163"/>
    <w:rsid w:val="00784CC9"/>
    <w:rsid w:val="007937DD"/>
    <w:rsid w:val="007F166B"/>
    <w:rsid w:val="007F27A1"/>
    <w:rsid w:val="008548A8"/>
    <w:rsid w:val="008609F4"/>
    <w:rsid w:val="00862109"/>
    <w:rsid w:val="008762D9"/>
    <w:rsid w:val="008A6E6F"/>
    <w:rsid w:val="008C0ADE"/>
    <w:rsid w:val="008C5DC0"/>
    <w:rsid w:val="008E53AB"/>
    <w:rsid w:val="00906B96"/>
    <w:rsid w:val="00906F34"/>
    <w:rsid w:val="009109D7"/>
    <w:rsid w:val="0092091F"/>
    <w:rsid w:val="00923824"/>
    <w:rsid w:val="00927C1A"/>
    <w:rsid w:val="00930409"/>
    <w:rsid w:val="009308EE"/>
    <w:rsid w:val="009318CC"/>
    <w:rsid w:val="0093532C"/>
    <w:rsid w:val="00935895"/>
    <w:rsid w:val="009465B1"/>
    <w:rsid w:val="009D2A5F"/>
    <w:rsid w:val="009E0982"/>
    <w:rsid w:val="00A02C92"/>
    <w:rsid w:val="00A143AE"/>
    <w:rsid w:val="00A24FB5"/>
    <w:rsid w:val="00A3480E"/>
    <w:rsid w:val="00A36F6C"/>
    <w:rsid w:val="00A82FC1"/>
    <w:rsid w:val="00A9235D"/>
    <w:rsid w:val="00AB3C03"/>
    <w:rsid w:val="00AE09CB"/>
    <w:rsid w:val="00AE51C9"/>
    <w:rsid w:val="00AF00AB"/>
    <w:rsid w:val="00B22B46"/>
    <w:rsid w:val="00B40106"/>
    <w:rsid w:val="00B446A3"/>
    <w:rsid w:val="00B6388B"/>
    <w:rsid w:val="00B738CF"/>
    <w:rsid w:val="00B76903"/>
    <w:rsid w:val="00B76C72"/>
    <w:rsid w:val="00B846BD"/>
    <w:rsid w:val="00B86FD3"/>
    <w:rsid w:val="00B90BED"/>
    <w:rsid w:val="00BA2E1E"/>
    <w:rsid w:val="00BE1F66"/>
    <w:rsid w:val="00BF7A84"/>
    <w:rsid w:val="00C03D67"/>
    <w:rsid w:val="00C10E88"/>
    <w:rsid w:val="00C11AA6"/>
    <w:rsid w:val="00C401B1"/>
    <w:rsid w:val="00C71980"/>
    <w:rsid w:val="00C8377B"/>
    <w:rsid w:val="00C9243A"/>
    <w:rsid w:val="00CA7F85"/>
    <w:rsid w:val="00CB25EA"/>
    <w:rsid w:val="00CC5923"/>
    <w:rsid w:val="00CC7122"/>
    <w:rsid w:val="00CF5E82"/>
    <w:rsid w:val="00D0344F"/>
    <w:rsid w:val="00D27CD0"/>
    <w:rsid w:val="00D37681"/>
    <w:rsid w:val="00D434EA"/>
    <w:rsid w:val="00D624B7"/>
    <w:rsid w:val="00D90230"/>
    <w:rsid w:val="00D94420"/>
    <w:rsid w:val="00DC0010"/>
    <w:rsid w:val="00DC38FC"/>
    <w:rsid w:val="00DD5972"/>
    <w:rsid w:val="00DE27A8"/>
    <w:rsid w:val="00DF34E4"/>
    <w:rsid w:val="00E3509B"/>
    <w:rsid w:val="00E61BE9"/>
    <w:rsid w:val="00E67772"/>
    <w:rsid w:val="00E7031B"/>
    <w:rsid w:val="00E769BB"/>
    <w:rsid w:val="00ED34D3"/>
    <w:rsid w:val="00F2377F"/>
    <w:rsid w:val="00F4542D"/>
    <w:rsid w:val="00F63406"/>
    <w:rsid w:val="00F801F9"/>
    <w:rsid w:val="00F8731A"/>
    <w:rsid w:val="00F90D60"/>
    <w:rsid w:val="00F93BED"/>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726B67"/>
    <w:rPr>
      <w:rFonts w:ascii="Tahoma" w:hAnsi="Tahoma" w:cs="Tahoma"/>
      <w:sz w:val="16"/>
      <w:szCs w:val="16"/>
    </w:rPr>
  </w:style>
  <w:style w:type="character" w:customStyle="1" w:styleId="BalloonTextChar">
    <w:name w:val="Balloon Text Char"/>
    <w:basedOn w:val="DefaultParagraphFont"/>
    <w:link w:val="BalloonText"/>
    <w:uiPriority w:val="99"/>
    <w:semiHidden/>
    <w:rsid w:val="00726B67"/>
    <w:rPr>
      <w:rFonts w:ascii="Tahoma" w:hAnsi="Tahoma" w:cs="Tahoma"/>
      <w:sz w:val="16"/>
      <w:szCs w:val="16"/>
    </w:rPr>
  </w:style>
  <w:style w:type="paragraph" w:styleId="BodyText">
    <w:name w:val="Body Text"/>
    <w:basedOn w:val="Normal"/>
    <w:link w:val="BodyTextChar"/>
    <w:uiPriority w:val="99"/>
    <w:unhideWhenUsed/>
    <w:rsid w:val="00F93BED"/>
    <w:pPr>
      <w:autoSpaceDE/>
      <w:autoSpaceDN/>
      <w:spacing w:after="120"/>
    </w:pPr>
    <w:rPr>
      <w:rFonts w:eastAsia="Times New Roman"/>
      <w:sz w:val="24"/>
      <w:szCs w:val="24"/>
    </w:rPr>
  </w:style>
  <w:style w:type="character" w:customStyle="1" w:styleId="BodyTextChar">
    <w:name w:val="Body Text Char"/>
    <w:basedOn w:val="DefaultParagraphFont"/>
    <w:link w:val="BodyText"/>
    <w:uiPriority w:val="99"/>
    <w:rsid w:val="00F93BE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726B67"/>
    <w:rPr>
      <w:rFonts w:ascii="Tahoma" w:hAnsi="Tahoma" w:cs="Tahoma"/>
      <w:sz w:val="16"/>
      <w:szCs w:val="16"/>
    </w:rPr>
  </w:style>
  <w:style w:type="character" w:customStyle="1" w:styleId="BalloonTextChar">
    <w:name w:val="Balloon Text Char"/>
    <w:basedOn w:val="DefaultParagraphFont"/>
    <w:link w:val="BalloonText"/>
    <w:uiPriority w:val="99"/>
    <w:semiHidden/>
    <w:rsid w:val="00726B67"/>
    <w:rPr>
      <w:rFonts w:ascii="Tahoma" w:hAnsi="Tahoma" w:cs="Tahoma"/>
      <w:sz w:val="16"/>
      <w:szCs w:val="16"/>
    </w:rPr>
  </w:style>
  <w:style w:type="paragraph" w:styleId="BodyText">
    <w:name w:val="Body Text"/>
    <w:basedOn w:val="Normal"/>
    <w:link w:val="BodyTextChar"/>
    <w:uiPriority w:val="99"/>
    <w:unhideWhenUsed/>
    <w:rsid w:val="00F93BED"/>
    <w:pPr>
      <w:autoSpaceDE/>
      <w:autoSpaceDN/>
      <w:spacing w:after="120"/>
    </w:pPr>
    <w:rPr>
      <w:rFonts w:eastAsia="Times New Roman"/>
      <w:sz w:val="24"/>
      <w:szCs w:val="24"/>
    </w:rPr>
  </w:style>
  <w:style w:type="character" w:customStyle="1" w:styleId="BodyTextChar">
    <w:name w:val="Body Text Char"/>
    <w:basedOn w:val="DefaultParagraphFont"/>
    <w:link w:val="BodyText"/>
    <w:uiPriority w:val="99"/>
    <w:rsid w:val="00F93BE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BEDA-46E6-47C7-B800-6CE83900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shoffner</cp:lastModifiedBy>
  <cp:revision>2</cp:revision>
  <cp:lastPrinted>2013-01-09T14:42:00Z</cp:lastPrinted>
  <dcterms:created xsi:type="dcterms:W3CDTF">2013-01-10T13:15:00Z</dcterms:created>
  <dcterms:modified xsi:type="dcterms:W3CDTF">2013-01-10T13:15:00Z</dcterms:modified>
</cp:coreProperties>
</file>