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F7532C" w:rsidRDefault="000F1894" w:rsidP="0081696C">
      <w:pPr>
        <w:jc w:val="center"/>
        <w:outlineLvl w:val="0"/>
        <w:rPr>
          <w:b/>
          <w:sz w:val="24"/>
          <w:szCs w:val="24"/>
        </w:rPr>
      </w:pPr>
      <w:r w:rsidRPr="00F7532C">
        <w:rPr>
          <w:b/>
          <w:sz w:val="24"/>
          <w:szCs w:val="24"/>
        </w:rPr>
        <w:t>BEFORE THE</w:t>
      </w:r>
    </w:p>
    <w:p w:rsidR="0088763C" w:rsidRPr="00F7532C" w:rsidRDefault="000F1894" w:rsidP="0081696C">
      <w:pPr>
        <w:jc w:val="center"/>
        <w:outlineLvl w:val="0"/>
        <w:rPr>
          <w:b/>
          <w:sz w:val="24"/>
          <w:szCs w:val="24"/>
        </w:rPr>
      </w:pPr>
      <w:smartTag w:uri="urn:schemas-microsoft-com:office:smarttags" w:element="place">
        <w:smartTag w:uri="urn:schemas-microsoft-com:office:smarttags" w:element="State">
          <w:r w:rsidRPr="00F7532C">
            <w:rPr>
              <w:b/>
              <w:sz w:val="24"/>
              <w:szCs w:val="24"/>
            </w:rPr>
            <w:t>PENNSYLVANIA</w:t>
          </w:r>
        </w:smartTag>
      </w:smartTag>
      <w:r w:rsidRPr="00F7532C">
        <w:rPr>
          <w:b/>
          <w:sz w:val="24"/>
          <w:szCs w:val="24"/>
        </w:rPr>
        <w:t xml:space="preserve"> PUBLIC UTILITY COMMISSION</w:t>
      </w:r>
    </w:p>
    <w:p w:rsidR="000F1894" w:rsidRPr="00F7532C" w:rsidRDefault="000F1894" w:rsidP="000F1894">
      <w:pPr>
        <w:jc w:val="center"/>
        <w:rPr>
          <w:sz w:val="24"/>
          <w:szCs w:val="24"/>
        </w:rPr>
      </w:pPr>
    </w:p>
    <w:p w:rsidR="000F1894" w:rsidRPr="00F7532C" w:rsidRDefault="000F1894" w:rsidP="000F1894">
      <w:pPr>
        <w:jc w:val="center"/>
        <w:rPr>
          <w:sz w:val="24"/>
          <w:szCs w:val="24"/>
        </w:rPr>
      </w:pPr>
    </w:p>
    <w:p w:rsidR="000F1894" w:rsidRPr="00F7532C" w:rsidRDefault="000F1894" w:rsidP="000F1894">
      <w:pPr>
        <w:jc w:val="center"/>
        <w:rPr>
          <w:sz w:val="24"/>
          <w:szCs w:val="24"/>
        </w:rPr>
      </w:pPr>
    </w:p>
    <w:p w:rsidR="002E0985" w:rsidRPr="00F7532C" w:rsidRDefault="00A94E27" w:rsidP="00FA260D">
      <w:pPr>
        <w:tabs>
          <w:tab w:val="left" w:pos="-720"/>
        </w:tabs>
        <w:suppressAutoHyphens/>
        <w:rPr>
          <w:sz w:val="24"/>
          <w:szCs w:val="24"/>
        </w:rPr>
      </w:pPr>
      <w:r w:rsidRPr="00F7532C">
        <w:rPr>
          <w:sz w:val="24"/>
          <w:szCs w:val="24"/>
        </w:rPr>
        <w:t xml:space="preserve">Diana </w:t>
      </w:r>
      <w:r w:rsidR="004C1133" w:rsidRPr="00F7532C">
        <w:rPr>
          <w:sz w:val="24"/>
          <w:szCs w:val="24"/>
        </w:rPr>
        <w:t xml:space="preserve">R. </w:t>
      </w:r>
      <w:r w:rsidRPr="00F7532C">
        <w:rPr>
          <w:sz w:val="24"/>
          <w:szCs w:val="24"/>
        </w:rPr>
        <w:t>Kress</w:t>
      </w:r>
      <w:r w:rsidR="009A475D" w:rsidRPr="00F7532C">
        <w:rPr>
          <w:sz w:val="24"/>
          <w:szCs w:val="24"/>
        </w:rPr>
        <w:tab/>
      </w:r>
      <w:r w:rsidR="009A475D" w:rsidRPr="00F7532C">
        <w:rPr>
          <w:sz w:val="24"/>
          <w:szCs w:val="24"/>
        </w:rPr>
        <w:tab/>
      </w:r>
      <w:r w:rsidR="009A475D" w:rsidRPr="00F7532C">
        <w:rPr>
          <w:sz w:val="24"/>
          <w:szCs w:val="24"/>
        </w:rPr>
        <w:tab/>
      </w:r>
      <w:r w:rsidR="002E0985" w:rsidRPr="00F7532C">
        <w:rPr>
          <w:sz w:val="24"/>
          <w:szCs w:val="24"/>
        </w:rPr>
        <w:tab/>
      </w:r>
      <w:r w:rsidR="00492105" w:rsidRPr="00F7532C">
        <w:rPr>
          <w:sz w:val="24"/>
          <w:szCs w:val="24"/>
        </w:rPr>
        <w:tab/>
      </w:r>
      <w:r w:rsidR="002E0985" w:rsidRPr="00F7532C">
        <w:rPr>
          <w:sz w:val="24"/>
          <w:szCs w:val="24"/>
        </w:rPr>
        <w:t>:</w:t>
      </w:r>
      <w:r w:rsidR="002E0985" w:rsidRPr="00F7532C">
        <w:rPr>
          <w:spacing w:val="-3"/>
          <w:sz w:val="24"/>
          <w:szCs w:val="20"/>
        </w:rPr>
        <w:t xml:space="preserve"> </w:t>
      </w:r>
      <w:r w:rsidR="002E0985" w:rsidRPr="00F7532C">
        <w:rPr>
          <w:spacing w:val="-3"/>
          <w:sz w:val="24"/>
          <w:szCs w:val="20"/>
        </w:rPr>
        <w:tab/>
      </w:r>
    </w:p>
    <w:p w:rsidR="002E0985" w:rsidRPr="00F7532C" w:rsidRDefault="00492105" w:rsidP="002E0985">
      <w:pPr>
        <w:tabs>
          <w:tab w:val="left" w:pos="-720"/>
        </w:tabs>
        <w:suppressAutoHyphens/>
        <w:rPr>
          <w:spacing w:val="-3"/>
          <w:sz w:val="24"/>
          <w:szCs w:val="20"/>
        </w:rPr>
      </w:pP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t>:</w:t>
      </w:r>
      <w:r w:rsidRPr="00F7532C">
        <w:rPr>
          <w:spacing w:val="-3"/>
          <w:sz w:val="24"/>
          <w:szCs w:val="20"/>
        </w:rPr>
        <w:tab/>
      </w:r>
      <w:r w:rsidRPr="00F7532C">
        <w:rPr>
          <w:spacing w:val="-3"/>
          <w:sz w:val="24"/>
          <w:szCs w:val="20"/>
        </w:rPr>
        <w:tab/>
      </w:r>
    </w:p>
    <w:p w:rsidR="002E0985" w:rsidRPr="00F7532C" w:rsidRDefault="002E0985" w:rsidP="002E0985">
      <w:pPr>
        <w:tabs>
          <w:tab w:val="left" w:pos="-720"/>
        </w:tabs>
        <w:suppressAutoHyphens/>
        <w:rPr>
          <w:spacing w:val="-3"/>
          <w:sz w:val="24"/>
          <w:szCs w:val="20"/>
        </w:rPr>
      </w:pPr>
      <w:r w:rsidRPr="00F7532C">
        <w:rPr>
          <w:spacing w:val="-3"/>
          <w:sz w:val="24"/>
          <w:szCs w:val="20"/>
        </w:rPr>
        <w:tab/>
        <w:t>v.</w:t>
      </w:r>
      <w:r w:rsidRPr="00F7532C">
        <w:rPr>
          <w:spacing w:val="-3"/>
          <w:sz w:val="24"/>
          <w:szCs w:val="20"/>
        </w:rPr>
        <w:tab/>
      </w:r>
      <w:r w:rsidRPr="00F7532C">
        <w:rPr>
          <w:spacing w:val="-3"/>
          <w:sz w:val="24"/>
          <w:szCs w:val="20"/>
        </w:rPr>
        <w:tab/>
      </w:r>
      <w:r w:rsidRPr="00F7532C">
        <w:rPr>
          <w:spacing w:val="-3"/>
          <w:sz w:val="24"/>
          <w:szCs w:val="20"/>
        </w:rPr>
        <w:tab/>
      </w:r>
      <w:r w:rsidR="00492105" w:rsidRPr="00F7532C">
        <w:rPr>
          <w:spacing w:val="-3"/>
          <w:sz w:val="24"/>
          <w:szCs w:val="20"/>
        </w:rPr>
        <w:tab/>
      </w:r>
      <w:r w:rsidR="00492105" w:rsidRPr="00F7532C">
        <w:rPr>
          <w:spacing w:val="-3"/>
          <w:sz w:val="24"/>
          <w:szCs w:val="20"/>
        </w:rPr>
        <w:tab/>
      </w:r>
      <w:r w:rsidR="00492105" w:rsidRPr="00F7532C">
        <w:rPr>
          <w:spacing w:val="-3"/>
          <w:sz w:val="24"/>
          <w:szCs w:val="20"/>
        </w:rPr>
        <w:tab/>
      </w:r>
      <w:r w:rsidRPr="00F7532C">
        <w:rPr>
          <w:spacing w:val="-3"/>
          <w:sz w:val="24"/>
          <w:szCs w:val="20"/>
        </w:rPr>
        <w:t>:</w:t>
      </w:r>
      <w:r w:rsidR="00492105" w:rsidRPr="00F7532C">
        <w:rPr>
          <w:spacing w:val="-3"/>
          <w:sz w:val="24"/>
          <w:szCs w:val="20"/>
        </w:rPr>
        <w:tab/>
      </w:r>
      <w:r w:rsidR="00492105" w:rsidRPr="00F7532C">
        <w:rPr>
          <w:spacing w:val="-3"/>
          <w:sz w:val="24"/>
          <w:szCs w:val="20"/>
        </w:rPr>
        <w:tab/>
        <w:t>F-2012-2290740</w:t>
      </w:r>
    </w:p>
    <w:p w:rsidR="002E0985" w:rsidRPr="00F7532C" w:rsidRDefault="002E0985" w:rsidP="002E0985">
      <w:pPr>
        <w:tabs>
          <w:tab w:val="left" w:pos="-720"/>
        </w:tabs>
        <w:suppressAutoHyphens/>
        <w:rPr>
          <w:spacing w:val="-3"/>
          <w:sz w:val="24"/>
          <w:szCs w:val="20"/>
        </w:rPr>
      </w:pP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Pr="00F7532C">
        <w:rPr>
          <w:spacing w:val="-3"/>
          <w:sz w:val="24"/>
          <w:szCs w:val="20"/>
        </w:rPr>
        <w:tab/>
      </w:r>
      <w:r w:rsidR="00492105" w:rsidRPr="00F7532C">
        <w:rPr>
          <w:spacing w:val="-3"/>
          <w:sz w:val="24"/>
          <w:szCs w:val="20"/>
        </w:rPr>
        <w:tab/>
      </w:r>
      <w:r w:rsidRPr="00F7532C">
        <w:rPr>
          <w:spacing w:val="-3"/>
          <w:sz w:val="24"/>
          <w:szCs w:val="20"/>
        </w:rPr>
        <w:t>:</w:t>
      </w:r>
    </w:p>
    <w:p w:rsidR="00CE43B4" w:rsidRDefault="00A94E27" w:rsidP="002E0985">
      <w:pPr>
        <w:tabs>
          <w:tab w:val="left" w:pos="-720"/>
        </w:tabs>
        <w:suppressAutoHyphens/>
        <w:rPr>
          <w:spacing w:val="-3"/>
          <w:sz w:val="24"/>
          <w:szCs w:val="24"/>
        </w:rPr>
      </w:pPr>
      <w:r w:rsidRPr="00F7532C">
        <w:rPr>
          <w:spacing w:val="-3"/>
          <w:sz w:val="24"/>
          <w:szCs w:val="20"/>
        </w:rPr>
        <w:t>PPL Electric Utilities Corporation</w:t>
      </w:r>
      <w:r w:rsidR="002E0985" w:rsidRPr="00F7532C">
        <w:rPr>
          <w:spacing w:val="-3"/>
          <w:sz w:val="24"/>
          <w:szCs w:val="20"/>
        </w:rPr>
        <w:tab/>
      </w:r>
      <w:r w:rsidR="002E0985" w:rsidRPr="00F7532C">
        <w:rPr>
          <w:spacing w:val="-3"/>
          <w:sz w:val="24"/>
          <w:szCs w:val="20"/>
        </w:rPr>
        <w:tab/>
      </w:r>
      <w:r w:rsidR="00492105" w:rsidRPr="00F7532C">
        <w:rPr>
          <w:spacing w:val="-3"/>
          <w:sz w:val="24"/>
          <w:szCs w:val="20"/>
        </w:rPr>
        <w:tab/>
      </w:r>
      <w:r w:rsidR="002E0985" w:rsidRPr="00F7532C">
        <w:rPr>
          <w:spacing w:val="-3"/>
          <w:sz w:val="24"/>
          <w:szCs w:val="20"/>
        </w:rPr>
        <w:t>:</w:t>
      </w:r>
    </w:p>
    <w:p w:rsidR="00EA24C1" w:rsidRPr="00F7532C" w:rsidRDefault="00EA24C1" w:rsidP="002E0985">
      <w:pPr>
        <w:tabs>
          <w:tab w:val="left" w:pos="-720"/>
        </w:tabs>
        <w:suppressAutoHyphens/>
        <w:rPr>
          <w:spacing w:val="-3"/>
          <w:sz w:val="24"/>
          <w:szCs w:val="20"/>
        </w:rPr>
      </w:pPr>
    </w:p>
    <w:p w:rsidR="005E3007" w:rsidRPr="00F7532C" w:rsidRDefault="005E3007" w:rsidP="00CE43B4">
      <w:pPr>
        <w:tabs>
          <w:tab w:val="left" w:pos="-720"/>
        </w:tabs>
        <w:suppressAutoHyphens/>
        <w:rPr>
          <w:spacing w:val="-3"/>
          <w:sz w:val="24"/>
          <w:szCs w:val="24"/>
        </w:rPr>
      </w:pPr>
    </w:p>
    <w:p w:rsidR="005E3007" w:rsidRPr="00F7532C" w:rsidRDefault="005E3007" w:rsidP="00CE43B4">
      <w:pPr>
        <w:tabs>
          <w:tab w:val="left" w:pos="-720"/>
        </w:tabs>
        <w:suppressAutoHyphens/>
        <w:rPr>
          <w:spacing w:val="-3"/>
          <w:sz w:val="24"/>
          <w:szCs w:val="24"/>
        </w:rPr>
      </w:pPr>
    </w:p>
    <w:p w:rsidR="00782A08" w:rsidRPr="00F7532C" w:rsidRDefault="009A475D" w:rsidP="0081696C">
      <w:pPr>
        <w:jc w:val="center"/>
        <w:outlineLvl w:val="0"/>
        <w:rPr>
          <w:caps/>
          <w:sz w:val="24"/>
          <w:szCs w:val="24"/>
        </w:rPr>
      </w:pPr>
      <w:r w:rsidRPr="00F7532C">
        <w:rPr>
          <w:b/>
          <w:caps/>
          <w:sz w:val="24"/>
          <w:szCs w:val="24"/>
          <w:u w:val="single"/>
        </w:rPr>
        <w:t>INITIAL</w:t>
      </w:r>
      <w:r w:rsidR="00C419F9" w:rsidRPr="00F7532C">
        <w:rPr>
          <w:b/>
          <w:caps/>
          <w:sz w:val="24"/>
          <w:szCs w:val="24"/>
          <w:u w:val="single"/>
        </w:rPr>
        <w:t xml:space="preserve"> Decision</w:t>
      </w:r>
    </w:p>
    <w:p w:rsidR="000F1894" w:rsidRPr="00F7532C" w:rsidRDefault="000F1894" w:rsidP="000F1894">
      <w:pPr>
        <w:jc w:val="center"/>
        <w:rPr>
          <w:b/>
          <w:sz w:val="24"/>
          <w:szCs w:val="24"/>
        </w:rPr>
      </w:pPr>
    </w:p>
    <w:p w:rsidR="006A21C2" w:rsidRPr="00F7532C" w:rsidRDefault="006A21C2" w:rsidP="000F1894">
      <w:pPr>
        <w:jc w:val="center"/>
        <w:rPr>
          <w:sz w:val="24"/>
          <w:szCs w:val="24"/>
        </w:rPr>
      </w:pPr>
    </w:p>
    <w:p w:rsidR="000F1894" w:rsidRPr="00F7532C" w:rsidRDefault="000F1894" w:rsidP="0081696C">
      <w:pPr>
        <w:jc w:val="center"/>
        <w:outlineLvl w:val="0"/>
        <w:rPr>
          <w:sz w:val="24"/>
          <w:szCs w:val="24"/>
        </w:rPr>
      </w:pPr>
      <w:r w:rsidRPr="00F7532C">
        <w:rPr>
          <w:sz w:val="24"/>
          <w:szCs w:val="24"/>
        </w:rPr>
        <w:t>Before</w:t>
      </w:r>
    </w:p>
    <w:p w:rsidR="000F1894" w:rsidRPr="00F7532C" w:rsidRDefault="001F7F73" w:rsidP="000F1894">
      <w:pPr>
        <w:jc w:val="center"/>
        <w:rPr>
          <w:sz w:val="24"/>
          <w:szCs w:val="24"/>
        </w:rPr>
      </w:pPr>
      <w:r w:rsidRPr="00F7532C">
        <w:rPr>
          <w:sz w:val="24"/>
          <w:szCs w:val="24"/>
        </w:rPr>
        <w:t>Ember S. Jandebeur</w:t>
      </w:r>
    </w:p>
    <w:p w:rsidR="000F1894" w:rsidRPr="00F7532C" w:rsidRDefault="000F1894" w:rsidP="000F1894">
      <w:pPr>
        <w:jc w:val="center"/>
        <w:rPr>
          <w:sz w:val="24"/>
          <w:szCs w:val="24"/>
        </w:rPr>
      </w:pPr>
      <w:r w:rsidRPr="00F7532C">
        <w:rPr>
          <w:sz w:val="24"/>
          <w:szCs w:val="24"/>
        </w:rPr>
        <w:t>Administrative Law Judge</w:t>
      </w:r>
      <w:r w:rsidR="006A21C2" w:rsidRPr="00F7532C">
        <w:rPr>
          <w:sz w:val="24"/>
          <w:szCs w:val="24"/>
        </w:rPr>
        <w:t xml:space="preserve"> </w:t>
      </w:r>
    </w:p>
    <w:p w:rsidR="00DE2348" w:rsidRPr="00F7532C" w:rsidRDefault="00DE2348" w:rsidP="000F1894">
      <w:pPr>
        <w:jc w:val="center"/>
        <w:rPr>
          <w:b/>
          <w:sz w:val="24"/>
          <w:szCs w:val="24"/>
        </w:rPr>
      </w:pPr>
    </w:p>
    <w:p w:rsidR="000F1894" w:rsidRPr="00F7532C" w:rsidRDefault="000F1894" w:rsidP="000F1894">
      <w:pPr>
        <w:jc w:val="center"/>
        <w:rPr>
          <w:b/>
          <w:sz w:val="24"/>
          <w:szCs w:val="24"/>
        </w:rPr>
      </w:pPr>
    </w:p>
    <w:p w:rsidR="000967DB" w:rsidRPr="00F7532C" w:rsidRDefault="000967DB" w:rsidP="00DE2348">
      <w:pPr>
        <w:spacing w:line="360" w:lineRule="auto"/>
        <w:jc w:val="center"/>
        <w:rPr>
          <w:sz w:val="24"/>
          <w:szCs w:val="24"/>
          <w:u w:val="single"/>
        </w:rPr>
      </w:pPr>
      <w:r w:rsidRPr="00F7532C">
        <w:rPr>
          <w:sz w:val="24"/>
          <w:szCs w:val="24"/>
          <w:u w:val="single"/>
        </w:rPr>
        <w:t>HISTORY OF THE PROCEEDINGS</w:t>
      </w:r>
    </w:p>
    <w:p w:rsidR="007965B0" w:rsidRPr="00F7532C" w:rsidRDefault="007965B0" w:rsidP="007965B0">
      <w:pPr>
        <w:tabs>
          <w:tab w:val="left" w:pos="-1440"/>
          <w:tab w:val="left" w:pos="-720"/>
        </w:tabs>
        <w:suppressAutoHyphens/>
        <w:spacing w:line="360" w:lineRule="auto"/>
        <w:ind w:firstLine="1440"/>
        <w:rPr>
          <w:sz w:val="24"/>
          <w:szCs w:val="24"/>
        </w:rPr>
      </w:pPr>
    </w:p>
    <w:p w:rsidR="007965B0" w:rsidRPr="00F7532C" w:rsidRDefault="00DB1328" w:rsidP="007965B0">
      <w:pPr>
        <w:tabs>
          <w:tab w:val="left" w:pos="-1440"/>
          <w:tab w:val="left" w:pos="-720"/>
        </w:tabs>
        <w:suppressAutoHyphens/>
        <w:spacing w:line="360" w:lineRule="auto"/>
        <w:ind w:firstLine="1440"/>
        <w:rPr>
          <w:sz w:val="24"/>
          <w:szCs w:val="24"/>
        </w:rPr>
      </w:pPr>
      <w:r w:rsidRPr="00F7532C">
        <w:rPr>
          <w:sz w:val="24"/>
          <w:szCs w:val="24"/>
        </w:rPr>
        <w:t>On</w:t>
      </w:r>
      <w:r w:rsidR="00312E1C" w:rsidRPr="00F7532C">
        <w:rPr>
          <w:sz w:val="24"/>
          <w:szCs w:val="24"/>
        </w:rPr>
        <w:t xml:space="preserve"> or about</w:t>
      </w:r>
      <w:r w:rsidR="00A94E27" w:rsidRPr="00F7532C">
        <w:rPr>
          <w:sz w:val="24"/>
          <w:szCs w:val="24"/>
        </w:rPr>
        <w:t xml:space="preserve"> February 27, 2012</w:t>
      </w:r>
      <w:r w:rsidR="007965B0" w:rsidRPr="00F7532C">
        <w:rPr>
          <w:sz w:val="24"/>
          <w:szCs w:val="24"/>
        </w:rPr>
        <w:t xml:space="preserve">, </w:t>
      </w:r>
      <w:r w:rsidR="00A94E27" w:rsidRPr="00F7532C">
        <w:rPr>
          <w:sz w:val="24"/>
          <w:szCs w:val="24"/>
        </w:rPr>
        <w:t>Diana Kress</w:t>
      </w:r>
      <w:r w:rsidR="007965B0" w:rsidRPr="00F7532C">
        <w:rPr>
          <w:sz w:val="24"/>
          <w:szCs w:val="24"/>
        </w:rPr>
        <w:t xml:space="preserve"> (Complainant) filed a Formal Complaint with the Pennsylvania Public Utility Commission against </w:t>
      </w:r>
      <w:r w:rsidR="00A94E27" w:rsidRPr="00F7532C">
        <w:rPr>
          <w:sz w:val="24"/>
          <w:szCs w:val="24"/>
        </w:rPr>
        <w:t>PPL Electric Utilities Corporation</w:t>
      </w:r>
      <w:r w:rsidR="007965B0" w:rsidRPr="00F7532C">
        <w:rPr>
          <w:sz w:val="24"/>
          <w:szCs w:val="24"/>
        </w:rPr>
        <w:t xml:space="preserve"> (</w:t>
      </w:r>
      <w:r w:rsidR="00A94E27" w:rsidRPr="00F7532C">
        <w:rPr>
          <w:sz w:val="24"/>
          <w:szCs w:val="24"/>
        </w:rPr>
        <w:t xml:space="preserve">PPL or </w:t>
      </w:r>
      <w:r w:rsidR="007965B0" w:rsidRPr="00F7532C">
        <w:rPr>
          <w:sz w:val="24"/>
          <w:szCs w:val="24"/>
        </w:rPr>
        <w:t xml:space="preserve">Respondent) alleging </w:t>
      </w:r>
      <w:r w:rsidR="00A94E27" w:rsidRPr="00F7532C">
        <w:rPr>
          <w:sz w:val="24"/>
          <w:szCs w:val="24"/>
        </w:rPr>
        <w:t xml:space="preserve">that </w:t>
      </w:r>
      <w:r w:rsidR="00992C4C" w:rsidRPr="00F7532C">
        <w:rPr>
          <w:sz w:val="24"/>
          <w:szCs w:val="24"/>
        </w:rPr>
        <w:t xml:space="preserve">PPL failed to properly credit payments to her account, and that </w:t>
      </w:r>
      <w:r w:rsidR="00A94E27" w:rsidRPr="00F7532C">
        <w:rPr>
          <w:sz w:val="24"/>
          <w:szCs w:val="24"/>
        </w:rPr>
        <w:t>there were incorrect charges on her bill.</w:t>
      </w:r>
      <w:r w:rsidR="007965B0" w:rsidRPr="00F7532C">
        <w:rPr>
          <w:sz w:val="24"/>
          <w:szCs w:val="24"/>
        </w:rPr>
        <w:t xml:space="preserve">  </w:t>
      </w:r>
      <w:r w:rsidR="00992C4C" w:rsidRPr="00F7532C">
        <w:rPr>
          <w:sz w:val="24"/>
          <w:szCs w:val="24"/>
        </w:rPr>
        <w:t xml:space="preserve">She requests that her bill be considered current, and paid in full.  </w:t>
      </w:r>
      <w:r w:rsidR="007965B0" w:rsidRPr="00F7532C">
        <w:rPr>
          <w:sz w:val="24"/>
          <w:szCs w:val="24"/>
        </w:rPr>
        <w:t>This case is an appeal from a prior informal Bureau of Consumer Services (BCS) decision</w:t>
      </w:r>
      <w:r w:rsidR="00223E7E" w:rsidRPr="00F7532C">
        <w:rPr>
          <w:sz w:val="24"/>
          <w:szCs w:val="24"/>
        </w:rPr>
        <w:t xml:space="preserve"> at Case No. </w:t>
      </w:r>
      <w:r w:rsidR="00D25204" w:rsidRPr="00F7532C">
        <w:rPr>
          <w:sz w:val="24"/>
          <w:szCs w:val="24"/>
        </w:rPr>
        <w:t>2915258</w:t>
      </w:r>
      <w:r w:rsidR="00B94E3D" w:rsidRPr="00F7532C">
        <w:rPr>
          <w:sz w:val="24"/>
          <w:szCs w:val="24"/>
        </w:rPr>
        <w:t>.</w:t>
      </w:r>
      <w:r w:rsidR="007965B0" w:rsidRPr="00F7532C">
        <w:rPr>
          <w:sz w:val="24"/>
          <w:szCs w:val="24"/>
        </w:rPr>
        <w:t xml:space="preserve">  </w:t>
      </w:r>
      <w:r w:rsidR="00992C4C" w:rsidRPr="00F7532C">
        <w:rPr>
          <w:sz w:val="24"/>
          <w:szCs w:val="24"/>
        </w:rPr>
        <w:t xml:space="preserve">BCS’ informal decision was in favor of PPL, finding that the Complainant must pay her due balance and that payments had not been received.  </w:t>
      </w:r>
      <w:r w:rsidR="00D25204" w:rsidRPr="00F7532C">
        <w:rPr>
          <w:sz w:val="24"/>
          <w:szCs w:val="24"/>
        </w:rPr>
        <w:t>On March 20, 2012</w:t>
      </w:r>
      <w:r w:rsidR="007965B0" w:rsidRPr="00F7532C">
        <w:rPr>
          <w:sz w:val="24"/>
          <w:szCs w:val="24"/>
        </w:rPr>
        <w:t>,</w:t>
      </w:r>
      <w:r w:rsidR="00D25204" w:rsidRPr="00F7532C">
        <w:rPr>
          <w:sz w:val="24"/>
          <w:szCs w:val="24"/>
        </w:rPr>
        <w:t xml:space="preserve"> the</w:t>
      </w:r>
      <w:r w:rsidR="007965B0" w:rsidRPr="00F7532C">
        <w:rPr>
          <w:sz w:val="24"/>
          <w:szCs w:val="24"/>
        </w:rPr>
        <w:t xml:space="preserve"> Respondent filed an </w:t>
      </w:r>
      <w:r w:rsidR="007965B0" w:rsidRPr="00F7532C">
        <w:rPr>
          <w:spacing w:val="-3"/>
          <w:sz w:val="24"/>
          <w:szCs w:val="24"/>
        </w:rPr>
        <w:t>Answer denying</w:t>
      </w:r>
      <w:r w:rsidR="00D25204" w:rsidRPr="00F7532C">
        <w:rPr>
          <w:spacing w:val="-3"/>
          <w:sz w:val="24"/>
          <w:szCs w:val="24"/>
        </w:rPr>
        <w:t xml:space="preserve"> any incorrect charges on the Complainant’s bill</w:t>
      </w:r>
      <w:r w:rsidR="00E51D1F" w:rsidRPr="00F7532C">
        <w:rPr>
          <w:spacing w:val="-3"/>
          <w:sz w:val="24"/>
          <w:szCs w:val="24"/>
        </w:rPr>
        <w:t>.</w:t>
      </w:r>
    </w:p>
    <w:p w:rsidR="007965B0" w:rsidRPr="00F7532C" w:rsidRDefault="007965B0" w:rsidP="007965B0">
      <w:pPr>
        <w:tabs>
          <w:tab w:val="left" w:pos="2160"/>
        </w:tabs>
        <w:spacing w:line="360" w:lineRule="auto"/>
        <w:ind w:firstLine="1440"/>
        <w:rPr>
          <w:sz w:val="24"/>
          <w:szCs w:val="24"/>
        </w:rPr>
      </w:pPr>
    </w:p>
    <w:p w:rsidR="007965B0" w:rsidRPr="00F7532C" w:rsidRDefault="007965B0" w:rsidP="007965B0">
      <w:pPr>
        <w:tabs>
          <w:tab w:val="left" w:pos="2160"/>
        </w:tabs>
        <w:spacing w:line="360" w:lineRule="auto"/>
        <w:ind w:firstLine="1440"/>
        <w:rPr>
          <w:sz w:val="24"/>
          <w:szCs w:val="24"/>
        </w:rPr>
      </w:pPr>
      <w:r w:rsidRPr="00F7532C">
        <w:rPr>
          <w:sz w:val="24"/>
          <w:szCs w:val="24"/>
        </w:rPr>
        <w:t xml:space="preserve">By Hearing Notice dated </w:t>
      </w:r>
      <w:r w:rsidR="00D25204" w:rsidRPr="00F7532C">
        <w:rPr>
          <w:sz w:val="24"/>
          <w:szCs w:val="24"/>
        </w:rPr>
        <w:t>April 6, 2012</w:t>
      </w:r>
      <w:r w:rsidRPr="00F7532C">
        <w:rPr>
          <w:sz w:val="24"/>
          <w:szCs w:val="24"/>
        </w:rPr>
        <w:t xml:space="preserve">, the parties were notified that an Initial Hearing in this case was scheduled for the morning of </w:t>
      </w:r>
      <w:r w:rsidR="00D25204" w:rsidRPr="00F7532C">
        <w:rPr>
          <w:sz w:val="24"/>
          <w:szCs w:val="24"/>
        </w:rPr>
        <w:t>May 16, 2012</w:t>
      </w:r>
      <w:r w:rsidRPr="00F7532C">
        <w:rPr>
          <w:sz w:val="24"/>
          <w:szCs w:val="24"/>
        </w:rPr>
        <w:t xml:space="preserve">.  A Prehearing Order was issued on </w:t>
      </w:r>
      <w:r w:rsidR="00D25204" w:rsidRPr="00F7532C">
        <w:rPr>
          <w:sz w:val="24"/>
          <w:szCs w:val="24"/>
        </w:rPr>
        <w:t>April 13, 2012</w:t>
      </w:r>
      <w:r w:rsidRPr="00F7532C">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817708" w:rsidRPr="00F7532C" w:rsidRDefault="007965B0" w:rsidP="007965B0">
      <w:pPr>
        <w:spacing w:line="360" w:lineRule="auto"/>
        <w:ind w:firstLine="1440"/>
        <w:rPr>
          <w:sz w:val="24"/>
          <w:szCs w:val="24"/>
        </w:rPr>
      </w:pPr>
      <w:r w:rsidRPr="00F7532C">
        <w:rPr>
          <w:sz w:val="24"/>
          <w:szCs w:val="24"/>
        </w:rPr>
        <w:lastRenderedPageBreak/>
        <w:t>The hearing convened as scheduled.</w:t>
      </w:r>
      <w:r w:rsidR="00E51D1F" w:rsidRPr="00F7532C">
        <w:rPr>
          <w:sz w:val="24"/>
          <w:szCs w:val="24"/>
        </w:rPr>
        <w:t xml:space="preserve">  The Complainant appeared </w:t>
      </w:r>
      <w:r w:rsidR="00E51D1F" w:rsidRPr="00F7532C">
        <w:rPr>
          <w:i/>
          <w:sz w:val="24"/>
          <w:szCs w:val="24"/>
        </w:rPr>
        <w:t>pro se</w:t>
      </w:r>
      <w:r w:rsidR="00E51D1F" w:rsidRPr="00F7532C">
        <w:rPr>
          <w:sz w:val="24"/>
          <w:szCs w:val="24"/>
        </w:rPr>
        <w:t xml:space="preserve">, the Respondent was represented by counsel.  </w:t>
      </w:r>
      <w:r w:rsidR="00817708" w:rsidRPr="00F7532C">
        <w:rPr>
          <w:sz w:val="24"/>
          <w:szCs w:val="24"/>
        </w:rPr>
        <w:t>The Complainant proffered six (6) exhibits; all were entered into the record.  The Respondent proffered one (1) exhibit that was entered into the record.  The Respondent proffered one (1) witness; the Complainant testified on her own behalf.</w:t>
      </w:r>
    </w:p>
    <w:p w:rsidR="00817708" w:rsidRPr="00F7532C" w:rsidRDefault="00817708" w:rsidP="007965B0">
      <w:pPr>
        <w:spacing w:line="360" w:lineRule="auto"/>
        <w:ind w:firstLine="1440"/>
        <w:rPr>
          <w:sz w:val="24"/>
          <w:szCs w:val="24"/>
        </w:rPr>
      </w:pPr>
      <w:r w:rsidRPr="00F7532C">
        <w:rPr>
          <w:sz w:val="24"/>
          <w:szCs w:val="24"/>
        </w:rPr>
        <w:t xml:space="preserve"> </w:t>
      </w:r>
    </w:p>
    <w:p w:rsidR="00223E7E" w:rsidRPr="00F7532C" w:rsidRDefault="00D25204" w:rsidP="007965B0">
      <w:pPr>
        <w:spacing w:line="360" w:lineRule="auto"/>
        <w:ind w:firstLine="1440"/>
        <w:rPr>
          <w:sz w:val="24"/>
          <w:szCs w:val="24"/>
        </w:rPr>
      </w:pPr>
      <w:r w:rsidRPr="00F7532C">
        <w:rPr>
          <w:sz w:val="24"/>
          <w:szCs w:val="24"/>
        </w:rPr>
        <w:t xml:space="preserve">A further hearing was held pursuant to Notice issued August 15, 2012.  The Complainant appeared </w:t>
      </w:r>
      <w:r w:rsidRPr="00F7532C">
        <w:rPr>
          <w:i/>
          <w:sz w:val="24"/>
          <w:szCs w:val="24"/>
        </w:rPr>
        <w:t>pro se</w:t>
      </w:r>
      <w:r w:rsidRPr="00F7532C">
        <w:rPr>
          <w:sz w:val="24"/>
          <w:szCs w:val="24"/>
        </w:rPr>
        <w:t>, the Respondent was represented by counsel.</w:t>
      </w:r>
      <w:r w:rsidR="00817708" w:rsidRPr="00F7532C">
        <w:rPr>
          <w:sz w:val="24"/>
          <w:szCs w:val="24"/>
        </w:rPr>
        <w:t xml:space="preserve">  The Complainant proffered no exhibits; the Respondent proffered one (1), which was entered into the record.  The Complainant testified on her own behalf; the Respon</w:t>
      </w:r>
      <w:r w:rsidR="00400FA4">
        <w:rPr>
          <w:sz w:val="24"/>
          <w:szCs w:val="24"/>
        </w:rPr>
        <w:t xml:space="preserve">dent proffered one (1) witness.  </w:t>
      </w:r>
      <w:r w:rsidR="006731FD">
        <w:rPr>
          <w:sz w:val="24"/>
          <w:szCs w:val="24"/>
        </w:rPr>
        <w:t>The record closed on October 18, 2012.</w:t>
      </w:r>
    </w:p>
    <w:p w:rsidR="00223E7E" w:rsidRPr="00F7532C" w:rsidRDefault="00223E7E" w:rsidP="007965B0">
      <w:pPr>
        <w:spacing w:line="360" w:lineRule="auto"/>
        <w:ind w:firstLine="1440"/>
        <w:rPr>
          <w:sz w:val="24"/>
          <w:szCs w:val="24"/>
        </w:rPr>
      </w:pPr>
    </w:p>
    <w:p w:rsidR="00C419F9" w:rsidRPr="00F7532C" w:rsidRDefault="00C419F9" w:rsidP="00DE2348">
      <w:pPr>
        <w:spacing w:line="360" w:lineRule="auto"/>
        <w:jc w:val="center"/>
        <w:rPr>
          <w:sz w:val="24"/>
          <w:szCs w:val="24"/>
          <w:u w:val="single"/>
        </w:rPr>
      </w:pPr>
      <w:r w:rsidRPr="00F7532C">
        <w:rPr>
          <w:sz w:val="24"/>
          <w:szCs w:val="24"/>
          <w:u w:val="single"/>
        </w:rPr>
        <w:t>FINDINGS OF FACT</w:t>
      </w:r>
    </w:p>
    <w:p w:rsidR="00C419F9" w:rsidRPr="00F7532C" w:rsidRDefault="00C419F9" w:rsidP="00DE2348">
      <w:pPr>
        <w:spacing w:line="360" w:lineRule="auto"/>
        <w:jc w:val="center"/>
        <w:rPr>
          <w:sz w:val="24"/>
          <w:szCs w:val="24"/>
          <w:u w:val="single"/>
        </w:rPr>
      </w:pPr>
    </w:p>
    <w:p w:rsidR="00C419F9" w:rsidRPr="00F7532C" w:rsidRDefault="00E51D1F" w:rsidP="00C419F9">
      <w:pPr>
        <w:numPr>
          <w:ilvl w:val="0"/>
          <w:numId w:val="18"/>
        </w:numPr>
        <w:tabs>
          <w:tab w:val="left" w:pos="2160"/>
        </w:tabs>
        <w:spacing w:line="360" w:lineRule="auto"/>
        <w:ind w:left="0" w:firstLine="1440"/>
        <w:rPr>
          <w:sz w:val="24"/>
          <w:szCs w:val="24"/>
        </w:rPr>
      </w:pPr>
      <w:r w:rsidRPr="00F7532C">
        <w:rPr>
          <w:sz w:val="24"/>
          <w:szCs w:val="24"/>
        </w:rPr>
        <w:t xml:space="preserve">The Complainant is a current customer of the Respondent and receives </w:t>
      </w:r>
      <w:r w:rsidR="00817708" w:rsidRPr="00F7532C">
        <w:rPr>
          <w:sz w:val="24"/>
          <w:szCs w:val="24"/>
        </w:rPr>
        <w:t>electric</w:t>
      </w:r>
      <w:r w:rsidRPr="00F7532C">
        <w:rPr>
          <w:sz w:val="24"/>
          <w:szCs w:val="24"/>
        </w:rPr>
        <w:t xml:space="preserve"> service at </w:t>
      </w:r>
      <w:r w:rsidR="005D7EA3" w:rsidRPr="00F7532C">
        <w:rPr>
          <w:sz w:val="24"/>
          <w:szCs w:val="24"/>
        </w:rPr>
        <w:t xml:space="preserve">22 Orchard Drive, </w:t>
      </w:r>
      <w:r w:rsidR="00817708" w:rsidRPr="00F7532C">
        <w:rPr>
          <w:sz w:val="24"/>
          <w:szCs w:val="24"/>
        </w:rPr>
        <w:t>Wapwallopen, Pennsylvania</w:t>
      </w:r>
      <w:r w:rsidR="00640FF8">
        <w:rPr>
          <w:sz w:val="24"/>
          <w:szCs w:val="24"/>
        </w:rPr>
        <w:t xml:space="preserve"> </w:t>
      </w:r>
      <w:r w:rsidR="00817708" w:rsidRPr="00F7532C">
        <w:rPr>
          <w:sz w:val="24"/>
          <w:szCs w:val="24"/>
        </w:rPr>
        <w:t>18660</w:t>
      </w:r>
      <w:r w:rsidR="00400FA4">
        <w:rPr>
          <w:sz w:val="24"/>
          <w:szCs w:val="24"/>
        </w:rPr>
        <w:t xml:space="preserve"> (</w:t>
      </w:r>
      <w:r w:rsidR="006731FD">
        <w:rPr>
          <w:sz w:val="24"/>
          <w:szCs w:val="24"/>
        </w:rPr>
        <w:t xml:space="preserve">Service </w:t>
      </w:r>
      <w:r w:rsidR="00400FA4">
        <w:rPr>
          <w:sz w:val="24"/>
          <w:szCs w:val="24"/>
        </w:rPr>
        <w:t>A</w:t>
      </w:r>
      <w:r w:rsidR="006731FD">
        <w:rPr>
          <w:sz w:val="24"/>
          <w:szCs w:val="24"/>
        </w:rPr>
        <w:t>ddress</w:t>
      </w:r>
      <w:r w:rsidR="00400FA4">
        <w:rPr>
          <w:sz w:val="24"/>
          <w:szCs w:val="24"/>
        </w:rPr>
        <w:t>)</w:t>
      </w:r>
      <w:r w:rsidR="006731FD">
        <w:rPr>
          <w:sz w:val="24"/>
          <w:szCs w:val="24"/>
        </w:rPr>
        <w:t>.</w:t>
      </w:r>
    </w:p>
    <w:p w:rsidR="00E51D1F" w:rsidRPr="00F7532C" w:rsidRDefault="00E51D1F" w:rsidP="00E51D1F">
      <w:pPr>
        <w:spacing w:line="360" w:lineRule="auto"/>
        <w:ind w:left="1440"/>
        <w:rPr>
          <w:sz w:val="24"/>
          <w:szCs w:val="24"/>
        </w:rPr>
      </w:pPr>
      <w:r w:rsidRPr="00F7532C">
        <w:rPr>
          <w:sz w:val="24"/>
          <w:szCs w:val="24"/>
        </w:rPr>
        <w:t xml:space="preserve"> </w:t>
      </w:r>
    </w:p>
    <w:p w:rsidR="00E51D1F" w:rsidRPr="00F7532C" w:rsidRDefault="00E51D1F" w:rsidP="00C419F9">
      <w:pPr>
        <w:numPr>
          <w:ilvl w:val="0"/>
          <w:numId w:val="18"/>
        </w:numPr>
        <w:tabs>
          <w:tab w:val="left" w:pos="2160"/>
        </w:tabs>
        <w:spacing w:line="360" w:lineRule="auto"/>
        <w:ind w:left="0" w:firstLine="1440"/>
        <w:rPr>
          <w:sz w:val="24"/>
          <w:szCs w:val="24"/>
        </w:rPr>
      </w:pPr>
      <w:r w:rsidRPr="00F7532C">
        <w:rPr>
          <w:sz w:val="24"/>
          <w:szCs w:val="24"/>
        </w:rPr>
        <w:t xml:space="preserve">The Respondent is a jurisdictional utility providing </w:t>
      </w:r>
      <w:r w:rsidR="00817708" w:rsidRPr="00F7532C">
        <w:rPr>
          <w:sz w:val="24"/>
          <w:szCs w:val="24"/>
        </w:rPr>
        <w:t>electric</w:t>
      </w:r>
      <w:r w:rsidRPr="00F7532C">
        <w:rPr>
          <w:sz w:val="24"/>
          <w:szCs w:val="24"/>
        </w:rPr>
        <w:t xml:space="preserve"> service in Pennsylvania.</w:t>
      </w:r>
    </w:p>
    <w:p w:rsidR="00817708" w:rsidRPr="00F7532C" w:rsidRDefault="00817708" w:rsidP="00BA4971">
      <w:pPr>
        <w:pStyle w:val="ListParagraph"/>
        <w:spacing w:line="360" w:lineRule="auto"/>
        <w:rPr>
          <w:sz w:val="24"/>
          <w:szCs w:val="24"/>
        </w:rPr>
      </w:pPr>
    </w:p>
    <w:p w:rsidR="00817708" w:rsidRPr="00F7532C" w:rsidRDefault="005D7EA3" w:rsidP="00C419F9">
      <w:pPr>
        <w:numPr>
          <w:ilvl w:val="0"/>
          <w:numId w:val="18"/>
        </w:numPr>
        <w:tabs>
          <w:tab w:val="left" w:pos="2160"/>
        </w:tabs>
        <w:spacing w:line="360" w:lineRule="auto"/>
        <w:ind w:left="0" w:firstLine="1440"/>
        <w:rPr>
          <w:sz w:val="24"/>
          <w:szCs w:val="24"/>
        </w:rPr>
      </w:pPr>
      <w:r w:rsidRPr="00F7532C">
        <w:rPr>
          <w:sz w:val="24"/>
          <w:szCs w:val="24"/>
        </w:rPr>
        <w:t xml:space="preserve">Approximately July 2011, the Complainant began having trouble </w:t>
      </w:r>
      <w:r w:rsidR="004777A4">
        <w:rPr>
          <w:sz w:val="24"/>
          <w:szCs w:val="24"/>
        </w:rPr>
        <w:t>with</w:t>
      </w:r>
      <w:r w:rsidRPr="00F7532C">
        <w:rPr>
          <w:sz w:val="24"/>
          <w:szCs w:val="24"/>
        </w:rPr>
        <w:t xml:space="preserve"> payments on her electric service account </w:t>
      </w:r>
      <w:r w:rsidR="006731FD">
        <w:rPr>
          <w:sz w:val="24"/>
          <w:szCs w:val="24"/>
        </w:rPr>
        <w:t xml:space="preserve">being </w:t>
      </w:r>
      <w:r w:rsidRPr="00F7532C">
        <w:rPr>
          <w:sz w:val="24"/>
          <w:szCs w:val="24"/>
        </w:rPr>
        <w:t>properly credited.  Tr. 7.</w:t>
      </w:r>
    </w:p>
    <w:p w:rsidR="005D7EA3" w:rsidRPr="00F7532C" w:rsidRDefault="005D7EA3" w:rsidP="00BA4971">
      <w:pPr>
        <w:pStyle w:val="ListParagraph"/>
        <w:spacing w:line="360" w:lineRule="auto"/>
        <w:rPr>
          <w:sz w:val="24"/>
          <w:szCs w:val="24"/>
        </w:rPr>
      </w:pPr>
    </w:p>
    <w:p w:rsidR="005D7EA3" w:rsidRPr="00F7532C" w:rsidRDefault="005D7EA3" w:rsidP="00C419F9">
      <w:pPr>
        <w:numPr>
          <w:ilvl w:val="0"/>
          <w:numId w:val="18"/>
        </w:numPr>
        <w:tabs>
          <w:tab w:val="left" w:pos="2160"/>
        </w:tabs>
        <w:spacing w:line="360" w:lineRule="auto"/>
        <w:ind w:left="0" w:firstLine="1440"/>
        <w:rPr>
          <w:sz w:val="24"/>
          <w:szCs w:val="24"/>
        </w:rPr>
      </w:pPr>
      <w:r w:rsidRPr="00F7532C">
        <w:rPr>
          <w:sz w:val="24"/>
          <w:szCs w:val="24"/>
        </w:rPr>
        <w:t>When she called the Respondent she was told that payment had not been received.  Tr. 7.</w:t>
      </w:r>
    </w:p>
    <w:p w:rsidR="005D7EA3" w:rsidRPr="00F7532C" w:rsidRDefault="005D7EA3" w:rsidP="00BA4971">
      <w:pPr>
        <w:pStyle w:val="ListParagraph"/>
        <w:spacing w:line="360" w:lineRule="auto"/>
        <w:rPr>
          <w:sz w:val="24"/>
          <w:szCs w:val="24"/>
        </w:rPr>
      </w:pPr>
    </w:p>
    <w:p w:rsidR="005D7EA3" w:rsidRPr="00F7532C" w:rsidRDefault="005D7EA3" w:rsidP="00C419F9">
      <w:pPr>
        <w:numPr>
          <w:ilvl w:val="0"/>
          <w:numId w:val="18"/>
        </w:numPr>
        <w:tabs>
          <w:tab w:val="left" w:pos="2160"/>
        </w:tabs>
        <w:spacing w:line="360" w:lineRule="auto"/>
        <w:ind w:left="0" w:firstLine="1440"/>
        <w:rPr>
          <w:sz w:val="24"/>
          <w:szCs w:val="24"/>
        </w:rPr>
      </w:pPr>
      <w:r w:rsidRPr="00F7532C">
        <w:rPr>
          <w:sz w:val="24"/>
          <w:szCs w:val="24"/>
        </w:rPr>
        <w:t xml:space="preserve">The Complainant receives monthly statements from her credit union showing the checks that have cleared, but she does not save them. </w:t>
      </w:r>
      <w:r w:rsidR="0028354E">
        <w:rPr>
          <w:sz w:val="24"/>
          <w:szCs w:val="24"/>
        </w:rPr>
        <w:t xml:space="preserve"> </w:t>
      </w:r>
      <w:r w:rsidRPr="00F7532C">
        <w:rPr>
          <w:sz w:val="24"/>
          <w:szCs w:val="24"/>
        </w:rPr>
        <w:t>Tr. 7.</w:t>
      </w:r>
    </w:p>
    <w:p w:rsidR="005D7EA3" w:rsidRPr="00F7532C" w:rsidRDefault="005D7EA3" w:rsidP="00BA4971">
      <w:pPr>
        <w:pStyle w:val="ListParagraph"/>
        <w:spacing w:line="360" w:lineRule="auto"/>
        <w:rPr>
          <w:sz w:val="24"/>
          <w:szCs w:val="24"/>
        </w:rPr>
      </w:pPr>
    </w:p>
    <w:p w:rsidR="005D7EA3" w:rsidRPr="00F7532C" w:rsidRDefault="005D7EA3" w:rsidP="00C419F9">
      <w:pPr>
        <w:numPr>
          <w:ilvl w:val="0"/>
          <w:numId w:val="18"/>
        </w:numPr>
        <w:tabs>
          <w:tab w:val="left" w:pos="2160"/>
        </w:tabs>
        <w:spacing w:line="360" w:lineRule="auto"/>
        <w:ind w:left="0" w:firstLine="1440"/>
        <w:rPr>
          <w:sz w:val="24"/>
          <w:szCs w:val="24"/>
        </w:rPr>
      </w:pPr>
      <w:r w:rsidRPr="00F7532C">
        <w:rPr>
          <w:sz w:val="24"/>
          <w:szCs w:val="24"/>
        </w:rPr>
        <w:t xml:space="preserve">The Complainant did not present any physical proof of payments made from her checking account, such as </w:t>
      </w:r>
      <w:r w:rsidR="00EB7CEF" w:rsidRPr="00F7532C">
        <w:rPr>
          <w:sz w:val="24"/>
          <w:szCs w:val="24"/>
        </w:rPr>
        <w:t xml:space="preserve">monthly </w:t>
      </w:r>
      <w:r w:rsidRPr="00F7532C">
        <w:rPr>
          <w:sz w:val="24"/>
          <w:szCs w:val="24"/>
        </w:rPr>
        <w:t>statements or cancelled checks.</w:t>
      </w:r>
    </w:p>
    <w:p w:rsidR="005D7EA3" w:rsidRPr="00F7532C" w:rsidRDefault="005D7EA3" w:rsidP="005D7EA3">
      <w:pPr>
        <w:pStyle w:val="ListParagraph"/>
        <w:rPr>
          <w:sz w:val="24"/>
          <w:szCs w:val="24"/>
        </w:rPr>
      </w:pPr>
    </w:p>
    <w:p w:rsidR="00EB7CEF" w:rsidRPr="00F7532C" w:rsidRDefault="00EB7CEF" w:rsidP="00C419F9">
      <w:pPr>
        <w:numPr>
          <w:ilvl w:val="0"/>
          <w:numId w:val="18"/>
        </w:numPr>
        <w:tabs>
          <w:tab w:val="left" w:pos="2160"/>
        </w:tabs>
        <w:spacing w:line="360" w:lineRule="auto"/>
        <w:ind w:left="0" w:firstLine="1440"/>
        <w:rPr>
          <w:sz w:val="24"/>
          <w:szCs w:val="24"/>
        </w:rPr>
      </w:pPr>
      <w:r w:rsidRPr="00F7532C">
        <w:rPr>
          <w:sz w:val="24"/>
          <w:szCs w:val="24"/>
        </w:rPr>
        <w:t>The Complainant presented two money orders</w:t>
      </w:r>
      <w:r w:rsidR="000B3AD9" w:rsidRPr="00F7532C">
        <w:rPr>
          <w:sz w:val="24"/>
          <w:szCs w:val="24"/>
        </w:rPr>
        <w:t xml:space="preserve"> dated November 2011</w:t>
      </w:r>
      <w:r w:rsidRPr="00F7532C">
        <w:rPr>
          <w:sz w:val="24"/>
          <w:szCs w:val="24"/>
        </w:rPr>
        <w:t xml:space="preserve">, one for $100 and one for $300, that she sent to the Respondent, but showed no proof of them being cashed.  </w:t>
      </w:r>
      <w:r w:rsidR="00BD2916" w:rsidRPr="00F7532C">
        <w:rPr>
          <w:sz w:val="24"/>
          <w:szCs w:val="24"/>
        </w:rPr>
        <w:t xml:space="preserve">The money orders had the Complainant’s </w:t>
      </w:r>
      <w:r w:rsidR="000B3AD9" w:rsidRPr="00F7532C">
        <w:rPr>
          <w:sz w:val="24"/>
          <w:szCs w:val="24"/>
        </w:rPr>
        <w:t xml:space="preserve">correct </w:t>
      </w:r>
      <w:r w:rsidR="00BD2916" w:rsidRPr="00F7532C">
        <w:rPr>
          <w:sz w:val="24"/>
          <w:szCs w:val="24"/>
        </w:rPr>
        <w:t xml:space="preserve">account number on them, and were sent certified mail and were received by the Respondent.  </w:t>
      </w:r>
      <w:r w:rsidRPr="00F7532C">
        <w:rPr>
          <w:sz w:val="24"/>
          <w:szCs w:val="24"/>
        </w:rPr>
        <w:t>Complainant’s Exh. 1, Tr. 11</w:t>
      </w:r>
      <w:r w:rsidR="00177BCB" w:rsidRPr="00F7532C">
        <w:rPr>
          <w:sz w:val="24"/>
          <w:szCs w:val="24"/>
        </w:rPr>
        <w:t>.</w:t>
      </w:r>
    </w:p>
    <w:p w:rsidR="00177BCB" w:rsidRPr="00F7532C" w:rsidRDefault="00177BCB" w:rsidP="00BA4971">
      <w:pPr>
        <w:pStyle w:val="ListParagraph"/>
        <w:spacing w:line="360" w:lineRule="auto"/>
        <w:rPr>
          <w:sz w:val="24"/>
          <w:szCs w:val="24"/>
        </w:rPr>
      </w:pPr>
    </w:p>
    <w:p w:rsidR="00177BCB" w:rsidRPr="00F7532C" w:rsidRDefault="00177BCB" w:rsidP="00C419F9">
      <w:pPr>
        <w:numPr>
          <w:ilvl w:val="0"/>
          <w:numId w:val="18"/>
        </w:numPr>
        <w:tabs>
          <w:tab w:val="left" w:pos="2160"/>
        </w:tabs>
        <w:spacing w:line="360" w:lineRule="auto"/>
        <w:ind w:left="0" w:firstLine="1440"/>
        <w:rPr>
          <w:sz w:val="24"/>
          <w:szCs w:val="24"/>
        </w:rPr>
      </w:pPr>
      <w:r w:rsidRPr="00F7532C">
        <w:rPr>
          <w:sz w:val="24"/>
          <w:szCs w:val="24"/>
        </w:rPr>
        <w:t xml:space="preserve">The two </w:t>
      </w:r>
      <w:r w:rsidR="000B3AD9" w:rsidRPr="00F7532C">
        <w:rPr>
          <w:sz w:val="24"/>
          <w:szCs w:val="24"/>
        </w:rPr>
        <w:t xml:space="preserve">November 2011 </w:t>
      </w:r>
      <w:r w:rsidRPr="00F7532C">
        <w:rPr>
          <w:sz w:val="24"/>
          <w:szCs w:val="24"/>
        </w:rPr>
        <w:t>money orders were not credited to the Complainant’s account.  PPL Exh. 1.</w:t>
      </w:r>
    </w:p>
    <w:p w:rsidR="00EB7CEF" w:rsidRPr="00F7532C" w:rsidRDefault="00EB7CEF" w:rsidP="00BA4971">
      <w:pPr>
        <w:pStyle w:val="ListParagraph"/>
        <w:spacing w:line="360" w:lineRule="auto"/>
        <w:rPr>
          <w:sz w:val="24"/>
          <w:szCs w:val="24"/>
        </w:rPr>
      </w:pPr>
    </w:p>
    <w:p w:rsidR="005D7EA3" w:rsidRPr="00F7532C" w:rsidRDefault="00EB7CEF" w:rsidP="00C419F9">
      <w:pPr>
        <w:numPr>
          <w:ilvl w:val="0"/>
          <w:numId w:val="18"/>
        </w:numPr>
        <w:tabs>
          <w:tab w:val="left" w:pos="2160"/>
        </w:tabs>
        <w:spacing w:line="360" w:lineRule="auto"/>
        <w:ind w:left="0" w:firstLine="1440"/>
        <w:rPr>
          <w:sz w:val="24"/>
          <w:szCs w:val="24"/>
        </w:rPr>
      </w:pPr>
      <w:r w:rsidRPr="00F7532C">
        <w:rPr>
          <w:sz w:val="24"/>
          <w:szCs w:val="24"/>
        </w:rPr>
        <w:t xml:space="preserve"> </w:t>
      </w:r>
      <w:r w:rsidR="00BD2916" w:rsidRPr="00F7532C">
        <w:rPr>
          <w:sz w:val="24"/>
          <w:szCs w:val="24"/>
        </w:rPr>
        <w:t>On November 16, 2011, the Respondent sent the Complainant a letter indicating payment was past due and that her service was at risk of termination.  Complainant’s Exh. 2, Tr. 12.</w:t>
      </w:r>
    </w:p>
    <w:p w:rsidR="00BD2916" w:rsidRPr="00F7532C" w:rsidRDefault="00BD2916" w:rsidP="00BA4971">
      <w:pPr>
        <w:pStyle w:val="ListParagraph"/>
        <w:spacing w:line="360" w:lineRule="auto"/>
        <w:rPr>
          <w:sz w:val="24"/>
          <w:szCs w:val="24"/>
        </w:rPr>
      </w:pPr>
    </w:p>
    <w:p w:rsidR="00BD2916" w:rsidRPr="00F7532C" w:rsidRDefault="00BD2916" w:rsidP="00C419F9">
      <w:pPr>
        <w:numPr>
          <w:ilvl w:val="0"/>
          <w:numId w:val="18"/>
        </w:numPr>
        <w:tabs>
          <w:tab w:val="left" w:pos="2160"/>
        </w:tabs>
        <w:spacing w:line="360" w:lineRule="auto"/>
        <w:ind w:left="0" w:firstLine="1440"/>
        <w:rPr>
          <w:sz w:val="24"/>
          <w:szCs w:val="24"/>
        </w:rPr>
      </w:pPr>
      <w:r w:rsidRPr="00F7532C">
        <w:rPr>
          <w:sz w:val="24"/>
          <w:szCs w:val="24"/>
        </w:rPr>
        <w:t>The Complainant did not telephone the Respondent about the November</w:t>
      </w:r>
      <w:r w:rsidR="00C1239B">
        <w:rPr>
          <w:sz w:val="24"/>
          <w:szCs w:val="24"/>
        </w:rPr>
        <w:t> </w:t>
      </w:r>
      <w:r w:rsidRPr="00F7532C">
        <w:rPr>
          <w:sz w:val="24"/>
          <w:szCs w:val="24"/>
        </w:rPr>
        <w:t>16, 2011 letter because she believed that her money orders and the letter crossed in the mail and that her account would be credited.  Tr. 12.</w:t>
      </w:r>
    </w:p>
    <w:p w:rsidR="00BD2916" w:rsidRPr="00F7532C" w:rsidRDefault="00BD2916" w:rsidP="00BA4971">
      <w:pPr>
        <w:pStyle w:val="ListParagraph"/>
        <w:spacing w:line="360" w:lineRule="auto"/>
        <w:rPr>
          <w:sz w:val="24"/>
          <w:szCs w:val="24"/>
        </w:rPr>
      </w:pPr>
    </w:p>
    <w:p w:rsidR="00BD2916" w:rsidRPr="00F7532C" w:rsidRDefault="00BD2916" w:rsidP="00C419F9">
      <w:pPr>
        <w:numPr>
          <w:ilvl w:val="0"/>
          <w:numId w:val="18"/>
        </w:numPr>
        <w:tabs>
          <w:tab w:val="left" w:pos="2160"/>
        </w:tabs>
        <w:spacing w:line="360" w:lineRule="auto"/>
        <w:ind w:left="0" w:firstLine="1440"/>
        <w:rPr>
          <w:sz w:val="24"/>
          <w:szCs w:val="24"/>
        </w:rPr>
      </w:pPr>
      <w:r w:rsidRPr="00F7532C">
        <w:rPr>
          <w:sz w:val="24"/>
          <w:szCs w:val="24"/>
        </w:rPr>
        <w:t xml:space="preserve">On November 22, 2011, the Complainant telephoned the Respondent and was told </w:t>
      </w:r>
      <w:r w:rsidR="000B3AD9" w:rsidRPr="00F7532C">
        <w:rPr>
          <w:sz w:val="24"/>
          <w:szCs w:val="24"/>
        </w:rPr>
        <w:t xml:space="preserve">that </w:t>
      </w:r>
      <w:r w:rsidRPr="00F7532C">
        <w:rPr>
          <w:sz w:val="24"/>
          <w:szCs w:val="24"/>
        </w:rPr>
        <w:t>no payments had been received since August 2011.  Tr. 13.</w:t>
      </w:r>
    </w:p>
    <w:p w:rsidR="00BD2916" w:rsidRPr="00F7532C" w:rsidRDefault="00BD2916" w:rsidP="00BA4971">
      <w:pPr>
        <w:pStyle w:val="ListParagraph"/>
        <w:spacing w:line="360" w:lineRule="auto"/>
        <w:rPr>
          <w:sz w:val="24"/>
          <w:szCs w:val="24"/>
        </w:rPr>
      </w:pPr>
    </w:p>
    <w:p w:rsidR="003C090B" w:rsidRPr="00F7532C" w:rsidRDefault="00BD2916" w:rsidP="00C419F9">
      <w:pPr>
        <w:numPr>
          <w:ilvl w:val="0"/>
          <w:numId w:val="18"/>
        </w:numPr>
        <w:tabs>
          <w:tab w:val="left" w:pos="2160"/>
        </w:tabs>
        <w:spacing w:line="360" w:lineRule="auto"/>
        <w:ind w:left="0" w:firstLine="1440"/>
        <w:rPr>
          <w:sz w:val="24"/>
          <w:szCs w:val="24"/>
        </w:rPr>
      </w:pPr>
      <w:r w:rsidRPr="00F7532C">
        <w:rPr>
          <w:sz w:val="24"/>
          <w:szCs w:val="24"/>
        </w:rPr>
        <w:t>On December 1</w:t>
      </w:r>
      <w:r w:rsidR="006731FD">
        <w:rPr>
          <w:sz w:val="24"/>
          <w:szCs w:val="24"/>
        </w:rPr>
        <w:t>5</w:t>
      </w:r>
      <w:r w:rsidRPr="00F7532C">
        <w:rPr>
          <w:sz w:val="24"/>
          <w:szCs w:val="24"/>
        </w:rPr>
        <w:t xml:space="preserve">, 2011, the Complainant sent the Respondent a money order for $183.  The </w:t>
      </w:r>
      <w:r w:rsidR="00260F50" w:rsidRPr="00F7532C">
        <w:rPr>
          <w:sz w:val="24"/>
          <w:szCs w:val="24"/>
        </w:rPr>
        <w:t xml:space="preserve">Complainant’s </w:t>
      </w:r>
      <w:r w:rsidRPr="00F7532C">
        <w:rPr>
          <w:sz w:val="24"/>
          <w:szCs w:val="24"/>
        </w:rPr>
        <w:t>account number was not on the money order.  Complainant’s Exh.</w:t>
      </w:r>
      <w:r w:rsidR="003C090B" w:rsidRPr="00F7532C">
        <w:rPr>
          <w:sz w:val="24"/>
          <w:szCs w:val="24"/>
        </w:rPr>
        <w:t xml:space="preserve"> 3, Tr. 14.</w:t>
      </w:r>
    </w:p>
    <w:p w:rsidR="003C090B" w:rsidRPr="00F7532C" w:rsidRDefault="003C090B" w:rsidP="00BA4971">
      <w:pPr>
        <w:pStyle w:val="ListParagraph"/>
        <w:spacing w:line="360" w:lineRule="auto"/>
        <w:rPr>
          <w:sz w:val="24"/>
          <w:szCs w:val="24"/>
        </w:rPr>
      </w:pPr>
    </w:p>
    <w:p w:rsidR="00260F50" w:rsidRPr="00F7532C" w:rsidRDefault="00A95E53" w:rsidP="00C419F9">
      <w:pPr>
        <w:numPr>
          <w:ilvl w:val="0"/>
          <w:numId w:val="18"/>
        </w:numPr>
        <w:tabs>
          <w:tab w:val="left" w:pos="2160"/>
        </w:tabs>
        <w:spacing w:line="360" w:lineRule="auto"/>
        <w:ind w:left="0" w:firstLine="1440"/>
        <w:rPr>
          <w:sz w:val="24"/>
          <w:szCs w:val="24"/>
        </w:rPr>
      </w:pPr>
      <w:r w:rsidRPr="00F7532C">
        <w:rPr>
          <w:sz w:val="24"/>
          <w:szCs w:val="24"/>
        </w:rPr>
        <w:t>Prior to August 2011 the Complainant paid her electric service bill with personal checks all from the same joint account she holds with her husband at her credit union.  Tr. 28.</w:t>
      </w:r>
    </w:p>
    <w:p w:rsidR="00DD4EF6" w:rsidRPr="00F7532C" w:rsidRDefault="00DD4EF6" w:rsidP="00DD4EF6">
      <w:pPr>
        <w:pStyle w:val="ListParagraph"/>
        <w:rPr>
          <w:sz w:val="24"/>
          <w:szCs w:val="24"/>
        </w:rPr>
      </w:pPr>
    </w:p>
    <w:p w:rsidR="00A95E53" w:rsidRPr="00F7532C" w:rsidRDefault="00A95E53" w:rsidP="00C419F9">
      <w:pPr>
        <w:numPr>
          <w:ilvl w:val="0"/>
          <w:numId w:val="18"/>
        </w:numPr>
        <w:tabs>
          <w:tab w:val="left" w:pos="2160"/>
        </w:tabs>
        <w:spacing w:line="360" w:lineRule="auto"/>
        <w:ind w:left="0" w:firstLine="1440"/>
        <w:rPr>
          <w:sz w:val="24"/>
          <w:szCs w:val="24"/>
        </w:rPr>
      </w:pPr>
      <w:r w:rsidRPr="00F7532C">
        <w:rPr>
          <w:sz w:val="24"/>
          <w:szCs w:val="24"/>
        </w:rPr>
        <w:t>The money orders the Complainant has mailed in to the Respondent are from the same credit union.  Tr. 29.</w:t>
      </w:r>
    </w:p>
    <w:p w:rsidR="00A95E53" w:rsidRPr="00F7532C" w:rsidRDefault="00A95E53" w:rsidP="00934E26">
      <w:pPr>
        <w:pStyle w:val="ListParagraph"/>
        <w:spacing w:line="360" w:lineRule="auto"/>
        <w:rPr>
          <w:sz w:val="24"/>
          <w:szCs w:val="24"/>
        </w:rPr>
      </w:pPr>
    </w:p>
    <w:p w:rsidR="00A95E53" w:rsidRPr="00F7532C" w:rsidRDefault="00A95E53" w:rsidP="00C419F9">
      <w:pPr>
        <w:numPr>
          <w:ilvl w:val="0"/>
          <w:numId w:val="18"/>
        </w:numPr>
        <w:tabs>
          <w:tab w:val="left" w:pos="2160"/>
        </w:tabs>
        <w:spacing w:line="360" w:lineRule="auto"/>
        <w:ind w:left="0" w:firstLine="1440"/>
        <w:rPr>
          <w:sz w:val="24"/>
          <w:szCs w:val="24"/>
        </w:rPr>
      </w:pPr>
      <w:r w:rsidRPr="00F7532C">
        <w:rPr>
          <w:sz w:val="24"/>
          <w:szCs w:val="24"/>
        </w:rPr>
        <w:t>On August 8, 2011, the Complainant made a $250 payment by telephone.  Tr. 30-31.</w:t>
      </w:r>
    </w:p>
    <w:p w:rsidR="00A95E53" w:rsidRPr="00F7532C" w:rsidRDefault="00A95E53" w:rsidP="00934E26">
      <w:pPr>
        <w:pStyle w:val="ListParagraph"/>
        <w:spacing w:line="360" w:lineRule="auto"/>
        <w:rPr>
          <w:sz w:val="24"/>
          <w:szCs w:val="24"/>
        </w:rPr>
      </w:pPr>
    </w:p>
    <w:p w:rsidR="00A95E53" w:rsidRPr="00F7532C" w:rsidRDefault="009B1E69" w:rsidP="00C419F9">
      <w:pPr>
        <w:numPr>
          <w:ilvl w:val="0"/>
          <w:numId w:val="18"/>
        </w:numPr>
        <w:tabs>
          <w:tab w:val="left" w:pos="2160"/>
        </w:tabs>
        <w:spacing w:line="360" w:lineRule="auto"/>
        <w:ind w:left="0" w:firstLine="1440"/>
        <w:rPr>
          <w:sz w:val="24"/>
          <w:szCs w:val="24"/>
        </w:rPr>
      </w:pPr>
      <w:r w:rsidRPr="00F7532C">
        <w:rPr>
          <w:sz w:val="24"/>
          <w:szCs w:val="24"/>
        </w:rPr>
        <w:t>On August 10, 2011, the Complainant made a $339.03 payment by telephone.  Tr. 30.</w:t>
      </w:r>
    </w:p>
    <w:p w:rsidR="00EA60C1" w:rsidRPr="00F7532C" w:rsidRDefault="00EA60C1" w:rsidP="00934E26">
      <w:pPr>
        <w:pStyle w:val="ListParagraph"/>
        <w:spacing w:line="360" w:lineRule="auto"/>
        <w:rPr>
          <w:sz w:val="24"/>
          <w:szCs w:val="24"/>
        </w:rPr>
      </w:pPr>
    </w:p>
    <w:p w:rsidR="00EA60C1" w:rsidRPr="00F7532C" w:rsidRDefault="00EA60C1" w:rsidP="00C419F9">
      <w:pPr>
        <w:numPr>
          <w:ilvl w:val="0"/>
          <w:numId w:val="18"/>
        </w:numPr>
        <w:tabs>
          <w:tab w:val="left" w:pos="2160"/>
        </w:tabs>
        <w:spacing w:line="360" w:lineRule="auto"/>
        <w:ind w:left="0" w:firstLine="1440"/>
        <w:rPr>
          <w:sz w:val="24"/>
          <w:szCs w:val="24"/>
        </w:rPr>
      </w:pPr>
      <w:r w:rsidRPr="00F7532C">
        <w:rPr>
          <w:sz w:val="24"/>
          <w:szCs w:val="24"/>
        </w:rPr>
        <w:t>The Complainant chose not to get copies of cancelled checks or bank statements from her credit union because of the credit union’</w:t>
      </w:r>
      <w:r w:rsidR="000B3AD9" w:rsidRPr="00F7532C">
        <w:rPr>
          <w:sz w:val="24"/>
          <w:szCs w:val="24"/>
        </w:rPr>
        <w:t>s</w:t>
      </w:r>
      <w:r w:rsidRPr="00F7532C">
        <w:rPr>
          <w:sz w:val="24"/>
          <w:szCs w:val="24"/>
        </w:rPr>
        <w:t xml:space="preserve"> fees.  Tr. 34.</w:t>
      </w:r>
    </w:p>
    <w:p w:rsidR="00EA60C1" w:rsidRPr="00F7532C" w:rsidRDefault="00EA60C1" w:rsidP="00934E26">
      <w:pPr>
        <w:pStyle w:val="ListParagraph"/>
        <w:spacing w:line="360" w:lineRule="auto"/>
        <w:rPr>
          <w:sz w:val="24"/>
          <w:szCs w:val="24"/>
        </w:rPr>
      </w:pPr>
    </w:p>
    <w:p w:rsidR="00EA60C1" w:rsidRPr="00F7532C" w:rsidRDefault="00EA60C1" w:rsidP="00C419F9">
      <w:pPr>
        <w:numPr>
          <w:ilvl w:val="0"/>
          <w:numId w:val="18"/>
        </w:numPr>
        <w:tabs>
          <w:tab w:val="left" w:pos="2160"/>
        </w:tabs>
        <w:spacing w:line="360" w:lineRule="auto"/>
        <w:ind w:left="0" w:firstLine="1440"/>
        <w:rPr>
          <w:sz w:val="24"/>
          <w:szCs w:val="24"/>
        </w:rPr>
      </w:pPr>
      <w:r w:rsidRPr="00F7532C">
        <w:rPr>
          <w:sz w:val="24"/>
          <w:szCs w:val="24"/>
        </w:rPr>
        <w:t>The Respondent did not ask the Complainant to mail her payments in by money order.  Tr. 36.</w:t>
      </w:r>
    </w:p>
    <w:p w:rsidR="00EA60C1" w:rsidRPr="00F7532C" w:rsidRDefault="00EA60C1" w:rsidP="00934E26">
      <w:pPr>
        <w:pStyle w:val="ListParagraph"/>
        <w:spacing w:line="360" w:lineRule="auto"/>
        <w:rPr>
          <w:sz w:val="24"/>
          <w:szCs w:val="24"/>
        </w:rPr>
      </w:pPr>
    </w:p>
    <w:p w:rsidR="00EA60C1" w:rsidRPr="00F7532C" w:rsidRDefault="00EA60C1" w:rsidP="00C419F9">
      <w:pPr>
        <w:numPr>
          <w:ilvl w:val="0"/>
          <w:numId w:val="18"/>
        </w:numPr>
        <w:tabs>
          <w:tab w:val="left" w:pos="2160"/>
        </w:tabs>
        <w:spacing w:line="360" w:lineRule="auto"/>
        <w:ind w:left="0" w:firstLine="1440"/>
        <w:rPr>
          <w:sz w:val="24"/>
          <w:szCs w:val="24"/>
        </w:rPr>
      </w:pPr>
      <w:r w:rsidRPr="00F7532C">
        <w:rPr>
          <w:sz w:val="24"/>
          <w:szCs w:val="24"/>
        </w:rPr>
        <w:t xml:space="preserve">The Respondent did not ask the Complainant to mail her payments in by certified mail. </w:t>
      </w:r>
      <w:r w:rsidR="00934E26" w:rsidRPr="00F7532C">
        <w:rPr>
          <w:sz w:val="24"/>
          <w:szCs w:val="24"/>
        </w:rPr>
        <w:t xml:space="preserve"> </w:t>
      </w:r>
      <w:r w:rsidRPr="00F7532C">
        <w:rPr>
          <w:sz w:val="24"/>
          <w:szCs w:val="24"/>
        </w:rPr>
        <w:t>Tr. 36.</w:t>
      </w:r>
    </w:p>
    <w:p w:rsidR="00EA60C1" w:rsidRPr="00F7532C" w:rsidRDefault="00EA60C1" w:rsidP="002165DF">
      <w:pPr>
        <w:pStyle w:val="ListParagraph"/>
        <w:spacing w:line="360" w:lineRule="auto"/>
        <w:rPr>
          <w:sz w:val="24"/>
          <w:szCs w:val="24"/>
        </w:rPr>
      </w:pPr>
    </w:p>
    <w:p w:rsidR="00EA60C1" w:rsidRPr="00F7532C" w:rsidRDefault="00EA60C1" w:rsidP="00C419F9">
      <w:pPr>
        <w:numPr>
          <w:ilvl w:val="0"/>
          <w:numId w:val="18"/>
        </w:numPr>
        <w:tabs>
          <w:tab w:val="left" w:pos="2160"/>
        </w:tabs>
        <w:spacing w:line="360" w:lineRule="auto"/>
        <w:ind w:left="0" w:firstLine="1440"/>
        <w:rPr>
          <w:sz w:val="24"/>
          <w:szCs w:val="24"/>
        </w:rPr>
      </w:pPr>
      <w:r w:rsidRPr="00F7532C">
        <w:rPr>
          <w:sz w:val="24"/>
          <w:szCs w:val="24"/>
        </w:rPr>
        <w:t>As of the first hearing date (May 16, 2012), the Complainant had not put a tracer on the money orders to determine whether they had been cashed.  Tr. 39.</w:t>
      </w:r>
    </w:p>
    <w:p w:rsidR="00EA60C1" w:rsidRPr="00F7532C" w:rsidRDefault="00EA60C1" w:rsidP="00934E26">
      <w:pPr>
        <w:pStyle w:val="ListParagraph"/>
        <w:spacing w:line="360" w:lineRule="auto"/>
        <w:rPr>
          <w:sz w:val="24"/>
          <w:szCs w:val="24"/>
        </w:rPr>
      </w:pPr>
    </w:p>
    <w:p w:rsidR="00EA60C1" w:rsidRPr="00F7532C" w:rsidRDefault="00A51789" w:rsidP="00C419F9">
      <w:pPr>
        <w:numPr>
          <w:ilvl w:val="0"/>
          <w:numId w:val="18"/>
        </w:numPr>
        <w:tabs>
          <w:tab w:val="left" w:pos="2160"/>
        </w:tabs>
        <w:spacing w:line="360" w:lineRule="auto"/>
        <w:ind w:left="0" w:firstLine="1440"/>
        <w:rPr>
          <w:sz w:val="24"/>
          <w:szCs w:val="24"/>
        </w:rPr>
      </w:pPr>
      <w:r w:rsidRPr="00F7532C">
        <w:rPr>
          <w:sz w:val="24"/>
          <w:szCs w:val="24"/>
        </w:rPr>
        <w:t>Linda Grige, a customer service representative, testified on behalf of the Respondent.  Tr. 41</w:t>
      </w:r>
      <w:r w:rsidR="00934E26" w:rsidRPr="00F7532C">
        <w:rPr>
          <w:sz w:val="24"/>
          <w:szCs w:val="24"/>
        </w:rPr>
        <w:t>.</w:t>
      </w:r>
    </w:p>
    <w:p w:rsidR="00A51789" w:rsidRPr="00F7532C" w:rsidRDefault="00A51789" w:rsidP="00FA304F">
      <w:pPr>
        <w:pStyle w:val="ListParagraph"/>
        <w:spacing w:line="360" w:lineRule="auto"/>
        <w:rPr>
          <w:sz w:val="24"/>
          <w:szCs w:val="24"/>
        </w:rPr>
      </w:pPr>
    </w:p>
    <w:p w:rsidR="00A51789" w:rsidRPr="00F7532C" w:rsidRDefault="00A51789" w:rsidP="00C419F9">
      <w:pPr>
        <w:numPr>
          <w:ilvl w:val="0"/>
          <w:numId w:val="18"/>
        </w:numPr>
        <w:tabs>
          <w:tab w:val="left" w:pos="2160"/>
        </w:tabs>
        <w:spacing w:line="360" w:lineRule="auto"/>
        <w:ind w:left="0" w:firstLine="1440"/>
        <w:rPr>
          <w:sz w:val="24"/>
          <w:szCs w:val="24"/>
        </w:rPr>
      </w:pPr>
      <w:r w:rsidRPr="00F7532C">
        <w:rPr>
          <w:sz w:val="24"/>
          <w:szCs w:val="24"/>
        </w:rPr>
        <w:t>The Respondent’s statement of account for the Complainant shows dates billed, payments received, usage, whether it is an actual or estimated reading, and the number of days in the billing cycle.  PPL Exh. 1</w:t>
      </w:r>
      <w:r w:rsidR="00A11877">
        <w:rPr>
          <w:sz w:val="24"/>
          <w:szCs w:val="24"/>
        </w:rPr>
        <w:t>;</w:t>
      </w:r>
      <w:r w:rsidRPr="00F7532C">
        <w:rPr>
          <w:sz w:val="24"/>
          <w:szCs w:val="24"/>
        </w:rPr>
        <w:t xml:space="preserve"> Tr. 42.</w:t>
      </w:r>
    </w:p>
    <w:p w:rsidR="00A51789" w:rsidRPr="00F7532C" w:rsidRDefault="00A51789" w:rsidP="00297858">
      <w:pPr>
        <w:pStyle w:val="ListParagraph"/>
        <w:spacing w:line="360" w:lineRule="auto"/>
        <w:rPr>
          <w:sz w:val="24"/>
          <w:szCs w:val="24"/>
        </w:rPr>
      </w:pPr>
    </w:p>
    <w:p w:rsidR="00A51789" w:rsidRPr="00F7532C" w:rsidRDefault="00A51789" w:rsidP="00C419F9">
      <w:pPr>
        <w:numPr>
          <w:ilvl w:val="0"/>
          <w:numId w:val="18"/>
        </w:numPr>
        <w:tabs>
          <w:tab w:val="left" w:pos="2160"/>
        </w:tabs>
        <w:spacing w:line="360" w:lineRule="auto"/>
        <w:ind w:left="0" w:firstLine="1440"/>
        <w:rPr>
          <w:sz w:val="24"/>
          <w:szCs w:val="24"/>
        </w:rPr>
      </w:pPr>
      <w:r w:rsidRPr="00F7532C">
        <w:rPr>
          <w:sz w:val="24"/>
          <w:szCs w:val="24"/>
        </w:rPr>
        <w:t>The Complainant’s a</w:t>
      </w:r>
      <w:r w:rsidR="00BD62C6" w:rsidRPr="00F7532C">
        <w:rPr>
          <w:sz w:val="24"/>
          <w:szCs w:val="24"/>
        </w:rPr>
        <w:t xml:space="preserve">ccount number is </w:t>
      </w:r>
      <w:r w:rsidRPr="00F7532C">
        <w:rPr>
          <w:sz w:val="24"/>
          <w:szCs w:val="24"/>
        </w:rPr>
        <w:t>0</w:t>
      </w:r>
      <w:r w:rsidR="00BD62C6" w:rsidRPr="00F7532C">
        <w:rPr>
          <w:sz w:val="24"/>
          <w:szCs w:val="24"/>
        </w:rPr>
        <w:t>1</w:t>
      </w:r>
      <w:r w:rsidRPr="00F7532C">
        <w:rPr>
          <w:sz w:val="24"/>
          <w:szCs w:val="24"/>
        </w:rPr>
        <w:t>780</w:t>
      </w:r>
      <w:r w:rsidR="00BD62C6" w:rsidRPr="00F7532C">
        <w:rPr>
          <w:sz w:val="24"/>
          <w:szCs w:val="24"/>
        </w:rPr>
        <w:t>-</w:t>
      </w:r>
      <w:r w:rsidRPr="00F7532C">
        <w:rPr>
          <w:sz w:val="24"/>
          <w:szCs w:val="24"/>
        </w:rPr>
        <w:t>33022.  PPL Exh. 1.</w:t>
      </w:r>
    </w:p>
    <w:p w:rsidR="00BD62C6" w:rsidRPr="00F7532C" w:rsidRDefault="00BD62C6" w:rsidP="00FA304F">
      <w:pPr>
        <w:pStyle w:val="ListParagraph"/>
        <w:spacing w:line="360" w:lineRule="auto"/>
        <w:rPr>
          <w:sz w:val="24"/>
          <w:szCs w:val="24"/>
        </w:rPr>
      </w:pPr>
    </w:p>
    <w:p w:rsidR="00BD62C6" w:rsidRPr="00F7532C" w:rsidRDefault="00BD62C6" w:rsidP="00C419F9">
      <w:pPr>
        <w:numPr>
          <w:ilvl w:val="0"/>
          <w:numId w:val="18"/>
        </w:numPr>
        <w:tabs>
          <w:tab w:val="left" w:pos="2160"/>
        </w:tabs>
        <w:spacing w:line="360" w:lineRule="auto"/>
        <w:ind w:left="0" w:firstLine="1440"/>
        <w:rPr>
          <w:sz w:val="24"/>
          <w:szCs w:val="24"/>
        </w:rPr>
      </w:pPr>
      <w:r w:rsidRPr="00F7532C">
        <w:rPr>
          <w:sz w:val="24"/>
          <w:szCs w:val="24"/>
        </w:rPr>
        <w:t>The Complainant’s account number was correctly written on the November 2011 money orders.  Complainant’s Exh. 1.</w:t>
      </w:r>
    </w:p>
    <w:p w:rsidR="00BD62C6" w:rsidRPr="00F7532C" w:rsidRDefault="00BD62C6" w:rsidP="00FA304F">
      <w:pPr>
        <w:pStyle w:val="ListParagraph"/>
        <w:spacing w:line="360" w:lineRule="auto"/>
        <w:rPr>
          <w:sz w:val="24"/>
          <w:szCs w:val="24"/>
        </w:rPr>
      </w:pPr>
    </w:p>
    <w:p w:rsidR="00177BCB" w:rsidRPr="00F7532C" w:rsidRDefault="00177BCB" w:rsidP="00C419F9">
      <w:pPr>
        <w:numPr>
          <w:ilvl w:val="0"/>
          <w:numId w:val="18"/>
        </w:numPr>
        <w:tabs>
          <w:tab w:val="left" w:pos="2160"/>
        </w:tabs>
        <w:spacing w:line="360" w:lineRule="auto"/>
        <w:ind w:left="0" w:firstLine="1440"/>
        <w:rPr>
          <w:sz w:val="24"/>
          <w:szCs w:val="24"/>
        </w:rPr>
      </w:pPr>
      <w:r w:rsidRPr="00F7532C">
        <w:rPr>
          <w:sz w:val="24"/>
          <w:szCs w:val="24"/>
        </w:rPr>
        <w:t>At the end of the May 16, 2012 hearing, a thirty (30) days</w:t>
      </w:r>
      <w:r w:rsidR="00805E01">
        <w:rPr>
          <w:sz w:val="24"/>
          <w:szCs w:val="24"/>
        </w:rPr>
        <w:t>’</w:t>
      </w:r>
      <w:r w:rsidRPr="00F7532C">
        <w:rPr>
          <w:sz w:val="24"/>
          <w:szCs w:val="24"/>
        </w:rPr>
        <w:t xml:space="preserve"> continuance was given for the Complainant to trace the two</w:t>
      </w:r>
      <w:r w:rsidR="000B3AD9" w:rsidRPr="00F7532C">
        <w:rPr>
          <w:sz w:val="24"/>
          <w:szCs w:val="24"/>
        </w:rPr>
        <w:t xml:space="preserve"> November 2011</w:t>
      </w:r>
      <w:r w:rsidRPr="00F7532C">
        <w:rPr>
          <w:sz w:val="24"/>
          <w:szCs w:val="24"/>
        </w:rPr>
        <w:t xml:space="preserve"> money orders that had been received by the Respondent, but not credited to the Complainant’s account.  The Respondent agreed to reimburse the Complainant for the cost of the traces.  Tr. 66.</w:t>
      </w:r>
    </w:p>
    <w:p w:rsidR="00177BCB" w:rsidRPr="00F7532C" w:rsidRDefault="00177BCB" w:rsidP="00FA304F">
      <w:pPr>
        <w:pStyle w:val="ListParagraph"/>
        <w:spacing w:line="360" w:lineRule="auto"/>
        <w:rPr>
          <w:sz w:val="24"/>
          <w:szCs w:val="24"/>
        </w:rPr>
      </w:pPr>
    </w:p>
    <w:p w:rsidR="00177BCB" w:rsidRPr="00F7532C" w:rsidRDefault="00DD4EF6" w:rsidP="00C419F9">
      <w:pPr>
        <w:numPr>
          <w:ilvl w:val="0"/>
          <w:numId w:val="18"/>
        </w:numPr>
        <w:tabs>
          <w:tab w:val="left" w:pos="2160"/>
        </w:tabs>
        <w:spacing w:line="360" w:lineRule="auto"/>
        <w:ind w:left="0" w:firstLine="1440"/>
        <w:rPr>
          <w:sz w:val="24"/>
          <w:szCs w:val="24"/>
        </w:rPr>
      </w:pPr>
      <w:r w:rsidRPr="00F7532C">
        <w:rPr>
          <w:sz w:val="24"/>
          <w:szCs w:val="24"/>
        </w:rPr>
        <w:t>On September 18, 2012, a second hearing was held on this matter.</w:t>
      </w:r>
    </w:p>
    <w:p w:rsidR="00DD4EF6" w:rsidRPr="00F7532C" w:rsidRDefault="00DD4EF6" w:rsidP="00FA304F">
      <w:pPr>
        <w:pStyle w:val="ListParagraph"/>
        <w:spacing w:line="360" w:lineRule="auto"/>
        <w:rPr>
          <w:sz w:val="24"/>
          <w:szCs w:val="24"/>
        </w:rPr>
      </w:pPr>
    </w:p>
    <w:p w:rsidR="00DD4EF6" w:rsidRPr="00F7532C" w:rsidRDefault="00194CFB" w:rsidP="00C419F9">
      <w:pPr>
        <w:numPr>
          <w:ilvl w:val="0"/>
          <w:numId w:val="18"/>
        </w:numPr>
        <w:tabs>
          <w:tab w:val="left" w:pos="2160"/>
        </w:tabs>
        <w:spacing w:line="360" w:lineRule="auto"/>
        <w:ind w:left="0" w:firstLine="1440"/>
        <w:rPr>
          <w:sz w:val="24"/>
          <w:szCs w:val="24"/>
        </w:rPr>
      </w:pPr>
      <w:r w:rsidRPr="00F7532C">
        <w:rPr>
          <w:sz w:val="24"/>
          <w:szCs w:val="24"/>
        </w:rPr>
        <w:t>At the second hearing, the only remaining issues were reimbursement for the trace of th</w:t>
      </w:r>
      <w:r w:rsidR="000B3AD9" w:rsidRPr="00F7532C">
        <w:rPr>
          <w:sz w:val="24"/>
          <w:szCs w:val="24"/>
        </w:rPr>
        <w:t>e money orders and an April 2012</w:t>
      </w:r>
      <w:r w:rsidRPr="00F7532C">
        <w:rPr>
          <w:sz w:val="24"/>
          <w:szCs w:val="24"/>
        </w:rPr>
        <w:t xml:space="preserve"> payment.  Tr</w:t>
      </w:r>
      <w:r w:rsidR="001B6470" w:rsidRPr="00F7532C">
        <w:rPr>
          <w:sz w:val="24"/>
          <w:szCs w:val="24"/>
        </w:rPr>
        <w:t xml:space="preserve">. </w:t>
      </w:r>
      <w:r w:rsidRPr="00F7532C">
        <w:rPr>
          <w:sz w:val="24"/>
          <w:szCs w:val="24"/>
        </w:rPr>
        <w:t>2</w:t>
      </w:r>
      <w:r w:rsidR="00C10543">
        <w:rPr>
          <w:sz w:val="24"/>
          <w:szCs w:val="24"/>
        </w:rPr>
        <w:t>,</w:t>
      </w:r>
      <w:r w:rsidRPr="00F7532C">
        <w:rPr>
          <w:sz w:val="24"/>
          <w:szCs w:val="24"/>
        </w:rPr>
        <w:t xml:space="preserve"> 8, 9.</w:t>
      </w:r>
    </w:p>
    <w:p w:rsidR="00194CFB" w:rsidRPr="00F7532C" w:rsidRDefault="00194CFB" w:rsidP="00FA304F">
      <w:pPr>
        <w:pStyle w:val="ListParagraph"/>
        <w:spacing w:line="360" w:lineRule="auto"/>
        <w:rPr>
          <w:sz w:val="24"/>
          <w:szCs w:val="24"/>
        </w:rPr>
      </w:pPr>
    </w:p>
    <w:p w:rsidR="00194CFB" w:rsidRPr="00F7532C" w:rsidRDefault="00194CFB" w:rsidP="00C419F9">
      <w:pPr>
        <w:numPr>
          <w:ilvl w:val="0"/>
          <w:numId w:val="18"/>
        </w:numPr>
        <w:tabs>
          <w:tab w:val="left" w:pos="2160"/>
        </w:tabs>
        <w:spacing w:line="360" w:lineRule="auto"/>
        <w:ind w:left="0" w:firstLine="1440"/>
        <w:rPr>
          <w:sz w:val="24"/>
          <w:szCs w:val="24"/>
        </w:rPr>
      </w:pPr>
      <w:r w:rsidRPr="00F7532C">
        <w:rPr>
          <w:sz w:val="24"/>
          <w:szCs w:val="24"/>
        </w:rPr>
        <w:t>The Complainant submitted no documentation of the April 201</w:t>
      </w:r>
      <w:r w:rsidR="000B3AD9" w:rsidRPr="00F7532C">
        <w:rPr>
          <w:sz w:val="24"/>
          <w:szCs w:val="24"/>
        </w:rPr>
        <w:t>2</w:t>
      </w:r>
      <w:r w:rsidRPr="00F7532C">
        <w:rPr>
          <w:sz w:val="24"/>
          <w:szCs w:val="24"/>
        </w:rPr>
        <w:t xml:space="preserve"> payment.  Tr</w:t>
      </w:r>
      <w:r w:rsidR="00FA304F" w:rsidRPr="00F7532C">
        <w:rPr>
          <w:sz w:val="24"/>
          <w:szCs w:val="24"/>
        </w:rPr>
        <w:t xml:space="preserve">. </w:t>
      </w:r>
      <w:r w:rsidRPr="00F7532C">
        <w:rPr>
          <w:sz w:val="24"/>
          <w:szCs w:val="24"/>
        </w:rPr>
        <w:t>2</w:t>
      </w:r>
      <w:r w:rsidR="00C10543">
        <w:rPr>
          <w:sz w:val="24"/>
          <w:szCs w:val="24"/>
        </w:rPr>
        <w:t>,</w:t>
      </w:r>
      <w:r w:rsidRPr="00F7532C">
        <w:rPr>
          <w:sz w:val="24"/>
          <w:szCs w:val="24"/>
        </w:rPr>
        <w:t xml:space="preserve"> 10, 13.</w:t>
      </w:r>
    </w:p>
    <w:p w:rsidR="00194CFB" w:rsidRPr="00F7532C" w:rsidRDefault="00194CFB" w:rsidP="00FA304F">
      <w:pPr>
        <w:pStyle w:val="ListParagraph"/>
        <w:spacing w:line="360" w:lineRule="auto"/>
        <w:rPr>
          <w:sz w:val="24"/>
          <w:szCs w:val="24"/>
        </w:rPr>
      </w:pPr>
    </w:p>
    <w:p w:rsidR="00194CFB" w:rsidRPr="00F7532C" w:rsidRDefault="00194CFB" w:rsidP="00C419F9">
      <w:pPr>
        <w:numPr>
          <w:ilvl w:val="0"/>
          <w:numId w:val="18"/>
        </w:numPr>
        <w:tabs>
          <w:tab w:val="left" w:pos="2160"/>
        </w:tabs>
        <w:spacing w:line="360" w:lineRule="auto"/>
        <w:ind w:left="0" w:firstLine="1440"/>
        <w:rPr>
          <w:sz w:val="24"/>
          <w:szCs w:val="24"/>
        </w:rPr>
      </w:pPr>
      <w:r w:rsidRPr="00F7532C">
        <w:rPr>
          <w:sz w:val="24"/>
          <w:szCs w:val="24"/>
        </w:rPr>
        <w:t>On June 25, 2012, the Complainant made a payment of $400; the same amount of the two money orders.  Tr</w:t>
      </w:r>
      <w:r w:rsidR="0001696B" w:rsidRPr="00F7532C">
        <w:rPr>
          <w:sz w:val="24"/>
          <w:szCs w:val="24"/>
        </w:rPr>
        <w:t xml:space="preserve">. </w:t>
      </w:r>
      <w:r w:rsidRPr="00F7532C">
        <w:rPr>
          <w:sz w:val="24"/>
          <w:szCs w:val="24"/>
        </w:rPr>
        <w:t>2</w:t>
      </w:r>
      <w:r w:rsidR="001B6470" w:rsidRPr="00F7532C">
        <w:rPr>
          <w:sz w:val="24"/>
          <w:szCs w:val="24"/>
        </w:rPr>
        <w:t>,</w:t>
      </w:r>
      <w:r w:rsidRPr="00F7532C">
        <w:rPr>
          <w:sz w:val="24"/>
          <w:szCs w:val="24"/>
        </w:rPr>
        <w:t xml:space="preserve"> 16.</w:t>
      </w:r>
    </w:p>
    <w:p w:rsidR="00194CFB" w:rsidRPr="00F7532C" w:rsidRDefault="00194CFB" w:rsidP="0001696B">
      <w:pPr>
        <w:pStyle w:val="ListParagraph"/>
        <w:spacing w:line="360" w:lineRule="auto"/>
        <w:rPr>
          <w:sz w:val="24"/>
          <w:szCs w:val="24"/>
        </w:rPr>
      </w:pPr>
    </w:p>
    <w:p w:rsidR="00194CFB" w:rsidRPr="00F7532C" w:rsidRDefault="00194CFB" w:rsidP="00C419F9">
      <w:pPr>
        <w:numPr>
          <w:ilvl w:val="0"/>
          <w:numId w:val="18"/>
        </w:numPr>
        <w:tabs>
          <w:tab w:val="left" w:pos="2160"/>
        </w:tabs>
        <w:spacing w:line="360" w:lineRule="auto"/>
        <w:ind w:left="0" w:firstLine="1440"/>
        <w:rPr>
          <w:sz w:val="24"/>
          <w:szCs w:val="24"/>
        </w:rPr>
      </w:pPr>
      <w:r w:rsidRPr="00F7532C">
        <w:rPr>
          <w:sz w:val="24"/>
          <w:szCs w:val="24"/>
        </w:rPr>
        <w:t>The two</w:t>
      </w:r>
      <w:r w:rsidR="000B3AD9" w:rsidRPr="00F7532C">
        <w:rPr>
          <w:sz w:val="24"/>
          <w:szCs w:val="24"/>
        </w:rPr>
        <w:t xml:space="preserve"> November 2011 </w:t>
      </w:r>
      <w:r w:rsidRPr="00F7532C">
        <w:rPr>
          <w:sz w:val="24"/>
          <w:szCs w:val="24"/>
        </w:rPr>
        <w:t>money orders total</w:t>
      </w:r>
      <w:r w:rsidR="00852AE9">
        <w:rPr>
          <w:sz w:val="24"/>
          <w:szCs w:val="24"/>
        </w:rPr>
        <w:t>ing</w:t>
      </w:r>
      <w:r w:rsidRPr="00F7532C">
        <w:rPr>
          <w:sz w:val="24"/>
          <w:szCs w:val="24"/>
        </w:rPr>
        <w:t xml:space="preserve"> $400 were never cashed.  Tr</w:t>
      </w:r>
      <w:r w:rsidR="00AA4A02" w:rsidRPr="00F7532C">
        <w:rPr>
          <w:sz w:val="24"/>
          <w:szCs w:val="24"/>
        </w:rPr>
        <w:t xml:space="preserve">. </w:t>
      </w:r>
      <w:r w:rsidRPr="00F7532C">
        <w:rPr>
          <w:sz w:val="24"/>
          <w:szCs w:val="24"/>
        </w:rPr>
        <w:t>2</w:t>
      </w:r>
      <w:r w:rsidR="00573D9F" w:rsidRPr="00F7532C">
        <w:rPr>
          <w:sz w:val="24"/>
          <w:szCs w:val="24"/>
        </w:rPr>
        <w:t>,</w:t>
      </w:r>
      <w:r w:rsidRPr="00F7532C">
        <w:rPr>
          <w:sz w:val="24"/>
          <w:szCs w:val="24"/>
        </w:rPr>
        <w:t xml:space="preserve"> 16.</w:t>
      </w:r>
    </w:p>
    <w:p w:rsidR="00194CFB" w:rsidRPr="00F7532C" w:rsidRDefault="00194CFB" w:rsidP="001B6470">
      <w:pPr>
        <w:pStyle w:val="ListParagraph"/>
        <w:spacing w:line="360" w:lineRule="auto"/>
        <w:rPr>
          <w:sz w:val="24"/>
          <w:szCs w:val="24"/>
        </w:rPr>
      </w:pPr>
    </w:p>
    <w:p w:rsidR="00194CFB" w:rsidRPr="00F7532C" w:rsidRDefault="00194CFB" w:rsidP="00C419F9">
      <w:pPr>
        <w:numPr>
          <w:ilvl w:val="0"/>
          <w:numId w:val="18"/>
        </w:numPr>
        <w:tabs>
          <w:tab w:val="left" w:pos="2160"/>
        </w:tabs>
        <w:spacing w:line="360" w:lineRule="auto"/>
        <w:ind w:left="0" w:firstLine="1440"/>
        <w:rPr>
          <w:sz w:val="24"/>
          <w:szCs w:val="24"/>
        </w:rPr>
      </w:pPr>
      <w:r w:rsidRPr="00F7532C">
        <w:rPr>
          <w:sz w:val="24"/>
          <w:szCs w:val="24"/>
        </w:rPr>
        <w:t xml:space="preserve">The Respondent credited the Complainant’s account $30 to reimburse her for the cost of tracing the two </w:t>
      </w:r>
      <w:r w:rsidR="000B3AD9" w:rsidRPr="00F7532C">
        <w:rPr>
          <w:sz w:val="24"/>
          <w:szCs w:val="24"/>
        </w:rPr>
        <w:t xml:space="preserve">November 2011 </w:t>
      </w:r>
      <w:r w:rsidRPr="00F7532C">
        <w:rPr>
          <w:sz w:val="24"/>
          <w:szCs w:val="24"/>
        </w:rPr>
        <w:t>money orders.  Tr</w:t>
      </w:r>
      <w:r w:rsidR="001B6470" w:rsidRPr="00F7532C">
        <w:rPr>
          <w:sz w:val="24"/>
          <w:szCs w:val="24"/>
        </w:rPr>
        <w:t xml:space="preserve">. </w:t>
      </w:r>
      <w:r w:rsidRPr="00F7532C">
        <w:rPr>
          <w:sz w:val="24"/>
          <w:szCs w:val="24"/>
        </w:rPr>
        <w:t>2</w:t>
      </w:r>
      <w:r w:rsidR="001B6470" w:rsidRPr="00F7532C">
        <w:rPr>
          <w:sz w:val="24"/>
          <w:szCs w:val="24"/>
        </w:rPr>
        <w:t xml:space="preserve">; </w:t>
      </w:r>
      <w:r w:rsidRPr="00F7532C">
        <w:rPr>
          <w:sz w:val="24"/>
          <w:szCs w:val="24"/>
        </w:rPr>
        <w:t>PPL Exh</w:t>
      </w:r>
      <w:r w:rsidR="001B6470" w:rsidRPr="00F7532C">
        <w:rPr>
          <w:sz w:val="24"/>
          <w:szCs w:val="24"/>
        </w:rPr>
        <w:t>.</w:t>
      </w:r>
      <w:r w:rsidRPr="00F7532C">
        <w:rPr>
          <w:sz w:val="24"/>
          <w:szCs w:val="24"/>
        </w:rPr>
        <w:t xml:space="preserve"> 1</w:t>
      </w:r>
      <w:r w:rsidR="004B042F" w:rsidRPr="00F7532C">
        <w:rPr>
          <w:sz w:val="24"/>
          <w:szCs w:val="24"/>
        </w:rPr>
        <w:t>.</w:t>
      </w:r>
    </w:p>
    <w:p w:rsidR="00194CFB" w:rsidRPr="00F7532C" w:rsidRDefault="00194CFB" w:rsidP="001B6470">
      <w:pPr>
        <w:pStyle w:val="ListParagraph"/>
        <w:spacing w:line="360" w:lineRule="auto"/>
        <w:rPr>
          <w:sz w:val="24"/>
          <w:szCs w:val="24"/>
        </w:rPr>
      </w:pPr>
    </w:p>
    <w:p w:rsidR="00194CFB" w:rsidRDefault="00194CFB" w:rsidP="00C419F9">
      <w:pPr>
        <w:numPr>
          <w:ilvl w:val="0"/>
          <w:numId w:val="18"/>
        </w:numPr>
        <w:tabs>
          <w:tab w:val="left" w:pos="2160"/>
        </w:tabs>
        <w:spacing w:line="360" w:lineRule="auto"/>
        <w:ind w:left="0" w:firstLine="1440"/>
        <w:rPr>
          <w:sz w:val="24"/>
          <w:szCs w:val="24"/>
        </w:rPr>
      </w:pPr>
      <w:r w:rsidRPr="00F7532C">
        <w:rPr>
          <w:sz w:val="24"/>
          <w:szCs w:val="24"/>
        </w:rPr>
        <w:t>As of August 23, 2012, the Complainant’s outstanding balance was $1,373.07.  Tr</w:t>
      </w:r>
      <w:r w:rsidR="00573D9F" w:rsidRPr="00F7532C">
        <w:rPr>
          <w:sz w:val="24"/>
          <w:szCs w:val="24"/>
        </w:rPr>
        <w:t xml:space="preserve">. </w:t>
      </w:r>
      <w:r w:rsidRPr="00F7532C">
        <w:rPr>
          <w:sz w:val="24"/>
          <w:szCs w:val="24"/>
        </w:rPr>
        <w:t>2</w:t>
      </w:r>
      <w:r w:rsidR="00573D9F" w:rsidRPr="00F7532C">
        <w:rPr>
          <w:sz w:val="24"/>
          <w:szCs w:val="24"/>
        </w:rPr>
        <w:t>,</w:t>
      </w:r>
      <w:r w:rsidRPr="00F7532C">
        <w:rPr>
          <w:sz w:val="24"/>
          <w:szCs w:val="24"/>
        </w:rPr>
        <w:t xml:space="preserve"> 18.</w:t>
      </w:r>
    </w:p>
    <w:p w:rsidR="00EA24C1" w:rsidRPr="00F7532C" w:rsidRDefault="00EA24C1" w:rsidP="00EA24C1">
      <w:pPr>
        <w:spacing w:line="360" w:lineRule="auto"/>
        <w:ind w:left="1440"/>
        <w:rPr>
          <w:sz w:val="24"/>
          <w:szCs w:val="24"/>
        </w:rPr>
      </w:pPr>
    </w:p>
    <w:p w:rsidR="00EA24C1" w:rsidRDefault="00EA24C1">
      <w:pPr>
        <w:rPr>
          <w:sz w:val="24"/>
          <w:szCs w:val="24"/>
          <w:u w:val="single"/>
        </w:rPr>
      </w:pPr>
      <w:r>
        <w:rPr>
          <w:sz w:val="24"/>
          <w:szCs w:val="24"/>
          <w:u w:val="single"/>
        </w:rPr>
        <w:br w:type="page"/>
      </w:r>
    </w:p>
    <w:p w:rsidR="00C419F9" w:rsidRPr="00F7532C" w:rsidRDefault="00C419F9" w:rsidP="00DE2348">
      <w:pPr>
        <w:spacing w:line="360" w:lineRule="auto"/>
        <w:jc w:val="center"/>
        <w:rPr>
          <w:sz w:val="24"/>
          <w:szCs w:val="24"/>
          <w:u w:val="single"/>
        </w:rPr>
      </w:pPr>
      <w:r w:rsidRPr="00F7532C">
        <w:rPr>
          <w:sz w:val="24"/>
          <w:szCs w:val="24"/>
          <w:u w:val="single"/>
        </w:rPr>
        <w:t>DISCUSSION</w:t>
      </w:r>
    </w:p>
    <w:p w:rsidR="00C419F9" w:rsidRPr="00F7532C"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F7532C">
        <w:rPr>
          <w:sz w:val="24"/>
          <w:szCs w:val="24"/>
          <w:u w:val="single"/>
        </w:rPr>
        <w:t>Burden of Proof</w:t>
      </w:r>
      <w:r w:rsidRPr="00F7532C">
        <w:rPr>
          <w:sz w:val="24"/>
          <w:szCs w:val="24"/>
        </w:rPr>
        <w:t>:</w:t>
      </w:r>
    </w:p>
    <w:p w:rsidR="00876F7A" w:rsidRPr="00F7532C" w:rsidRDefault="00876F7A" w:rsidP="00B0541E">
      <w:pPr>
        <w:spacing w:line="360" w:lineRule="auto"/>
        <w:rPr>
          <w:sz w:val="24"/>
          <w:szCs w:val="24"/>
        </w:rPr>
      </w:pPr>
    </w:p>
    <w:p w:rsidR="00E659AC" w:rsidRPr="00F7532C" w:rsidRDefault="00E659AC" w:rsidP="00E659AC">
      <w:pPr>
        <w:spacing w:line="360" w:lineRule="auto"/>
        <w:ind w:firstLine="1440"/>
        <w:rPr>
          <w:sz w:val="24"/>
          <w:szCs w:val="24"/>
        </w:rPr>
      </w:pPr>
      <w:r w:rsidRPr="00F7532C">
        <w:rPr>
          <w:sz w:val="24"/>
          <w:szCs w:val="24"/>
        </w:rPr>
        <w:t xml:space="preserve">Section 332(a) of the Public Utility Code, </w:t>
      </w:r>
      <w:hyperlink r:id="rId9" w:history="1">
        <w:r w:rsidRPr="00F7532C">
          <w:rPr>
            <w:rStyle w:val="Hyperlink"/>
            <w:color w:val="auto"/>
            <w:sz w:val="24"/>
            <w:szCs w:val="24"/>
          </w:rPr>
          <w:t>66 Pa. C.S. § 332(a)</w:t>
        </w:r>
      </w:hyperlink>
      <w:r w:rsidRPr="00F7532C">
        <w:rPr>
          <w:sz w:val="24"/>
          <w:szCs w:val="24"/>
        </w:rPr>
        <w:t>, provides that the party seeking relief from the Commission has the burden of proof.</w:t>
      </w:r>
      <w:r w:rsidR="003E3FA8">
        <w:rPr>
          <w:sz w:val="24"/>
          <w:szCs w:val="24"/>
        </w:rPr>
        <w:t xml:space="preserve"> </w:t>
      </w:r>
      <w:r w:rsidRPr="00F7532C">
        <w:rPr>
          <w:sz w:val="24"/>
          <w:szCs w:val="24"/>
        </w:rPr>
        <w:t xml:space="preserve"> Complainant seeks relief from the Commission, and, therefore, has the burden of proof in this proceeding.</w:t>
      </w:r>
    </w:p>
    <w:p w:rsidR="00E659AC" w:rsidRPr="00F7532C" w:rsidRDefault="00E659AC" w:rsidP="00E659AC">
      <w:pPr>
        <w:spacing w:line="360" w:lineRule="auto"/>
        <w:ind w:firstLine="1440"/>
        <w:rPr>
          <w:sz w:val="24"/>
          <w:szCs w:val="24"/>
        </w:rPr>
      </w:pPr>
    </w:p>
    <w:p w:rsidR="00E659AC" w:rsidRPr="00F7532C" w:rsidRDefault="00695E1A" w:rsidP="00E659AC">
      <w:pPr>
        <w:spacing w:line="360" w:lineRule="auto"/>
        <w:ind w:firstLine="1440"/>
        <w:rPr>
          <w:sz w:val="24"/>
          <w:szCs w:val="24"/>
        </w:rPr>
      </w:pPr>
      <w:r>
        <w:rPr>
          <w:sz w:val="24"/>
          <w:szCs w:val="24"/>
        </w:rPr>
        <w:t>“</w:t>
      </w:r>
      <w:r w:rsidR="00E659AC" w:rsidRPr="00F7532C">
        <w:rPr>
          <w:sz w:val="24"/>
          <w:szCs w:val="24"/>
        </w:rPr>
        <w:t>Burden of proof</w:t>
      </w:r>
      <w:r>
        <w:rPr>
          <w:sz w:val="24"/>
          <w:szCs w:val="24"/>
        </w:rPr>
        <w:t>”</w:t>
      </w:r>
      <w:r w:rsidR="00E659AC" w:rsidRPr="00F7532C">
        <w:rPr>
          <w:sz w:val="24"/>
          <w:szCs w:val="24"/>
        </w:rPr>
        <w:t xml:space="preserve"> means a duty to establish a fact by a preponderance of the evidence, or evidence more convincing, by even the smallest degree, than the evidence presented by the other party. </w:t>
      </w:r>
      <w:r w:rsidR="0017678A">
        <w:rPr>
          <w:sz w:val="24"/>
          <w:szCs w:val="24"/>
        </w:rPr>
        <w:t xml:space="preserve"> </w:t>
      </w:r>
      <w:hyperlink r:id="rId10" w:history="1">
        <w:r w:rsidR="00E659AC" w:rsidRPr="00F7532C">
          <w:rPr>
            <w:rStyle w:val="Hyperlink"/>
            <w:i/>
            <w:color w:val="auto"/>
            <w:sz w:val="24"/>
            <w:szCs w:val="24"/>
          </w:rPr>
          <w:t>Se-Ling Hosiery v. Margulies</w:t>
        </w:r>
        <w:r w:rsidR="00E659AC" w:rsidRPr="00F7532C">
          <w:rPr>
            <w:rStyle w:val="Hyperlink"/>
            <w:color w:val="auto"/>
            <w:sz w:val="24"/>
            <w:szCs w:val="24"/>
          </w:rPr>
          <w:t>, 364 Pa. 54, 70 A.2d 854 (1950).</w:t>
        </w:r>
      </w:hyperlink>
    </w:p>
    <w:p w:rsidR="00E659AC" w:rsidRPr="00F7532C" w:rsidRDefault="00E659AC" w:rsidP="00E659AC">
      <w:pPr>
        <w:spacing w:line="360" w:lineRule="auto"/>
        <w:rPr>
          <w:sz w:val="24"/>
          <w:szCs w:val="24"/>
        </w:rPr>
      </w:pPr>
    </w:p>
    <w:p w:rsidR="00E659AC" w:rsidRPr="00F7532C" w:rsidRDefault="00E659AC" w:rsidP="00E659AC">
      <w:pPr>
        <w:spacing w:line="360" w:lineRule="auto"/>
        <w:rPr>
          <w:sz w:val="24"/>
          <w:szCs w:val="24"/>
        </w:rPr>
      </w:pPr>
      <w:r w:rsidRPr="00F7532C">
        <w:rPr>
          <w:sz w:val="24"/>
          <w:szCs w:val="24"/>
        </w:rPr>
        <w:tab/>
      </w:r>
      <w:r w:rsidRPr="00F7532C">
        <w:rPr>
          <w:sz w:val="24"/>
          <w:szCs w:val="24"/>
        </w:rPr>
        <w:tab/>
        <w:t xml:space="preserve">If a complainant establishes a </w:t>
      </w:r>
      <w:r w:rsidRPr="00F7532C">
        <w:rPr>
          <w:i/>
          <w:sz w:val="24"/>
          <w:szCs w:val="24"/>
        </w:rPr>
        <w:t>prima facie</w:t>
      </w:r>
      <w:r w:rsidRPr="00F7532C">
        <w:rPr>
          <w:sz w:val="24"/>
          <w:szCs w:val="24"/>
        </w:rPr>
        <w:t xml:space="preserve"> case, the burden of going forward with the evidence shifts to the utility. </w:t>
      </w:r>
      <w:r w:rsidR="003C41D9">
        <w:rPr>
          <w:sz w:val="24"/>
          <w:szCs w:val="24"/>
        </w:rPr>
        <w:t xml:space="preserve"> </w:t>
      </w:r>
      <w:r w:rsidRPr="00F7532C">
        <w:rPr>
          <w:sz w:val="24"/>
          <w:szCs w:val="24"/>
        </w:rPr>
        <w:t>If a utility does not rebut that evidence, a complainant will prevail.</w:t>
      </w:r>
      <w:r w:rsidR="006A63DD">
        <w:rPr>
          <w:sz w:val="24"/>
          <w:szCs w:val="24"/>
        </w:rPr>
        <w:t xml:space="preserve"> </w:t>
      </w:r>
      <w:r w:rsidRPr="00F7532C">
        <w:rPr>
          <w:sz w:val="24"/>
          <w:szCs w:val="24"/>
        </w:rPr>
        <w:t xml:space="preserve"> If the utility rebuts complainant</w:t>
      </w:r>
      <w:r w:rsidR="006A63DD">
        <w:rPr>
          <w:sz w:val="24"/>
          <w:szCs w:val="24"/>
        </w:rPr>
        <w:t>’</w:t>
      </w:r>
      <w:r w:rsidRPr="00F7532C">
        <w:rPr>
          <w:sz w:val="24"/>
          <w:szCs w:val="24"/>
        </w:rPr>
        <w:t>s evidence, the burden of going forward with the evidence shifts back to a complainant, who must rebut the utility</w:t>
      </w:r>
      <w:r w:rsidR="006A63DD">
        <w:rPr>
          <w:sz w:val="24"/>
          <w:szCs w:val="24"/>
        </w:rPr>
        <w:t>’</w:t>
      </w:r>
      <w:r w:rsidRPr="00F7532C">
        <w:rPr>
          <w:sz w:val="24"/>
          <w:szCs w:val="24"/>
        </w:rPr>
        <w:t xml:space="preserve">s evidence by a preponderance of the evidence. </w:t>
      </w:r>
      <w:r w:rsidR="006A63DD">
        <w:rPr>
          <w:sz w:val="24"/>
          <w:szCs w:val="24"/>
        </w:rPr>
        <w:t xml:space="preserve"> </w:t>
      </w:r>
      <w:r w:rsidRPr="00F7532C">
        <w:rPr>
          <w:sz w:val="24"/>
          <w:szCs w:val="24"/>
        </w:rPr>
        <w:t xml:space="preserve">The burden of going forward with the evidence may shift from one party to another, but the burden of proof never shifts; it always remains on a complainant. </w:t>
      </w:r>
      <w:r w:rsidR="00695E1A">
        <w:rPr>
          <w:sz w:val="24"/>
          <w:szCs w:val="24"/>
        </w:rPr>
        <w:t xml:space="preserve"> </w:t>
      </w:r>
      <w:hyperlink r:id="rId11" w:history="1">
        <w:r w:rsidRPr="00F7532C">
          <w:rPr>
            <w:rStyle w:val="Hyperlink"/>
            <w:i/>
            <w:color w:val="auto"/>
            <w:sz w:val="24"/>
            <w:szCs w:val="24"/>
          </w:rPr>
          <w:t>Replogle v. Pennsylvania Electric Company,</w:t>
        </w:r>
        <w:r w:rsidRPr="00F7532C">
          <w:rPr>
            <w:rStyle w:val="Hyperlink"/>
            <w:color w:val="auto"/>
            <w:sz w:val="24"/>
            <w:szCs w:val="24"/>
          </w:rPr>
          <w:t xml:space="preserve"> 54 Pa. PUC 528 (1980),</w:t>
        </w:r>
      </w:hyperlink>
      <w:r w:rsidRPr="00F7532C">
        <w:rPr>
          <w:sz w:val="24"/>
          <w:szCs w:val="24"/>
        </w:rPr>
        <w:t xml:space="preserve"> and </w:t>
      </w:r>
      <w:hyperlink r:id="rId12" w:history="1">
        <w:r w:rsidRPr="00F7532C">
          <w:rPr>
            <w:rStyle w:val="Hyperlink"/>
            <w:i/>
            <w:color w:val="auto"/>
            <w:sz w:val="24"/>
            <w:szCs w:val="24"/>
          </w:rPr>
          <w:t>Waldron v. Philadelphia Electric Company</w:t>
        </w:r>
        <w:r w:rsidRPr="00F7532C">
          <w:rPr>
            <w:rStyle w:val="Hyperlink"/>
            <w:color w:val="auto"/>
            <w:sz w:val="24"/>
            <w:szCs w:val="24"/>
          </w:rPr>
          <w:t>, 54 Pa. PUC 98 (1980).</w:t>
        </w:r>
      </w:hyperlink>
    </w:p>
    <w:p w:rsidR="00E659AC" w:rsidRPr="00F7532C" w:rsidRDefault="00E659AC" w:rsidP="00E659AC">
      <w:pPr>
        <w:spacing w:line="360" w:lineRule="auto"/>
        <w:rPr>
          <w:sz w:val="24"/>
          <w:szCs w:val="24"/>
        </w:rPr>
      </w:pPr>
    </w:p>
    <w:p w:rsidR="00E659AC" w:rsidRPr="00F7532C" w:rsidRDefault="00E659AC" w:rsidP="00E659AC">
      <w:pPr>
        <w:spacing w:line="360" w:lineRule="auto"/>
        <w:rPr>
          <w:sz w:val="24"/>
          <w:szCs w:val="24"/>
        </w:rPr>
      </w:pPr>
      <w:r w:rsidRPr="00F7532C">
        <w:rPr>
          <w:sz w:val="24"/>
          <w:szCs w:val="24"/>
        </w:rPr>
        <w:tab/>
      </w:r>
      <w:r w:rsidRPr="00F7532C">
        <w:rPr>
          <w:sz w:val="24"/>
          <w:szCs w:val="24"/>
        </w:rPr>
        <w:tab/>
        <w:t xml:space="preserve">If </w:t>
      </w:r>
      <w:r w:rsidR="00A938C1">
        <w:rPr>
          <w:sz w:val="24"/>
          <w:szCs w:val="24"/>
        </w:rPr>
        <w:t>r</w:t>
      </w:r>
      <w:r w:rsidRPr="00F7532C">
        <w:rPr>
          <w:sz w:val="24"/>
          <w:szCs w:val="24"/>
        </w:rPr>
        <w:t xml:space="preserve">espondent submits evidence of </w:t>
      </w:r>
      <w:r w:rsidR="00A938C1">
        <w:rPr>
          <w:sz w:val="24"/>
          <w:szCs w:val="24"/>
        </w:rPr>
        <w:t>“</w:t>
      </w:r>
      <w:r w:rsidRPr="00F7532C">
        <w:rPr>
          <w:sz w:val="24"/>
          <w:szCs w:val="24"/>
        </w:rPr>
        <w:t>co-equal</w:t>
      </w:r>
      <w:r w:rsidR="00A938C1">
        <w:rPr>
          <w:sz w:val="24"/>
          <w:szCs w:val="24"/>
        </w:rPr>
        <w:t>”</w:t>
      </w:r>
      <w:r w:rsidRPr="00F7532C">
        <w:rPr>
          <w:sz w:val="24"/>
          <w:szCs w:val="24"/>
        </w:rPr>
        <w:t xml:space="preserve"> weight to refute </w:t>
      </w:r>
      <w:r w:rsidR="00A938C1">
        <w:rPr>
          <w:sz w:val="24"/>
          <w:szCs w:val="24"/>
        </w:rPr>
        <w:t>c</w:t>
      </w:r>
      <w:r w:rsidRPr="00F7532C">
        <w:rPr>
          <w:sz w:val="24"/>
          <w:szCs w:val="24"/>
        </w:rPr>
        <w:t>omplainant</w:t>
      </w:r>
      <w:r w:rsidR="00A755CD">
        <w:rPr>
          <w:sz w:val="24"/>
          <w:szCs w:val="24"/>
        </w:rPr>
        <w:t>’</w:t>
      </w:r>
      <w:r w:rsidRPr="00F7532C">
        <w:rPr>
          <w:sz w:val="24"/>
          <w:szCs w:val="24"/>
        </w:rPr>
        <w:t xml:space="preserve">s evidence, </w:t>
      </w:r>
      <w:r w:rsidR="00A938C1">
        <w:rPr>
          <w:sz w:val="24"/>
          <w:szCs w:val="24"/>
        </w:rPr>
        <w:t>c</w:t>
      </w:r>
      <w:r w:rsidRPr="00F7532C">
        <w:rPr>
          <w:sz w:val="24"/>
          <w:szCs w:val="24"/>
        </w:rPr>
        <w:t xml:space="preserve">omplainant has not satisfied the burden of proof unless it presents additional evidence opposing </w:t>
      </w:r>
      <w:r w:rsidR="00A938C1">
        <w:rPr>
          <w:sz w:val="24"/>
          <w:szCs w:val="24"/>
        </w:rPr>
        <w:t>r</w:t>
      </w:r>
      <w:r w:rsidRPr="00F7532C">
        <w:rPr>
          <w:sz w:val="24"/>
          <w:szCs w:val="24"/>
        </w:rPr>
        <w:t>espondent</w:t>
      </w:r>
      <w:r w:rsidR="003240D7">
        <w:rPr>
          <w:sz w:val="24"/>
          <w:szCs w:val="24"/>
        </w:rPr>
        <w:t>’</w:t>
      </w:r>
      <w:r w:rsidRPr="00F7532C">
        <w:rPr>
          <w:sz w:val="24"/>
          <w:szCs w:val="24"/>
        </w:rPr>
        <w:t xml:space="preserve">s evidence. </w:t>
      </w:r>
      <w:r w:rsidR="00A938C1">
        <w:rPr>
          <w:sz w:val="24"/>
          <w:szCs w:val="24"/>
        </w:rPr>
        <w:t xml:space="preserve"> </w:t>
      </w:r>
      <w:hyperlink r:id="rId13" w:history="1">
        <w:r w:rsidRPr="00F7532C">
          <w:rPr>
            <w:rStyle w:val="Hyperlink"/>
            <w:i/>
            <w:color w:val="auto"/>
            <w:sz w:val="24"/>
            <w:szCs w:val="24"/>
          </w:rPr>
          <w:t>Morrissey v. PA Dept. of Highways,</w:t>
        </w:r>
        <w:r w:rsidRPr="00F7532C">
          <w:rPr>
            <w:rStyle w:val="Hyperlink"/>
            <w:color w:val="auto"/>
            <w:sz w:val="24"/>
            <w:szCs w:val="24"/>
          </w:rPr>
          <w:t xml:space="preserve"> 424 Pa. 87, 225 A.2d 895 (1967),</w:t>
        </w:r>
      </w:hyperlink>
      <w:bookmarkStart w:id="0" w:name="7387-14"/>
      <w:bookmarkEnd w:id="0"/>
      <w:r w:rsidRPr="00F7532C">
        <w:rPr>
          <w:sz w:val="24"/>
          <w:szCs w:val="24"/>
        </w:rPr>
        <w:t xml:space="preserve"> and </w:t>
      </w:r>
      <w:hyperlink r:id="rId14" w:history="1">
        <w:r w:rsidRPr="00F7532C">
          <w:rPr>
            <w:rStyle w:val="Hyperlink"/>
            <w:i/>
            <w:color w:val="auto"/>
            <w:sz w:val="24"/>
            <w:szCs w:val="24"/>
          </w:rPr>
          <w:t>Burleson v. Pa. P.U.C</w:t>
        </w:r>
        <w:r w:rsidRPr="00F7532C">
          <w:rPr>
            <w:rStyle w:val="Hyperlink"/>
            <w:color w:val="auto"/>
            <w:sz w:val="24"/>
            <w:szCs w:val="24"/>
          </w:rPr>
          <w:t>.</w:t>
        </w:r>
        <w:r w:rsidR="00A755CD">
          <w:rPr>
            <w:rStyle w:val="Hyperlink"/>
            <w:color w:val="auto"/>
            <w:sz w:val="24"/>
            <w:szCs w:val="24"/>
          </w:rPr>
          <w:t>,</w:t>
        </w:r>
        <w:r w:rsidRPr="00F7532C">
          <w:rPr>
            <w:rStyle w:val="Hyperlink"/>
            <w:color w:val="auto"/>
            <w:sz w:val="24"/>
            <w:szCs w:val="24"/>
          </w:rPr>
          <w:t xml:space="preserve"> 66 Pa. Commonwealth Ct. 282, 443 A.2d 1373 (1982),</w:t>
        </w:r>
      </w:hyperlink>
      <w:r w:rsidRPr="00F7532C">
        <w:rPr>
          <w:sz w:val="24"/>
          <w:szCs w:val="24"/>
        </w:rPr>
        <w:t xml:space="preserve"> aff'd. </w:t>
      </w:r>
      <w:hyperlink r:id="rId15" w:history="1">
        <w:r w:rsidRPr="00F7532C">
          <w:rPr>
            <w:rStyle w:val="Hyperlink"/>
            <w:color w:val="auto"/>
            <w:sz w:val="24"/>
            <w:szCs w:val="24"/>
          </w:rPr>
          <w:t>501 Pa. 443, 461 A.2d 1234.</w:t>
        </w:r>
      </w:hyperlink>
    </w:p>
    <w:p w:rsidR="00E659AC" w:rsidRPr="00F7532C" w:rsidRDefault="00E659AC" w:rsidP="00E659AC">
      <w:pPr>
        <w:spacing w:line="360" w:lineRule="auto"/>
        <w:rPr>
          <w:sz w:val="24"/>
          <w:szCs w:val="24"/>
        </w:rPr>
      </w:pPr>
    </w:p>
    <w:p w:rsidR="00E659AC" w:rsidRDefault="00E659AC" w:rsidP="00E659AC">
      <w:pPr>
        <w:spacing w:line="360" w:lineRule="auto"/>
        <w:rPr>
          <w:rStyle w:val="Hyperlink"/>
          <w:color w:val="auto"/>
          <w:sz w:val="24"/>
          <w:szCs w:val="24"/>
        </w:rPr>
      </w:pPr>
      <w:r w:rsidRPr="00F7532C">
        <w:rPr>
          <w:sz w:val="24"/>
          <w:szCs w:val="24"/>
        </w:rPr>
        <w:tab/>
      </w:r>
      <w:r w:rsidRPr="00F7532C">
        <w:rPr>
          <w:sz w:val="24"/>
          <w:szCs w:val="24"/>
        </w:rPr>
        <w:tab/>
        <w:t xml:space="preserve">The decision of the Commission must be supported by substantial evidence. </w:t>
      </w:r>
      <w:r w:rsidR="0050360C">
        <w:rPr>
          <w:sz w:val="24"/>
          <w:szCs w:val="24"/>
        </w:rPr>
        <w:t xml:space="preserve"> </w:t>
      </w:r>
      <w:r w:rsidRPr="00F7532C">
        <w:rPr>
          <w:sz w:val="24"/>
          <w:szCs w:val="24"/>
        </w:rPr>
        <w:t xml:space="preserve">See, e.g., Section 704 of the Administrative Agency Law, </w:t>
      </w:r>
      <w:hyperlink r:id="rId16" w:history="1">
        <w:r w:rsidRPr="00F7532C">
          <w:rPr>
            <w:rStyle w:val="Hyperlink"/>
            <w:color w:val="auto"/>
            <w:sz w:val="24"/>
            <w:szCs w:val="24"/>
          </w:rPr>
          <w:t>2 Pa. C.S. § 704</w:t>
        </w:r>
      </w:hyperlink>
      <w:r w:rsidRPr="00F7532C">
        <w:rPr>
          <w:sz w:val="24"/>
          <w:szCs w:val="24"/>
        </w:rPr>
        <w:t xml:space="preserve">. </w:t>
      </w:r>
      <w:r w:rsidR="0050360C">
        <w:rPr>
          <w:sz w:val="24"/>
          <w:szCs w:val="24"/>
        </w:rPr>
        <w:t xml:space="preserve"> “</w:t>
      </w:r>
      <w:r w:rsidRPr="00F7532C">
        <w:rPr>
          <w:sz w:val="24"/>
          <w:szCs w:val="24"/>
        </w:rPr>
        <w:t>Substantial evidence</w:t>
      </w:r>
      <w:r w:rsidR="0050360C">
        <w:rPr>
          <w:sz w:val="24"/>
          <w:szCs w:val="24"/>
        </w:rPr>
        <w:t>”</w:t>
      </w:r>
      <w:r w:rsidRPr="00F7532C">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785BFF">
        <w:rPr>
          <w:sz w:val="24"/>
          <w:szCs w:val="24"/>
        </w:rPr>
        <w:t xml:space="preserve"> </w:t>
      </w:r>
      <w:hyperlink r:id="rId17" w:history="1">
        <w:r w:rsidRPr="00F7532C">
          <w:rPr>
            <w:rStyle w:val="Hyperlink"/>
            <w:i/>
            <w:color w:val="auto"/>
            <w:sz w:val="24"/>
            <w:szCs w:val="24"/>
          </w:rPr>
          <w:t>Norfolk &amp; Western Ry. Co. v. Pa. P.U.C</w:t>
        </w:r>
        <w:r w:rsidRPr="00F7532C">
          <w:rPr>
            <w:rStyle w:val="Hyperlink"/>
            <w:color w:val="auto"/>
            <w:sz w:val="24"/>
            <w:szCs w:val="24"/>
          </w:rPr>
          <w:t>., 489 Pa. 109, 413 A.2d 1037 (1980);</w:t>
        </w:r>
      </w:hyperlink>
      <w:r w:rsidRPr="00F7532C">
        <w:rPr>
          <w:sz w:val="24"/>
          <w:szCs w:val="24"/>
        </w:rPr>
        <w:t xml:space="preserve"> </w:t>
      </w:r>
      <w:hyperlink r:id="rId18" w:history="1">
        <w:r w:rsidRPr="00F7532C">
          <w:rPr>
            <w:rStyle w:val="Hyperlink"/>
            <w:i/>
            <w:color w:val="auto"/>
            <w:sz w:val="24"/>
            <w:szCs w:val="24"/>
          </w:rPr>
          <w:t>Erie Resistor Corp. v. Unemployment Comp. Bd. of Review</w:t>
        </w:r>
        <w:r w:rsidRPr="00F7532C">
          <w:rPr>
            <w:rStyle w:val="Hyperlink"/>
            <w:color w:val="auto"/>
            <w:sz w:val="24"/>
            <w:szCs w:val="24"/>
          </w:rPr>
          <w:t>, 194 Pa. Superior Ct. 278, 166 A.2d 96 (1961);</w:t>
        </w:r>
      </w:hyperlink>
      <w:r w:rsidRPr="00F7532C">
        <w:rPr>
          <w:sz w:val="24"/>
          <w:szCs w:val="24"/>
        </w:rPr>
        <w:t xml:space="preserve"> and </w:t>
      </w:r>
      <w:hyperlink r:id="rId19" w:history="1">
        <w:r w:rsidRPr="00F7532C">
          <w:rPr>
            <w:rStyle w:val="Hyperlink"/>
            <w:i/>
            <w:color w:val="auto"/>
            <w:sz w:val="24"/>
            <w:szCs w:val="24"/>
          </w:rPr>
          <w:t>Murphy v. Comm., Dept. of Public Welfare, White Haven Center,</w:t>
        </w:r>
        <w:r w:rsidRPr="00F7532C">
          <w:rPr>
            <w:rStyle w:val="Hyperlink"/>
            <w:color w:val="auto"/>
            <w:sz w:val="24"/>
            <w:szCs w:val="24"/>
          </w:rPr>
          <w:t xml:space="preserve"> 85 Pa. Commonwealth Ct. 23, 480 A.2d 382 (1984).</w:t>
        </w:r>
      </w:hyperlink>
    </w:p>
    <w:p w:rsidR="00036BA3" w:rsidRPr="00F7532C" w:rsidRDefault="00036BA3" w:rsidP="00E659AC">
      <w:pPr>
        <w:spacing w:line="360" w:lineRule="auto"/>
        <w:rPr>
          <w:sz w:val="24"/>
          <w:szCs w:val="24"/>
        </w:rPr>
      </w:pPr>
    </w:p>
    <w:p w:rsidR="00E659AC" w:rsidRPr="00F7532C" w:rsidRDefault="00E659AC" w:rsidP="00E659AC">
      <w:pPr>
        <w:spacing w:line="360" w:lineRule="auto"/>
        <w:rPr>
          <w:sz w:val="24"/>
          <w:szCs w:val="24"/>
        </w:rPr>
      </w:pPr>
      <w:r w:rsidRPr="00F7532C">
        <w:rPr>
          <w:sz w:val="24"/>
          <w:szCs w:val="24"/>
        </w:rPr>
        <w:tab/>
      </w:r>
      <w:r w:rsidRPr="00F7532C">
        <w:rPr>
          <w:sz w:val="24"/>
          <w:szCs w:val="24"/>
        </w:rPr>
        <w:tab/>
        <w:t xml:space="preserve">The offense must be a violation of the Public Utility Code, the Commission’s regulations, or an outstanding order of the Commission.  66 Pa. C.S. § 701.  </w:t>
      </w:r>
    </w:p>
    <w:p w:rsidR="00093DB9" w:rsidRPr="00F7532C" w:rsidRDefault="00093DB9" w:rsidP="00DE6FB0">
      <w:pPr>
        <w:spacing w:line="360" w:lineRule="auto"/>
        <w:ind w:firstLine="1440"/>
        <w:rPr>
          <w:spacing w:val="-3"/>
          <w:sz w:val="24"/>
          <w:szCs w:val="24"/>
        </w:rPr>
      </w:pPr>
    </w:p>
    <w:p w:rsidR="00FB48F3" w:rsidRPr="00F7532C" w:rsidRDefault="00FB48F3" w:rsidP="00DE6FB0">
      <w:pPr>
        <w:spacing w:line="360" w:lineRule="auto"/>
        <w:ind w:firstLine="1440"/>
        <w:rPr>
          <w:spacing w:val="-3"/>
          <w:sz w:val="24"/>
          <w:szCs w:val="24"/>
        </w:rPr>
      </w:pPr>
      <w:r w:rsidRPr="00F7532C">
        <w:rPr>
          <w:spacing w:val="-3"/>
          <w:sz w:val="24"/>
          <w:szCs w:val="24"/>
        </w:rPr>
        <w:t xml:space="preserve">The issue in this case, simply put, </w:t>
      </w:r>
      <w:r w:rsidR="000B3AD9" w:rsidRPr="00F7532C">
        <w:rPr>
          <w:spacing w:val="-3"/>
          <w:sz w:val="24"/>
          <w:szCs w:val="24"/>
        </w:rPr>
        <w:t xml:space="preserve">is </w:t>
      </w:r>
      <w:r w:rsidRPr="00F7532C">
        <w:rPr>
          <w:spacing w:val="-3"/>
          <w:sz w:val="24"/>
          <w:szCs w:val="24"/>
        </w:rPr>
        <w:t>whether payments were made and properly credited.  The Complainant argued that she made the payments, and that in fact she sent in payments twice, but that the Respondent failed to properly credit them.</w:t>
      </w:r>
    </w:p>
    <w:p w:rsidR="00FB48F3" w:rsidRPr="00F7532C" w:rsidRDefault="00FB48F3" w:rsidP="00DE6FB0">
      <w:pPr>
        <w:spacing w:line="360" w:lineRule="auto"/>
        <w:ind w:firstLine="1440"/>
        <w:rPr>
          <w:spacing w:val="-3"/>
          <w:sz w:val="24"/>
          <w:szCs w:val="24"/>
        </w:rPr>
      </w:pPr>
    </w:p>
    <w:p w:rsidR="000B3AD9" w:rsidRPr="00F7532C" w:rsidRDefault="00FB48F3" w:rsidP="000B3AD9">
      <w:pPr>
        <w:spacing w:line="360" w:lineRule="auto"/>
        <w:ind w:firstLine="1440"/>
        <w:rPr>
          <w:spacing w:val="-3"/>
          <w:sz w:val="24"/>
          <w:szCs w:val="24"/>
        </w:rPr>
      </w:pPr>
      <w:r w:rsidRPr="00F7532C">
        <w:rPr>
          <w:spacing w:val="-3"/>
          <w:sz w:val="24"/>
          <w:szCs w:val="24"/>
        </w:rPr>
        <w:t xml:space="preserve">The Complainant made a </w:t>
      </w:r>
      <w:r w:rsidRPr="00F7532C">
        <w:rPr>
          <w:i/>
          <w:spacing w:val="-3"/>
          <w:sz w:val="24"/>
          <w:szCs w:val="24"/>
        </w:rPr>
        <w:t>prima facie</w:t>
      </w:r>
      <w:r w:rsidRPr="00F7532C">
        <w:rPr>
          <w:spacing w:val="-3"/>
          <w:sz w:val="24"/>
          <w:szCs w:val="24"/>
        </w:rPr>
        <w:t xml:space="preserve"> case</w:t>
      </w:r>
      <w:r w:rsidR="00CC1A90" w:rsidRPr="00F7532C">
        <w:rPr>
          <w:spacing w:val="-3"/>
          <w:sz w:val="24"/>
          <w:szCs w:val="24"/>
        </w:rPr>
        <w:t xml:space="preserve"> regarding the two</w:t>
      </w:r>
      <w:r w:rsidR="000B3AD9" w:rsidRPr="00F7532C">
        <w:rPr>
          <w:spacing w:val="-3"/>
          <w:sz w:val="24"/>
          <w:szCs w:val="24"/>
        </w:rPr>
        <w:t xml:space="preserve"> November 2011</w:t>
      </w:r>
      <w:r w:rsidR="00CC1A90" w:rsidRPr="00F7532C">
        <w:rPr>
          <w:spacing w:val="-3"/>
          <w:sz w:val="24"/>
          <w:szCs w:val="24"/>
        </w:rPr>
        <w:t xml:space="preserve"> missing money orders.</w:t>
      </w:r>
      <w:r w:rsidR="000B3AD9" w:rsidRPr="00F7532C">
        <w:t xml:space="preserve"> </w:t>
      </w:r>
      <w:r w:rsidR="00F529B8">
        <w:t xml:space="preserve"> </w:t>
      </w:r>
      <w:hyperlink r:id="rId20" w:history="1">
        <w:r w:rsidR="000B3AD9" w:rsidRPr="00F7532C">
          <w:rPr>
            <w:rStyle w:val="Hyperlink"/>
            <w:i/>
            <w:color w:val="auto"/>
            <w:sz w:val="24"/>
            <w:szCs w:val="24"/>
          </w:rPr>
          <w:t>Replogle v. Pennsylvania Electric Company,</w:t>
        </w:r>
        <w:r w:rsidR="000B3AD9" w:rsidRPr="00F7532C">
          <w:rPr>
            <w:rStyle w:val="Hyperlink"/>
            <w:color w:val="auto"/>
            <w:sz w:val="24"/>
            <w:szCs w:val="24"/>
          </w:rPr>
          <w:t xml:space="preserve"> 54 Pa. PUC 528 (1980),</w:t>
        </w:r>
      </w:hyperlink>
      <w:r w:rsidR="000B3AD9" w:rsidRPr="00F7532C">
        <w:rPr>
          <w:sz w:val="24"/>
          <w:szCs w:val="24"/>
        </w:rPr>
        <w:t xml:space="preserve"> and </w:t>
      </w:r>
      <w:hyperlink r:id="rId21" w:history="1">
        <w:r w:rsidR="000B3AD9" w:rsidRPr="00F7532C">
          <w:rPr>
            <w:rStyle w:val="Hyperlink"/>
            <w:i/>
            <w:color w:val="auto"/>
            <w:sz w:val="24"/>
            <w:szCs w:val="24"/>
          </w:rPr>
          <w:t>Waldron v. Philadelphia Electric Company</w:t>
        </w:r>
        <w:r w:rsidR="000B3AD9" w:rsidRPr="00F7532C">
          <w:rPr>
            <w:rStyle w:val="Hyperlink"/>
            <w:color w:val="auto"/>
            <w:sz w:val="24"/>
            <w:szCs w:val="24"/>
          </w:rPr>
          <w:t>, 54 Pa. PUC 98 (1980).</w:t>
        </w:r>
      </w:hyperlink>
      <w:r w:rsidR="000B3AD9" w:rsidRPr="00F7532C">
        <w:rPr>
          <w:sz w:val="24"/>
          <w:szCs w:val="24"/>
        </w:rPr>
        <w:t xml:space="preserve">  </w:t>
      </w:r>
      <w:r w:rsidR="000B3AD9" w:rsidRPr="00F7532C">
        <w:rPr>
          <w:spacing w:val="-3"/>
          <w:sz w:val="24"/>
          <w:szCs w:val="24"/>
        </w:rPr>
        <w:t>Sh</w:t>
      </w:r>
      <w:r w:rsidRPr="00F7532C">
        <w:rPr>
          <w:spacing w:val="-3"/>
          <w:sz w:val="24"/>
          <w:szCs w:val="24"/>
        </w:rPr>
        <w:t xml:space="preserve">e proffered copies of </w:t>
      </w:r>
      <w:r w:rsidR="000B3AD9" w:rsidRPr="00F7532C">
        <w:rPr>
          <w:spacing w:val="-3"/>
          <w:sz w:val="24"/>
          <w:szCs w:val="24"/>
        </w:rPr>
        <w:t xml:space="preserve">the </w:t>
      </w:r>
      <w:r w:rsidRPr="00F7532C">
        <w:rPr>
          <w:spacing w:val="-3"/>
          <w:sz w:val="24"/>
          <w:szCs w:val="24"/>
        </w:rPr>
        <w:t>two money orders that both had her account number correctly written one them.  Another money order payment she made was properly received and credited, but</w:t>
      </w:r>
      <w:r w:rsidR="00CC1A90" w:rsidRPr="00F7532C">
        <w:rPr>
          <w:spacing w:val="-3"/>
          <w:sz w:val="24"/>
          <w:szCs w:val="24"/>
        </w:rPr>
        <w:t xml:space="preserve"> these</w:t>
      </w:r>
      <w:r w:rsidRPr="00F7532C">
        <w:rPr>
          <w:spacing w:val="-3"/>
          <w:sz w:val="24"/>
          <w:szCs w:val="24"/>
        </w:rPr>
        <w:t xml:space="preserve"> two </w:t>
      </w:r>
      <w:r w:rsidR="000B3AD9" w:rsidRPr="00F7532C">
        <w:rPr>
          <w:spacing w:val="-3"/>
          <w:sz w:val="24"/>
          <w:szCs w:val="24"/>
        </w:rPr>
        <w:t xml:space="preserve">November 2011 ones </w:t>
      </w:r>
      <w:r w:rsidRPr="00F7532C">
        <w:rPr>
          <w:spacing w:val="-3"/>
          <w:sz w:val="24"/>
          <w:szCs w:val="24"/>
        </w:rPr>
        <w:t xml:space="preserve">appeared lost.  </w:t>
      </w:r>
    </w:p>
    <w:p w:rsidR="000B3AD9" w:rsidRPr="00F7532C" w:rsidRDefault="000B3AD9" w:rsidP="000B3AD9">
      <w:pPr>
        <w:spacing w:line="360" w:lineRule="auto"/>
        <w:ind w:firstLine="1440"/>
        <w:rPr>
          <w:spacing w:val="-3"/>
          <w:sz w:val="24"/>
          <w:szCs w:val="24"/>
        </w:rPr>
      </w:pPr>
    </w:p>
    <w:p w:rsidR="00CC1A90" w:rsidRPr="00F7532C" w:rsidRDefault="00FB48F3" w:rsidP="000B3AD9">
      <w:pPr>
        <w:spacing w:line="360" w:lineRule="auto"/>
        <w:ind w:firstLine="1440"/>
        <w:rPr>
          <w:sz w:val="24"/>
          <w:szCs w:val="24"/>
        </w:rPr>
      </w:pPr>
      <w:r w:rsidRPr="00F7532C">
        <w:rPr>
          <w:spacing w:val="-3"/>
          <w:sz w:val="24"/>
          <w:szCs w:val="24"/>
        </w:rPr>
        <w:t>In order to allow time for the Complainant and the Respondent to search for the two missing money orders, I provided a thirty (3</w:t>
      </w:r>
      <w:r w:rsidR="00CC1A90" w:rsidRPr="00F7532C">
        <w:rPr>
          <w:spacing w:val="-3"/>
          <w:sz w:val="24"/>
          <w:szCs w:val="24"/>
        </w:rPr>
        <w:t>0</w:t>
      </w:r>
      <w:r w:rsidRPr="00F7532C">
        <w:rPr>
          <w:spacing w:val="-3"/>
          <w:sz w:val="24"/>
          <w:szCs w:val="24"/>
        </w:rPr>
        <w:t>) day continuance.  During that time, the Respondent searched for the money orders and did not find a</w:t>
      </w:r>
      <w:r w:rsidR="00CC1A90" w:rsidRPr="00F7532C">
        <w:rPr>
          <w:spacing w:val="-3"/>
          <w:sz w:val="24"/>
          <w:szCs w:val="24"/>
        </w:rPr>
        <w:t>ny</w:t>
      </w:r>
      <w:r w:rsidRPr="00F7532C">
        <w:rPr>
          <w:spacing w:val="-3"/>
          <w:sz w:val="24"/>
          <w:szCs w:val="24"/>
        </w:rPr>
        <w:t xml:space="preserve"> record of them</w:t>
      </w:r>
      <w:r w:rsidR="00CC1A90" w:rsidRPr="00F7532C">
        <w:rPr>
          <w:spacing w:val="-3"/>
          <w:sz w:val="24"/>
          <w:szCs w:val="24"/>
        </w:rPr>
        <w:t xml:space="preserve"> being applied to the Complainant’s account or other record of them</w:t>
      </w:r>
      <w:r w:rsidRPr="00F7532C">
        <w:rPr>
          <w:spacing w:val="-3"/>
          <w:sz w:val="24"/>
          <w:szCs w:val="24"/>
        </w:rPr>
        <w:t>.</w:t>
      </w:r>
      <w:r w:rsidR="00CC1A90" w:rsidRPr="00F7532C">
        <w:rPr>
          <w:spacing w:val="-3"/>
          <w:sz w:val="24"/>
          <w:szCs w:val="24"/>
        </w:rPr>
        <w:t xml:space="preserve">  </w:t>
      </w:r>
    </w:p>
    <w:p w:rsidR="00CC1A90" w:rsidRPr="00F7532C" w:rsidRDefault="00CC1A90" w:rsidP="00DE6FB0">
      <w:pPr>
        <w:spacing w:line="360" w:lineRule="auto"/>
        <w:ind w:firstLine="1440"/>
        <w:rPr>
          <w:spacing w:val="-3"/>
          <w:sz w:val="24"/>
          <w:szCs w:val="24"/>
        </w:rPr>
      </w:pPr>
    </w:p>
    <w:p w:rsidR="00FB48F3" w:rsidRPr="00F7532C" w:rsidRDefault="00FB48F3" w:rsidP="00DE6FB0">
      <w:pPr>
        <w:spacing w:line="360" w:lineRule="auto"/>
        <w:ind w:firstLine="1440"/>
        <w:rPr>
          <w:spacing w:val="-3"/>
          <w:sz w:val="24"/>
          <w:szCs w:val="24"/>
        </w:rPr>
      </w:pPr>
      <w:r w:rsidRPr="00F7532C">
        <w:rPr>
          <w:spacing w:val="-3"/>
          <w:sz w:val="24"/>
          <w:szCs w:val="24"/>
        </w:rPr>
        <w:t>The Complainant had her credit union put a tracer on them and found that they had not been cashed.  The money was refunded to her and she made a payment to the Respondent and the payment was properly credited.  That left only one outstanding issue</w:t>
      </w:r>
      <w:r w:rsidR="00CC1A90" w:rsidRPr="00F7532C">
        <w:rPr>
          <w:spacing w:val="-3"/>
          <w:sz w:val="24"/>
          <w:szCs w:val="24"/>
        </w:rPr>
        <w:t>;</w:t>
      </w:r>
      <w:r w:rsidR="000B3AD9" w:rsidRPr="00F7532C">
        <w:rPr>
          <w:spacing w:val="-3"/>
          <w:sz w:val="24"/>
          <w:szCs w:val="24"/>
        </w:rPr>
        <w:t xml:space="preserve"> an April 2012</w:t>
      </w:r>
      <w:r w:rsidRPr="00F7532C">
        <w:rPr>
          <w:spacing w:val="-3"/>
          <w:sz w:val="24"/>
          <w:szCs w:val="24"/>
        </w:rPr>
        <w:t xml:space="preserve"> alleged payment that does not appear in the Respondent’s records as having been made.</w:t>
      </w:r>
      <w:r w:rsidR="000B3AD9" w:rsidRPr="00F7532C">
        <w:rPr>
          <w:spacing w:val="-3"/>
          <w:sz w:val="24"/>
          <w:szCs w:val="24"/>
        </w:rPr>
        <w:t xml:space="preserve">  PPL 2-Exh. 1</w:t>
      </w:r>
      <w:r w:rsidR="009D5D96">
        <w:rPr>
          <w:spacing w:val="-3"/>
          <w:sz w:val="24"/>
          <w:szCs w:val="24"/>
        </w:rPr>
        <w:t>.</w:t>
      </w:r>
    </w:p>
    <w:p w:rsidR="00CC1A90" w:rsidRPr="00F7532C" w:rsidRDefault="00CC1A90" w:rsidP="00DE6FB0">
      <w:pPr>
        <w:spacing w:line="360" w:lineRule="auto"/>
        <w:ind w:firstLine="1440"/>
        <w:rPr>
          <w:spacing w:val="-3"/>
          <w:sz w:val="24"/>
          <w:szCs w:val="24"/>
        </w:rPr>
      </w:pPr>
    </w:p>
    <w:p w:rsidR="00CC1A90" w:rsidRDefault="00CC1A90" w:rsidP="00DE6FB0">
      <w:pPr>
        <w:spacing w:line="360" w:lineRule="auto"/>
        <w:ind w:firstLine="1440"/>
        <w:rPr>
          <w:spacing w:val="-3"/>
          <w:sz w:val="24"/>
          <w:szCs w:val="24"/>
        </w:rPr>
      </w:pPr>
      <w:r w:rsidRPr="00F7532C">
        <w:rPr>
          <w:spacing w:val="-3"/>
          <w:sz w:val="24"/>
          <w:szCs w:val="24"/>
        </w:rPr>
        <w:t>The Complainant’s only evidence of having made the April 201</w:t>
      </w:r>
      <w:r w:rsidR="000B3AD9" w:rsidRPr="00F7532C">
        <w:rPr>
          <w:spacing w:val="-3"/>
          <w:sz w:val="24"/>
          <w:szCs w:val="24"/>
        </w:rPr>
        <w:t>2</w:t>
      </w:r>
      <w:r w:rsidRPr="00F7532C">
        <w:rPr>
          <w:spacing w:val="-3"/>
          <w:sz w:val="24"/>
          <w:szCs w:val="24"/>
        </w:rPr>
        <w:t xml:space="preserve"> payment was her testimony.  She did not produce a bank statement and did not produce a cancelled check.  </w:t>
      </w:r>
      <w:r w:rsidR="000B3AD9" w:rsidRPr="00F7532C">
        <w:rPr>
          <w:spacing w:val="-3"/>
          <w:sz w:val="24"/>
          <w:szCs w:val="24"/>
        </w:rPr>
        <w:t>The balance due as of the Complainant’s April statement was $1098.07.  PPL 2</w:t>
      </w:r>
      <w:r w:rsidR="00822750">
        <w:rPr>
          <w:spacing w:val="-3"/>
          <w:sz w:val="24"/>
          <w:szCs w:val="24"/>
        </w:rPr>
        <w:t>-</w:t>
      </w:r>
      <w:r w:rsidR="000B3AD9" w:rsidRPr="00F7532C">
        <w:rPr>
          <w:spacing w:val="-3"/>
          <w:sz w:val="24"/>
          <w:szCs w:val="24"/>
        </w:rPr>
        <w:t>Exh.</w:t>
      </w:r>
      <w:r w:rsidR="00822750">
        <w:rPr>
          <w:spacing w:val="-3"/>
          <w:sz w:val="24"/>
          <w:szCs w:val="24"/>
        </w:rPr>
        <w:t xml:space="preserve"> </w:t>
      </w:r>
      <w:r w:rsidR="000B3AD9" w:rsidRPr="00F7532C">
        <w:rPr>
          <w:spacing w:val="-3"/>
          <w:sz w:val="24"/>
          <w:szCs w:val="24"/>
        </w:rPr>
        <w:t>1.  If she onl</w:t>
      </w:r>
      <w:r w:rsidR="006731FD">
        <w:rPr>
          <w:spacing w:val="-3"/>
          <w:sz w:val="24"/>
          <w:szCs w:val="24"/>
        </w:rPr>
        <w:t>y paid her budget billing, the budget billing amount</w:t>
      </w:r>
      <w:r w:rsidR="000B3AD9" w:rsidRPr="00F7532C">
        <w:rPr>
          <w:spacing w:val="-3"/>
          <w:sz w:val="24"/>
          <w:szCs w:val="24"/>
        </w:rPr>
        <w:t xml:space="preserve"> was $216.  </w:t>
      </w:r>
      <w:r w:rsidRPr="00F7532C">
        <w:rPr>
          <w:spacing w:val="-3"/>
          <w:sz w:val="24"/>
          <w:szCs w:val="24"/>
        </w:rPr>
        <w:t xml:space="preserve">I do not find it credible that the Complainant, even with any associated cost charged by her credit union, would choose to not provide copies of </w:t>
      </w:r>
      <w:r w:rsidR="004C1133" w:rsidRPr="00F7532C">
        <w:rPr>
          <w:spacing w:val="-3"/>
          <w:sz w:val="24"/>
          <w:szCs w:val="24"/>
        </w:rPr>
        <w:t xml:space="preserve">a cashed check worth $216 or more.  I do not find it credible that any check was received and cashed by the Respondent but not applied to the Complainant’s account.  </w:t>
      </w:r>
      <w:r w:rsidRPr="00F7532C">
        <w:rPr>
          <w:spacing w:val="-3"/>
          <w:sz w:val="24"/>
          <w:szCs w:val="24"/>
        </w:rPr>
        <w:t xml:space="preserve">Therefore, the Complainant </w:t>
      </w:r>
      <w:r w:rsidR="00C52341" w:rsidRPr="00F7532C">
        <w:rPr>
          <w:spacing w:val="-3"/>
          <w:sz w:val="24"/>
          <w:szCs w:val="24"/>
        </w:rPr>
        <w:t xml:space="preserve">failed to make a </w:t>
      </w:r>
      <w:r w:rsidR="00C52341" w:rsidRPr="00F7532C">
        <w:rPr>
          <w:i/>
          <w:spacing w:val="-3"/>
          <w:sz w:val="24"/>
          <w:szCs w:val="24"/>
        </w:rPr>
        <w:t>prima facie</w:t>
      </w:r>
      <w:r w:rsidR="004C1133" w:rsidRPr="00F7532C">
        <w:rPr>
          <w:spacing w:val="-3"/>
          <w:sz w:val="24"/>
          <w:szCs w:val="24"/>
        </w:rPr>
        <w:t xml:space="preserve"> case regarding the April 2012</w:t>
      </w:r>
      <w:r w:rsidR="00C52341" w:rsidRPr="00F7532C">
        <w:rPr>
          <w:spacing w:val="-3"/>
          <w:sz w:val="24"/>
          <w:szCs w:val="24"/>
        </w:rPr>
        <w:t xml:space="preserve"> payment, her outstanding </w:t>
      </w:r>
      <w:r w:rsidRPr="00F7532C">
        <w:rPr>
          <w:spacing w:val="-3"/>
          <w:sz w:val="24"/>
          <w:szCs w:val="24"/>
        </w:rPr>
        <w:t>balance is correct and must be paid.</w:t>
      </w:r>
    </w:p>
    <w:p w:rsidR="00EA24C1" w:rsidRPr="00F7532C" w:rsidRDefault="00EA24C1" w:rsidP="00DE6FB0">
      <w:pPr>
        <w:spacing w:line="360" w:lineRule="auto"/>
        <w:ind w:firstLine="1440"/>
        <w:rPr>
          <w:spacing w:val="-3"/>
          <w:sz w:val="24"/>
          <w:szCs w:val="24"/>
        </w:rPr>
      </w:pPr>
    </w:p>
    <w:p w:rsidR="00C419F9" w:rsidRPr="00F7532C" w:rsidRDefault="00FC4DD1" w:rsidP="00DE2348">
      <w:pPr>
        <w:spacing w:line="360" w:lineRule="auto"/>
        <w:jc w:val="center"/>
        <w:rPr>
          <w:sz w:val="24"/>
          <w:szCs w:val="24"/>
          <w:u w:val="single"/>
        </w:rPr>
      </w:pPr>
      <w:r w:rsidRPr="00F7532C">
        <w:rPr>
          <w:sz w:val="24"/>
          <w:szCs w:val="24"/>
          <w:u w:val="single"/>
        </w:rPr>
        <w:t>CONC</w:t>
      </w:r>
      <w:r w:rsidR="00C419F9" w:rsidRPr="00F7532C">
        <w:rPr>
          <w:sz w:val="24"/>
          <w:szCs w:val="24"/>
          <w:u w:val="single"/>
        </w:rPr>
        <w:t>LUSIONS OF LAW</w:t>
      </w:r>
    </w:p>
    <w:p w:rsidR="00C419F9" w:rsidRPr="00F7532C" w:rsidRDefault="00C419F9" w:rsidP="00DE2348">
      <w:pPr>
        <w:spacing w:line="360" w:lineRule="auto"/>
        <w:jc w:val="center"/>
        <w:rPr>
          <w:sz w:val="24"/>
          <w:szCs w:val="24"/>
          <w:u w:val="single"/>
        </w:rPr>
      </w:pPr>
    </w:p>
    <w:p w:rsidR="00382B1A" w:rsidRPr="00F7532C" w:rsidRDefault="00382B1A" w:rsidP="00382B1A">
      <w:pPr>
        <w:tabs>
          <w:tab w:val="left" w:pos="2160"/>
        </w:tabs>
        <w:spacing w:line="360" w:lineRule="auto"/>
        <w:ind w:firstLine="1440"/>
        <w:rPr>
          <w:sz w:val="24"/>
          <w:szCs w:val="24"/>
        </w:rPr>
      </w:pPr>
      <w:r w:rsidRPr="00F7532C">
        <w:rPr>
          <w:sz w:val="24"/>
          <w:szCs w:val="24"/>
        </w:rPr>
        <w:t>1.</w:t>
      </w:r>
      <w:r w:rsidRPr="00F7532C">
        <w:rPr>
          <w:sz w:val="24"/>
          <w:szCs w:val="24"/>
        </w:rPr>
        <w:tab/>
        <w:t xml:space="preserve">The Commission has jurisdiction over the subject matter and parties to this Complaint.  </w:t>
      </w:r>
      <w:r w:rsidR="00A416FC">
        <w:rPr>
          <w:sz w:val="24"/>
          <w:szCs w:val="24"/>
        </w:rPr>
        <w:t xml:space="preserve"> </w:t>
      </w:r>
      <w:r w:rsidRPr="00F7532C">
        <w:rPr>
          <w:sz w:val="24"/>
          <w:szCs w:val="24"/>
        </w:rPr>
        <w:t>66 Pa. C.S. § 701.</w:t>
      </w:r>
    </w:p>
    <w:p w:rsidR="00382B1A" w:rsidRPr="00F7532C" w:rsidRDefault="00382B1A" w:rsidP="00382B1A">
      <w:pPr>
        <w:tabs>
          <w:tab w:val="left" w:pos="2160"/>
        </w:tabs>
        <w:spacing w:line="360" w:lineRule="auto"/>
        <w:ind w:firstLine="1440"/>
        <w:rPr>
          <w:sz w:val="24"/>
          <w:szCs w:val="24"/>
        </w:rPr>
      </w:pPr>
    </w:p>
    <w:p w:rsidR="00382B1A" w:rsidRPr="00F7532C" w:rsidRDefault="00382B1A" w:rsidP="00382B1A">
      <w:pPr>
        <w:tabs>
          <w:tab w:val="left" w:pos="2160"/>
        </w:tabs>
        <w:spacing w:line="360" w:lineRule="auto"/>
        <w:ind w:firstLine="1440"/>
        <w:rPr>
          <w:sz w:val="24"/>
          <w:szCs w:val="24"/>
        </w:rPr>
      </w:pPr>
      <w:r w:rsidRPr="00F7532C">
        <w:rPr>
          <w:sz w:val="24"/>
          <w:szCs w:val="24"/>
        </w:rPr>
        <w:t>2.</w:t>
      </w:r>
      <w:r w:rsidRPr="00F7532C">
        <w:rPr>
          <w:sz w:val="24"/>
          <w:szCs w:val="24"/>
        </w:rPr>
        <w:tab/>
        <w:t xml:space="preserve">As the party seeking affirmative relief from the Commission, </w:t>
      </w:r>
      <w:r w:rsidR="00C1140C" w:rsidRPr="00F7532C">
        <w:rPr>
          <w:sz w:val="24"/>
          <w:szCs w:val="24"/>
        </w:rPr>
        <w:t>Complainant</w:t>
      </w:r>
      <w:r w:rsidRPr="00F7532C">
        <w:rPr>
          <w:sz w:val="24"/>
          <w:szCs w:val="24"/>
        </w:rPr>
        <w:t xml:space="preserve"> bears the burden of proof.  66 Pa. C.S. § 332(a).</w:t>
      </w:r>
    </w:p>
    <w:p w:rsidR="00382B1A" w:rsidRPr="00F7532C" w:rsidRDefault="00382B1A" w:rsidP="00382B1A">
      <w:pPr>
        <w:tabs>
          <w:tab w:val="left" w:pos="2160"/>
        </w:tabs>
        <w:spacing w:line="360" w:lineRule="auto"/>
        <w:ind w:firstLine="1440"/>
        <w:rPr>
          <w:sz w:val="24"/>
          <w:szCs w:val="24"/>
        </w:rPr>
      </w:pPr>
    </w:p>
    <w:p w:rsidR="00382B1A" w:rsidRPr="00F7532C" w:rsidRDefault="00382B1A" w:rsidP="00382B1A">
      <w:pPr>
        <w:tabs>
          <w:tab w:val="left" w:pos="2160"/>
        </w:tabs>
        <w:spacing w:line="360" w:lineRule="auto"/>
        <w:ind w:firstLine="1440"/>
        <w:rPr>
          <w:spacing w:val="-3"/>
          <w:sz w:val="24"/>
          <w:szCs w:val="24"/>
        </w:rPr>
      </w:pPr>
      <w:r w:rsidRPr="00F7532C">
        <w:rPr>
          <w:sz w:val="24"/>
          <w:szCs w:val="24"/>
        </w:rPr>
        <w:t>3.</w:t>
      </w:r>
      <w:r w:rsidRPr="00F7532C">
        <w:rPr>
          <w:sz w:val="24"/>
          <w:szCs w:val="24"/>
        </w:rPr>
        <w:tab/>
      </w:r>
      <w:r w:rsidRPr="00F7532C">
        <w:rPr>
          <w:spacing w:val="-3"/>
          <w:sz w:val="24"/>
          <w:szCs w:val="24"/>
        </w:rPr>
        <w:t xml:space="preserve">As a matter of general principle, a complainant must show that the named utility is responsible or accountable for the problem described in the </w:t>
      </w:r>
      <w:r w:rsidR="00E35217">
        <w:rPr>
          <w:spacing w:val="-3"/>
          <w:sz w:val="24"/>
          <w:szCs w:val="24"/>
        </w:rPr>
        <w:t>c</w:t>
      </w:r>
      <w:r w:rsidRPr="00F7532C">
        <w:rPr>
          <w:spacing w:val="-3"/>
          <w:sz w:val="24"/>
          <w:szCs w:val="24"/>
        </w:rPr>
        <w:t xml:space="preserve">omplaint in order to prevail.  </w:t>
      </w:r>
      <w:r w:rsidRPr="00F7532C">
        <w:rPr>
          <w:i/>
          <w:spacing w:val="-3"/>
          <w:sz w:val="24"/>
          <w:szCs w:val="24"/>
        </w:rPr>
        <w:t>Patterson v. Bell Telephone Company of Pennsylvania</w:t>
      </w:r>
      <w:r w:rsidRPr="00F7532C">
        <w:rPr>
          <w:spacing w:val="-3"/>
          <w:sz w:val="24"/>
          <w:szCs w:val="24"/>
        </w:rPr>
        <w:t>, 72 Pa. P</w:t>
      </w:r>
      <w:r w:rsidR="003E594B" w:rsidRPr="00F7532C">
        <w:rPr>
          <w:spacing w:val="-3"/>
          <w:sz w:val="24"/>
          <w:szCs w:val="24"/>
        </w:rPr>
        <w:t xml:space="preserve">ub. </w:t>
      </w:r>
      <w:r w:rsidRPr="00F7532C">
        <w:rPr>
          <w:spacing w:val="-3"/>
          <w:sz w:val="24"/>
          <w:szCs w:val="24"/>
        </w:rPr>
        <w:t>U</w:t>
      </w:r>
      <w:r w:rsidR="003E594B" w:rsidRPr="00F7532C">
        <w:rPr>
          <w:spacing w:val="-3"/>
          <w:sz w:val="24"/>
          <w:szCs w:val="24"/>
        </w:rPr>
        <w:t xml:space="preserve">til. </w:t>
      </w:r>
      <w:r w:rsidRPr="00F7532C">
        <w:rPr>
          <w:spacing w:val="-3"/>
          <w:sz w:val="24"/>
          <w:szCs w:val="24"/>
        </w:rPr>
        <w:t>C</w:t>
      </w:r>
      <w:r w:rsidR="003E594B" w:rsidRPr="00F7532C">
        <w:rPr>
          <w:spacing w:val="-3"/>
          <w:sz w:val="24"/>
          <w:szCs w:val="24"/>
        </w:rPr>
        <w:t>omm’n</w:t>
      </w:r>
      <w:r w:rsidRPr="00F7532C">
        <w:rPr>
          <w:spacing w:val="-3"/>
          <w:sz w:val="24"/>
          <w:szCs w:val="24"/>
        </w:rPr>
        <w:t xml:space="preserve"> 196 (1990); </w:t>
      </w:r>
      <w:r w:rsidRPr="00F7532C">
        <w:rPr>
          <w:i/>
          <w:spacing w:val="-3"/>
          <w:sz w:val="24"/>
          <w:szCs w:val="24"/>
        </w:rPr>
        <w:t>Feinstein v. Philadelphia Suburban Water Company</w:t>
      </w:r>
      <w:r w:rsidRPr="00F7532C">
        <w:rPr>
          <w:spacing w:val="-3"/>
          <w:sz w:val="24"/>
          <w:szCs w:val="24"/>
        </w:rPr>
        <w:t>, 50 Pa. P</w:t>
      </w:r>
      <w:r w:rsidR="003E594B" w:rsidRPr="00F7532C">
        <w:rPr>
          <w:spacing w:val="-3"/>
          <w:sz w:val="24"/>
          <w:szCs w:val="24"/>
        </w:rPr>
        <w:t xml:space="preserve">ub. </w:t>
      </w:r>
      <w:r w:rsidRPr="00F7532C">
        <w:rPr>
          <w:spacing w:val="-3"/>
          <w:sz w:val="24"/>
          <w:szCs w:val="24"/>
        </w:rPr>
        <w:t>U</w:t>
      </w:r>
      <w:r w:rsidR="003E594B" w:rsidRPr="00F7532C">
        <w:rPr>
          <w:spacing w:val="-3"/>
          <w:sz w:val="24"/>
          <w:szCs w:val="24"/>
        </w:rPr>
        <w:t xml:space="preserve">til. </w:t>
      </w:r>
      <w:r w:rsidRPr="00F7532C">
        <w:rPr>
          <w:spacing w:val="-3"/>
          <w:sz w:val="24"/>
          <w:szCs w:val="24"/>
        </w:rPr>
        <w:t>C</w:t>
      </w:r>
      <w:r w:rsidR="003E594B" w:rsidRPr="00F7532C">
        <w:rPr>
          <w:spacing w:val="-3"/>
          <w:sz w:val="24"/>
          <w:szCs w:val="24"/>
        </w:rPr>
        <w:t>omm’n</w:t>
      </w:r>
      <w:r w:rsidRPr="00F7532C">
        <w:rPr>
          <w:spacing w:val="-3"/>
          <w:sz w:val="24"/>
          <w:szCs w:val="24"/>
        </w:rPr>
        <w:t xml:space="preserve"> 300 (1976).  This must be shown by a preponderance of the evidence.  </w:t>
      </w:r>
      <w:r w:rsidR="003E594B" w:rsidRPr="00F7532C">
        <w:rPr>
          <w:i/>
          <w:spacing w:val="-3"/>
          <w:sz w:val="24"/>
          <w:szCs w:val="24"/>
        </w:rPr>
        <w:t>Samuel J. Lansberry, Inc. v. Pa.</w:t>
      </w:r>
      <w:r w:rsidRPr="00F7532C">
        <w:rPr>
          <w:i/>
          <w:spacing w:val="-3"/>
          <w:sz w:val="24"/>
          <w:szCs w:val="24"/>
        </w:rPr>
        <w:t xml:space="preserve"> Pub</w:t>
      </w:r>
      <w:r w:rsidR="003E594B" w:rsidRPr="00F7532C">
        <w:rPr>
          <w:i/>
          <w:spacing w:val="-3"/>
          <w:sz w:val="24"/>
          <w:szCs w:val="24"/>
        </w:rPr>
        <w:t>.</w:t>
      </w:r>
      <w:r w:rsidRPr="00F7532C">
        <w:rPr>
          <w:i/>
          <w:spacing w:val="-3"/>
          <w:sz w:val="24"/>
          <w:szCs w:val="24"/>
        </w:rPr>
        <w:t xml:space="preserve"> Util</w:t>
      </w:r>
      <w:r w:rsidR="003E594B" w:rsidRPr="00F7532C">
        <w:rPr>
          <w:i/>
          <w:spacing w:val="-3"/>
          <w:sz w:val="24"/>
          <w:szCs w:val="24"/>
        </w:rPr>
        <w:t>.</w:t>
      </w:r>
      <w:r w:rsidRPr="00F7532C">
        <w:rPr>
          <w:i/>
          <w:spacing w:val="-3"/>
          <w:sz w:val="24"/>
          <w:szCs w:val="24"/>
        </w:rPr>
        <w:t xml:space="preserve"> Comm’n</w:t>
      </w:r>
      <w:r w:rsidRPr="00F7532C">
        <w:rPr>
          <w:spacing w:val="-3"/>
          <w:sz w:val="24"/>
          <w:szCs w:val="24"/>
        </w:rPr>
        <w:t xml:space="preserve">, 578 A.2d 600 (1990), </w:t>
      </w:r>
      <w:r w:rsidRPr="00F7532C">
        <w:rPr>
          <w:i/>
          <w:spacing w:val="-3"/>
          <w:sz w:val="24"/>
          <w:szCs w:val="24"/>
        </w:rPr>
        <w:t>alloc. den.</w:t>
      </w:r>
      <w:r w:rsidR="003E594B" w:rsidRPr="00F7532C">
        <w:rPr>
          <w:spacing w:val="-3"/>
          <w:sz w:val="24"/>
          <w:szCs w:val="24"/>
        </w:rPr>
        <w:t xml:space="preserve">, 602 A.2d </w:t>
      </w:r>
      <w:r w:rsidRPr="00F7532C">
        <w:rPr>
          <w:spacing w:val="-3"/>
          <w:sz w:val="24"/>
          <w:szCs w:val="24"/>
        </w:rPr>
        <w:t>863 (1992).</w:t>
      </w:r>
    </w:p>
    <w:p w:rsidR="00C419F9" w:rsidRPr="00F7532C" w:rsidRDefault="00C419F9" w:rsidP="00DE2348">
      <w:pPr>
        <w:spacing w:line="360" w:lineRule="auto"/>
        <w:jc w:val="center"/>
        <w:rPr>
          <w:sz w:val="24"/>
          <w:szCs w:val="24"/>
          <w:u w:val="single"/>
        </w:rPr>
      </w:pPr>
    </w:p>
    <w:p w:rsidR="005B3C00" w:rsidRPr="00F7532C" w:rsidRDefault="005B3C00" w:rsidP="00C52341">
      <w:pPr>
        <w:tabs>
          <w:tab w:val="left" w:pos="2160"/>
        </w:tabs>
        <w:spacing w:line="360" w:lineRule="auto"/>
        <w:ind w:firstLine="1440"/>
        <w:rPr>
          <w:sz w:val="24"/>
          <w:szCs w:val="24"/>
        </w:rPr>
      </w:pPr>
      <w:r w:rsidRPr="00F7532C">
        <w:rPr>
          <w:sz w:val="24"/>
          <w:szCs w:val="24"/>
        </w:rPr>
        <w:t>4</w:t>
      </w:r>
      <w:r w:rsidR="0006622C" w:rsidRPr="00F7532C">
        <w:rPr>
          <w:sz w:val="24"/>
          <w:szCs w:val="24"/>
        </w:rPr>
        <w:t>.</w:t>
      </w:r>
      <w:r w:rsidR="00C52341" w:rsidRPr="00F7532C">
        <w:rPr>
          <w:sz w:val="24"/>
          <w:szCs w:val="24"/>
        </w:rPr>
        <w:tab/>
        <w:t xml:space="preserve">The Complainant failed to make a </w:t>
      </w:r>
      <w:r w:rsidR="00C52341" w:rsidRPr="00F7532C">
        <w:rPr>
          <w:i/>
          <w:sz w:val="24"/>
          <w:szCs w:val="24"/>
        </w:rPr>
        <w:t>prima facie</w:t>
      </w:r>
      <w:r w:rsidR="00C52341" w:rsidRPr="00F7532C">
        <w:rPr>
          <w:sz w:val="24"/>
          <w:szCs w:val="24"/>
        </w:rPr>
        <w:t xml:space="preserve"> case regarding her April 201</w:t>
      </w:r>
      <w:r w:rsidR="004C1133" w:rsidRPr="00F7532C">
        <w:rPr>
          <w:sz w:val="24"/>
          <w:szCs w:val="24"/>
        </w:rPr>
        <w:t>2</w:t>
      </w:r>
      <w:r w:rsidR="00C52341" w:rsidRPr="00F7532C">
        <w:rPr>
          <w:sz w:val="24"/>
          <w:szCs w:val="24"/>
        </w:rPr>
        <w:t xml:space="preserve"> payment.</w:t>
      </w:r>
    </w:p>
    <w:p w:rsidR="00C52341" w:rsidRPr="00F7532C" w:rsidRDefault="00C52341" w:rsidP="00C52341">
      <w:pPr>
        <w:tabs>
          <w:tab w:val="left" w:pos="2160"/>
        </w:tabs>
        <w:spacing w:line="360" w:lineRule="auto"/>
        <w:ind w:firstLine="1440"/>
        <w:rPr>
          <w:sz w:val="24"/>
          <w:szCs w:val="24"/>
        </w:rPr>
      </w:pPr>
    </w:p>
    <w:p w:rsidR="00C52341" w:rsidRPr="00F7532C" w:rsidRDefault="00C52341" w:rsidP="00C52341">
      <w:pPr>
        <w:tabs>
          <w:tab w:val="left" w:pos="2160"/>
        </w:tabs>
        <w:spacing w:line="360" w:lineRule="auto"/>
        <w:ind w:firstLine="1440"/>
        <w:rPr>
          <w:sz w:val="24"/>
          <w:szCs w:val="24"/>
          <w:u w:val="single"/>
        </w:rPr>
      </w:pPr>
      <w:r w:rsidRPr="00F7532C">
        <w:rPr>
          <w:sz w:val="24"/>
          <w:szCs w:val="24"/>
        </w:rPr>
        <w:t>5.</w:t>
      </w:r>
      <w:r w:rsidRPr="00F7532C">
        <w:rPr>
          <w:sz w:val="24"/>
          <w:szCs w:val="24"/>
        </w:rPr>
        <w:tab/>
        <w:t>The Complainant’s overdue balance is correct and due.</w:t>
      </w:r>
    </w:p>
    <w:p w:rsidR="002610A6" w:rsidRDefault="002610A6" w:rsidP="00C21F78">
      <w:pPr>
        <w:spacing w:line="360" w:lineRule="auto"/>
        <w:jc w:val="center"/>
        <w:rPr>
          <w:sz w:val="24"/>
          <w:szCs w:val="24"/>
          <w:u w:val="single"/>
        </w:rPr>
      </w:pPr>
    </w:p>
    <w:p w:rsidR="00EA24C1" w:rsidRDefault="00EA24C1">
      <w:pPr>
        <w:rPr>
          <w:sz w:val="24"/>
          <w:szCs w:val="24"/>
          <w:u w:val="single"/>
        </w:rPr>
      </w:pPr>
      <w:r>
        <w:rPr>
          <w:sz w:val="24"/>
          <w:szCs w:val="24"/>
          <w:u w:val="single"/>
        </w:rPr>
        <w:br w:type="page"/>
      </w:r>
    </w:p>
    <w:p w:rsidR="009649FC" w:rsidRPr="00F7532C" w:rsidRDefault="009649FC" w:rsidP="00C21F78">
      <w:pPr>
        <w:spacing w:line="360" w:lineRule="auto"/>
        <w:jc w:val="center"/>
        <w:rPr>
          <w:sz w:val="24"/>
          <w:szCs w:val="24"/>
          <w:u w:val="single"/>
        </w:rPr>
      </w:pPr>
      <w:r w:rsidRPr="00F7532C">
        <w:rPr>
          <w:sz w:val="24"/>
          <w:szCs w:val="24"/>
          <w:u w:val="single"/>
        </w:rPr>
        <w:t>ORDER</w:t>
      </w:r>
    </w:p>
    <w:p w:rsidR="006C1047" w:rsidRPr="00F7532C" w:rsidRDefault="006C1047" w:rsidP="00C21F78">
      <w:pPr>
        <w:spacing w:line="360" w:lineRule="auto"/>
        <w:jc w:val="center"/>
        <w:rPr>
          <w:sz w:val="24"/>
          <w:szCs w:val="24"/>
          <w:u w:val="single"/>
        </w:rPr>
      </w:pPr>
    </w:p>
    <w:p w:rsidR="009649FC" w:rsidRPr="00F7532C" w:rsidRDefault="009649FC" w:rsidP="00C21F78">
      <w:pPr>
        <w:spacing w:line="360" w:lineRule="auto"/>
        <w:jc w:val="center"/>
        <w:rPr>
          <w:sz w:val="24"/>
          <w:szCs w:val="24"/>
          <w:u w:val="single"/>
        </w:rPr>
      </w:pPr>
    </w:p>
    <w:p w:rsidR="00DE562E" w:rsidRPr="00F7532C" w:rsidRDefault="00DE562E" w:rsidP="00C21F78">
      <w:pPr>
        <w:spacing w:line="360" w:lineRule="auto"/>
        <w:ind w:firstLine="1440"/>
        <w:rPr>
          <w:b/>
          <w:sz w:val="24"/>
          <w:szCs w:val="24"/>
        </w:rPr>
      </w:pPr>
      <w:r w:rsidRPr="00F7532C">
        <w:rPr>
          <w:sz w:val="24"/>
          <w:szCs w:val="24"/>
        </w:rPr>
        <w:t>THEREFORE,</w:t>
      </w:r>
      <w:r w:rsidR="00FE6157" w:rsidRPr="00F7532C">
        <w:rPr>
          <w:sz w:val="24"/>
          <w:szCs w:val="24"/>
        </w:rPr>
        <w:t xml:space="preserve"> </w:t>
      </w:r>
    </w:p>
    <w:p w:rsidR="00BB3104" w:rsidRPr="00F7532C" w:rsidRDefault="00BB3104" w:rsidP="00BB3104">
      <w:pPr>
        <w:spacing w:line="360" w:lineRule="auto"/>
        <w:rPr>
          <w:b/>
          <w:sz w:val="24"/>
          <w:szCs w:val="24"/>
        </w:rPr>
      </w:pPr>
    </w:p>
    <w:p w:rsidR="00DE562E" w:rsidRPr="00F7532C" w:rsidRDefault="00DE562E" w:rsidP="0081696C">
      <w:pPr>
        <w:spacing w:line="360" w:lineRule="auto"/>
        <w:ind w:firstLine="1440"/>
        <w:outlineLvl w:val="0"/>
        <w:rPr>
          <w:sz w:val="24"/>
          <w:szCs w:val="24"/>
        </w:rPr>
      </w:pPr>
      <w:r w:rsidRPr="00F7532C">
        <w:rPr>
          <w:sz w:val="24"/>
          <w:szCs w:val="24"/>
        </w:rPr>
        <w:t>IT IS ORDERED:</w:t>
      </w:r>
      <w:r w:rsidR="006D4BB7" w:rsidRPr="00F7532C">
        <w:rPr>
          <w:sz w:val="24"/>
          <w:szCs w:val="24"/>
        </w:rPr>
        <w:t xml:space="preserve"> </w:t>
      </w:r>
    </w:p>
    <w:p w:rsidR="00C52341" w:rsidRPr="00F7532C" w:rsidRDefault="00C52341" w:rsidP="00C52341">
      <w:pPr>
        <w:spacing w:line="360" w:lineRule="auto"/>
        <w:outlineLvl w:val="0"/>
        <w:rPr>
          <w:sz w:val="24"/>
          <w:szCs w:val="24"/>
        </w:rPr>
      </w:pPr>
    </w:p>
    <w:p w:rsidR="00C52341" w:rsidRPr="00F7532C" w:rsidRDefault="00C52341" w:rsidP="004C1133">
      <w:pPr>
        <w:pStyle w:val="ListParagraph"/>
        <w:numPr>
          <w:ilvl w:val="0"/>
          <w:numId w:val="21"/>
        </w:numPr>
        <w:tabs>
          <w:tab w:val="clear" w:pos="2160"/>
        </w:tabs>
        <w:spacing w:line="360" w:lineRule="auto"/>
        <w:ind w:left="0" w:firstLine="1440"/>
        <w:outlineLvl w:val="0"/>
        <w:rPr>
          <w:sz w:val="24"/>
          <w:szCs w:val="24"/>
        </w:rPr>
      </w:pPr>
      <w:r w:rsidRPr="00F7532C">
        <w:rPr>
          <w:sz w:val="24"/>
          <w:szCs w:val="24"/>
        </w:rPr>
        <w:t>That the Formal Complaint of Dian</w:t>
      </w:r>
      <w:r w:rsidR="006731FD">
        <w:rPr>
          <w:sz w:val="24"/>
          <w:szCs w:val="24"/>
        </w:rPr>
        <w:t>a</w:t>
      </w:r>
      <w:r w:rsidRPr="00F7532C">
        <w:rPr>
          <w:sz w:val="24"/>
          <w:szCs w:val="24"/>
        </w:rPr>
        <w:t xml:space="preserve"> R. Kress is denied and dismissed.</w:t>
      </w:r>
    </w:p>
    <w:p w:rsidR="00C52341" w:rsidRPr="00F7532C" w:rsidRDefault="00C52341" w:rsidP="00C52341">
      <w:pPr>
        <w:pStyle w:val="ListParagraph"/>
        <w:spacing w:line="360" w:lineRule="auto"/>
        <w:ind w:left="2160"/>
        <w:outlineLvl w:val="0"/>
        <w:rPr>
          <w:sz w:val="24"/>
          <w:szCs w:val="24"/>
        </w:rPr>
      </w:pPr>
      <w:r w:rsidRPr="00F7532C">
        <w:rPr>
          <w:sz w:val="24"/>
          <w:szCs w:val="24"/>
        </w:rPr>
        <w:t xml:space="preserve"> </w:t>
      </w:r>
    </w:p>
    <w:p w:rsidR="00C52341" w:rsidRPr="00F7532C" w:rsidRDefault="00C52341" w:rsidP="004C1133">
      <w:pPr>
        <w:pStyle w:val="ListParagraph"/>
        <w:numPr>
          <w:ilvl w:val="0"/>
          <w:numId w:val="21"/>
        </w:numPr>
        <w:tabs>
          <w:tab w:val="clear" w:pos="2160"/>
        </w:tabs>
        <w:spacing w:line="360" w:lineRule="auto"/>
        <w:ind w:left="0" w:firstLine="1440"/>
        <w:outlineLvl w:val="0"/>
        <w:rPr>
          <w:sz w:val="24"/>
          <w:szCs w:val="24"/>
        </w:rPr>
      </w:pPr>
      <w:r w:rsidRPr="00F7532C">
        <w:rPr>
          <w:sz w:val="24"/>
          <w:szCs w:val="24"/>
        </w:rPr>
        <w:t>That the Secretary’s Bureau shall mark Docket N</w:t>
      </w:r>
      <w:r w:rsidR="007A5EA5">
        <w:rPr>
          <w:sz w:val="24"/>
          <w:szCs w:val="24"/>
        </w:rPr>
        <w:t>o.</w:t>
      </w:r>
      <w:r w:rsidRPr="00F7532C">
        <w:rPr>
          <w:sz w:val="24"/>
          <w:szCs w:val="24"/>
        </w:rPr>
        <w:t xml:space="preserve"> F-2012-2290740 closed.</w:t>
      </w:r>
    </w:p>
    <w:p w:rsidR="00FE6157" w:rsidRPr="00F7532C" w:rsidRDefault="00FE6157" w:rsidP="00FE6157">
      <w:pPr>
        <w:spacing w:line="360" w:lineRule="auto"/>
        <w:ind w:firstLine="1440"/>
        <w:rPr>
          <w:b/>
          <w:sz w:val="24"/>
          <w:szCs w:val="24"/>
        </w:rPr>
      </w:pPr>
    </w:p>
    <w:p w:rsidR="005B3C00" w:rsidRPr="00F7532C" w:rsidRDefault="005B3C00" w:rsidP="005B3C00">
      <w:pPr>
        <w:pStyle w:val="ListParagraph"/>
        <w:rPr>
          <w:sz w:val="24"/>
          <w:szCs w:val="24"/>
        </w:rPr>
      </w:pPr>
    </w:p>
    <w:p w:rsidR="001F7F73" w:rsidRPr="00F7532C" w:rsidRDefault="00C52341" w:rsidP="00DE562E">
      <w:pPr>
        <w:jc w:val="both"/>
        <w:rPr>
          <w:sz w:val="24"/>
          <w:szCs w:val="24"/>
        </w:rPr>
      </w:pPr>
      <w:r w:rsidRPr="00F7532C">
        <w:rPr>
          <w:sz w:val="24"/>
          <w:szCs w:val="24"/>
        </w:rPr>
        <w:t>D</w:t>
      </w:r>
      <w:r w:rsidR="00DE562E" w:rsidRPr="00F7532C">
        <w:rPr>
          <w:sz w:val="24"/>
          <w:szCs w:val="24"/>
        </w:rPr>
        <w:t>ate:</w:t>
      </w:r>
      <w:r w:rsidR="00B2220C">
        <w:rPr>
          <w:sz w:val="24"/>
          <w:szCs w:val="24"/>
        </w:rPr>
        <w:t xml:space="preserve">  </w:t>
      </w:r>
      <w:r w:rsidRPr="00F7532C">
        <w:rPr>
          <w:sz w:val="24"/>
          <w:szCs w:val="24"/>
          <w:u w:val="single"/>
        </w:rPr>
        <w:t xml:space="preserve">December </w:t>
      </w:r>
      <w:r w:rsidR="007B3C9D">
        <w:rPr>
          <w:sz w:val="24"/>
          <w:szCs w:val="24"/>
          <w:u w:val="single"/>
        </w:rPr>
        <w:t>20</w:t>
      </w:r>
      <w:r w:rsidRPr="00F7532C">
        <w:rPr>
          <w:sz w:val="24"/>
          <w:szCs w:val="24"/>
          <w:u w:val="single"/>
        </w:rPr>
        <w:t>, 2012</w:t>
      </w:r>
      <w:r w:rsidR="001F7F73" w:rsidRPr="00F7532C">
        <w:rPr>
          <w:sz w:val="24"/>
          <w:szCs w:val="24"/>
        </w:rPr>
        <w:tab/>
      </w:r>
      <w:r w:rsidR="001F7F73" w:rsidRPr="00F7532C">
        <w:rPr>
          <w:sz w:val="24"/>
          <w:szCs w:val="24"/>
        </w:rPr>
        <w:tab/>
      </w:r>
      <w:r w:rsidR="001F7F73" w:rsidRPr="00F7532C">
        <w:rPr>
          <w:sz w:val="24"/>
          <w:szCs w:val="24"/>
        </w:rPr>
        <w:tab/>
      </w:r>
      <w:r w:rsidR="001F7F73" w:rsidRPr="00F7532C">
        <w:rPr>
          <w:sz w:val="24"/>
          <w:szCs w:val="24"/>
        </w:rPr>
        <w:tab/>
      </w:r>
      <w:r w:rsidR="00B562D7">
        <w:rPr>
          <w:sz w:val="24"/>
          <w:szCs w:val="24"/>
        </w:rPr>
        <w:tab/>
      </w:r>
      <w:r w:rsidR="001F7F73" w:rsidRPr="00F7532C">
        <w:rPr>
          <w:sz w:val="24"/>
          <w:szCs w:val="24"/>
        </w:rPr>
        <w:t>______________________________</w:t>
      </w:r>
    </w:p>
    <w:p w:rsidR="00DE562E" w:rsidRPr="00F7532C" w:rsidRDefault="001F7F73" w:rsidP="00DE562E">
      <w:pPr>
        <w:jc w:val="both"/>
        <w:rPr>
          <w:sz w:val="24"/>
          <w:szCs w:val="24"/>
        </w:rPr>
      </w:pPr>
      <w:r w:rsidRPr="00F7532C">
        <w:rPr>
          <w:sz w:val="24"/>
          <w:szCs w:val="24"/>
        </w:rPr>
        <w:tab/>
      </w:r>
      <w:r w:rsidRPr="00F7532C">
        <w:rPr>
          <w:sz w:val="24"/>
          <w:szCs w:val="24"/>
        </w:rPr>
        <w:tab/>
      </w:r>
      <w:r w:rsidR="00C21F78" w:rsidRPr="00F7532C">
        <w:rPr>
          <w:b/>
          <w:sz w:val="24"/>
          <w:szCs w:val="24"/>
        </w:rPr>
        <w:tab/>
      </w:r>
      <w:r w:rsidR="00DE562E" w:rsidRPr="00F7532C">
        <w:rPr>
          <w:sz w:val="24"/>
          <w:szCs w:val="24"/>
        </w:rPr>
        <w:tab/>
      </w:r>
      <w:r w:rsidR="00DE562E" w:rsidRPr="00F7532C">
        <w:rPr>
          <w:sz w:val="24"/>
          <w:szCs w:val="24"/>
        </w:rPr>
        <w:tab/>
      </w:r>
      <w:r w:rsidR="007114E7" w:rsidRPr="00F7532C">
        <w:rPr>
          <w:sz w:val="24"/>
          <w:szCs w:val="24"/>
        </w:rPr>
        <w:tab/>
      </w:r>
      <w:r w:rsidR="007114E7" w:rsidRPr="00F7532C">
        <w:rPr>
          <w:sz w:val="24"/>
          <w:szCs w:val="24"/>
        </w:rPr>
        <w:tab/>
      </w:r>
      <w:r w:rsidR="00B562D7">
        <w:rPr>
          <w:sz w:val="24"/>
          <w:szCs w:val="24"/>
        </w:rPr>
        <w:tab/>
      </w:r>
      <w:r w:rsidRPr="00F7532C">
        <w:rPr>
          <w:sz w:val="24"/>
          <w:szCs w:val="24"/>
        </w:rPr>
        <w:t>Ember S. Jandebeur</w:t>
      </w:r>
    </w:p>
    <w:p w:rsidR="006034D3" w:rsidRPr="00F7532C" w:rsidRDefault="00DE562E" w:rsidP="001027AA">
      <w:pPr>
        <w:jc w:val="both"/>
        <w:rPr>
          <w:sz w:val="24"/>
          <w:szCs w:val="24"/>
        </w:rPr>
      </w:pPr>
      <w:r w:rsidRPr="00F7532C">
        <w:rPr>
          <w:sz w:val="24"/>
          <w:szCs w:val="24"/>
        </w:rPr>
        <w:tab/>
      </w:r>
      <w:r w:rsidRPr="00F7532C">
        <w:rPr>
          <w:sz w:val="24"/>
          <w:szCs w:val="24"/>
        </w:rPr>
        <w:tab/>
      </w:r>
      <w:r w:rsidRPr="00F7532C">
        <w:rPr>
          <w:sz w:val="24"/>
          <w:szCs w:val="24"/>
        </w:rPr>
        <w:tab/>
      </w:r>
      <w:r w:rsidRPr="00F7532C">
        <w:rPr>
          <w:sz w:val="24"/>
          <w:szCs w:val="24"/>
        </w:rPr>
        <w:tab/>
      </w:r>
      <w:r w:rsidRPr="00F7532C">
        <w:rPr>
          <w:sz w:val="24"/>
          <w:szCs w:val="24"/>
        </w:rPr>
        <w:tab/>
      </w:r>
      <w:r w:rsidR="007114E7" w:rsidRPr="00F7532C">
        <w:rPr>
          <w:sz w:val="24"/>
          <w:szCs w:val="24"/>
        </w:rPr>
        <w:tab/>
      </w:r>
      <w:r w:rsidR="007114E7" w:rsidRPr="00F7532C">
        <w:rPr>
          <w:sz w:val="24"/>
          <w:szCs w:val="24"/>
        </w:rPr>
        <w:tab/>
      </w:r>
      <w:r w:rsidR="00B562D7">
        <w:rPr>
          <w:sz w:val="24"/>
          <w:szCs w:val="24"/>
        </w:rPr>
        <w:tab/>
      </w:r>
      <w:r w:rsidRPr="00F7532C">
        <w:rPr>
          <w:sz w:val="24"/>
          <w:szCs w:val="24"/>
        </w:rPr>
        <w:t>Administrative Law Judge</w:t>
      </w:r>
    </w:p>
    <w:p w:rsidR="006034D3" w:rsidRPr="00F7532C" w:rsidRDefault="006034D3" w:rsidP="00E76B34">
      <w:pPr>
        <w:tabs>
          <w:tab w:val="center" w:pos="4752"/>
        </w:tabs>
        <w:suppressAutoHyphens/>
        <w:rPr>
          <w:kern w:val="1"/>
        </w:rPr>
      </w:pPr>
    </w:p>
    <w:p w:rsidR="002B19D4" w:rsidRPr="00F7532C" w:rsidRDefault="002B19D4" w:rsidP="001027AA">
      <w:pPr>
        <w:jc w:val="both"/>
        <w:rPr>
          <w:sz w:val="24"/>
          <w:szCs w:val="24"/>
        </w:rPr>
      </w:pPr>
      <w:bookmarkStart w:id="1" w:name="_GoBack"/>
      <w:bookmarkEnd w:id="1"/>
    </w:p>
    <w:sectPr w:rsidR="002B19D4" w:rsidRPr="00F7532C" w:rsidSect="005F452A">
      <w:footerReference w:type="even" r:id="rId22"/>
      <w:footerReference w:type="defaul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47" w:rsidRDefault="00E41D47">
      <w:r>
        <w:separator/>
      </w:r>
    </w:p>
  </w:endnote>
  <w:endnote w:type="continuationSeparator" w:id="0">
    <w:p w:rsidR="00E41D47" w:rsidRDefault="00E4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0A3C2F">
      <w:rPr>
        <w:rStyle w:val="PageNumber"/>
        <w:noProof/>
        <w:sz w:val="20"/>
        <w:szCs w:val="20"/>
      </w:rPr>
      <w:t>9</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47" w:rsidRDefault="00E41D47">
      <w:r>
        <w:separator/>
      </w:r>
    </w:p>
  </w:footnote>
  <w:footnote w:type="continuationSeparator" w:id="0">
    <w:p w:rsidR="00E41D47" w:rsidRDefault="00E41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9B104E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87F13DC"/>
    <w:multiLevelType w:val="hybridMultilevel"/>
    <w:tmpl w:val="333E4530"/>
    <w:lvl w:ilvl="0" w:tplc="1EDADB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542376"/>
    <w:multiLevelType w:val="hybridMultilevel"/>
    <w:tmpl w:val="38C6696E"/>
    <w:lvl w:ilvl="0" w:tplc="734A6F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2"/>
  </w:num>
  <w:num w:numId="5">
    <w:abstractNumId w:val="10"/>
  </w:num>
  <w:num w:numId="6">
    <w:abstractNumId w:val="6"/>
  </w:num>
  <w:num w:numId="7">
    <w:abstractNumId w:val="4"/>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5"/>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696B"/>
    <w:rsid w:val="00020AB1"/>
    <w:rsid w:val="00022997"/>
    <w:rsid w:val="00022D67"/>
    <w:rsid w:val="0002512E"/>
    <w:rsid w:val="00034A86"/>
    <w:rsid w:val="00035C05"/>
    <w:rsid w:val="00035E78"/>
    <w:rsid w:val="00036BA3"/>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3C2F"/>
    <w:rsid w:val="000B3AD9"/>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78A"/>
    <w:rsid w:val="00176F82"/>
    <w:rsid w:val="00177BCB"/>
    <w:rsid w:val="0018160C"/>
    <w:rsid w:val="00187B87"/>
    <w:rsid w:val="001930DE"/>
    <w:rsid w:val="00193B6C"/>
    <w:rsid w:val="00194CFB"/>
    <w:rsid w:val="001A4CC0"/>
    <w:rsid w:val="001A721E"/>
    <w:rsid w:val="001B123C"/>
    <w:rsid w:val="001B3235"/>
    <w:rsid w:val="001B6470"/>
    <w:rsid w:val="001C20B7"/>
    <w:rsid w:val="001C715B"/>
    <w:rsid w:val="001D3206"/>
    <w:rsid w:val="001D6FCF"/>
    <w:rsid w:val="001E4FAC"/>
    <w:rsid w:val="001F0787"/>
    <w:rsid w:val="001F08B4"/>
    <w:rsid w:val="001F2116"/>
    <w:rsid w:val="001F6FC1"/>
    <w:rsid w:val="001F7F73"/>
    <w:rsid w:val="0020095D"/>
    <w:rsid w:val="002165DF"/>
    <w:rsid w:val="00220C5E"/>
    <w:rsid w:val="00223E7E"/>
    <w:rsid w:val="00234619"/>
    <w:rsid w:val="0023520D"/>
    <w:rsid w:val="00235C44"/>
    <w:rsid w:val="00236FF7"/>
    <w:rsid w:val="002416AB"/>
    <w:rsid w:val="0024496F"/>
    <w:rsid w:val="00244D86"/>
    <w:rsid w:val="0025370D"/>
    <w:rsid w:val="00260D19"/>
    <w:rsid w:val="00260F50"/>
    <w:rsid w:val="002610A6"/>
    <w:rsid w:val="002732DC"/>
    <w:rsid w:val="0028114B"/>
    <w:rsid w:val="0028185A"/>
    <w:rsid w:val="0028354E"/>
    <w:rsid w:val="00290918"/>
    <w:rsid w:val="002919C6"/>
    <w:rsid w:val="00293557"/>
    <w:rsid w:val="002959E3"/>
    <w:rsid w:val="00297858"/>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0D7"/>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090B"/>
    <w:rsid w:val="003C3664"/>
    <w:rsid w:val="003C41D9"/>
    <w:rsid w:val="003C7143"/>
    <w:rsid w:val="003D139F"/>
    <w:rsid w:val="003D15FA"/>
    <w:rsid w:val="003D7EC6"/>
    <w:rsid w:val="003E292B"/>
    <w:rsid w:val="003E3FA8"/>
    <w:rsid w:val="003E594B"/>
    <w:rsid w:val="003F5796"/>
    <w:rsid w:val="003F69BF"/>
    <w:rsid w:val="00400FA4"/>
    <w:rsid w:val="00402359"/>
    <w:rsid w:val="004064A8"/>
    <w:rsid w:val="00417087"/>
    <w:rsid w:val="0042160A"/>
    <w:rsid w:val="00422E29"/>
    <w:rsid w:val="00424A76"/>
    <w:rsid w:val="00427E73"/>
    <w:rsid w:val="004312BE"/>
    <w:rsid w:val="00431BEF"/>
    <w:rsid w:val="00442854"/>
    <w:rsid w:val="0046339D"/>
    <w:rsid w:val="00476C8A"/>
    <w:rsid w:val="004777A4"/>
    <w:rsid w:val="00486535"/>
    <w:rsid w:val="00490174"/>
    <w:rsid w:val="004917C1"/>
    <w:rsid w:val="00491C99"/>
    <w:rsid w:val="00492105"/>
    <w:rsid w:val="00495450"/>
    <w:rsid w:val="004A1805"/>
    <w:rsid w:val="004A5AD6"/>
    <w:rsid w:val="004B042F"/>
    <w:rsid w:val="004C0A7E"/>
    <w:rsid w:val="004C1133"/>
    <w:rsid w:val="004C3EFA"/>
    <w:rsid w:val="004D1B54"/>
    <w:rsid w:val="004D3108"/>
    <w:rsid w:val="004D46FD"/>
    <w:rsid w:val="004E20CB"/>
    <w:rsid w:val="004E2912"/>
    <w:rsid w:val="004E533F"/>
    <w:rsid w:val="004F2D3D"/>
    <w:rsid w:val="005032B5"/>
    <w:rsid w:val="0050360C"/>
    <w:rsid w:val="00515937"/>
    <w:rsid w:val="00517AD1"/>
    <w:rsid w:val="00521836"/>
    <w:rsid w:val="00523780"/>
    <w:rsid w:val="00530D1B"/>
    <w:rsid w:val="00531226"/>
    <w:rsid w:val="00531409"/>
    <w:rsid w:val="00535DF7"/>
    <w:rsid w:val="00542107"/>
    <w:rsid w:val="00551B11"/>
    <w:rsid w:val="00553EEB"/>
    <w:rsid w:val="00564C41"/>
    <w:rsid w:val="0056706A"/>
    <w:rsid w:val="00573D9F"/>
    <w:rsid w:val="00582896"/>
    <w:rsid w:val="00584798"/>
    <w:rsid w:val="0059070D"/>
    <w:rsid w:val="00592C86"/>
    <w:rsid w:val="005A33D0"/>
    <w:rsid w:val="005B250B"/>
    <w:rsid w:val="005B3C00"/>
    <w:rsid w:val="005B6749"/>
    <w:rsid w:val="005B7834"/>
    <w:rsid w:val="005C28EC"/>
    <w:rsid w:val="005D00E1"/>
    <w:rsid w:val="005D19C4"/>
    <w:rsid w:val="005D2DEE"/>
    <w:rsid w:val="005D4D0C"/>
    <w:rsid w:val="005D7EA3"/>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0FF8"/>
    <w:rsid w:val="00641596"/>
    <w:rsid w:val="0064329B"/>
    <w:rsid w:val="006441F5"/>
    <w:rsid w:val="00644E60"/>
    <w:rsid w:val="00645B55"/>
    <w:rsid w:val="00652C21"/>
    <w:rsid w:val="0066237B"/>
    <w:rsid w:val="006656FC"/>
    <w:rsid w:val="006731FD"/>
    <w:rsid w:val="00675607"/>
    <w:rsid w:val="00675986"/>
    <w:rsid w:val="00695694"/>
    <w:rsid w:val="00695E1A"/>
    <w:rsid w:val="006A21C2"/>
    <w:rsid w:val="006A3B47"/>
    <w:rsid w:val="006A63DD"/>
    <w:rsid w:val="006A7A0A"/>
    <w:rsid w:val="006C1047"/>
    <w:rsid w:val="006C3226"/>
    <w:rsid w:val="006D4BB7"/>
    <w:rsid w:val="006D75BD"/>
    <w:rsid w:val="006E4407"/>
    <w:rsid w:val="006F0EA6"/>
    <w:rsid w:val="006F320F"/>
    <w:rsid w:val="006F44F9"/>
    <w:rsid w:val="006F7DDE"/>
    <w:rsid w:val="007015FC"/>
    <w:rsid w:val="00702D9C"/>
    <w:rsid w:val="007114E7"/>
    <w:rsid w:val="0071588F"/>
    <w:rsid w:val="0073239A"/>
    <w:rsid w:val="0073727C"/>
    <w:rsid w:val="00744AF3"/>
    <w:rsid w:val="00747E56"/>
    <w:rsid w:val="00751672"/>
    <w:rsid w:val="0075510C"/>
    <w:rsid w:val="00766C8E"/>
    <w:rsid w:val="00775593"/>
    <w:rsid w:val="00782A08"/>
    <w:rsid w:val="00785BFF"/>
    <w:rsid w:val="00786153"/>
    <w:rsid w:val="007908D4"/>
    <w:rsid w:val="00792C70"/>
    <w:rsid w:val="007965B0"/>
    <w:rsid w:val="007A49B5"/>
    <w:rsid w:val="007A5EA5"/>
    <w:rsid w:val="007B1672"/>
    <w:rsid w:val="007B1D2D"/>
    <w:rsid w:val="007B3C9D"/>
    <w:rsid w:val="007B46F9"/>
    <w:rsid w:val="007B6CFE"/>
    <w:rsid w:val="007C36CE"/>
    <w:rsid w:val="007C74E3"/>
    <w:rsid w:val="007D3E3E"/>
    <w:rsid w:val="007D6063"/>
    <w:rsid w:val="007E09E5"/>
    <w:rsid w:val="007E31DB"/>
    <w:rsid w:val="007E7871"/>
    <w:rsid w:val="00803141"/>
    <w:rsid w:val="00805E01"/>
    <w:rsid w:val="0081070B"/>
    <w:rsid w:val="008142EB"/>
    <w:rsid w:val="0081669B"/>
    <w:rsid w:val="0081696C"/>
    <w:rsid w:val="00817708"/>
    <w:rsid w:val="00822750"/>
    <w:rsid w:val="008228F3"/>
    <w:rsid w:val="00823F91"/>
    <w:rsid w:val="00824683"/>
    <w:rsid w:val="008354C5"/>
    <w:rsid w:val="0083691D"/>
    <w:rsid w:val="00840FD3"/>
    <w:rsid w:val="00841779"/>
    <w:rsid w:val="008506A0"/>
    <w:rsid w:val="008517C9"/>
    <w:rsid w:val="00851A4F"/>
    <w:rsid w:val="00852AE9"/>
    <w:rsid w:val="00866264"/>
    <w:rsid w:val="008663C0"/>
    <w:rsid w:val="008746E1"/>
    <w:rsid w:val="00876F7A"/>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0F18"/>
    <w:rsid w:val="00922FE6"/>
    <w:rsid w:val="009342E4"/>
    <w:rsid w:val="00934E26"/>
    <w:rsid w:val="009445E9"/>
    <w:rsid w:val="009634B4"/>
    <w:rsid w:val="009643E3"/>
    <w:rsid w:val="009649FC"/>
    <w:rsid w:val="00965F82"/>
    <w:rsid w:val="0098237A"/>
    <w:rsid w:val="00982B8E"/>
    <w:rsid w:val="009830C8"/>
    <w:rsid w:val="00983B9A"/>
    <w:rsid w:val="009877CF"/>
    <w:rsid w:val="00987B98"/>
    <w:rsid w:val="00992C4C"/>
    <w:rsid w:val="009959DA"/>
    <w:rsid w:val="00995E0A"/>
    <w:rsid w:val="009A475D"/>
    <w:rsid w:val="009A5C49"/>
    <w:rsid w:val="009B1C06"/>
    <w:rsid w:val="009B1E69"/>
    <w:rsid w:val="009C22D0"/>
    <w:rsid w:val="009D5A08"/>
    <w:rsid w:val="009D5D96"/>
    <w:rsid w:val="009E69A1"/>
    <w:rsid w:val="009F24FB"/>
    <w:rsid w:val="009F4939"/>
    <w:rsid w:val="009F7BD8"/>
    <w:rsid w:val="00A022C7"/>
    <w:rsid w:val="00A02D20"/>
    <w:rsid w:val="00A0627A"/>
    <w:rsid w:val="00A11877"/>
    <w:rsid w:val="00A22653"/>
    <w:rsid w:val="00A23BC5"/>
    <w:rsid w:val="00A24F45"/>
    <w:rsid w:val="00A345AE"/>
    <w:rsid w:val="00A409B8"/>
    <w:rsid w:val="00A416FC"/>
    <w:rsid w:val="00A4383B"/>
    <w:rsid w:val="00A475EE"/>
    <w:rsid w:val="00A51789"/>
    <w:rsid w:val="00A523A9"/>
    <w:rsid w:val="00A52E9C"/>
    <w:rsid w:val="00A67786"/>
    <w:rsid w:val="00A67C1E"/>
    <w:rsid w:val="00A755CD"/>
    <w:rsid w:val="00A761ED"/>
    <w:rsid w:val="00A76B1D"/>
    <w:rsid w:val="00A86505"/>
    <w:rsid w:val="00A938C1"/>
    <w:rsid w:val="00A94E27"/>
    <w:rsid w:val="00A95E53"/>
    <w:rsid w:val="00AA00A9"/>
    <w:rsid w:val="00AA0438"/>
    <w:rsid w:val="00AA1DE2"/>
    <w:rsid w:val="00AA4A0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300C"/>
    <w:rsid w:val="00AF7EAE"/>
    <w:rsid w:val="00B03092"/>
    <w:rsid w:val="00B0541E"/>
    <w:rsid w:val="00B13849"/>
    <w:rsid w:val="00B2220C"/>
    <w:rsid w:val="00B23067"/>
    <w:rsid w:val="00B2590D"/>
    <w:rsid w:val="00B32E66"/>
    <w:rsid w:val="00B34848"/>
    <w:rsid w:val="00B40E21"/>
    <w:rsid w:val="00B45676"/>
    <w:rsid w:val="00B45F71"/>
    <w:rsid w:val="00B5018B"/>
    <w:rsid w:val="00B562D7"/>
    <w:rsid w:val="00B57687"/>
    <w:rsid w:val="00B625D9"/>
    <w:rsid w:val="00B665D7"/>
    <w:rsid w:val="00B70860"/>
    <w:rsid w:val="00B71D02"/>
    <w:rsid w:val="00B87994"/>
    <w:rsid w:val="00B922CF"/>
    <w:rsid w:val="00B94E3D"/>
    <w:rsid w:val="00B979CC"/>
    <w:rsid w:val="00BA47D2"/>
    <w:rsid w:val="00BA4971"/>
    <w:rsid w:val="00BA61F7"/>
    <w:rsid w:val="00BB3104"/>
    <w:rsid w:val="00BB352A"/>
    <w:rsid w:val="00BC2D8F"/>
    <w:rsid w:val="00BC2DE6"/>
    <w:rsid w:val="00BC7240"/>
    <w:rsid w:val="00BD2916"/>
    <w:rsid w:val="00BD42F1"/>
    <w:rsid w:val="00BD62C6"/>
    <w:rsid w:val="00BE1D82"/>
    <w:rsid w:val="00BE6352"/>
    <w:rsid w:val="00BF023C"/>
    <w:rsid w:val="00BF5F04"/>
    <w:rsid w:val="00C052E4"/>
    <w:rsid w:val="00C102F1"/>
    <w:rsid w:val="00C10543"/>
    <w:rsid w:val="00C1140C"/>
    <w:rsid w:val="00C1195C"/>
    <w:rsid w:val="00C1239B"/>
    <w:rsid w:val="00C136F0"/>
    <w:rsid w:val="00C150A5"/>
    <w:rsid w:val="00C21F78"/>
    <w:rsid w:val="00C224B0"/>
    <w:rsid w:val="00C25C02"/>
    <w:rsid w:val="00C27A38"/>
    <w:rsid w:val="00C302A8"/>
    <w:rsid w:val="00C322C5"/>
    <w:rsid w:val="00C34D87"/>
    <w:rsid w:val="00C3577F"/>
    <w:rsid w:val="00C37F96"/>
    <w:rsid w:val="00C419F9"/>
    <w:rsid w:val="00C426F5"/>
    <w:rsid w:val="00C45D4C"/>
    <w:rsid w:val="00C477B5"/>
    <w:rsid w:val="00C52341"/>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1A90"/>
    <w:rsid w:val="00CC49DA"/>
    <w:rsid w:val="00CC5E96"/>
    <w:rsid w:val="00CD4A78"/>
    <w:rsid w:val="00CD6B6A"/>
    <w:rsid w:val="00CE149A"/>
    <w:rsid w:val="00CE43B4"/>
    <w:rsid w:val="00CE68C6"/>
    <w:rsid w:val="00CF3BB0"/>
    <w:rsid w:val="00CF7138"/>
    <w:rsid w:val="00D02084"/>
    <w:rsid w:val="00D050DE"/>
    <w:rsid w:val="00D0549E"/>
    <w:rsid w:val="00D077EC"/>
    <w:rsid w:val="00D13B06"/>
    <w:rsid w:val="00D1728D"/>
    <w:rsid w:val="00D21BFC"/>
    <w:rsid w:val="00D21D55"/>
    <w:rsid w:val="00D21EF9"/>
    <w:rsid w:val="00D22F4A"/>
    <w:rsid w:val="00D23330"/>
    <w:rsid w:val="00D25204"/>
    <w:rsid w:val="00D32326"/>
    <w:rsid w:val="00D34B76"/>
    <w:rsid w:val="00D35F74"/>
    <w:rsid w:val="00D4029A"/>
    <w:rsid w:val="00D416A5"/>
    <w:rsid w:val="00D50C56"/>
    <w:rsid w:val="00D517DC"/>
    <w:rsid w:val="00D5488B"/>
    <w:rsid w:val="00D55074"/>
    <w:rsid w:val="00D55AA4"/>
    <w:rsid w:val="00D625A7"/>
    <w:rsid w:val="00D6261D"/>
    <w:rsid w:val="00D6598A"/>
    <w:rsid w:val="00D65F4B"/>
    <w:rsid w:val="00D71653"/>
    <w:rsid w:val="00D72436"/>
    <w:rsid w:val="00D8063C"/>
    <w:rsid w:val="00D926F9"/>
    <w:rsid w:val="00D93182"/>
    <w:rsid w:val="00D961B5"/>
    <w:rsid w:val="00DA7FD6"/>
    <w:rsid w:val="00DB1328"/>
    <w:rsid w:val="00DB7EE0"/>
    <w:rsid w:val="00DD3E7F"/>
    <w:rsid w:val="00DD4EF6"/>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4255"/>
    <w:rsid w:val="00E35217"/>
    <w:rsid w:val="00E35AC9"/>
    <w:rsid w:val="00E413A9"/>
    <w:rsid w:val="00E41D47"/>
    <w:rsid w:val="00E5003A"/>
    <w:rsid w:val="00E514FA"/>
    <w:rsid w:val="00E51D1F"/>
    <w:rsid w:val="00E56529"/>
    <w:rsid w:val="00E6135C"/>
    <w:rsid w:val="00E659AC"/>
    <w:rsid w:val="00E66725"/>
    <w:rsid w:val="00E67591"/>
    <w:rsid w:val="00E67A2A"/>
    <w:rsid w:val="00E728B0"/>
    <w:rsid w:val="00E75758"/>
    <w:rsid w:val="00E75BC0"/>
    <w:rsid w:val="00E76B34"/>
    <w:rsid w:val="00E85ECC"/>
    <w:rsid w:val="00E9292D"/>
    <w:rsid w:val="00EA24C1"/>
    <w:rsid w:val="00EA2B0E"/>
    <w:rsid w:val="00EA319E"/>
    <w:rsid w:val="00EA56F6"/>
    <w:rsid w:val="00EA60C1"/>
    <w:rsid w:val="00EA77CE"/>
    <w:rsid w:val="00EB1DAB"/>
    <w:rsid w:val="00EB1EEE"/>
    <w:rsid w:val="00EB7CEF"/>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29B8"/>
    <w:rsid w:val="00F566E6"/>
    <w:rsid w:val="00F702DD"/>
    <w:rsid w:val="00F721A2"/>
    <w:rsid w:val="00F72B51"/>
    <w:rsid w:val="00F734B6"/>
    <w:rsid w:val="00F7532C"/>
    <w:rsid w:val="00F76C50"/>
    <w:rsid w:val="00F84427"/>
    <w:rsid w:val="00F85050"/>
    <w:rsid w:val="00F86303"/>
    <w:rsid w:val="00F95BD7"/>
    <w:rsid w:val="00F97102"/>
    <w:rsid w:val="00FA1741"/>
    <w:rsid w:val="00FA260D"/>
    <w:rsid w:val="00FA304F"/>
    <w:rsid w:val="00FA6242"/>
    <w:rsid w:val="00FA643C"/>
    <w:rsid w:val="00FA7894"/>
    <w:rsid w:val="00FB48F3"/>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footer" Target="footer2.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086-A7F7-4A64-869D-0C6DE54F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2013-01-11T13:35:00Z</cp:lastPrinted>
  <dcterms:created xsi:type="dcterms:W3CDTF">2013-01-11T13:37:00Z</dcterms:created>
  <dcterms:modified xsi:type="dcterms:W3CDTF">2013-01-11T13:37:00Z</dcterms:modified>
</cp:coreProperties>
</file>