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5D0EA3"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BC2347" w:rsidRDefault="00BC2347" w:rsidP="00BC2347">
      <w:pPr>
        <w:jc w:val="center"/>
      </w:pPr>
      <w:r>
        <w:lastRenderedPageBreak/>
        <w:t>January 16, 2013</w:t>
      </w:r>
    </w:p>
    <w:p w:rsidR="00056F92" w:rsidRDefault="00192784" w:rsidP="00192784">
      <w:pPr>
        <w:jc w:val="right"/>
      </w:pPr>
      <w:r>
        <w:t>Docket Nos. R-2012-2338957</w:t>
      </w:r>
    </w:p>
    <w:p w:rsidR="00192784" w:rsidRPr="00192784" w:rsidRDefault="00192784" w:rsidP="00192784">
      <w:pPr>
        <w:jc w:val="right"/>
      </w:pPr>
      <w:r>
        <w:t>R-2012-2338959</w:t>
      </w:r>
    </w:p>
    <w:p w:rsidR="001D5000" w:rsidRDefault="001D5000" w:rsidP="00B24FC4">
      <w:pPr>
        <w:ind w:left="-90" w:firstLine="90"/>
        <w:jc w:val="both"/>
        <w:rPr>
          <w:caps/>
          <w:szCs w:val="24"/>
        </w:rPr>
      </w:pPr>
    </w:p>
    <w:p w:rsidR="00B24FC4" w:rsidRPr="00B84623" w:rsidRDefault="00B24FC4" w:rsidP="001D5000">
      <w:pPr>
        <w:ind w:left="-90" w:firstLine="90"/>
        <w:jc w:val="both"/>
        <w:rPr>
          <w:caps/>
          <w:szCs w:val="24"/>
        </w:rPr>
      </w:pPr>
      <w:r w:rsidRPr="00B84623">
        <w:rPr>
          <w:caps/>
          <w:szCs w:val="24"/>
        </w:rPr>
        <w:t>KATHERINE HOAGLAND</w:t>
      </w:r>
    </w:p>
    <w:p w:rsidR="00B24FC4" w:rsidRPr="00B84623" w:rsidRDefault="00B24FC4" w:rsidP="001D5000">
      <w:pPr>
        <w:ind w:left="-90" w:firstLine="90"/>
        <w:jc w:val="both"/>
        <w:rPr>
          <w:caps/>
          <w:szCs w:val="24"/>
        </w:rPr>
      </w:pPr>
      <w:r w:rsidRPr="00B84623">
        <w:rPr>
          <w:caps/>
          <w:szCs w:val="24"/>
        </w:rPr>
        <w:t>REGULATORY ANALYST</w:t>
      </w:r>
    </w:p>
    <w:p w:rsidR="00B24FC4" w:rsidRPr="00B84623" w:rsidRDefault="00B24FC4" w:rsidP="001D5000">
      <w:pPr>
        <w:ind w:left="-90" w:firstLine="90"/>
        <w:jc w:val="both"/>
        <w:rPr>
          <w:caps/>
          <w:szCs w:val="24"/>
        </w:rPr>
      </w:pPr>
      <w:r w:rsidRPr="00B84623">
        <w:rPr>
          <w:caps/>
          <w:szCs w:val="24"/>
        </w:rPr>
        <w:t xml:space="preserve">PAETEC </w:t>
      </w:r>
    </w:p>
    <w:p w:rsidR="00B24FC4" w:rsidRPr="00B84623" w:rsidRDefault="00B24FC4" w:rsidP="001D5000">
      <w:pPr>
        <w:ind w:left="-90" w:firstLine="90"/>
        <w:jc w:val="both"/>
        <w:rPr>
          <w:caps/>
          <w:szCs w:val="24"/>
        </w:rPr>
      </w:pPr>
      <w:r w:rsidRPr="00B84623">
        <w:rPr>
          <w:caps/>
          <w:szCs w:val="24"/>
        </w:rPr>
        <w:t xml:space="preserve">600 WILLOWBROOK OFFICE </w:t>
      </w:r>
      <w:proofErr w:type="gramStart"/>
      <w:r w:rsidRPr="00B84623">
        <w:rPr>
          <w:caps/>
          <w:szCs w:val="24"/>
        </w:rPr>
        <w:t>PARK</w:t>
      </w:r>
      <w:proofErr w:type="gramEnd"/>
    </w:p>
    <w:p w:rsidR="009B7FF8" w:rsidRPr="00B84623" w:rsidRDefault="00B24FC4" w:rsidP="001D5000">
      <w:pPr>
        <w:ind w:left="-90" w:firstLine="90"/>
        <w:jc w:val="both"/>
        <w:rPr>
          <w:caps/>
          <w:szCs w:val="24"/>
        </w:rPr>
      </w:pPr>
      <w:r w:rsidRPr="00B84623">
        <w:rPr>
          <w:caps/>
          <w:szCs w:val="24"/>
        </w:rPr>
        <w:t>FAIRPORT NY 14450</w:t>
      </w:r>
    </w:p>
    <w:p w:rsidR="009B7FF8" w:rsidRPr="00B84623" w:rsidRDefault="009B7FF8" w:rsidP="001D5000">
      <w:pPr>
        <w:ind w:left="-90" w:firstLine="90"/>
        <w:jc w:val="both"/>
        <w:rPr>
          <w:caps/>
          <w:szCs w:val="24"/>
        </w:rPr>
      </w:pPr>
    </w:p>
    <w:p w:rsidR="009B7FF8" w:rsidRPr="00B84623" w:rsidRDefault="009B7FF8" w:rsidP="001D5000">
      <w:pPr>
        <w:ind w:left="-90" w:firstLine="90"/>
        <w:jc w:val="both"/>
        <w:rPr>
          <w:caps/>
          <w:szCs w:val="24"/>
        </w:rPr>
      </w:pPr>
      <w:r w:rsidRPr="00B84623">
        <w:rPr>
          <w:caps/>
          <w:szCs w:val="24"/>
        </w:rPr>
        <w:tab/>
      </w:r>
      <w:r w:rsidR="00970C11" w:rsidRPr="00B84623">
        <w:rPr>
          <w:caps/>
          <w:szCs w:val="24"/>
        </w:rPr>
        <w:t>RE:</w:t>
      </w:r>
      <w:r w:rsidR="00970C11" w:rsidRPr="00B84623">
        <w:rPr>
          <w:caps/>
          <w:szCs w:val="24"/>
        </w:rPr>
        <w:tab/>
      </w:r>
      <w:r w:rsidRPr="002607AD">
        <w:rPr>
          <w:b/>
          <w:szCs w:val="24"/>
        </w:rPr>
        <w:t>US LEC of Pennsylvania Inc. d/b/a PAETEC Business Services</w:t>
      </w:r>
    </w:p>
    <w:p w:rsidR="009B7FF8" w:rsidRPr="00B84623" w:rsidRDefault="009B7FF8" w:rsidP="001D5000">
      <w:pPr>
        <w:ind w:left="1440"/>
        <w:rPr>
          <w:szCs w:val="24"/>
        </w:rPr>
      </w:pPr>
      <w:r w:rsidRPr="00B84623">
        <w:rPr>
          <w:szCs w:val="24"/>
        </w:rPr>
        <w:t>Supplement No. 31 to Tariff PA P.U.C. No. 1 (Local Exchange Services)</w:t>
      </w:r>
    </w:p>
    <w:p w:rsidR="009B7FF8" w:rsidRPr="00B84623" w:rsidRDefault="009B7FF8" w:rsidP="001D5000">
      <w:pPr>
        <w:ind w:left="1440"/>
        <w:rPr>
          <w:szCs w:val="24"/>
        </w:rPr>
      </w:pPr>
      <w:r w:rsidRPr="00B84623">
        <w:rPr>
          <w:szCs w:val="24"/>
        </w:rPr>
        <w:t>Docket No. R-2012-2338957, Utility Code 310814</w:t>
      </w:r>
    </w:p>
    <w:p w:rsidR="009B7FF8" w:rsidRPr="00B84623" w:rsidRDefault="009B7FF8" w:rsidP="001D5000">
      <w:pPr>
        <w:rPr>
          <w:caps/>
          <w:szCs w:val="24"/>
        </w:rPr>
      </w:pPr>
    </w:p>
    <w:p w:rsidR="00970C11" w:rsidRPr="00B84623" w:rsidRDefault="009B7FF8" w:rsidP="001D5000">
      <w:pPr>
        <w:rPr>
          <w:szCs w:val="24"/>
        </w:rPr>
      </w:pPr>
      <w:r w:rsidRPr="00B84623">
        <w:rPr>
          <w:caps/>
          <w:szCs w:val="24"/>
        </w:rPr>
        <w:t>`</w:t>
      </w:r>
      <w:r w:rsidRPr="00B84623">
        <w:rPr>
          <w:caps/>
          <w:szCs w:val="24"/>
        </w:rPr>
        <w:tab/>
      </w:r>
      <w:r w:rsidRPr="00B84623">
        <w:rPr>
          <w:caps/>
          <w:szCs w:val="24"/>
        </w:rPr>
        <w:tab/>
      </w:r>
      <w:r w:rsidR="00970C11" w:rsidRPr="002607AD">
        <w:rPr>
          <w:b/>
          <w:szCs w:val="24"/>
        </w:rPr>
        <w:t>PAETEC Communications, Inc.</w:t>
      </w:r>
    </w:p>
    <w:p w:rsidR="00970C11" w:rsidRPr="00B84623" w:rsidRDefault="00970C11" w:rsidP="001D5000">
      <w:pPr>
        <w:ind w:left="1440" w:hanging="720"/>
        <w:jc w:val="both"/>
        <w:rPr>
          <w:szCs w:val="24"/>
        </w:rPr>
      </w:pPr>
      <w:r w:rsidRPr="00B84623">
        <w:rPr>
          <w:szCs w:val="24"/>
        </w:rPr>
        <w:tab/>
        <w:t>Supplement No. 35 to Tariff PA P.U.C. No. 3 (Local Exchange Services)</w:t>
      </w:r>
    </w:p>
    <w:p w:rsidR="009B7FF8" w:rsidRPr="00B84623" w:rsidRDefault="009B7FF8" w:rsidP="001D5000">
      <w:pPr>
        <w:rPr>
          <w:szCs w:val="24"/>
        </w:rPr>
      </w:pPr>
      <w:r w:rsidRPr="00B84623">
        <w:rPr>
          <w:szCs w:val="24"/>
        </w:rPr>
        <w:tab/>
      </w:r>
      <w:r w:rsidRPr="00B84623">
        <w:rPr>
          <w:szCs w:val="24"/>
        </w:rPr>
        <w:tab/>
        <w:t>Docket No. R-2012-2338959, Utility Code 310743</w:t>
      </w:r>
    </w:p>
    <w:p w:rsidR="005E55D0" w:rsidRPr="00B84623" w:rsidRDefault="00970C11" w:rsidP="001D5000">
      <w:pPr>
        <w:rPr>
          <w:caps/>
          <w:szCs w:val="24"/>
        </w:rPr>
      </w:pPr>
      <w:r w:rsidRPr="00B84623">
        <w:rPr>
          <w:b/>
          <w:szCs w:val="24"/>
        </w:rPr>
        <w:tab/>
      </w:r>
    </w:p>
    <w:p w:rsidR="001155F6" w:rsidRPr="00B84623" w:rsidRDefault="001155F6" w:rsidP="001D5000">
      <w:pPr>
        <w:rPr>
          <w:szCs w:val="24"/>
        </w:rPr>
      </w:pPr>
      <w:r w:rsidRPr="00B84623">
        <w:rPr>
          <w:szCs w:val="24"/>
        </w:rPr>
        <w:t>Dear M</w:t>
      </w:r>
      <w:r w:rsidR="001E23BA" w:rsidRPr="00B84623">
        <w:rPr>
          <w:szCs w:val="24"/>
        </w:rPr>
        <w:t xml:space="preserve">s. </w:t>
      </w:r>
      <w:r w:rsidR="008C07A0" w:rsidRPr="00B84623">
        <w:rPr>
          <w:szCs w:val="24"/>
        </w:rPr>
        <w:t>Hoagland</w:t>
      </w:r>
      <w:r w:rsidR="006D46A1" w:rsidRPr="00B84623">
        <w:rPr>
          <w:szCs w:val="24"/>
        </w:rPr>
        <w:t xml:space="preserve">: </w:t>
      </w:r>
    </w:p>
    <w:p w:rsidR="001D5000" w:rsidRPr="00B84623" w:rsidRDefault="001D5000" w:rsidP="001D5000">
      <w:pPr>
        <w:rPr>
          <w:szCs w:val="24"/>
        </w:rPr>
      </w:pPr>
    </w:p>
    <w:p w:rsidR="005E55D0" w:rsidRPr="00B84623" w:rsidRDefault="00791FDA" w:rsidP="001D5000">
      <w:pPr>
        <w:rPr>
          <w:szCs w:val="24"/>
        </w:rPr>
      </w:pPr>
      <w:r w:rsidRPr="00B84623">
        <w:rPr>
          <w:szCs w:val="24"/>
        </w:rPr>
        <w:tab/>
      </w:r>
      <w:r w:rsidR="004758B1" w:rsidRPr="00B84623">
        <w:rPr>
          <w:szCs w:val="24"/>
        </w:rPr>
        <w:t xml:space="preserve">On </w:t>
      </w:r>
      <w:r w:rsidR="008C07A0" w:rsidRPr="00B84623">
        <w:rPr>
          <w:szCs w:val="24"/>
        </w:rPr>
        <w:t>December 14, 2012, PAETEC Communications, Inc.</w:t>
      </w:r>
      <w:r w:rsidR="009B7FF8" w:rsidRPr="00B84623">
        <w:rPr>
          <w:szCs w:val="24"/>
        </w:rPr>
        <w:t xml:space="preserve"> and US LEC of Pennsylvania Inc. d/b/a PAETEC Business Services</w:t>
      </w:r>
      <w:r w:rsidR="004758B1" w:rsidRPr="00B84623">
        <w:rPr>
          <w:szCs w:val="24"/>
        </w:rPr>
        <w:t xml:space="preserve"> (</w:t>
      </w:r>
      <w:r w:rsidR="009B7FF8" w:rsidRPr="00B84623">
        <w:rPr>
          <w:szCs w:val="24"/>
        </w:rPr>
        <w:t>collectively “</w:t>
      </w:r>
      <w:r w:rsidR="008C07A0" w:rsidRPr="00B84623">
        <w:rPr>
          <w:szCs w:val="24"/>
        </w:rPr>
        <w:t>PAETEC</w:t>
      </w:r>
      <w:r w:rsidR="009B7FF8" w:rsidRPr="00B84623">
        <w:rPr>
          <w:szCs w:val="24"/>
        </w:rPr>
        <w:t>”</w:t>
      </w:r>
      <w:r w:rsidR="00561AC4" w:rsidRPr="00B84623">
        <w:rPr>
          <w:szCs w:val="24"/>
        </w:rPr>
        <w:t xml:space="preserve"> or </w:t>
      </w:r>
      <w:r w:rsidR="009B7FF8" w:rsidRPr="00B84623">
        <w:rPr>
          <w:szCs w:val="24"/>
        </w:rPr>
        <w:t>“the companies”</w:t>
      </w:r>
      <w:r w:rsidR="00561AC4" w:rsidRPr="00B84623">
        <w:rPr>
          <w:szCs w:val="24"/>
        </w:rPr>
        <w:t xml:space="preserve">) </w:t>
      </w:r>
      <w:r w:rsidR="005E55D0" w:rsidRPr="00B84623">
        <w:rPr>
          <w:szCs w:val="24"/>
        </w:rPr>
        <w:t xml:space="preserve">submitted intrastate </w:t>
      </w:r>
      <w:r w:rsidR="008C07A0" w:rsidRPr="00B84623">
        <w:rPr>
          <w:szCs w:val="24"/>
        </w:rPr>
        <w:t>competitive local exchange services</w:t>
      </w:r>
      <w:r w:rsidR="005E55D0" w:rsidRPr="00B84623">
        <w:rPr>
          <w:szCs w:val="24"/>
        </w:rPr>
        <w:t xml:space="preserve"> ta</w:t>
      </w:r>
      <w:r w:rsidR="004758B1" w:rsidRPr="00B84623">
        <w:rPr>
          <w:szCs w:val="24"/>
        </w:rPr>
        <w:t>riff revisions effective</w:t>
      </w:r>
      <w:r w:rsidR="005C7CC0" w:rsidRPr="00B84623">
        <w:rPr>
          <w:szCs w:val="24"/>
        </w:rPr>
        <w:t xml:space="preserve"> </w:t>
      </w:r>
      <w:r w:rsidR="008C07A0" w:rsidRPr="00B84623">
        <w:rPr>
          <w:szCs w:val="24"/>
        </w:rPr>
        <w:t>January 13, 2013</w:t>
      </w:r>
      <w:r w:rsidR="005B47DC" w:rsidRPr="00B84623">
        <w:rPr>
          <w:szCs w:val="24"/>
        </w:rPr>
        <w:t>,</w:t>
      </w:r>
      <w:r w:rsidR="005E55D0" w:rsidRPr="00B84623">
        <w:rPr>
          <w:szCs w:val="24"/>
        </w:rPr>
        <w:t xml:space="preserve"> implementing </w:t>
      </w:r>
      <w:r w:rsidR="00A125E7" w:rsidRPr="00B84623">
        <w:rPr>
          <w:szCs w:val="24"/>
        </w:rPr>
        <w:t>a C</w:t>
      </w:r>
      <w:r w:rsidR="008C07A0" w:rsidRPr="00B84623">
        <w:rPr>
          <w:szCs w:val="24"/>
        </w:rPr>
        <w:t xml:space="preserve">ollection </w:t>
      </w:r>
      <w:r w:rsidR="00A125E7" w:rsidRPr="00B84623">
        <w:rPr>
          <w:szCs w:val="24"/>
        </w:rPr>
        <w:t>F</w:t>
      </w:r>
      <w:r w:rsidR="008C07A0" w:rsidRPr="00B84623">
        <w:rPr>
          <w:szCs w:val="24"/>
        </w:rPr>
        <w:t>ee for Business Customers</w:t>
      </w:r>
      <w:r w:rsidR="002607AD">
        <w:rPr>
          <w:szCs w:val="24"/>
        </w:rPr>
        <w:t xml:space="preserve"> with any unpaid balance when</w:t>
      </w:r>
      <w:r w:rsidR="00970C11" w:rsidRPr="00B84623">
        <w:rPr>
          <w:szCs w:val="24"/>
        </w:rPr>
        <w:t xml:space="preserve"> the previous month’s bill has not been paid in full prior to the next billing date. </w:t>
      </w:r>
    </w:p>
    <w:p w:rsidR="005E55D0" w:rsidRPr="00B84623" w:rsidRDefault="005E55D0" w:rsidP="001D5000">
      <w:pPr>
        <w:rPr>
          <w:szCs w:val="24"/>
        </w:rPr>
      </w:pPr>
    </w:p>
    <w:p w:rsidR="001E23BA" w:rsidRPr="00B84623" w:rsidRDefault="001E23BA" w:rsidP="001D5000">
      <w:pPr>
        <w:ind w:firstLine="720"/>
        <w:rPr>
          <w:szCs w:val="24"/>
        </w:rPr>
      </w:pPr>
      <w:r w:rsidRPr="00B84623">
        <w:rPr>
          <w:szCs w:val="24"/>
        </w:rPr>
        <w:t xml:space="preserve">On </w:t>
      </w:r>
      <w:r w:rsidR="008C07A0" w:rsidRPr="00B84623">
        <w:rPr>
          <w:szCs w:val="24"/>
        </w:rPr>
        <w:t>January 4, 2013</w:t>
      </w:r>
      <w:r w:rsidRPr="00B84623">
        <w:rPr>
          <w:szCs w:val="24"/>
        </w:rPr>
        <w:t>, the Pennsylvania Public Utility Commission (Pa. PUC) extended the review peri</w:t>
      </w:r>
      <w:r w:rsidR="009B7FF8" w:rsidRPr="00B84623">
        <w:rPr>
          <w:szCs w:val="24"/>
        </w:rPr>
        <w:t>od of these</w:t>
      </w:r>
      <w:r w:rsidRPr="00B84623">
        <w:rPr>
          <w:szCs w:val="24"/>
        </w:rPr>
        <w:t xml:space="preserve"> filing</w:t>
      </w:r>
      <w:r w:rsidR="009B7FF8" w:rsidRPr="00B84623">
        <w:rPr>
          <w:szCs w:val="24"/>
        </w:rPr>
        <w:t>s</w:t>
      </w:r>
      <w:r w:rsidRPr="00B84623">
        <w:rPr>
          <w:szCs w:val="24"/>
        </w:rPr>
        <w:t xml:space="preserve"> by 30 days, making the</w:t>
      </w:r>
      <w:r w:rsidR="008C07A0" w:rsidRPr="00B84623">
        <w:rPr>
          <w:szCs w:val="24"/>
        </w:rPr>
        <w:t xml:space="preserve"> filing</w:t>
      </w:r>
      <w:r w:rsidR="009B7FF8" w:rsidRPr="00B84623">
        <w:rPr>
          <w:szCs w:val="24"/>
        </w:rPr>
        <w:t>s</w:t>
      </w:r>
      <w:r w:rsidR="008C07A0" w:rsidRPr="00B84623">
        <w:rPr>
          <w:szCs w:val="24"/>
        </w:rPr>
        <w:t xml:space="preserve"> effective February</w:t>
      </w:r>
      <w:r w:rsidRPr="00B84623">
        <w:rPr>
          <w:szCs w:val="24"/>
        </w:rPr>
        <w:t xml:space="preserve"> 12,</w:t>
      </w:r>
      <w:r w:rsidR="008C07A0" w:rsidRPr="00B84623">
        <w:rPr>
          <w:szCs w:val="24"/>
        </w:rPr>
        <w:t xml:space="preserve"> 2013</w:t>
      </w:r>
      <w:r w:rsidRPr="00B84623">
        <w:rPr>
          <w:szCs w:val="24"/>
        </w:rPr>
        <w:t xml:space="preserve">.  In accordance with the applicable provisions of 66 Pa. C.S. § 309, we request the information and materials as explained below.  We would appreciate having your responses to the </w:t>
      </w:r>
      <w:r w:rsidR="002607AD">
        <w:rPr>
          <w:szCs w:val="24"/>
        </w:rPr>
        <w:t>inquiries</w:t>
      </w:r>
      <w:r w:rsidRPr="00B84623">
        <w:rPr>
          <w:szCs w:val="24"/>
        </w:rPr>
        <w:t xml:space="preserve"> below as soon as practicable, but no later than Friday, </w:t>
      </w:r>
      <w:r w:rsidR="008C07A0" w:rsidRPr="00B84623">
        <w:rPr>
          <w:szCs w:val="24"/>
        </w:rPr>
        <w:t>February 1, 2013.</w:t>
      </w:r>
    </w:p>
    <w:p w:rsidR="00970C11" w:rsidRPr="00B84623" w:rsidRDefault="00970C11" w:rsidP="001D5000">
      <w:pPr>
        <w:ind w:firstLine="720"/>
        <w:rPr>
          <w:szCs w:val="24"/>
        </w:rPr>
      </w:pPr>
    </w:p>
    <w:p w:rsidR="00970C11" w:rsidRPr="00B84623" w:rsidRDefault="00A125E7" w:rsidP="001D5000">
      <w:pPr>
        <w:rPr>
          <w:szCs w:val="24"/>
        </w:rPr>
      </w:pPr>
      <w:r w:rsidRPr="00B84623">
        <w:rPr>
          <w:b/>
          <w:szCs w:val="24"/>
        </w:rPr>
        <w:tab/>
      </w:r>
      <w:r w:rsidR="00970C11" w:rsidRPr="00B84623">
        <w:rPr>
          <w:b/>
          <w:szCs w:val="24"/>
        </w:rPr>
        <w:t>Note:</w:t>
      </w:r>
      <w:r w:rsidR="00970C11" w:rsidRPr="00B84623">
        <w:rPr>
          <w:szCs w:val="24"/>
        </w:rPr>
        <w:t xml:space="preserve"> Restate each inquiry prior to providing a response.  Also, include the name</w:t>
      </w:r>
      <w:r w:rsidRPr="00B84623">
        <w:rPr>
          <w:szCs w:val="24"/>
        </w:rPr>
        <w:t xml:space="preserve"> and title</w:t>
      </w:r>
      <w:r w:rsidR="00970C11" w:rsidRPr="00B84623">
        <w:rPr>
          <w:szCs w:val="24"/>
        </w:rPr>
        <w:t xml:space="preserve"> of the person providing the response.</w:t>
      </w:r>
    </w:p>
    <w:p w:rsidR="009B7FF8" w:rsidRPr="00B84623" w:rsidRDefault="009B7FF8" w:rsidP="001D5000">
      <w:pPr>
        <w:rPr>
          <w:szCs w:val="24"/>
        </w:rPr>
      </w:pPr>
    </w:p>
    <w:p w:rsidR="00F77404" w:rsidRPr="002E70AC" w:rsidRDefault="001D5000" w:rsidP="001D5000">
      <w:pPr>
        <w:rPr>
          <w:color w:val="000000" w:themeColor="text1"/>
          <w:szCs w:val="24"/>
        </w:rPr>
      </w:pPr>
      <w:r w:rsidRPr="002E70AC">
        <w:rPr>
          <w:color w:val="000000" w:themeColor="text1"/>
          <w:szCs w:val="24"/>
        </w:rPr>
        <w:tab/>
      </w:r>
      <w:r w:rsidR="009B7FF8" w:rsidRPr="002E70AC">
        <w:rPr>
          <w:color w:val="000000" w:themeColor="text1"/>
          <w:szCs w:val="24"/>
        </w:rPr>
        <w:t>For the following i</w:t>
      </w:r>
      <w:r w:rsidR="00A125E7" w:rsidRPr="002E70AC">
        <w:rPr>
          <w:color w:val="000000" w:themeColor="text1"/>
          <w:szCs w:val="24"/>
        </w:rPr>
        <w:t>nquiries, please refer to the “Collection F</w:t>
      </w:r>
      <w:r w:rsidR="009B7FF8" w:rsidRPr="002E70AC">
        <w:rPr>
          <w:color w:val="000000" w:themeColor="text1"/>
          <w:szCs w:val="24"/>
        </w:rPr>
        <w:t xml:space="preserve">ee” introduced in both </w:t>
      </w:r>
      <w:r w:rsidR="00EC2145" w:rsidRPr="002E70AC">
        <w:rPr>
          <w:color w:val="000000" w:themeColor="text1"/>
          <w:szCs w:val="24"/>
        </w:rPr>
        <w:t>C</w:t>
      </w:r>
      <w:r w:rsidR="009B7FF8" w:rsidRPr="002E70AC">
        <w:rPr>
          <w:color w:val="000000" w:themeColor="text1"/>
          <w:szCs w:val="24"/>
        </w:rPr>
        <w:t>ompanies’ filings:</w:t>
      </w:r>
    </w:p>
    <w:p w:rsidR="00F77404" w:rsidRPr="002E70AC" w:rsidRDefault="00F77404" w:rsidP="001D5000">
      <w:pPr>
        <w:rPr>
          <w:color w:val="000000" w:themeColor="text1"/>
          <w:szCs w:val="24"/>
        </w:rPr>
      </w:pPr>
    </w:p>
    <w:p w:rsidR="004323E2" w:rsidRPr="002E70AC" w:rsidRDefault="00970C11" w:rsidP="00550A5D">
      <w:pPr>
        <w:ind w:left="1008" w:hanging="1008"/>
        <w:rPr>
          <w:color w:val="000000" w:themeColor="text1"/>
          <w:szCs w:val="24"/>
        </w:rPr>
      </w:pPr>
      <w:r w:rsidRPr="002E70AC">
        <w:rPr>
          <w:color w:val="000000" w:themeColor="text1"/>
          <w:szCs w:val="24"/>
        </w:rPr>
        <w:t>TUS-1</w:t>
      </w:r>
      <w:r w:rsidR="00F77404" w:rsidRPr="002E70AC">
        <w:rPr>
          <w:color w:val="000000" w:themeColor="text1"/>
          <w:szCs w:val="24"/>
        </w:rPr>
        <w:tab/>
        <w:t>The cover l</w:t>
      </w:r>
      <w:r w:rsidR="00EC2145" w:rsidRPr="002E70AC">
        <w:rPr>
          <w:color w:val="000000" w:themeColor="text1"/>
          <w:szCs w:val="24"/>
        </w:rPr>
        <w:t>etter accompanying each of the C</w:t>
      </w:r>
      <w:r w:rsidR="00F77404" w:rsidRPr="002E70AC">
        <w:rPr>
          <w:color w:val="000000" w:themeColor="text1"/>
          <w:szCs w:val="24"/>
        </w:rPr>
        <w:t>ompanies’ filings indicates that “Customers will be notified via bill message 30 days prior to the implementation of the charge.</w:t>
      </w:r>
      <w:r w:rsidR="004323E2" w:rsidRPr="002E70AC">
        <w:rPr>
          <w:color w:val="000000" w:themeColor="text1"/>
          <w:szCs w:val="24"/>
        </w:rPr>
        <w:t>”</w:t>
      </w:r>
      <w:r w:rsidR="00EC2145" w:rsidRPr="002E70AC">
        <w:rPr>
          <w:color w:val="000000" w:themeColor="text1"/>
          <w:szCs w:val="24"/>
        </w:rPr>
        <w:t xml:space="preserve">  P</w:t>
      </w:r>
      <w:r w:rsidR="00F77404" w:rsidRPr="002E70AC">
        <w:rPr>
          <w:color w:val="000000" w:themeColor="text1"/>
          <w:szCs w:val="24"/>
        </w:rPr>
        <w:t xml:space="preserve">rovide a copy of the aforementioned bill message.   </w:t>
      </w:r>
    </w:p>
    <w:p w:rsidR="004323E2" w:rsidRPr="002E70AC" w:rsidRDefault="004323E2" w:rsidP="00550A5D">
      <w:pPr>
        <w:ind w:left="1008" w:hanging="1008"/>
        <w:rPr>
          <w:color w:val="000000" w:themeColor="text1"/>
          <w:szCs w:val="24"/>
        </w:rPr>
      </w:pPr>
    </w:p>
    <w:p w:rsidR="00EC2145" w:rsidRPr="002E70AC" w:rsidRDefault="004323E2" w:rsidP="00550A5D">
      <w:pPr>
        <w:ind w:left="1008" w:hanging="1008"/>
        <w:rPr>
          <w:color w:val="000000" w:themeColor="text1"/>
          <w:szCs w:val="24"/>
        </w:rPr>
      </w:pPr>
      <w:r w:rsidRPr="002E70AC">
        <w:rPr>
          <w:color w:val="000000" w:themeColor="text1"/>
          <w:szCs w:val="24"/>
        </w:rPr>
        <w:t>TUS-2</w:t>
      </w:r>
      <w:r w:rsidRPr="002E70AC">
        <w:rPr>
          <w:color w:val="000000" w:themeColor="text1"/>
          <w:szCs w:val="24"/>
        </w:rPr>
        <w:tab/>
      </w:r>
      <w:r w:rsidR="00EC2145" w:rsidRPr="002E70AC">
        <w:rPr>
          <w:color w:val="000000" w:themeColor="text1"/>
          <w:szCs w:val="24"/>
        </w:rPr>
        <w:t>Have there been any complaints in opposition to the implementation</w:t>
      </w:r>
      <w:r w:rsidR="00106253" w:rsidRPr="002E70AC">
        <w:rPr>
          <w:color w:val="000000" w:themeColor="text1"/>
          <w:szCs w:val="24"/>
        </w:rPr>
        <w:t xml:space="preserve"> of the </w:t>
      </w:r>
      <w:r w:rsidR="00A125E7" w:rsidRPr="002E70AC">
        <w:rPr>
          <w:color w:val="000000" w:themeColor="text1"/>
          <w:szCs w:val="24"/>
        </w:rPr>
        <w:t>Collection Fee</w:t>
      </w:r>
      <w:r w:rsidR="00106253" w:rsidRPr="002E70AC">
        <w:rPr>
          <w:color w:val="000000" w:themeColor="text1"/>
          <w:szCs w:val="24"/>
        </w:rPr>
        <w:t xml:space="preserve"> from </w:t>
      </w:r>
      <w:r w:rsidR="00EC2145" w:rsidRPr="002E70AC">
        <w:rPr>
          <w:color w:val="000000" w:themeColor="text1"/>
          <w:szCs w:val="24"/>
        </w:rPr>
        <w:t>affected customers?</w:t>
      </w:r>
      <w:r w:rsidR="002607AD" w:rsidRPr="002E70AC">
        <w:rPr>
          <w:color w:val="000000" w:themeColor="text1"/>
          <w:szCs w:val="24"/>
        </w:rPr>
        <w:t xml:space="preserve">  If so, please detail the number and nature of the complaints.</w:t>
      </w:r>
    </w:p>
    <w:p w:rsidR="003C7918" w:rsidRDefault="00550A5D" w:rsidP="00550A5D">
      <w:pPr>
        <w:ind w:left="1008" w:hanging="10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TUS-3</w:t>
      </w:r>
      <w:r w:rsidR="000A70C6" w:rsidRPr="002E70AC">
        <w:rPr>
          <w:color w:val="000000" w:themeColor="text1"/>
          <w:szCs w:val="24"/>
        </w:rPr>
        <w:tab/>
      </w:r>
      <w:r w:rsidR="003C7918" w:rsidRPr="002E70AC">
        <w:rPr>
          <w:color w:val="000000" w:themeColor="text1"/>
          <w:szCs w:val="24"/>
        </w:rPr>
        <w:t xml:space="preserve">Provide a list of factors considered by the Companies in their determination to implement the </w:t>
      </w:r>
      <w:r w:rsidR="00A125E7" w:rsidRPr="002E70AC">
        <w:rPr>
          <w:color w:val="000000" w:themeColor="text1"/>
          <w:szCs w:val="24"/>
        </w:rPr>
        <w:t>Collection Fee</w:t>
      </w:r>
      <w:r w:rsidR="002607AD" w:rsidRPr="002E70AC">
        <w:rPr>
          <w:color w:val="000000" w:themeColor="text1"/>
          <w:szCs w:val="24"/>
        </w:rPr>
        <w:t>.  I</w:t>
      </w:r>
      <w:r w:rsidR="003C7918" w:rsidRPr="002E70AC">
        <w:rPr>
          <w:color w:val="000000" w:themeColor="text1"/>
          <w:szCs w:val="24"/>
        </w:rPr>
        <w:t xml:space="preserve">nclude a comprehensive statement about why these factors were chosen and the relative importance of each.  </w:t>
      </w:r>
    </w:p>
    <w:p w:rsidR="002E70AC" w:rsidRDefault="002E70AC" w:rsidP="00550A5D">
      <w:pPr>
        <w:ind w:left="1008" w:hanging="1008"/>
        <w:rPr>
          <w:color w:val="000000" w:themeColor="text1"/>
          <w:szCs w:val="24"/>
        </w:rPr>
      </w:pPr>
    </w:p>
    <w:p w:rsidR="002E70AC" w:rsidRPr="002E70AC" w:rsidRDefault="002E70AC" w:rsidP="00550A5D">
      <w:pPr>
        <w:ind w:left="1008" w:hanging="1008"/>
        <w:rPr>
          <w:color w:val="000000" w:themeColor="text1"/>
          <w:szCs w:val="24"/>
        </w:rPr>
      </w:pPr>
      <w:r w:rsidRPr="002E70AC">
        <w:rPr>
          <w:color w:val="000000" w:themeColor="text1"/>
          <w:szCs w:val="24"/>
        </w:rPr>
        <w:t>TUS-</w:t>
      </w:r>
      <w:r w:rsidR="00550A5D">
        <w:rPr>
          <w:color w:val="000000" w:themeColor="text1"/>
          <w:szCs w:val="24"/>
        </w:rPr>
        <w:t>4</w:t>
      </w:r>
      <w:r w:rsidRPr="002E70AC">
        <w:rPr>
          <w:color w:val="000000" w:themeColor="text1"/>
          <w:szCs w:val="24"/>
        </w:rPr>
        <w:tab/>
        <w:t>Why did the Companies decide to impose an additional flat</w:t>
      </w:r>
      <w:r w:rsidR="00496ABB">
        <w:rPr>
          <w:color w:val="000000" w:themeColor="text1"/>
          <w:szCs w:val="24"/>
        </w:rPr>
        <w:t>-rate</w:t>
      </w:r>
      <w:r w:rsidRPr="002E70AC">
        <w:rPr>
          <w:color w:val="000000" w:themeColor="text1"/>
          <w:szCs w:val="24"/>
        </w:rPr>
        <w:t xml:space="preserve"> Collection Fee instead of increasing their existing percentage-based Late Payment Charge? </w:t>
      </w:r>
    </w:p>
    <w:p w:rsidR="002E70AC" w:rsidRDefault="002E70AC" w:rsidP="00550A5D">
      <w:pPr>
        <w:ind w:left="1008" w:hanging="1008"/>
        <w:rPr>
          <w:color w:val="000000" w:themeColor="text1"/>
          <w:szCs w:val="24"/>
        </w:rPr>
      </w:pPr>
    </w:p>
    <w:p w:rsidR="002E70AC" w:rsidRDefault="00550A5D" w:rsidP="00550A5D">
      <w:pPr>
        <w:ind w:left="1008" w:hanging="10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TUS-5</w:t>
      </w:r>
      <w:r w:rsidR="002E70AC" w:rsidRPr="002E70AC">
        <w:rPr>
          <w:color w:val="000000" w:themeColor="text1"/>
          <w:szCs w:val="24"/>
        </w:rPr>
        <w:tab/>
        <w:t>Explain in detail how the Companies calculated the $12.00 amount of the Collection Fee</w:t>
      </w:r>
      <w:r w:rsidR="00012384">
        <w:rPr>
          <w:color w:val="000000" w:themeColor="text1"/>
          <w:szCs w:val="24"/>
        </w:rPr>
        <w:t xml:space="preserve">.  </w:t>
      </w:r>
      <w:r w:rsidR="002E70AC" w:rsidRPr="002E70AC">
        <w:rPr>
          <w:color w:val="000000" w:themeColor="text1"/>
          <w:szCs w:val="24"/>
        </w:rPr>
        <w:t>Include any cost</w:t>
      </w:r>
      <w:r w:rsidR="00496ABB">
        <w:rPr>
          <w:color w:val="000000" w:themeColor="text1"/>
          <w:szCs w:val="24"/>
        </w:rPr>
        <w:t xml:space="preserve"> examinations</w:t>
      </w:r>
      <w:r w:rsidR="002E70AC" w:rsidRPr="002E70AC">
        <w:rPr>
          <w:color w:val="000000" w:themeColor="text1"/>
          <w:szCs w:val="24"/>
        </w:rPr>
        <w:t>, expense analyses</w:t>
      </w:r>
      <w:r w:rsidR="00012384">
        <w:rPr>
          <w:color w:val="000000" w:themeColor="text1"/>
          <w:szCs w:val="24"/>
        </w:rPr>
        <w:t xml:space="preserve">, payment inducement </w:t>
      </w:r>
      <w:r w:rsidR="00496ABB">
        <w:rPr>
          <w:color w:val="000000" w:themeColor="text1"/>
          <w:szCs w:val="24"/>
        </w:rPr>
        <w:t>studies</w:t>
      </w:r>
      <w:r w:rsidR="002E70AC" w:rsidRPr="002E70AC">
        <w:rPr>
          <w:color w:val="000000" w:themeColor="text1"/>
          <w:szCs w:val="24"/>
        </w:rPr>
        <w:t xml:space="preserve"> or other documentation that demonstrates the relationship or proportionality between the amount of the Collection Fee and the Companies’ expenses associated with delinquent payments</w:t>
      </w:r>
      <w:r w:rsidR="00012384">
        <w:rPr>
          <w:color w:val="000000" w:themeColor="text1"/>
          <w:szCs w:val="24"/>
        </w:rPr>
        <w:t xml:space="preserve"> and/or the amount of the Collection Fee and acceleration</w:t>
      </w:r>
      <w:r w:rsidR="00496ABB">
        <w:rPr>
          <w:color w:val="000000" w:themeColor="text1"/>
          <w:szCs w:val="24"/>
        </w:rPr>
        <w:t xml:space="preserve"> of</w:t>
      </w:r>
      <w:r w:rsidR="0072458A">
        <w:rPr>
          <w:color w:val="000000" w:themeColor="text1"/>
          <w:szCs w:val="24"/>
        </w:rPr>
        <w:t xml:space="preserve"> </w:t>
      </w:r>
      <w:r w:rsidR="00872D9B">
        <w:rPr>
          <w:color w:val="000000" w:themeColor="text1"/>
          <w:szCs w:val="24"/>
        </w:rPr>
        <w:t xml:space="preserve">customer </w:t>
      </w:r>
      <w:r w:rsidR="0072458A">
        <w:rPr>
          <w:color w:val="000000" w:themeColor="text1"/>
          <w:szCs w:val="24"/>
        </w:rPr>
        <w:t>payments.</w:t>
      </w:r>
    </w:p>
    <w:p w:rsidR="00EF6004" w:rsidRDefault="00EF6004" w:rsidP="00EF6004">
      <w:pPr>
        <w:ind w:left="1008" w:hanging="1008"/>
        <w:rPr>
          <w:color w:val="000000" w:themeColor="text1"/>
          <w:szCs w:val="24"/>
        </w:rPr>
      </w:pPr>
    </w:p>
    <w:p w:rsidR="00EF6004" w:rsidRDefault="00EF6004" w:rsidP="00EF6004">
      <w:pPr>
        <w:ind w:left="1008" w:hanging="1008"/>
        <w:rPr>
          <w:color w:val="000000" w:themeColor="text1"/>
          <w:szCs w:val="24"/>
        </w:rPr>
      </w:pPr>
      <w:r w:rsidRPr="002E70AC">
        <w:rPr>
          <w:color w:val="000000" w:themeColor="text1"/>
          <w:szCs w:val="24"/>
        </w:rPr>
        <w:t>TUS-</w:t>
      </w:r>
      <w:r>
        <w:rPr>
          <w:color w:val="000000" w:themeColor="text1"/>
          <w:szCs w:val="24"/>
        </w:rPr>
        <w:t>6</w:t>
      </w:r>
      <w:r w:rsidRPr="002E70AC">
        <w:rPr>
          <w:color w:val="000000" w:themeColor="text1"/>
          <w:szCs w:val="24"/>
        </w:rPr>
        <w:t xml:space="preserve"> </w:t>
      </w:r>
      <w:r w:rsidRPr="002E70AC">
        <w:rPr>
          <w:color w:val="000000" w:themeColor="text1"/>
          <w:szCs w:val="24"/>
        </w:rPr>
        <w:tab/>
        <w:t>Are the Companies aware of any laws, regulations, Federal Communications Commission or Pa. PUC Orders that permit the imposition of a flat</w:t>
      </w:r>
      <w:r>
        <w:rPr>
          <w:color w:val="000000" w:themeColor="text1"/>
          <w:szCs w:val="24"/>
        </w:rPr>
        <w:t>-rate</w:t>
      </w:r>
      <w:r w:rsidRPr="002E70AC">
        <w:rPr>
          <w:color w:val="000000" w:themeColor="text1"/>
          <w:szCs w:val="24"/>
        </w:rPr>
        <w:t xml:space="preserve"> Collection Fee in addition to a percentage-based Late Payment Charge?</w:t>
      </w:r>
    </w:p>
    <w:p w:rsidR="00EF6004" w:rsidRDefault="00EF6004" w:rsidP="00EF6004">
      <w:pPr>
        <w:ind w:left="1008" w:hanging="1008"/>
        <w:rPr>
          <w:color w:val="000000" w:themeColor="text1"/>
          <w:szCs w:val="24"/>
        </w:rPr>
      </w:pPr>
    </w:p>
    <w:p w:rsidR="00EF6004" w:rsidRPr="002E70AC" w:rsidRDefault="00EF6004" w:rsidP="00EF6004">
      <w:pPr>
        <w:ind w:left="1008" w:hanging="1008"/>
        <w:rPr>
          <w:color w:val="000000" w:themeColor="text1"/>
          <w:szCs w:val="24"/>
        </w:rPr>
      </w:pPr>
      <w:r w:rsidRPr="002E70AC">
        <w:rPr>
          <w:color w:val="000000" w:themeColor="text1"/>
          <w:szCs w:val="24"/>
        </w:rPr>
        <w:t>TUS-</w:t>
      </w:r>
      <w:r>
        <w:rPr>
          <w:color w:val="000000" w:themeColor="text1"/>
          <w:szCs w:val="24"/>
        </w:rPr>
        <w:t>7</w:t>
      </w:r>
      <w:r w:rsidRPr="002E70AC">
        <w:rPr>
          <w:color w:val="000000" w:themeColor="text1"/>
          <w:szCs w:val="24"/>
        </w:rPr>
        <w:t xml:space="preserve"> </w:t>
      </w:r>
      <w:r w:rsidRPr="002E70AC"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 xml:space="preserve">Have the Companies proposed or implemented a Collection Fee or similar charge in any other states?  If so, provide the state(s), docket number(s) and disposition(s) of the filing(s). </w:t>
      </w:r>
    </w:p>
    <w:p w:rsidR="00106253" w:rsidRPr="002E70AC" w:rsidRDefault="00106253" w:rsidP="00550A5D">
      <w:pPr>
        <w:ind w:left="1008" w:hanging="1008"/>
        <w:rPr>
          <w:color w:val="000000" w:themeColor="text1"/>
          <w:szCs w:val="24"/>
        </w:rPr>
      </w:pPr>
    </w:p>
    <w:p w:rsidR="004B617D" w:rsidRDefault="0072458A" w:rsidP="00550A5D">
      <w:pPr>
        <w:ind w:left="1008" w:hanging="10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TUS-</w:t>
      </w:r>
      <w:r w:rsidR="00EF6004">
        <w:rPr>
          <w:color w:val="000000" w:themeColor="text1"/>
          <w:szCs w:val="24"/>
        </w:rPr>
        <w:t>8</w:t>
      </w:r>
      <w:r w:rsidR="004B617D" w:rsidRPr="002E70AC">
        <w:rPr>
          <w:color w:val="000000" w:themeColor="text1"/>
          <w:szCs w:val="24"/>
        </w:rPr>
        <w:t xml:space="preserve"> </w:t>
      </w:r>
      <w:r w:rsidR="004B617D" w:rsidRPr="002E70AC">
        <w:rPr>
          <w:color w:val="000000" w:themeColor="text1"/>
          <w:szCs w:val="24"/>
        </w:rPr>
        <w:tab/>
        <w:t>Are the Companies aware of any other telecommunications utilities</w:t>
      </w:r>
      <w:r w:rsidR="00550A5D">
        <w:rPr>
          <w:color w:val="000000" w:themeColor="text1"/>
          <w:szCs w:val="24"/>
        </w:rPr>
        <w:t xml:space="preserve"> operating in Pennsylvania that</w:t>
      </w:r>
      <w:r w:rsidR="004B617D" w:rsidRPr="002E70AC">
        <w:rPr>
          <w:color w:val="000000" w:themeColor="text1"/>
          <w:szCs w:val="24"/>
        </w:rPr>
        <w:t xml:space="preserve"> </w:t>
      </w:r>
      <w:proofErr w:type="gramStart"/>
      <w:r w:rsidR="004B617D" w:rsidRPr="002E70AC">
        <w:rPr>
          <w:color w:val="000000" w:themeColor="text1"/>
          <w:szCs w:val="24"/>
        </w:rPr>
        <w:t>impose</w:t>
      </w:r>
      <w:proofErr w:type="gramEnd"/>
      <w:r w:rsidR="004B617D" w:rsidRPr="002E70AC">
        <w:rPr>
          <w:color w:val="000000" w:themeColor="text1"/>
          <w:szCs w:val="24"/>
        </w:rPr>
        <w:t xml:space="preserve"> a similar </w:t>
      </w:r>
      <w:r w:rsidR="00550A5D">
        <w:rPr>
          <w:color w:val="000000" w:themeColor="text1"/>
          <w:szCs w:val="24"/>
        </w:rPr>
        <w:t xml:space="preserve">flat-rate </w:t>
      </w:r>
      <w:r w:rsidR="00A125E7" w:rsidRPr="002E70AC">
        <w:rPr>
          <w:color w:val="000000" w:themeColor="text1"/>
          <w:szCs w:val="24"/>
        </w:rPr>
        <w:t>Collection Fee</w:t>
      </w:r>
      <w:r w:rsidR="004B617D" w:rsidRPr="002E70AC">
        <w:rPr>
          <w:color w:val="000000" w:themeColor="text1"/>
          <w:szCs w:val="24"/>
        </w:rPr>
        <w:t xml:space="preserve">, either as a standalone </w:t>
      </w:r>
      <w:r w:rsidR="000A70C6" w:rsidRPr="002E70AC">
        <w:rPr>
          <w:color w:val="000000" w:themeColor="text1"/>
          <w:szCs w:val="24"/>
        </w:rPr>
        <w:t>fe</w:t>
      </w:r>
      <w:r w:rsidR="004B617D" w:rsidRPr="002E70AC">
        <w:rPr>
          <w:color w:val="000000" w:themeColor="text1"/>
          <w:szCs w:val="24"/>
        </w:rPr>
        <w:t xml:space="preserve">e or in addition to a percentage-based </w:t>
      </w:r>
      <w:r w:rsidR="001D5000" w:rsidRPr="002E70AC">
        <w:rPr>
          <w:color w:val="000000" w:themeColor="text1"/>
          <w:szCs w:val="24"/>
        </w:rPr>
        <w:t>Late Payment Charge</w:t>
      </w:r>
      <w:r w:rsidR="004B617D" w:rsidRPr="002E70AC">
        <w:rPr>
          <w:color w:val="000000" w:themeColor="text1"/>
          <w:szCs w:val="24"/>
        </w:rPr>
        <w:t xml:space="preserve">?  If yes, please provide the name(s) of the </w:t>
      </w:r>
      <w:proofErr w:type="gramStart"/>
      <w:r w:rsidR="004B617D" w:rsidRPr="002E70AC">
        <w:rPr>
          <w:color w:val="000000" w:themeColor="text1"/>
          <w:szCs w:val="24"/>
        </w:rPr>
        <w:t>utility(</w:t>
      </w:r>
      <w:proofErr w:type="spellStart"/>
      <w:proofErr w:type="gramEnd"/>
      <w:r w:rsidR="004B617D" w:rsidRPr="002E70AC">
        <w:rPr>
          <w:color w:val="000000" w:themeColor="text1"/>
          <w:szCs w:val="24"/>
        </w:rPr>
        <w:t>ies</w:t>
      </w:r>
      <w:proofErr w:type="spellEnd"/>
      <w:r w:rsidR="004B617D" w:rsidRPr="002E70AC">
        <w:rPr>
          <w:color w:val="000000" w:themeColor="text1"/>
          <w:szCs w:val="24"/>
        </w:rPr>
        <w:t>) and the associated</w:t>
      </w:r>
      <w:r w:rsidR="00550A5D">
        <w:rPr>
          <w:color w:val="000000" w:themeColor="text1"/>
          <w:szCs w:val="24"/>
        </w:rPr>
        <w:t xml:space="preserve"> tariff(s) containing the fee</w:t>
      </w:r>
      <w:r w:rsidR="004B617D" w:rsidRPr="002E70AC">
        <w:rPr>
          <w:color w:val="000000" w:themeColor="text1"/>
          <w:szCs w:val="24"/>
        </w:rPr>
        <w:t>(s).</w:t>
      </w:r>
    </w:p>
    <w:p w:rsidR="00270E9F" w:rsidRPr="002E70AC" w:rsidRDefault="00270E9F" w:rsidP="00550A5D">
      <w:pPr>
        <w:ind w:left="1008" w:hanging="1008"/>
        <w:rPr>
          <w:color w:val="000000" w:themeColor="text1"/>
          <w:szCs w:val="24"/>
        </w:rPr>
      </w:pPr>
    </w:p>
    <w:p w:rsidR="00270E9F" w:rsidRPr="002E70AC" w:rsidRDefault="00270E9F" w:rsidP="00550A5D">
      <w:pPr>
        <w:ind w:left="1008" w:hanging="1008"/>
        <w:rPr>
          <w:color w:val="000000" w:themeColor="text1"/>
          <w:szCs w:val="24"/>
        </w:rPr>
      </w:pPr>
      <w:r w:rsidRPr="002E70AC">
        <w:rPr>
          <w:color w:val="000000" w:themeColor="text1"/>
          <w:szCs w:val="24"/>
        </w:rPr>
        <w:t>TUS-</w:t>
      </w:r>
      <w:r w:rsidR="00EF6004">
        <w:rPr>
          <w:color w:val="000000" w:themeColor="text1"/>
          <w:szCs w:val="24"/>
        </w:rPr>
        <w:t>9</w:t>
      </w:r>
      <w:r w:rsidRPr="002E70AC">
        <w:rPr>
          <w:color w:val="000000" w:themeColor="text1"/>
          <w:szCs w:val="24"/>
        </w:rPr>
        <w:t xml:space="preserve"> </w:t>
      </w:r>
      <w:r w:rsidRPr="002E70AC">
        <w:rPr>
          <w:color w:val="000000" w:themeColor="text1"/>
          <w:szCs w:val="24"/>
        </w:rPr>
        <w:tab/>
        <w:t>Will the Companies allow any customers currently subject to</w:t>
      </w:r>
      <w:r w:rsidR="00550A5D">
        <w:rPr>
          <w:color w:val="000000" w:themeColor="text1"/>
          <w:szCs w:val="24"/>
        </w:rPr>
        <w:t xml:space="preserve"> an unexpired multi-month fixed-</w:t>
      </w:r>
      <w:r w:rsidRPr="002E70AC">
        <w:rPr>
          <w:color w:val="000000" w:themeColor="text1"/>
          <w:szCs w:val="24"/>
        </w:rPr>
        <w:t xml:space="preserve">term contract an opportunity to terminate their contract without incurring any Term Liability or Termination Charges prior to the implementation of the Collection Fee? </w:t>
      </w:r>
    </w:p>
    <w:p w:rsidR="00AF7148" w:rsidRDefault="00AF7148" w:rsidP="00AF7148">
      <w:pPr>
        <w:ind w:left="1008" w:hanging="10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</w:p>
    <w:p w:rsidR="009268F7" w:rsidRDefault="001F0D48" w:rsidP="00550A5D">
      <w:pPr>
        <w:ind w:left="1008" w:hanging="10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TUS-10</w:t>
      </w:r>
      <w:r w:rsidR="009268F7" w:rsidRPr="002E70AC">
        <w:rPr>
          <w:color w:val="000000" w:themeColor="text1"/>
          <w:szCs w:val="24"/>
        </w:rPr>
        <w:t xml:space="preserve"> </w:t>
      </w:r>
      <w:r w:rsidR="009268F7" w:rsidRPr="002E70AC">
        <w:rPr>
          <w:color w:val="000000" w:themeColor="text1"/>
          <w:szCs w:val="24"/>
        </w:rPr>
        <w:tab/>
        <w:t xml:space="preserve">Provide any additional information </w:t>
      </w:r>
      <w:r w:rsidR="00861235">
        <w:rPr>
          <w:color w:val="000000" w:themeColor="text1"/>
          <w:szCs w:val="24"/>
        </w:rPr>
        <w:t xml:space="preserve">or documentation </w:t>
      </w:r>
      <w:r w:rsidR="009268F7" w:rsidRPr="002E70AC">
        <w:rPr>
          <w:color w:val="000000" w:themeColor="text1"/>
          <w:szCs w:val="24"/>
        </w:rPr>
        <w:t xml:space="preserve">that demonstrates the reasonableness of </w:t>
      </w:r>
      <w:r w:rsidR="003D392F" w:rsidRPr="002E70AC">
        <w:rPr>
          <w:color w:val="000000" w:themeColor="text1"/>
          <w:szCs w:val="24"/>
        </w:rPr>
        <w:t xml:space="preserve">the </w:t>
      </w:r>
      <w:r w:rsidR="00A125E7" w:rsidRPr="002E70AC">
        <w:rPr>
          <w:color w:val="000000" w:themeColor="text1"/>
          <w:szCs w:val="24"/>
        </w:rPr>
        <w:t>Collection Fee</w:t>
      </w:r>
      <w:r w:rsidR="003D392F" w:rsidRPr="002E70AC">
        <w:rPr>
          <w:color w:val="000000" w:themeColor="text1"/>
          <w:szCs w:val="24"/>
        </w:rPr>
        <w:t xml:space="preserve"> and its amount.</w:t>
      </w:r>
      <w:r w:rsidR="00861235">
        <w:rPr>
          <w:color w:val="000000" w:themeColor="text1"/>
          <w:szCs w:val="24"/>
        </w:rPr>
        <w:t xml:space="preserve">  </w:t>
      </w:r>
      <w:r w:rsidR="003D392F" w:rsidRPr="002E70AC">
        <w:rPr>
          <w:color w:val="000000" w:themeColor="text1"/>
          <w:szCs w:val="24"/>
        </w:rPr>
        <w:t xml:space="preserve">  </w:t>
      </w:r>
    </w:p>
    <w:p w:rsidR="003D392F" w:rsidRPr="00B84623" w:rsidRDefault="00B84623" w:rsidP="00B84623">
      <w:pPr>
        <w:tabs>
          <w:tab w:val="left" w:pos="1584"/>
        </w:tabs>
        <w:ind w:left="1440" w:hanging="1440"/>
        <w:rPr>
          <w:szCs w:val="24"/>
        </w:rPr>
      </w:pPr>
      <w:r w:rsidRPr="00B84623">
        <w:rPr>
          <w:szCs w:val="24"/>
        </w:rPr>
        <w:tab/>
      </w:r>
    </w:p>
    <w:p w:rsidR="001D5000" w:rsidRPr="00B84623" w:rsidRDefault="001D5000" w:rsidP="001D5000">
      <w:pPr>
        <w:rPr>
          <w:szCs w:val="24"/>
        </w:rPr>
      </w:pPr>
      <w:r w:rsidRPr="00B84623">
        <w:rPr>
          <w:szCs w:val="24"/>
        </w:rPr>
        <w:tab/>
        <w:t xml:space="preserve">Alternatively, the Companies may request to withdraw the instant tariff supplements and not be required to answer the above inquiries. </w:t>
      </w:r>
    </w:p>
    <w:p w:rsidR="001D5000" w:rsidRPr="00B84623" w:rsidRDefault="00E06C77" w:rsidP="001D5000">
      <w:pPr>
        <w:tabs>
          <w:tab w:val="left" w:pos="720"/>
          <w:tab w:val="left" w:pos="2748"/>
        </w:tabs>
        <w:rPr>
          <w:szCs w:val="24"/>
        </w:rPr>
      </w:pPr>
      <w:r w:rsidRPr="00B84623">
        <w:rPr>
          <w:szCs w:val="24"/>
        </w:rPr>
        <w:tab/>
      </w:r>
      <w:r w:rsidR="001D5000" w:rsidRPr="00B84623">
        <w:rPr>
          <w:szCs w:val="24"/>
        </w:rPr>
        <w:tab/>
      </w:r>
    </w:p>
    <w:p w:rsidR="008C07A0" w:rsidRPr="00B84623" w:rsidRDefault="00B84623" w:rsidP="001D5000">
      <w:pPr>
        <w:rPr>
          <w:szCs w:val="24"/>
        </w:rPr>
      </w:pPr>
      <w:r w:rsidRPr="00B84623">
        <w:rPr>
          <w:szCs w:val="24"/>
        </w:rPr>
        <w:tab/>
      </w:r>
      <w:r w:rsidR="008C07A0" w:rsidRPr="00B84623">
        <w:rPr>
          <w:szCs w:val="24"/>
        </w:rPr>
        <w:t>Further, Commission Staff has identified several tariff formatting issues.  Please submit replacement</w:t>
      </w:r>
      <w:r w:rsidR="00872D9B">
        <w:rPr>
          <w:szCs w:val="24"/>
        </w:rPr>
        <w:t xml:space="preserve"> </w:t>
      </w:r>
      <w:r w:rsidR="008C07A0" w:rsidRPr="00B84623">
        <w:rPr>
          <w:szCs w:val="24"/>
        </w:rPr>
        <w:t>pages to correct the tariff deficiencies</w:t>
      </w:r>
      <w:r w:rsidR="00A125E7" w:rsidRPr="00B84623">
        <w:rPr>
          <w:szCs w:val="24"/>
        </w:rPr>
        <w:t xml:space="preserve"> listed in the attached enclosure. </w:t>
      </w:r>
    </w:p>
    <w:p w:rsidR="00A125E7" w:rsidRPr="00B84623" w:rsidRDefault="00A125E7" w:rsidP="001D5000">
      <w:pPr>
        <w:rPr>
          <w:szCs w:val="24"/>
        </w:rPr>
      </w:pPr>
    </w:p>
    <w:p w:rsidR="00A42B90" w:rsidRPr="00B84623" w:rsidRDefault="005E55D0" w:rsidP="001D5000">
      <w:pPr>
        <w:ind w:firstLine="720"/>
        <w:rPr>
          <w:szCs w:val="24"/>
        </w:rPr>
      </w:pPr>
      <w:r w:rsidRPr="00B84623">
        <w:rPr>
          <w:szCs w:val="24"/>
        </w:rPr>
        <w:t xml:space="preserve">Please forward the requested responses and any necessary revised tariff pages to the Secretary of the Commission at the following address as soon as practicable, but no later than </w:t>
      </w:r>
      <w:r w:rsidR="005378EF" w:rsidRPr="00B84623">
        <w:rPr>
          <w:szCs w:val="24"/>
        </w:rPr>
        <w:t xml:space="preserve">Friday, </w:t>
      </w:r>
      <w:r w:rsidR="008C07A0" w:rsidRPr="00B84623">
        <w:rPr>
          <w:szCs w:val="24"/>
        </w:rPr>
        <w:t>February 1, 2013.</w:t>
      </w:r>
    </w:p>
    <w:p w:rsidR="005E55D0" w:rsidRPr="00B84623" w:rsidRDefault="005E55D0" w:rsidP="001D5000">
      <w:pPr>
        <w:ind w:firstLine="720"/>
        <w:rPr>
          <w:szCs w:val="24"/>
        </w:rPr>
      </w:pPr>
    </w:p>
    <w:p w:rsidR="005E55D0" w:rsidRPr="00B84623" w:rsidRDefault="005E55D0" w:rsidP="001D5000">
      <w:pPr>
        <w:rPr>
          <w:szCs w:val="24"/>
        </w:rPr>
      </w:pPr>
      <w:r w:rsidRPr="00B84623">
        <w:rPr>
          <w:szCs w:val="24"/>
        </w:rPr>
        <w:tab/>
        <w:t>Rosemary Chiavetta, Secretary</w:t>
      </w:r>
    </w:p>
    <w:p w:rsidR="005E55D0" w:rsidRPr="00B84623" w:rsidRDefault="005E55D0" w:rsidP="001D5000">
      <w:pPr>
        <w:rPr>
          <w:szCs w:val="24"/>
        </w:rPr>
      </w:pPr>
      <w:r w:rsidRPr="00B84623">
        <w:rPr>
          <w:szCs w:val="24"/>
        </w:rPr>
        <w:tab/>
        <w:t>Pennsylvania Public Utility Commission</w:t>
      </w:r>
    </w:p>
    <w:p w:rsidR="005E55D0" w:rsidRPr="00B84623" w:rsidRDefault="005E55D0" w:rsidP="001D5000">
      <w:pPr>
        <w:rPr>
          <w:szCs w:val="24"/>
        </w:rPr>
      </w:pPr>
      <w:r w:rsidRPr="00B84623">
        <w:rPr>
          <w:szCs w:val="24"/>
        </w:rPr>
        <w:tab/>
        <w:t>P.O. Box 3265</w:t>
      </w:r>
    </w:p>
    <w:p w:rsidR="005E55D0" w:rsidRDefault="005E55D0" w:rsidP="001D5000">
      <w:pPr>
        <w:rPr>
          <w:szCs w:val="24"/>
        </w:rPr>
      </w:pPr>
      <w:r w:rsidRPr="00B84623">
        <w:rPr>
          <w:szCs w:val="24"/>
        </w:rPr>
        <w:tab/>
        <w:t>Harrisburg, PA  17105-3265</w:t>
      </w:r>
    </w:p>
    <w:p w:rsidR="00EF6004" w:rsidRDefault="00EF6004" w:rsidP="001D5000">
      <w:pPr>
        <w:rPr>
          <w:szCs w:val="24"/>
        </w:rPr>
      </w:pPr>
    </w:p>
    <w:p w:rsidR="005E55D0" w:rsidRPr="00B84623" w:rsidRDefault="006A6151" w:rsidP="00EF6004">
      <w:pPr>
        <w:rPr>
          <w:szCs w:val="24"/>
        </w:rPr>
      </w:pPr>
      <w:r>
        <w:rPr>
          <w:szCs w:val="24"/>
        </w:rPr>
        <w:t xml:space="preserve"> </w:t>
      </w:r>
      <w:r w:rsidR="00EF6004">
        <w:rPr>
          <w:szCs w:val="24"/>
        </w:rPr>
        <w:tab/>
      </w:r>
      <w:r w:rsidR="005E55D0" w:rsidRPr="00B84623">
        <w:rPr>
          <w:b/>
          <w:szCs w:val="24"/>
        </w:rPr>
        <w:t>Your responses must be verified per 52 Pa. Code § 1.36.</w:t>
      </w:r>
      <w:r w:rsidR="005E55D0" w:rsidRPr="00B84623">
        <w:rPr>
          <w:szCs w:val="24"/>
        </w:rPr>
        <w:t xml:space="preserve">  Accordingly, you must provide the following statement with your responses:</w:t>
      </w:r>
    </w:p>
    <w:p w:rsidR="005E55D0" w:rsidRPr="00B84623" w:rsidRDefault="005E55D0" w:rsidP="001D5000">
      <w:pPr>
        <w:ind w:right="-86"/>
        <w:rPr>
          <w:szCs w:val="24"/>
        </w:rPr>
      </w:pPr>
    </w:p>
    <w:p w:rsidR="00A42B90" w:rsidRPr="00B84623" w:rsidRDefault="005E55D0" w:rsidP="001D5000">
      <w:pPr>
        <w:ind w:left="720"/>
        <w:rPr>
          <w:szCs w:val="24"/>
        </w:rPr>
      </w:pPr>
      <w:r w:rsidRPr="00B84623">
        <w:rPr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B84623">
        <w:rPr>
          <w:szCs w:val="24"/>
        </w:rPr>
        <w:t>Pa.C.S</w:t>
      </w:r>
      <w:proofErr w:type="spellEnd"/>
      <w:r w:rsidRPr="00B84623">
        <w:rPr>
          <w:szCs w:val="24"/>
        </w:rPr>
        <w:t>. § 4904 (relating to unsworn falsification to authorities).</w:t>
      </w:r>
    </w:p>
    <w:p w:rsidR="005E55D0" w:rsidRPr="00B84623" w:rsidRDefault="005E55D0" w:rsidP="001D5000">
      <w:pPr>
        <w:rPr>
          <w:szCs w:val="24"/>
        </w:rPr>
      </w:pPr>
    </w:p>
    <w:p w:rsidR="001D5000" w:rsidRPr="00B84623" w:rsidRDefault="001D5000" w:rsidP="001D5000">
      <w:pPr>
        <w:ind w:firstLine="720"/>
        <w:rPr>
          <w:szCs w:val="24"/>
        </w:rPr>
      </w:pPr>
      <w:r w:rsidRPr="00B84623">
        <w:rPr>
          <w:szCs w:val="24"/>
        </w:rPr>
        <w:t>If any problems should arise that prevent a full response within the requested time period or any clarification of these inquiries is required</w:t>
      </w:r>
      <w:r w:rsidR="005E55D0" w:rsidRPr="00B84623">
        <w:rPr>
          <w:szCs w:val="24"/>
        </w:rPr>
        <w:t>, please contact Derek Vogelsong (</w:t>
      </w:r>
      <w:hyperlink r:id="rId13" w:history="1">
        <w:r w:rsidR="005E55D0" w:rsidRPr="00B84623">
          <w:rPr>
            <w:rStyle w:val="Hyperlink"/>
            <w:szCs w:val="24"/>
          </w:rPr>
          <w:t>devogelson@pa.gov</w:t>
        </w:r>
      </w:hyperlink>
      <w:r w:rsidR="005E55D0" w:rsidRPr="00B84623">
        <w:rPr>
          <w:szCs w:val="24"/>
        </w:rPr>
        <w:t>; (717) 787-3861) of the Commission’s Bureau of Technical Utility Services as soon as practicable.</w:t>
      </w:r>
    </w:p>
    <w:p w:rsidR="001D5000" w:rsidRPr="00B84623" w:rsidRDefault="00BC2347" w:rsidP="001D5000">
      <w:pPr>
        <w:ind w:firstLine="720"/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2140E" wp14:editId="5EF8228B">
            <wp:simplePos x="0" y="0"/>
            <wp:positionH relativeFrom="column">
              <wp:posOffset>2856230</wp:posOffset>
            </wp:positionH>
            <wp:positionV relativeFrom="paragraph">
              <wp:posOffset>123825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000" w:rsidRPr="00B84623" w:rsidRDefault="001D5000" w:rsidP="001D5000">
      <w:pPr>
        <w:ind w:firstLine="720"/>
        <w:rPr>
          <w:szCs w:val="24"/>
        </w:rPr>
      </w:pP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="00B84623" w:rsidRPr="00B84623">
        <w:rPr>
          <w:szCs w:val="24"/>
        </w:rPr>
        <w:tab/>
      </w:r>
      <w:r w:rsidR="005E55D0" w:rsidRPr="00B84623">
        <w:rPr>
          <w:szCs w:val="24"/>
        </w:rPr>
        <w:t>Sincerely,</w:t>
      </w:r>
    </w:p>
    <w:p w:rsidR="001D5000" w:rsidRPr="00B84623" w:rsidRDefault="001D5000" w:rsidP="001D5000">
      <w:pPr>
        <w:ind w:firstLine="720"/>
        <w:rPr>
          <w:szCs w:val="24"/>
        </w:rPr>
      </w:pP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</w:p>
    <w:p w:rsidR="00B84623" w:rsidRPr="00B84623" w:rsidRDefault="00B84623" w:rsidP="001D5000">
      <w:pPr>
        <w:ind w:firstLine="720"/>
        <w:rPr>
          <w:szCs w:val="24"/>
        </w:rPr>
      </w:pPr>
    </w:p>
    <w:p w:rsidR="001D5000" w:rsidRPr="00B84623" w:rsidRDefault="001D5000" w:rsidP="001D5000">
      <w:pPr>
        <w:ind w:firstLine="720"/>
        <w:rPr>
          <w:szCs w:val="24"/>
        </w:rPr>
      </w:pPr>
    </w:p>
    <w:p w:rsidR="005E55D0" w:rsidRPr="00B84623" w:rsidRDefault="001D5000" w:rsidP="001D5000">
      <w:pPr>
        <w:ind w:firstLine="720"/>
        <w:rPr>
          <w:szCs w:val="24"/>
        </w:rPr>
      </w:pP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="00B84623" w:rsidRPr="00B84623">
        <w:rPr>
          <w:szCs w:val="24"/>
        </w:rPr>
        <w:tab/>
      </w:r>
      <w:r w:rsidR="005E55D0" w:rsidRPr="00B84623">
        <w:rPr>
          <w:szCs w:val="24"/>
        </w:rPr>
        <w:t>Rosemary Chiavetta</w:t>
      </w:r>
    </w:p>
    <w:p w:rsidR="005E55D0" w:rsidRPr="00B84623" w:rsidRDefault="005E55D0" w:rsidP="001D5000">
      <w:pPr>
        <w:rPr>
          <w:szCs w:val="24"/>
        </w:rPr>
      </w:pP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Pr="00B84623">
        <w:rPr>
          <w:szCs w:val="24"/>
        </w:rPr>
        <w:tab/>
      </w:r>
      <w:r w:rsidR="00B84623" w:rsidRPr="00B84623">
        <w:rPr>
          <w:szCs w:val="24"/>
        </w:rPr>
        <w:tab/>
      </w:r>
      <w:r w:rsidRPr="00B84623">
        <w:rPr>
          <w:szCs w:val="24"/>
        </w:rPr>
        <w:t>Secretary</w:t>
      </w:r>
    </w:p>
    <w:p w:rsidR="005E55D0" w:rsidRPr="00B84623" w:rsidRDefault="005E55D0" w:rsidP="001D5000">
      <w:pPr>
        <w:jc w:val="both"/>
        <w:rPr>
          <w:szCs w:val="24"/>
        </w:rPr>
      </w:pPr>
    </w:p>
    <w:p w:rsidR="00825F83" w:rsidRDefault="00825F83" w:rsidP="001D5000">
      <w:pPr>
        <w:jc w:val="both"/>
        <w:rPr>
          <w:szCs w:val="24"/>
        </w:rPr>
      </w:pPr>
    </w:p>
    <w:p w:rsidR="00B84623" w:rsidRDefault="005E55D0" w:rsidP="001D5000">
      <w:pPr>
        <w:jc w:val="both"/>
        <w:rPr>
          <w:szCs w:val="24"/>
        </w:rPr>
      </w:pPr>
      <w:r w:rsidRPr="00B84623">
        <w:rPr>
          <w:szCs w:val="24"/>
        </w:rPr>
        <w:t>cc:</w:t>
      </w:r>
      <w:r w:rsidR="00B84623" w:rsidRPr="00B84623">
        <w:rPr>
          <w:szCs w:val="24"/>
        </w:rPr>
        <w:tab/>
        <w:t>Derek Vogelsong, Bureau of Technical Utility Services</w:t>
      </w:r>
      <w:r w:rsidRPr="00B84623">
        <w:rPr>
          <w:szCs w:val="24"/>
        </w:rPr>
        <w:t xml:space="preserve"> </w:t>
      </w:r>
      <w:r w:rsidRPr="00B84623">
        <w:rPr>
          <w:szCs w:val="24"/>
        </w:rPr>
        <w:tab/>
      </w:r>
    </w:p>
    <w:p w:rsidR="00825F83" w:rsidRDefault="00825F83" w:rsidP="001D5000">
      <w:pPr>
        <w:jc w:val="both"/>
        <w:rPr>
          <w:szCs w:val="24"/>
        </w:rPr>
      </w:pPr>
    </w:p>
    <w:p w:rsidR="00825F83" w:rsidRDefault="00825F83" w:rsidP="001D5000">
      <w:pPr>
        <w:jc w:val="both"/>
        <w:rPr>
          <w:szCs w:val="24"/>
        </w:rPr>
      </w:pPr>
      <w:r>
        <w:rPr>
          <w:szCs w:val="24"/>
        </w:rPr>
        <w:tab/>
        <w:t>Jeanne Shearer</w:t>
      </w:r>
    </w:p>
    <w:p w:rsidR="00825F83" w:rsidRDefault="00825F83" w:rsidP="001D5000">
      <w:pPr>
        <w:jc w:val="both"/>
        <w:rPr>
          <w:szCs w:val="24"/>
        </w:rPr>
      </w:pPr>
      <w:r>
        <w:rPr>
          <w:szCs w:val="24"/>
        </w:rPr>
        <w:tab/>
      </w:r>
      <w:r w:rsidRPr="00825F83">
        <w:rPr>
          <w:szCs w:val="24"/>
        </w:rPr>
        <w:t>Vice President - State Government Affairs</w:t>
      </w:r>
    </w:p>
    <w:p w:rsidR="00825F83" w:rsidRPr="00825F83" w:rsidRDefault="00825F83" w:rsidP="00825F83">
      <w:pPr>
        <w:jc w:val="both"/>
        <w:rPr>
          <w:szCs w:val="24"/>
        </w:rPr>
      </w:pPr>
      <w:r>
        <w:rPr>
          <w:szCs w:val="24"/>
        </w:rPr>
        <w:tab/>
      </w:r>
      <w:r w:rsidRPr="00825F83">
        <w:rPr>
          <w:szCs w:val="24"/>
        </w:rPr>
        <w:t>Windstream Communications, LLC</w:t>
      </w:r>
    </w:p>
    <w:p w:rsidR="00825F83" w:rsidRPr="00825F83" w:rsidRDefault="00825F83" w:rsidP="00825F83">
      <w:pPr>
        <w:jc w:val="both"/>
        <w:rPr>
          <w:szCs w:val="24"/>
        </w:rPr>
      </w:pPr>
      <w:r>
        <w:rPr>
          <w:szCs w:val="24"/>
        </w:rPr>
        <w:tab/>
      </w:r>
      <w:r w:rsidRPr="00825F83">
        <w:rPr>
          <w:szCs w:val="24"/>
        </w:rPr>
        <w:t>PO Box 458</w:t>
      </w:r>
    </w:p>
    <w:p w:rsidR="00825F83" w:rsidRPr="00B84623" w:rsidRDefault="00825F83" w:rsidP="00825F83">
      <w:pPr>
        <w:jc w:val="both"/>
        <w:rPr>
          <w:szCs w:val="24"/>
        </w:rPr>
      </w:pPr>
      <w:r>
        <w:rPr>
          <w:szCs w:val="24"/>
        </w:rPr>
        <w:tab/>
      </w:r>
      <w:r w:rsidRPr="00825F83">
        <w:rPr>
          <w:szCs w:val="24"/>
        </w:rPr>
        <w:t>Ephrata, PA 17522</w:t>
      </w:r>
    </w:p>
    <w:p w:rsidR="00B84623" w:rsidRPr="00B84623" w:rsidRDefault="00B84623" w:rsidP="001D5000">
      <w:pPr>
        <w:jc w:val="both"/>
        <w:rPr>
          <w:szCs w:val="24"/>
        </w:rPr>
      </w:pPr>
    </w:p>
    <w:p w:rsidR="005378EF" w:rsidRPr="00B84623" w:rsidRDefault="00B84623" w:rsidP="001D5000">
      <w:pPr>
        <w:jc w:val="both"/>
        <w:rPr>
          <w:szCs w:val="24"/>
        </w:rPr>
      </w:pPr>
      <w:r w:rsidRPr="00B84623">
        <w:rPr>
          <w:szCs w:val="24"/>
        </w:rPr>
        <w:tab/>
      </w:r>
      <w:r w:rsidR="008C07A0" w:rsidRPr="00B84623">
        <w:rPr>
          <w:szCs w:val="24"/>
        </w:rPr>
        <w:t>Senior Manager, Government Affairs</w:t>
      </w:r>
    </w:p>
    <w:p w:rsidR="008C07A0" w:rsidRPr="00B84623" w:rsidRDefault="008C07A0" w:rsidP="001D5000">
      <w:pPr>
        <w:jc w:val="both"/>
        <w:rPr>
          <w:szCs w:val="24"/>
        </w:rPr>
      </w:pPr>
      <w:r w:rsidRPr="00B84623">
        <w:rPr>
          <w:szCs w:val="24"/>
        </w:rPr>
        <w:tab/>
        <w:t xml:space="preserve">PAETEC Communications, Inc. </w:t>
      </w:r>
    </w:p>
    <w:p w:rsidR="00B84623" w:rsidRPr="00B84623" w:rsidRDefault="00B84623" w:rsidP="001D5000">
      <w:pPr>
        <w:jc w:val="both"/>
        <w:rPr>
          <w:szCs w:val="24"/>
        </w:rPr>
      </w:pPr>
      <w:r w:rsidRPr="00B84623">
        <w:rPr>
          <w:szCs w:val="24"/>
        </w:rPr>
        <w:tab/>
        <w:t>One PAETEC Plaza</w:t>
      </w:r>
    </w:p>
    <w:p w:rsidR="008C07A0" w:rsidRPr="00B84623" w:rsidRDefault="00B84623" w:rsidP="001D5000">
      <w:pPr>
        <w:jc w:val="both"/>
        <w:rPr>
          <w:szCs w:val="24"/>
        </w:rPr>
      </w:pPr>
      <w:r w:rsidRPr="00B84623">
        <w:rPr>
          <w:szCs w:val="24"/>
        </w:rPr>
        <w:tab/>
      </w:r>
      <w:r w:rsidR="008C07A0" w:rsidRPr="00B84623">
        <w:rPr>
          <w:szCs w:val="24"/>
        </w:rPr>
        <w:t xml:space="preserve">600 </w:t>
      </w:r>
      <w:proofErr w:type="spellStart"/>
      <w:r w:rsidR="008C07A0" w:rsidRPr="00B84623">
        <w:rPr>
          <w:szCs w:val="24"/>
        </w:rPr>
        <w:t>WillowBrook</w:t>
      </w:r>
      <w:proofErr w:type="spellEnd"/>
      <w:r w:rsidR="008C07A0" w:rsidRPr="00B84623">
        <w:rPr>
          <w:szCs w:val="24"/>
        </w:rPr>
        <w:t xml:space="preserve"> Office </w:t>
      </w:r>
      <w:proofErr w:type="gramStart"/>
      <w:r w:rsidR="008C07A0" w:rsidRPr="00B84623">
        <w:rPr>
          <w:szCs w:val="24"/>
        </w:rPr>
        <w:t>Park</w:t>
      </w:r>
      <w:proofErr w:type="gramEnd"/>
    </w:p>
    <w:p w:rsidR="008C07A0" w:rsidRPr="00B84623" w:rsidRDefault="00496ABB" w:rsidP="001D5000">
      <w:pPr>
        <w:jc w:val="both"/>
        <w:rPr>
          <w:szCs w:val="24"/>
        </w:rPr>
      </w:pPr>
      <w:r>
        <w:rPr>
          <w:szCs w:val="24"/>
        </w:rPr>
        <w:tab/>
        <w:t>Fairport, NY</w:t>
      </w:r>
      <w:r w:rsidR="008C07A0" w:rsidRPr="00B84623">
        <w:rPr>
          <w:szCs w:val="24"/>
        </w:rPr>
        <w:t xml:space="preserve"> 14450</w:t>
      </w:r>
    </w:p>
    <w:p w:rsidR="00B84623" w:rsidRDefault="00B84623" w:rsidP="00B84623"/>
    <w:p w:rsidR="00B84623" w:rsidRDefault="00B84623" w:rsidP="00B84623">
      <w:r>
        <w:tab/>
      </w:r>
      <w:bookmarkStart w:id="0" w:name="_GoBack"/>
      <w:r>
        <w:t>Senior Manager, Regulatory Affairs</w:t>
      </w:r>
    </w:p>
    <w:p w:rsidR="002A24BB" w:rsidRDefault="002A24BB" w:rsidP="00B84623">
      <w:r>
        <w:tab/>
      </w:r>
      <w:proofErr w:type="gramStart"/>
      <w:r w:rsidR="00F87583">
        <w:t>US LEC of Pennsylvania</w:t>
      </w:r>
      <w:r>
        <w:t xml:space="preserve"> Inc.</w:t>
      </w:r>
      <w:proofErr w:type="gramEnd"/>
    </w:p>
    <w:p w:rsidR="00B84623" w:rsidRDefault="00B84623" w:rsidP="00B84623">
      <w:r>
        <w:tab/>
        <w:t>6801 Morrison Boulevard</w:t>
      </w:r>
    </w:p>
    <w:p w:rsidR="00B84623" w:rsidRDefault="00B84623" w:rsidP="00B84623">
      <w:pPr>
        <w:sectPr w:rsidR="00B84623" w:rsidSect="001155F6">
          <w:headerReference w:type="default" r:id="rId15"/>
          <w:type w:val="continuous"/>
          <w:pgSz w:w="12240" w:h="15840" w:code="1"/>
          <w:pgMar w:top="1008" w:right="1152" w:bottom="864" w:left="1152" w:header="720" w:footer="720" w:gutter="0"/>
          <w:cols w:space="720"/>
          <w:titlePg/>
          <w:docGrid w:linePitch="360"/>
        </w:sectPr>
      </w:pPr>
      <w:r>
        <w:tab/>
        <w:t>Charlotte, NC 28211</w:t>
      </w:r>
    </w:p>
    <w:bookmarkEnd w:id="0"/>
    <w:p w:rsidR="00E451C9" w:rsidRDefault="00E451C9" w:rsidP="004A41F7">
      <w:pPr>
        <w:ind w:left="-90" w:firstLine="90"/>
        <w:rPr>
          <w:b/>
          <w:szCs w:val="24"/>
          <w:u w:val="single"/>
        </w:rPr>
      </w:pPr>
    </w:p>
    <w:p w:rsidR="004A41F7" w:rsidRPr="00E451C9" w:rsidRDefault="004A41F7" w:rsidP="004A41F7">
      <w:pPr>
        <w:ind w:left="-90" w:firstLine="90"/>
        <w:rPr>
          <w:b/>
          <w:caps/>
          <w:szCs w:val="24"/>
          <w:u w:val="single"/>
        </w:rPr>
      </w:pPr>
      <w:r w:rsidRPr="00E451C9">
        <w:rPr>
          <w:b/>
          <w:szCs w:val="24"/>
          <w:u w:val="single"/>
        </w:rPr>
        <w:t>US LEC of Pennsylvania Inc. d/b/a PAETEC Business Services</w:t>
      </w:r>
    </w:p>
    <w:p w:rsidR="004A41F7" w:rsidRDefault="004A41F7" w:rsidP="004A41F7">
      <w:pPr>
        <w:ind w:left="-90" w:firstLine="90"/>
        <w:rPr>
          <w:caps/>
          <w:szCs w:val="24"/>
        </w:rPr>
      </w:pPr>
      <w:r>
        <w:rPr>
          <w:szCs w:val="24"/>
        </w:rPr>
        <w:t>Supplement No. 31 to Tariff PA P.U.C. No. 1 (Local Exchange Services)</w:t>
      </w:r>
    </w:p>
    <w:p w:rsidR="004A41F7" w:rsidRDefault="004A41F7" w:rsidP="004A41F7">
      <w:pPr>
        <w:ind w:left="-90" w:firstLine="90"/>
        <w:rPr>
          <w:szCs w:val="24"/>
        </w:rPr>
      </w:pPr>
      <w:r>
        <w:rPr>
          <w:szCs w:val="24"/>
        </w:rPr>
        <w:t>Docket No. R-2012-2338957, Utility Code 310814</w:t>
      </w:r>
    </w:p>
    <w:p w:rsidR="004A41F7" w:rsidRDefault="004A41F7" w:rsidP="004A41F7">
      <w:pPr>
        <w:ind w:left="-90" w:firstLine="90"/>
        <w:rPr>
          <w:szCs w:val="24"/>
        </w:rPr>
      </w:pPr>
    </w:p>
    <w:p w:rsidR="001010F1" w:rsidRDefault="004A41F7" w:rsidP="004A41F7">
      <w:r w:rsidRPr="001010F1">
        <w:rPr>
          <w:b/>
        </w:rPr>
        <w:t>Preface, Page 0.1 (LIST OF MODIFICATIONS):</w:t>
      </w:r>
      <w:r w:rsidRPr="001010F1">
        <w:t xml:space="preserve">  </w:t>
      </w:r>
    </w:p>
    <w:p w:rsidR="001010F1" w:rsidRDefault="001010F1" w:rsidP="004A41F7"/>
    <w:p w:rsidR="001010F1" w:rsidRDefault="001010F1" w:rsidP="001010F1">
      <w:pPr>
        <w:ind w:left="720"/>
      </w:pPr>
      <w:r>
        <w:t>- The list is missing an entry for Preface, Page 3.1 (17</w:t>
      </w:r>
      <w:r w:rsidRPr="001010F1">
        <w:rPr>
          <w:vertAlign w:val="superscript"/>
        </w:rPr>
        <w:t>th</w:t>
      </w:r>
      <w:r>
        <w:t xml:space="preserve"> Revision). </w:t>
      </w:r>
    </w:p>
    <w:p w:rsidR="004A41F7" w:rsidRDefault="004A41F7" w:rsidP="004A41F7">
      <w:r>
        <w:tab/>
      </w:r>
    </w:p>
    <w:p w:rsidR="001010F1" w:rsidRDefault="001010F1" w:rsidP="001010F1">
      <w:pPr>
        <w:ind w:left="720"/>
      </w:pPr>
      <w:r>
        <w:t xml:space="preserve">- </w:t>
      </w:r>
      <w:r w:rsidR="004A41F7">
        <w:t>The list includes Section 2, Page 2 (18</w:t>
      </w:r>
      <w:r w:rsidR="004A41F7">
        <w:rPr>
          <w:vertAlign w:val="superscript"/>
        </w:rPr>
        <w:t>th</w:t>
      </w:r>
      <w:r>
        <w:t xml:space="preserve"> Revision).  Correct this </w:t>
      </w:r>
      <w:r w:rsidR="004A41F7">
        <w:t>to</w:t>
      </w:r>
      <w:r>
        <w:t xml:space="preserve"> read</w:t>
      </w:r>
      <w:r w:rsidR="004A41F7">
        <w:t xml:space="preserve"> Section 2, Page 18 (2</w:t>
      </w:r>
      <w:r w:rsidR="004A41F7">
        <w:rPr>
          <w:vertAlign w:val="superscript"/>
        </w:rPr>
        <w:t>nd</w:t>
      </w:r>
      <w:r w:rsidR="004A41F7">
        <w:t xml:space="preserve"> Revision).</w:t>
      </w:r>
    </w:p>
    <w:p w:rsidR="001010F1" w:rsidRDefault="001010F1" w:rsidP="001010F1">
      <w:pPr>
        <w:ind w:left="720"/>
      </w:pPr>
    </w:p>
    <w:p w:rsidR="004A41F7" w:rsidRDefault="001010F1" w:rsidP="001010F1">
      <w:pPr>
        <w:ind w:left="720"/>
      </w:pPr>
      <w:r>
        <w:t xml:space="preserve">- The Page Revision # </w:t>
      </w:r>
      <w:r w:rsidR="004A41F7">
        <w:t>f</w:t>
      </w:r>
      <w:r>
        <w:t>or Section 10, Page 19 should be 1.</w:t>
      </w:r>
    </w:p>
    <w:p w:rsidR="001010F1" w:rsidRDefault="001010F1" w:rsidP="001010F1">
      <w:pPr>
        <w:ind w:left="720"/>
      </w:pPr>
    </w:p>
    <w:p w:rsidR="001010F1" w:rsidRPr="001010F1" w:rsidRDefault="001010F1" w:rsidP="000F6746">
      <w:pPr>
        <w:rPr>
          <w:b/>
        </w:rPr>
      </w:pPr>
      <w:r w:rsidRPr="001010F1">
        <w:rPr>
          <w:b/>
        </w:rPr>
        <w:t>Preface, Page 4 (</w:t>
      </w:r>
      <w:r w:rsidRPr="000F6746">
        <w:rPr>
          <w:b/>
          <w:caps/>
        </w:rPr>
        <w:t>Check Sheet</w:t>
      </w:r>
      <w:r w:rsidRPr="001010F1">
        <w:rPr>
          <w:b/>
        </w:rPr>
        <w:t xml:space="preserve">): </w:t>
      </w:r>
    </w:p>
    <w:p w:rsidR="001010F1" w:rsidRDefault="001010F1" w:rsidP="001010F1"/>
    <w:p w:rsidR="001010F1" w:rsidRDefault="001010F1" w:rsidP="001010F1">
      <w:pPr>
        <w:ind w:left="720"/>
      </w:pPr>
      <w:r>
        <w:t>- Change “Certified Local Exchange Carrier” to “Competitive Local Exchange Carrier” in the upper left margin of this page.</w:t>
      </w:r>
    </w:p>
    <w:p w:rsidR="001010F1" w:rsidRDefault="001010F1" w:rsidP="001010F1">
      <w:pPr>
        <w:ind w:left="720"/>
      </w:pPr>
    </w:p>
    <w:p w:rsidR="001010F1" w:rsidRDefault="001010F1" w:rsidP="001010F1">
      <w:pPr>
        <w:ind w:left="720"/>
      </w:pPr>
      <w:r>
        <w:t xml:space="preserve">- Remove the asterisk next to Section 10, Page 18 as it was not included in the instant filing.   </w:t>
      </w:r>
    </w:p>
    <w:p w:rsidR="001010F1" w:rsidRDefault="001010F1" w:rsidP="001010F1">
      <w:pPr>
        <w:ind w:left="720"/>
      </w:pPr>
    </w:p>
    <w:p w:rsidR="001010F1" w:rsidRDefault="001010F1" w:rsidP="001010F1">
      <w:pPr>
        <w:ind w:left="720"/>
      </w:pPr>
      <w:r>
        <w:t>- Add an asterisk next to the listing for Section 10, Page 19, and change the Revision # to 1</w:t>
      </w:r>
      <w:r w:rsidRPr="001010F1">
        <w:rPr>
          <w:vertAlign w:val="superscript"/>
        </w:rPr>
        <w:t>st</w:t>
      </w:r>
      <w:r>
        <w:t>.</w:t>
      </w:r>
    </w:p>
    <w:p w:rsidR="001010F1" w:rsidRDefault="001010F1" w:rsidP="001010F1">
      <w:pPr>
        <w:ind w:left="720"/>
      </w:pPr>
    </w:p>
    <w:p w:rsidR="001010F1" w:rsidRPr="000F6746" w:rsidRDefault="000F6746" w:rsidP="000F6746">
      <w:pPr>
        <w:rPr>
          <w:b/>
        </w:rPr>
      </w:pPr>
      <w:r w:rsidRPr="000F6746">
        <w:rPr>
          <w:b/>
        </w:rPr>
        <w:t xml:space="preserve">Section 10, Page 19: </w:t>
      </w:r>
    </w:p>
    <w:p w:rsidR="00E451C9" w:rsidRDefault="00E451C9" w:rsidP="000F6746">
      <w:pPr>
        <w:ind w:left="720"/>
      </w:pPr>
    </w:p>
    <w:p w:rsidR="000F6746" w:rsidRDefault="000F6746" w:rsidP="000F6746">
      <w:pPr>
        <w:ind w:left="720"/>
      </w:pPr>
      <w:r>
        <w:t>- Change “Certified Local Exchange Carrier” to “Competitive Local Exchange Carrier” in the upper left margin of this page.</w:t>
      </w:r>
    </w:p>
    <w:p w:rsidR="000F6746" w:rsidRDefault="000F6746" w:rsidP="000F6746">
      <w:pPr>
        <w:ind w:left="720"/>
      </w:pPr>
    </w:p>
    <w:p w:rsidR="000F6746" w:rsidRPr="000F6746" w:rsidRDefault="000F6746" w:rsidP="000F6746">
      <w:pPr>
        <w:rPr>
          <w:szCs w:val="24"/>
        </w:rPr>
      </w:pPr>
      <w:r w:rsidRPr="000F6746">
        <w:rPr>
          <w:szCs w:val="24"/>
        </w:rPr>
        <w:t xml:space="preserve">Ensure the Company’s online tariff is a current and accurate representation of the tariff on file with the Commission.  </w:t>
      </w:r>
    </w:p>
    <w:p w:rsidR="000F6746" w:rsidRDefault="000F6746" w:rsidP="000F6746">
      <w:pPr>
        <w:rPr>
          <w:rFonts w:ascii="Calibri" w:hAnsi="Calibri"/>
          <w:sz w:val="20"/>
        </w:rPr>
      </w:pPr>
    </w:p>
    <w:p w:rsidR="000F6746" w:rsidRDefault="000F6746" w:rsidP="000F6746">
      <w:pPr>
        <w:tabs>
          <w:tab w:val="left" w:pos="2376"/>
        </w:tabs>
        <w:rPr>
          <w:color w:val="000000" w:themeColor="text1"/>
          <w:szCs w:val="24"/>
        </w:rPr>
      </w:pPr>
      <w:r w:rsidRPr="00F96E6C">
        <w:rPr>
          <w:color w:val="000000" w:themeColor="text1"/>
          <w:szCs w:val="24"/>
        </w:rPr>
        <w:t>Note that effective August 31, 2012, Verizon Pennsylvania Inc. was converted to Verizon Pennsylvania LLC.  Please ensure all future tariff supplements reflect this name change.</w:t>
      </w:r>
    </w:p>
    <w:p w:rsidR="00E451C9" w:rsidRPr="001010F1" w:rsidRDefault="00E451C9" w:rsidP="000F6746">
      <w:pPr>
        <w:tabs>
          <w:tab w:val="left" w:pos="2376"/>
        </w:tabs>
        <w:rPr>
          <w:b/>
          <w:u w:val="single"/>
        </w:rPr>
      </w:pPr>
    </w:p>
    <w:p w:rsidR="000F6746" w:rsidRDefault="000F6746" w:rsidP="000F6746"/>
    <w:p w:rsidR="004A41F7" w:rsidRPr="00E451C9" w:rsidRDefault="004A41F7" w:rsidP="004A41F7">
      <w:pPr>
        <w:rPr>
          <w:b/>
          <w:szCs w:val="24"/>
          <w:u w:val="single"/>
        </w:rPr>
      </w:pPr>
      <w:r w:rsidRPr="00E451C9">
        <w:rPr>
          <w:b/>
          <w:szCs w:val="24"/>
          <w:u w:val="single"/>
        </w:rPr>
        <w:t>PAETEC Communications, Inc.</w:t>
      </w:r>
    </w:p>
    <w:p w:rsidR="004A41F7" w:rsidRPr="004A41F7" w:rsidRDefault="004A41F7" w:rsidP="004A41F7">
      <w:r w:rsidRPr="00970C11">
        <w:rPr>
          <w:szCs w:val="24"/>
        </w:rPr>
        <w:t>Supplement No. 35 to Tariff PA P.U.C. No. 3 (Local Exchange Services)</w:t>
      </w:r>
    </w:p>
    <w:p w:rsidR="004A41F7" w:rsidRPr="00970C11" w:rsidRDefault="004A41F7" w:rsidP="004A41F7">
      <w:r w:rsidRPr="00970C11">
        <w:t>Docket No. R-2012-2338959</w:t>
      </w:r>
      <w:r>
        <w:t>, Utility Code 310743</w:t>
      </w:r>
    </w:p>
    <w:p w:rsidR="00A125E7" w:rsidRDefault="00A125E7" w:rsidP="00A125E7">
      <w:pPr>
        <w:tabs>
          <w:tab w:val="left" w:pos="2376"/>
        </w:tabs>
      </w:pPr>
    </w:p>
    <w:p w:rsidR="000F6746" w:rsidRPr="000F6746" w:rsidRDefault="000F6746" w:rsidP="000F6746">
      <w:pPr>
        <w:rPr>
          <w:szCs w:val="24"/>
        </w:rPr>
      </w:pPr>
      <w:r w:rsidRPr="000F6746">
        <w:rPr>
          <w:szCs w:val="24"/>
        </w:rPr>
        <w:t xml:space="preserve">Ensure the Company’s online tariff is a current and accurate representation of the tariff on file with the Commission.  </w:t>
      </w:r>
    </w:p>
    <w:p w:rsidR="000F6746" w:rsidRDefault="000F6746" w:rsidP="000F6746">
      <w:pPr>
        <w:rPr>
          <w:rFonts w:ascii="Calibri" w:hAnsi="Calibri"/>
          <w:sz w:val="20"/>
        </w:rPr>
      </w:pPr>
    </w:p>
    <w:p w:rsidR="000F6746" w:rsidRPr="001010F1" w:rsidRDefault="000F6746" w:rsidP="000F6746">
      <w:pPr>
        <w:tabs>
          <w:tab w:val="left" w:pos="2376"/>
        </w:tabs>
        <w:rPr>
          <w:b/>
          <w:u w:val="single"/>
        </w:rPr>
      </w:pPr>
      <w:r w:rsidRPr="00F96E6C">
        <w:rPr>
          <w:color w:val="000000" w:themeColor="text1"/>
          <w:szCs w:val="24"/>
        </w:rPr>
        <w:t>Note that effective August 31, 2012, Verizon Pennsylvania Inc. was converted to Verizon Pennsylvania LLC.  Please ensure all future tariff supplements reflect this name change.</w:t>
      </w:r>
    </w:p>
    <w:p w:rsidR="001010F1" w:rsidRPr="001010F1" w:rsidRDefault="001010F1" w:rsidP="00A125E7">
      <w:pPr>
        <w:tabs>
          <w:tab w:val="left" w:pos="2376"/>
        </w:tabs>
        <w:rPr>
          <w:b/>
          <w:u w:val="single"/>
        </w:rPr>
      </w:pPr>
    </w:p>
    <w:sectPr w:rsidR="001010F1" w:rsidRPr="001010F1" w:rsidSect="00A125E7">
      <w:pgSz w:w="12240" w:h="15840" w:code="1"/>
      <w:pgMar w:top="1008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DAC" w:rsidRDefault="003D3DAC">
      <w:r>
        <w:separator/>
      </w:r>
    </w:p>
  </w:endnote>
  <w:endnote w:type="continuationSeparator" w:id="0">
    <w:p w:rsidR="003D3DAC" w:rsidRDefault="003D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409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CCE" w:rsidRDefault="00DA6C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3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6CCE" w:rsidRDefault="00DA6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583" w:rsidRDefault="00F87583" w:rsidP="00F87583">
    <w:pPr>
      <w:pStyle w:val="Footer"/>
      <w:jc w:val="center"/>
    </w:pPr>
    <w: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DAC" w:rsidRDefault="003D3DAC">
      <w:r>
        <w:separator/>
      </w:r>
    </w:p>
  </w:footnote>
  <w:footnote w:type="continuationSeparator" w:id="0">
    <w:p w:rsidR="003D3DAC" w:rsidRDefault="003D3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E7" w:rsidRPr="004A41F7" w:rsidRDefault="00A125E7" w:rsidP="00E451C9">
    <w:pPr>
      <w:pStyle w:val="Header"/>
      <w:spacing w:after="120"/>
      <w:jc w:val="center"/>
      <w:rPr>
        <w:b/>
      </w:rPr>
    </w:pPr>
    <w:r w:rsidRPr="004A41F7">
      <w:rPr>
        <w:b/>
      </w:rPr>
      <w:t xml:space="preserve">Enclosure:  </w:t>
    </w:r>
    <w:r w:rsidR="004A41F7" w:rsidRPr="004A41F7">
      <w:rPr>
        <w:b/>
      </w:rPr>
      <w:t>Tariff Deficiencies</w:t>
    </w:r>
  </w:p>
  <w:p w:rsidR="00E451C9" w:rsidRDefault="004A41F7" w:rsidP="00A125E7">
    <w:pPr>
      <w:pStyle w:val="Header"/>
      <w:jc w:val="center"/>
      <w:rPr>
        <w:b/>
        <w:u w:val="double" w:color="000000" w:themeColor="text1"/>
      </w:rPr>
    </w:pPr>
    <w:r w:rsidRPr="00E451C9">
      <w:rPr>
        <w:b/>
        <w:u w:val="double" w:color="000000" w:themeColor="text1"/>
      </w:rPr>
      <w:t>US LEC of Pennsylvania Inc. d</w:t>
    </w:r>
    <w:r w:rsidR="00E451C9">
      <w:rPr>
        <w:b/>
        <w:u w:val="double" w:color="000000" w:themeColor="text1"/>
      </w:rPr>
      <w:t>/b/a PAETEC Business Services</w:t>
    </w:r>
  </w:p>
  <w:p w:rsidR="004A41F7" w:rsidRPr="00E451C9" w:rsidRDefault="004A41F7" w:rsidP="00E451C9">
    <w:pPr>
      <w:pStyle w:val="Header"/>
      <w:jc w:val="center"/>
      <w:rPr>
        <w:b/>
        <w:u w:val="double" w:color="000000" w:themeColor="text1"/>
      </w:rPr>
    </w:pPr>
    <w:r w:rsidRPr="00E451C9">
      <w:rPr>
        <w:b/>
        <w:u w:val="double" w:color="000000" w:themeColor="text1"/>
      </w:rPr>
      <w:t>PAETEC Communications, Inc.</w:t>
    </w:r>
  </w:p>
  <w:p w:rsidR="004A41F7" w:rsidRDefault="004A41F7" w:rsidP="00A125E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1387947175"/>
      <w:docPartObj>
        <w:docPartGallery w:val="Page Numbers (Top of Page)"/>
        <w:docPartUnique/>
      </w:docPartObj>
    </w:sdtPr>
    <w:sdtEndPr/>
    <w:sdtContent>
      <w:p w:rsidR="00B84623" w:rsidRDefault="00B84623" w:rsidP="00B84623">
        <w:pPr>
          <w:pStyle w:val="Header"/>
          <w:rPr>
            <w:sz w:val="22"/>
          </w:rPr>
        </w:pPr>
        <w:r w:rsidRPr="00EB2F01">
          <w:rPr>
            <w:sz w:val="22"/>
          </w:rPr>
          <w:t>Pa. PUC Staff Data Request No. 1</w:t>
        </w:r>
        <w:r>
          <w:rPr>
            <w:sz w:val="22"/>
          </w:rPr>
          <w:t xml:space="preserve"> - PAETEC Collection Fee</w:t>
        </w:r>
      </w:p>
      <w:p w:rsidR="00097BBD" w:rsidRDefault="0077283E">
        <w:pPr>
          <w:pStyle w:val="Header"/>
          <w:rPr>
            <w:sz w:val="22"/>
          </w:rPr>
        </w:pPr>
        <w:r w:rsidRPr="00EB2F01">
          <w:rPr>
            <w:sz w:val="22"/>
          </w:rPr>
          <w:t>Docket No</w:t>
        </w:r>
        <w:r w:rsidR="009B7FF8">
          <w:rPr>
            <w:sz w:val="22"/>
          </w:rPr>
          <w:t>s</w:t>
        </w:r>
        <w:r w:rsidR="00A42B90">
          <w:rPr>
            <w:sz w:val="22"/>
          </w:rPr>
          <w:t>. R-2012-</w:t>
        </w:r>
        <w:r w:rsidR="009B7FF8">
          <w:rPr>
            <w:sz w:val="22"/>
          </w:rPr>
          <w:t>2338957 &amp; R-2012-2338959</w:t>
        </w:r>
      </w:p>
      <w:p w:rsidR="00117113" w:rsidRPr="00EB2F01" w:rsidRDefault="0077283E">
        <w:pPr>
          <w:pStyle w:val="Header"/>
          <w:rPr>
            <w:sz w:val="22"/>
          </w:rPr>
        </w:pPr>
        <w:r w:rsidRPr="00EB2F01">
          <w:rPr>
            <w:sz w:val="22"/>
          </w:rPr>
          <w:t xml:space="preserve">Page </w:t>
        </w:r>
        <w:r w:rsidRPr="00EB2F01">
          <w:rPr>
            <w:b/>
            <w:bCs/>
            <w:sz w:val="22"/>
          </w:rPr>
          <w:fldChar w:fldCharType="begin"/>
        </w:r>
        <w:r w:rsidRPr="00EB2F01">
          <w:rPr>
            <w:b/>
            <w:bCs/>
            <w:sz w:val="22"/>
          </w:rPr>
          <w:instrText xml:space="preserve"> PAGE </w:instrText>
        </w:r>
        <w:r w:rsidRPr="00EB2F01">
          <w:rPr>
            <w:b/>
            <w:bCs/>
            <w:sz w:val="22"/>
          </w:rPr>
          <w:fldChar w:fldCharType="separate"/>
        </w:r>
        <w:r w:rsidR="00BC2347">
          <w:rPr>
            <w:b/>
            <w:bCs/>
            <w:noProof/>
            <w:sz w:val="22"/>
          </w:rPr>
          <w:t>3</w:t>
        </w:r>
        <w:r w:rsidRPr="00EB2F01">
          <w:rPr>
            <w:b/>
            <w:bCs/>
            <w:sz w:val="22"/>
          </w:rPr>
          <w:fldChar w:fldCharType="end"/>
        </w:r>
        <w:r w:rsidRPr="00EB2F01">
          <w:rPr>
            <w:sz w:val="22"/>
          </w:rPr>
          <w:t xml:space="preserve"> of </w:t>
        </w:r>
        <w:r w:rsidRPr="00EB2F01">
          <w:rPr>
            <w:b/>
            <w:bCs/>
            <w:sz w:val="22"/>
          </w:rPr>
          <w:fldChar w:fldCharType="begin"/>
        </w:r>
        <w:r w:rsidRPr="00EB2F01">
          <w:rPr>
            <w:b/>
            <w:bCs/>
            <w:sz w:val="22"/>
          </w:rPr>
          <w:instrText xml:space="preserve"> NUMPAGES  </w:instrText>
        </w:r>
        <w:r w:rsidRPr="00EB2F01">
          <w:rPr>
            <w:b/>
            <w:bCs/>
            <w:sz w:val="22"/>
          </w:rPr>
          <w:fldChar w:fldCharType="separate"/>
        </w:r>
        <w:r w:rsidR="00BC2347">
          <w:rPr>
            <w:b/>
            <w:bCs/>
            <w:noProof/>
            <w:sz w:val="22"/>
          </w:rPr>
          <w:t>4</w:t>
        </w:r>
        <w:r w:rsidRPr="00EB2F01">
          <w:rPr>
            <w:b/>
            <w:bCs/>
            <w:sz w:val="22"/>
          </w:rPr>
          <w:fldChar w:fldCharType="end"/>
        </w:r>
      </w:p>
    </w:sdtContent>
  </w:sdt>
  <w:p w:rsidR="00117113" w:rsidRPr="00EB2F01" w:rsidRDefault="003D3DA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F51"/>
    <w:multiLevelType w:val="singleLevel"/>
    <w:tmpl w:val="395A9654"/>
    <w:lvl w:ilvl="0">
      <w:start w:val="3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">
    <w:nsid w:val="08A84806"/>
    <w:multiLevelType w:val="hybridMultilevel"/>
    <w:tmpl w:val="135E4FC2"/>
    <w:lvl w:ilvl="0" w:tplc="D22ED6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D5D87"/>
    <w:multiLevelType w:val="hybridMultilevel"/>
    <w:tmpl w:val="E3746D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A92906"/>
    <w:multiLevelType w:val="hybridMultilevel"/>
    <w:tmpl w:val="F8C2CB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552FA7"/>
    <w:multiLevelType w:val="hybridMultilevel"/>
    <w:tmpl w:val="8648E8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FE6FCA"/>
    <w:multiLevelType w:val="hybridMultilevel"/>
    <w:tmpl w:val="CAF0C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133AF"/>
    <w:multiLevelType w:val="hybridMultilevel"/>
    <w:tmpl w:val="0FACAC42"/>
    <w:lvl w:ilvl="0" w:tplc="2668B9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F55E4"/>
    <w:multiLevelType w:val="hybridMultilevel"/>
    <w:tmpl w:val="F9BC3F6C"/>
    <w:lvl w:ilvl="0" w:tplc="642A12B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690265"/>
    <w:multiLevelType w:val="hybridMultilevel"/>
    <w:tmpl w:val="894A47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B2A44"/>
    <w:multiLevelType w:val="hybridMultilevel"/>
    <w:tmpl w:val="7E843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92565"/>
    <w:multiLevelType w:val="hybridMultilevel"/>
    <w:tmpl w:val="5ECAE89E"/>
    <w:lvl w:ilvl="0" w:tplc="863049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36F0"/>
    <w:rsid w:val="0000558D"/>
    <w:rsid w:val="00010B34"/>
    <w:rsid w:val="00010B7E"/>
    <w:rsid w:val="00010F8F"/>
    <w:rsid w:val="00012384"/>
    <w:rsid w:val="00026F1F"/>
    <w:rsid w:val="00046098"/>
    <w:rsid w:val="000515C7"/>
    <w:rsid w:val="00053B85"/>
    <w:rsid w:val="0005402C"/>
    <w:rsid w:val="00056F92"/>
    <w:rsid w:val="00057F4A"/>
    <w:rsid w:val="00065D59"/>
    <w:rsid w:val="0006621E"/>
    <w:rsid w:val="0006790B"/>
    <w:rsid w:val="00067C2E"/>
    <w:rsid w:val="000700C3"/>
    <w:rsid w:val="000723FA"/>
    <w:rsid w:val="00075590"/>
    <w:rsid w:val="000761C0"/>
    <w:rsid w:val="0008427B"/>
    <w:rsid w:val="00085ACB"/>
    <w:rsid w:val="000902EE"/>
    <w:rsid w:val="0009284F"/>
    <w:rsid w:val="00097BBD"/>
    <w:rsid w:val="000A2451"/>
    <w:rsid w:val="000A70C6"/>
    <w:rsid w:val="000C1530"/>
    <w:rsid w:val="000D01DF"/>
    <w:rsid w:val="000D03CA"/>
    <w:rsid w:val="000D0FD9"/>
    <w:rsid w:val="000E07BF"/>
    <w:rsid w:val="000E3B2C"/>
    <w:rsid w:val="000E6A31"/>
    <w:rsid w:val="000F6746"/>
    <w:rsid w:val="000F755F"/>
    <w:rsid w:val="001010F1"/>
    <w:rsid w:val="00106253"/>
    <w:rsid w:val="001155F6"/>
    <w:rsid w:val="00125BCA"/>
    <w:rsid w:val="001264B6"/>
    <w:rsid w:val="00130B1E"/>
    <w:rsid w:val="00131DDA"/>
    <w:rsid w:val="00132E60"/>
    <w:rsid w:val="001334FC"/>
    <w:rsid w:val="00137083"/>
    <w:rsid w:val="00137C29"/>
    <w:rsid w:val="00142BA3"/>
    <w:rsid w:val="00150A3B"/>
    <w:rsid w:val="00150F8B"/>
    <w:rsid w:val="00151D8D"/>
    <w:rsid w:val="001535C8"/>
    <w:rsid w:val="00157C40"/>
    <w:rsid w:val="00162439"/>
    <w:rsid w:val="0016278E"/>
    <w:rsid w:val="0017540A"/>
    <w:rsid w:val="0017760B"/>
    <w:rsid w:val="00183E86"/>
    <w:rsid w:val="00185649"/>
    <w:rsid w:val="0018720B"/>
    <w:rsid w:val="00191FE1"/>
    <w:rsid w:val="00192784"/>
    <w:rsid w:val="001A1A45"/>
    <w:rsid w:val="001A2153"/>
    <w:rsid w:val="001B4A58"/>
    <w:rsid w:val="001C571A"/>
    <w:rsid w:val="001D1712"/>
    <w:rsid w:val="001D5000"/>
    <w:rsid w:val="001D7FA8"/>
    <w:rsid w:val="001E23BA"/>
    <w:rsid w:val="001F0D48"/>
    <w:rsid w:val="001F4A76"/>
    <w:rsid w:val="00212299"/>
    <w:rsid w:val="00216126"/>
    <w:rsid w:val="00227576"/>
    <w:rsid w:val="002311CC"/>
    <w:rsid w:val="00231244"/>
    <w:rsid w:val="00244511"/>
    <w:rsid w:val="002466BB"/>
    <w:rsid w:val="002527E9"/>
    <w:rsid w:val="00256182"/>
    <w:rsid w:val="002607AD"/>
    <w:rsid w:val="00266BF8"/>
    <w:rsid w:val="00270E9F"/>
    <w:rsid w:val="00272D3C"/>
    <w:rsid w:val="002926B7"/>
    <w:rsid w:val="00294B4B"/>
    <w:rsid w:val="002A24BB"/>
    <w:rsid w:val="002B6E0C"/>
    <w:rsid w:val="002C0503"/>
    <w:rsid w:val="002C13FB"/>
    <w:rsid w:val="002D043D"/>
    <w:rsid w:val="002D29EB"/>
    <w:rsid w:val="002E5260"/>
    <w:rsid w:val="002E699B"/>
    <w:rsid w:val="002E70AC"/>
    <w:rsid w:val="002F1221"/>
    <w:rsid w:val="002F2CF3"/>
    <w:rsid w:val="00303F21"/>
    <w:rsid w:val="00310117"/>
    <w:rsid w:val="003107D6"/>
    <w:rsid w:val="003212C6"/>
    <w:rsid w:val="00323D97"/>
    <w:rsid w:val="00331BA5"/>
    <w:rsid w:val="003320E6"/>
    <w:rsid w:val="0033489B"/>
    <w:rsid w:val="00345278"/>
    <w:rsid w:val="0034777A"/>
    <w:rsid w:val="00352AFA"/>
    <w:rsid w:val="00363FE7"/>
    <w:rsid w:val="003A7C5F"/>
    <w:rsid w:val="003B1057"/>
    <w:rsid w:val="003B1A94"/>
    <w:rsid w:val="003C1936"/>
    <w:rsid w:val="003C2ACF"/>
    <w:rsid w:val="003C7918"/>
    <w:rsid w:val="003D021C"/>
    <w:rsid w:val="003D392F"/>
    <w:rsid w:val="003D3DAC"/>
    <w:rsid w:val="003E1694"/>
    <w:rsid w:val="003E6E97"/>
    <w:rsid w:val="003F2D42"/>
    <w:rsid w:val="003F44B6"/>
    <w:rsid w:val="003F7CE2"/>
    <w:rsid w:val="00401C75"/>
    <w:rsid w:val="004105C5"/>
    <w:rsid w:val="004159C6"/>
    <w:rsid w:val="00420E46"/>
    <w:rsid w:val="00425AF0"/>
    <w:rsid w:val="004323E2"/>
    <w:rsid w:val="004376E3"/>
    <w:rsid w:val="0045061B"/>
    <w:rsid w:val="00456CE3"/>
    <w:rsid w:val="00466AD7"/>
    <w:rsid w:val="00470AE3"/>
    <w:rsid w:val="004717E4"/>
    <w:rsid w:val="00471C2A"/>
    <w:rsid w:val="004728E1"/>
    <w:rsid w:val="004758B1"/>
    <w:rsid w:val="00484B08"/>
    <w:rsid w:val="00486A7A"/>
    <w:rsid w:val="00496ABB"/>
    <w:rsid w:val="004A3C27"/>
    <w:rsid w:val="004A41F7"/>
    <w:rsid w:val="004A55ED"/>
    <w:rsid w:val="004A6903"/>
    <w:rsid w:val="004B1DC5"/>
    <w:rsid w:val="004B3F1D"/>
    <w:rsid w:val="004B617D"/>
    <w:rsid w:val="004B6F33"/>
    <w:rsid w:val="004C4A7F"/>
    <w:rsid w:val="004D2C06"/>
    <w:rsid w:val="004E0233"/>
    <w:rsid w:val="004E2357"/>
    <w:rsid w:val="00513B3B"/>
    <w:rsid w:val="00515CB8"/>
    <w:rsid w:val="00522057"/>
    <w:rsid w:val="00523CBB"/>
    <w:rsid w:val="00527E1A"/>
    <w:rsid w:val="00531804"/>
    <w:rsid w:val="00532482"/>
    <w:rsid w:val="00533855"/>
    <w:rsid w:val="005378EF"/>
    <w:rsid w:val="00541572"/>
    <w:rsid w:val="0054596A"/>
    <w:rsid w:val="0054688F"/>
    <w:rsid w:val="00550A5D"/>
    <w:rsid w:val="005519DE"/>
    <w:rsid w:val="005548F3"/>
    <w:rsid w:val="005553DC"/>
    <w:rsid w:val="00561AC4"/>
    <w:rsid w:val="00571CC5"/>
    <w:rsid w:val="00574F8B"/>
    <w:rsid w:val="005758E5"/>
    <w:rsid w:val="00583A30"/>
    <w:rsid w:val="0058733C"/>
    <w:rsid w:val="00592FF5"/>
    <w:rsid w:val="00597EC1"/>
    <w:rsid w:val="005A6455"/>
    <w:rsid w:val="005A7E07"/>
    <w:rsid w:val="005B47DC"/>
    <w:rsid w:val="005C7CC0"/>
    <w:rsid w:val="005D0EA3"/>
    <w:rsid w:val="005D298F"/>
    <w:rsid w:val="005D669C"/>
    <w:rsid w:val="005D7822"/>
    <w:rsid w:val="005E55D0"/>
    <w:rsid w:val="005F3F27"/>
    <w:rsid w:val="00600756"/>
    <w:rsid w:val="006011EB"/>
    <w:rsid w:val="00605231"/>
    <w:rsid w:val="00621754"/>
    <w:rsid w:val="006238FB"/>
    <w:rsid w:val="006315C9"/>
    <w:rsid w:val="00633EEA"/>
    <w:rsid w:val="00635A69"/>
    <w:rsid w:val="0064173E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85C37"/>
    <w:rsid w:val="006901A9"/>
    <w:rsid w:val="006A0190"/>
    <w:rsid w:val="006A19DE"/>
    <w:rsid w:val="006A6151"/>
    <w:rsid w:val="006B1842"/>
    <w:rsid w:val="006B6EC4"/>
    <w:rsid w:val="006D46A1"/>
    <w:rsid w:val="006E1263"/>
    <w:rsid w:val="006F169A"/>
    <w:rsid w:val="006F7BD8"/>
    <w:rsid w:val="00701979"/>
    <w:rsid w:val="0070664E"/>
    <w:rsid w:val="007166E9"/>
    <w:rsid w:val="0072458A"/>
    <w:rsid w:val="00727178"/>
    <w:rsid w:val="00727E82"/>
    <w:rsid w:val="00732A26"/>
    <w:rsid w:val="007331FA"/>
    <w:rsid w:val="00734009"/>
    <w:rsid w:val="00735A9B"/>
    <w:rsid w:val="00736988"/>
    <w:rsid w:val="007415A2"/>
    <w:rsid w:val="0074631C"/>
    <w:rsid w:val="00747AED"/>
    <w:rsid w:val="007533A6"/>
    <w:rsid w:val="00756A92"/>
    <w:rsid w:val="00760DF8"/>
    <w:rsid w:val="00767AD3"/>
    <w:rsid w:val="0077283E"/>
    <w:rsid w:val="00774679"/>
    <w:rsid w:val="00777420"/>
    <w:rsid w:val="007915FB"/>
    <w:rsid w:val="00791FDA"/>
    <w:rsid w:val="00794AEA"/>
    <w:rsid w:val="007965DE"/>
    <w:rsid w:val="007979C9"/>
    <w:rsid w:val="007A2F47"/>
    <w:rsid w:val="007C3C93"/>
    <w:rsid w:val="007C5683"/>
    <w:rsid w:val="007D0340"/>
    <w:rsid w:val="007D0680"/>
    <w:rsid w:val="007F16BF"/>
    <w:rsid w:val="007F36B4"/>
    <w:rsid w:val="007F4386"/>
    <w:rsid w:val="007F512E"/>
    <w:rsid w:val="007F7700"/>
    <w:rsid w:val="007F78A1"/>
    <w:rsid w:val="00804671"/>
    <w:rsid w:val="008159FD"/>
    <w:rsid w:val="00817917"/>
    <w:rsid w:val="00825F83"/>
    <w:rsid w:val="00833958"/>
    <w:rsid w:val="00834BEC"/>
    <w:rsid w:val="00841BD1"/>
    <w:rsid w:val="00856AB4"/>
    <w:rsid w:val="00861235"/>
    <w:rsid w:val="00862F80"/>
    <w:rsid w:val="008704FE"/>
    <w:rsid w:val="00872D9B"/>
    <w:rsid w:val="00882E3F"/>
    <w:rsid w:val="008834E0"/>
    <w:rsid w:val="00885F07"/>
    <w:rsid w:val="008902F3"/>
    <w:rsid w:val="00897392"/>
    <w:rsid w:val="008A6E17"/>
    <w:rsid w:val="008B3037"/>
    <w:rsid w:val="008B4EAD"/>
    <w:rsid w:val="008B53AC"/>
    <w:rsid w:val="008B66F2"/>
    <w:rsid w:val="008B7249"/>
    <w:rsid w:val="008B7B5D"/>
    <w:rsid w:val="008C07A0"/>
    <w:rsid w:val="008C2E2F"/>
    <w:rsid w:val="008C37D1"/>
    <w:rsid w:val="008C470F"/>
    <w:rsid w:val="008C5915"/>
    <w:rsid w:val="008D4979"/>
    <w:rsid w:val="008D56BF"/>
    <w:rsid w:val="008E0D47"/>
    <w:rsid w:val="008E2D0E"/>
    <w:rsid w:val="008E73B0"/>
    <w:rsid w:val="008F3AEB"/>
    <w:rsid w:val="008F4B6C"/>
    <w:rsid w:val="008F61A3"/>
    <w:rsid w:val="00900849"/>
    <w:rsid w:val="00905ACF"/>
    <w:rsid w:val="00914CFE"/>
    <w:rsid w:val="0091795D"/>
    <w:rsid w:val="0092469A"/>
    <w:rsid w:val="009268F7"/>
    <w:rsid w:val="009417CD"/>
    <w:rsid w:val="00950C42"/>
    <w:rsid w:val="0095390B"/>
    <w:rsid w:val="00955C6D"/>
    <w:rsid w:val="009575BA"/>
    <w:rsid w:val="00960081"/>
    <w:rsid w:val="009612BE"/>
    <w:rsid w:val="00961A05"/>
    <w:rsid w:val="00970C11"/>
    <w:rsid w:val="009847E8"/>
    <w:rsid w:val="009877CD"/>
    <w:rsid w:val="009900D7"/>
    <w:rsid w:val="00990D57"/>
    <w:rsid w:val="009925D5"/>
    <w:rsid w:val="00993F00"/>
    <w:rsid w:val="009A0779"/>
    <w:rsid w:val="009B7FF8"/>
    <w:rsid w:val="009C2EDE"/>
    <w:rsid w:val="009C354D"/>
    <w:rsid w:val="009C7E2D"/>
    <w:rsid w:val="009D31E5"/>
    <w:rsid w:val="009D31ED"/>
    <w:rsid w:val="009D4442"/>
    <w:rsid w:val="009F49F6"/>
    <w:rsid w:val="009F6AF1"/>
    <w:rsid w:val="009F77FB"/>
    <w:rsid w:val="009F7B92"/>
    <w:rsid w:val="00A0093B"/>
    <w:rsid w:val="00A10484"/>
    <w:rsid w:val="00A125E7"/>
    <w:rsid w:val="00A12DE2"/>
    <w:rsid w:val="00A15953"/>
    <w:rsid w:val="00A16389"/>
    <w:rsid w:val="00A171DB"/>
    <w:rsid w:val="00A24641"/>
    <w:rsid w:val="00A31208"/>
    <w:rsid w:val="00A42B90"/>
    <w:rsid w:val="00A46305"/>
    <w:rsid w:val="00A47D19"/>
    <w:rsid w:val="00A721F1"/>
    <w:rsid w:val="00A8716D"/>
    <w:rsid w:val="00A912BE"/>
    <w:rsid w:val="00A965DF"/>
    <w:rsid w:val="00A97571"/>
    <w:rsid w:val="00AA28E4"/>
    <w:rsid w:val="00AA4F00"/>
    <w:rsid w:val="00AB0C2C"/>
    <w:rsid w:val="00AB556F"/>
    <w:rsid w:val="00AB5F58"/>
    <w:rsid w:val="00AB67BC"/>
    <w:rsid w:val="00AC4861"/>
    <w:rsid w:val="00AC597D"/>
    <w:rsid w:val="00AC62AC"/>
    <w:rsid w:val="00AD5BAD"/>
    <w:rsid w:val="00AE4FCE"/>
    <w:rsid w:val="00AF0D8C"/>
    <w:rsid w:val="00AF2C7C"/>
    <w:rsid w:val="00AF5BD4"/>
    <w:rsid w:val="00AF7148"/>
    <w:rsid w:val="00B0488D"/>
    <w:rsid w:val="00B10D25"/>
    <w:rsid w:val="00B11DA5"/>
    <w:rsid w:val="00B13ECF"/>
    <w:rsid w:val="00B16E7A"/>
    <w:rsid w:val="00B23F5E"/>
    <w:rsid w:val="00B24FC4"/>
    <w:rsid w:val="00B264D5"/>
    <w:rsid w:val="00B32990"/>
    <w:rsid w:val="00B4715B"/>
    <w:rsid w:val="00B472C6"/>
    <w:rsid w:val="00B800F7"/>
    <w:rsid w:val="00B8278F"/>
    <w:rsid w:val="00B84623"/>
    <w:rsid w:val="00B872AC"/>
    <w:rsid w:val="00B95752"/>
    <w:rsid w:val="00B96C62"/>
    <w:rsid w:val="00B977B2"/>
    <w:rsid w:val="00BA064B"/>
    <w:rsid w:val="00BA0759"/>
    <w:rsid w:val="00BA0E50"/>
    <w:rsid w:val="00BB59E1"/>
    <w:rsid w:val="00BB7115"/>
    <w:rsid w:val="00BC0F4E"/>
    <w:rsid w:val="00BC2347"/>
    <w:rsid w:val="00BC76A3"/>
    <w:rsid w:val="00BD13EF"/>
    <w:rsid w:val="00BD24A2"/>
    <w:rsid w:val="00BD6B09"/>
    <w:rsid w:val="00BD7BA4"/>
    <w:rsid w:val="00BE1103"/>
    <w:rsid w:val="00BE46FD"/>
    <w:rsid w:val="00BE51E5"/>
    <w:rsid w:val="00BE7C84"/>
    <w:rsid w:val="00BF0CE9"/>
    <w:rsid w:val="00BF3AB9"/>
    <w:rsid w:val="00C22074"/>
    <w:rsid w:val="00C25A0A"/>
    <w:rsid w:val="00C33E42"/>
    <w:rsid w:val="00C3562A"/>
    <w:rsid w:val="00C70A0F"/>
    <w:rsid w:val="00C72B8A"/>
    <w:rsid w:val="00C7770C"/>
    <w:rsid w:val="00C850BB"/>
    <w:rsid w:val="00C92AAA"/>
    <w:rsid w:val="00C93B0B"/>
    <w:rsid w:val="00C97AC7"/>
    <w:rsid w:val="00CA3CA8"/>
    <w:rsid w:val="00CB3A5E"/>
    <w:rsid w:val="00CB5307"/>
    <w:rsid w:val="00CF103F"/>
    <w:rsid w:val="00CF1990"/>
    <w:rsid w:val="00CF57C9"/>
    <w:rsid w:val="00CF7CEF"/>
    <w:rsid w:val="00D02C14"/>
    <w:rsid w:val="00D15212"/>
    <w:rsid w:val="00D15C97"/>
    <w:rsid w:val="00D2390A"/>
    <w:rsid w:val="00D23DE3"/>
    <w:rsid w:val="00D23E68"/>
    <w:rsid w:val="00D30AA9"/>
    <w:rsid w:val="00D33BDF"/>
    <w:rsid w:val="00D42AF0"/>
    <w:rsid w:val="00D45A24"/>
    <w:rsid w:val="00D4608E"/>
    <w:rsid w:val="00D503BE"/>
    <w:rsid w:val="00D50808"/>
    <w:rsid w:val="00D54365"/>
    <w:rsid w:val="00D5571A"/>
    <w:rsid w:val="00D6758E"/>
    <w:rsid w:val="00D73AE3"/>
    <w:rsid w:val="00D83F25"/>
    <w:rsid w:val="00D847C6"/>
    <w:rsid w:val="00D84D2A"/>
    <w:rsid w:val="00D875A6"/>
    <w:rsid w:val="00D90DA2"/>
    <w:rsid w:val="00D92653"/>
    <w:rsid w:val="00DA168C"/>
    <w:rsid w:val="00DA300C"/>
    <w:rsid w:val="00DA5C0C"/>
    <w:rsid w:val="00DA6CCE"/>
    <w:rsid w:val="00DA7314"/>
    <w:rsid w:val="00DB6062"/>
    <w:rsid w:val="00DB7502"/>
    <w:rsid w:val="00DC1C1F"/>
    <w:rsid w:val="00DC28DA"/>
    <w:rsid w:val="00DC3ACB"/>
    <w:rsid w:val="00DC6980"/>
    <w:rsid w:val="00DD0701"/>
    <w:rsid w:val="00DD0892"/>
    <w:rsid w:val="00DD1390"/>
    <w:rsid w:val="00DD4C9A"/>
    <w:rsid w:val="00DD5B65"/>
    <w:rsid w:val="00DE34B0"/>
    <w:rsid w:val="00DF2E12"/>
    <w:rsid w:val="00DF575C"/>
    <w:rsid w:val="00E060EE"/>
    <w:rsid w:val="00E06C77"/>
    <w:rsid w:val="00E11251"/>
    <w:rsid w:val="00E1404A"/>
    <w:rsid w:val="00E200A1"/>
    <w:rsid w:val="00E22A88"/>
    <w:rsid w:val="00E2671D"/>
    <w:rsid w:val="00E31FD0"/>
    <w:rsid w:val="00E36AE3"/>
    <w:rsid w:val="00E36D68"/>
    <w:rsid w:val="00E37DE5"/>
    <w:rsid w:val="00E4351A"/>
    <w:rsid w:val="00E451C9"/>
    <w:rsid w:val="00E50F8B"/>
    <w:rsid w:val="00E5456F"/>
    <w:rsid w:val="00E579D8"/>
    <w:rsid w:val="00E62BA9"/>
    <w:rsid w:val="00E73F89"/>
    <w:rsid w:val="00E8290B"/>
    <w:rsid w:val="00E86FC9"/>
    <w:rsid w:val="00E965F7"/>
    <w:rsid w:val="00E9717D"/>
    <w:rsid w:val="00EA42F2"/>
    <w:rsid w:val="00EA6E47"/>
    <w:rsid w:val="00EB3229"/>
    <w:rsid w:val="00EB5A51"/>
    <w:rsid w:val="00EB6E43"/>
    <w:rsid w:val="00EC2145"/>
    <w:rsid w:val="00ED021A"/>
    <w:rsid w:val="00ED7641"/>
    <w:rsid w:val="00ED78C6"/>
    <w:rsid w:val="00EE2764"/>
    <w:rsid w:val="00EE3DC3"/>
    <w:rsid w:val="00EE5D1E"/>
    <w:rsid w:val="00EF21CF"/>
    <w:rsid w:val="00EF3697"/>
    <w:rsid w:val="00EF3CE4"/>
    <w:rsid w:val="00EF6004"/>
    <w:rsid w:val="00EF6B14"/>
    <w:rsid w:val="00EF7CCD"/>
    <w:rsid w:val="00F005CB"/>
    <w:rsid w:val="00F007AF"/>
    <w:rsid w:val="00F10C7F"/>
    <w:rsid w:val="00F11F75"/>
    <w:rsid w:val="00F12B60"/>
    <w:rsid w:val="00F15495"/>
    <w:rsid w:val="00F20234"/>
    <w:rsid w:val="00F22E9E"/>
    <w:rsid w:val="00F25353"/>
    <w:rsid w:val="00F3436F"/>
    <w:rsid w:val="00F408CF"/>
    <w:rsid w:val="00F46970"/>
    <w:rsid w:val="00F50CBC"/>
    <w:rsid w:val="00F5665E"/>
    <w:rsid w:val="00F61260"/>
    <w:rsid w:val="00F6295A"/>
    <w:rsid w:val="00F721B6"/>
    <w:rsid w:val="00F7367E"/>
    <w:rsid w:val="00F743A5"/>
    <w:rsid w:val="00F77404"/>
    <w:rsid w:val="00F82EEB"/>
    <w:rsid w:val="00F851EF"/>
    <w:rsid w:val="00F87583"/>
    <w:rsid w:val="00F93B8B"/>
    <w:rsid w:val="00F94022"/>
    <w:rsid w:val="00FA1426"/>
    <w:rsid w:val="00FA5234"/>
    <w:rsid w:val="00FB0B73"/>
    <w:rsid w:val="00FB1170"/>
    <w:rsid w:val="00FB3F71"/>
    <w:rsid w:val="00FC2784"/>
    <w:rsid w:val="00FC56E0"/>
    <w:rsid w:val="00FC7EFA"/>
    <w:rsid w:val="00FD03EF"/>
    <w:rsid w:val="00FE394D"/>
    <w:rsid w:val="00FE39BE"/>
    <w:rsid w:val="00FF548A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1F7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57116"/>
  </w:style>
  <w:style w:type="character" w:styleId="FootnoteReference">
    <w:name w:val="footnote reference"/>
    <w:basedOn w:val="DefaultParagraphFont"/>
    <w:uiPriority w:val="99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ListParagraph">
    <w:name w:val="List Paragraph"/>
    <w:basedOn w:val="Normal"/>
    <w:uiPriority w:val="34"/>
    <w:qFormat/>
    <w:rsid w:val="00D73AE3"/>
    <w:pPr>
      <w:spacing w:after="200"/>
      <w:ind w:left="720"/>
      <w:contextualSpacing/>
    </w:pPr>
    <w:rPr>
      <w:rFonts w:eastAsiaTheme="minorHAnsi" w:cstheme="minorBidi"/>
      <w:szCs w:val="22"/>
    </w:rPr>
  </w:style>
  <w:style w:type="paragraph" w:customStyle="1" w:styleId="default0">
    <w:name w:val="default0"/>
    <w:basedOn w:val="Normal"/>
    <w:rsid w:val="00363FE7"/>
    <w:pPr>
      <w:autoSpaceDE w:val="0"/>
      <w:autoSpaceDN w:val="0"/>
    </w:pPr>
    <w:rPr>
      <w:color w:val="00000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4C9A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5F6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155F6"/>
    <w:rPr>
      <w:sz w:val="24"/>
    </w:rPr>
  </w:style>
  <w:style w:type="paragraph" w:customStyle="1" w:styleId="Style">
    <w:name w:val="Style"/>
    <w:rsid w:val="00AF2C7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E23BA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0C11"/>
    <w:rPr>
      <w:sz w:val="24"/>
    </w:rPr>
  </w:style>
  <w:style w:type="paragraph" w:styleId="NormalWeb">
    <w:name w:val="Normal (Web)"/>
    <w:basedOn w:val="Normal"/>
    <w:unhideWhenUsed/>
    <w:rsid w:val="00970C11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1F7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57116"/>
  </w:style>
  <w:style w:type="character" w:styleId="FootnoteReference">
    <w:name w:val="footnote reference"/>
    <w:basedOn w:val="DefaultParagraphFont"/>
    <w:uiPriority w:val="99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ListParagraph">
    <w:name w:val="List Paragraph"/>
    <w:basedOn w:val="Normal"/>
    <w:uiPriority w:val="34"/>
    <w:qFormat/>
    <w:rsid w:val="00D73AE3"/>
    <w:pPr>
      <w:spacing w:after="200"/>
      <w:ind w:left="720"/>
      <w:contextualSpacing/>
    </w:pPr>
    <w:rPr>
      <w:rFonts w:eastAsiaTheme="minorHAnsi" w:cstheme="minorBidi"/>
      <w:szCs w:val="22"/>
    </w:rPr>
  </w:style>
  <w:style w:type="paragraph" w:customStyle="1" w:styleId="default0">
    <w:name w:val="default0"/>
    <w:basedOn w:val="Normal"/>
    <w:rsid w:val="00363FE7"/>
    <w:pPr>
      <w:autoSpaceDE w:val="0"/>
      <w:autoSpaceDN w:val="0"/>
    </w:pPr>
    <w:rPr>
      <w:color w:val="00000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4C9A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55F6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155F6"/>
    <w:rPr>
      <w:sz w:val="24"/>
    </w:rPr>
  </w:style>
  <w:style w:type="paragraph" w:customStyle="1" w:styleId="Style">
    <w:name w:val="Style"/>
    <w:rsid w:val="00AF2C7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E23BA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0C11"/>
    <w:rPr>
      <w:sz w:val="24"/>
    </w:rPr>
  </w:style>
  <w:style w:type="paragraph" w:styleId="NormalWeb">
    <w:name w:val="Normal (Web)"/>
    <w:basedOn w:val="Normal"/>
    <w:unhideWhenUsed/>
    <w:rsid w:val="00970C1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3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vogelson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B7BA-64F7-4B23-AF2C-0BCB9DD5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7857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Vogelsong, Derek</dc:creator>
  <cp:lastModifiedBy>Hinds, Margaret</cp:lastModifiedBy>
  <cp:revision>3</cp:revision>
  <cp:lastPrinted>2013-01-16T16:23:00Z</cp:lastPrinted>
  <dcterms:created xsi:type="dcterms:W3CDTF">2013-01-16T16:09:00Z</dcterms:created>
  <dcterms:modified xsi:type="dcterms:W3CDTF">2013-01-16T16:23:00Z</dcterms:modified>
</cp:coreProperties>
</file>