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D440E" w:rsidRDefault="0066241C" w:rsidP="0032796F">
      <w:pPr>
        <w:jc w:val="center"/>
        <w:rPr>
          <w:rFonts w:ascii="Times New Roman" w:hAnsi="Times New Roman" w:cs="Times New Roman"/>
          <w:b/>
        </w:rPr>
      </w:pPr>
      <w:bookmarkStart w:id="0" w:name="_GoBack"/>
      <w:bookmarkEnd w:id="0"/>
      <w:r w:rsidRPr="008D440E">
        <w:rPr>
          <w:rFonts w:ascii="Times New Roman" w:hAnsi="Times New Roman" w:cs="Times New Roman"/>
          <w:b/>
        </w:rPr>
        <w:t>BEFORE THE</w:t>
      </w:r>
    </w:p>
    <w:p w:rsidR="0066241C" w:rsidRPr="008D440E" w:rsidRDefault="0066241C" w:rsidP="0032796F">
      <w:pPr>
        <w:tabs>
          <w:tab w:val="center" w:pos="4680"/>
        </w:tabs>
        <w:suppressAutoHyphens/>
        <w:jc w:val="center"/>
        <w:rPr>
          <w:rFonts w:ascii="Times New Roman" w:hAnsi="Times New Roman" w:cs="Times New Roman"/>
          <w:b/>
          <w:bCs/>
          <w:spacing w:val="-3"/>
        </w:rPr>
      </w:pPr>
      <w:r w:rsidRPr="008D440E">
        <w:rPr>
          <w:rFonts w:ascii="Times New Roman" w:hAnsi="Times New Roman" w:cs="Times New Roman"/>
          <w:b/>
          <w:bCs/>
          <w:spacing w:val="-3"/>
        </w:rPr>
        <w:t>PENNSYLVANIA PUBLIC UTILITY COMMISSION</w:t>
      </w:r>
    </w:p>
    <w:p w:rsidR="00FA6AC0" w:rsidRPr="008D440E" w:rsidRDefault="00FA6AC0" w:rsidP="0032796F">
      <w:pPr>
        <w:tabs>
          <w:tab w:val="left" w:pos="-720"/>
        </w:tabs>
        <w:suppressAutoHyphens/>
        <w:ind w:firstLine="1440"/>
        <w:rPr>
          <w:rFonts w:ascii="Times New Roman" w:hAnsi="Times New Roman" w:cs="Times New Roman"/>
          <w:spacing w:val="-3"/>
        </w:rPr>
      </w:pPr>
    </w:p>
    <w:p w:rsidR="008D55FF" w:rsidRPr="008D440E" w:rsidRDefault="008D55FF" w:rsidP="004F2D61">
      <w:pPr>
        <w:tabs>
          <w:tab w:val="left" w:pos="-720"/>
        </w:tabs>
        <w:suppressAutoHyphens/>
        <w:ind w:firstLine="1440"/>
        <w:rPr>
          <w:rFonts w:ascii="Times New Roman" w:hAnsi="Times New Roman" w:cs="Times New Roman"/>
          <w:spacing w:val="-3"/>
        </w:rPr>
      </w:pPr>
    </w:p>
    <w:p w:rsidR="008D55FF" w:rsidRPr="008D440E" w:rsidRDefault="008D55FF" w:rsidP="0032796F">
      <w:pPr>
        <w:tabs>
          <w:tab w:val="left" w:pos="-720"/>
        </w:tabs>
        <w:suppressAutoHyphens/>
        <w:ind w:firstLine="1440"/>
        <w:rPr>
          <w:rFonts w:ascii="Times New Roman" w:hAnsi="Times New Roman" w:cs="Times New Roman"/>
          <w:spacing w:val="-3"/>
        </w:rPr>
      </w:pPr>
    </w:p>
    <w:p w:rsidR="003D1DE7" w:rsidRPr="008D440E" w:rsidRDefault="007B4BF0" w:rsidP="004F2D61">
      <w:pPr>
        <w:tabs>
          <w:tab w:val="left" w:pos="-720"/>
        </w:tabs>
        <w:suppressAutoHyphens/>
        <w:jc w:val="both"/>
        <w:rPr>
          <w:rFonts w:ascii="Times New Roman" w:hAnsi="Times New Roman" w:cs="Times New Roman"/>
          <w:spacing w:val="-3"/>
        </w:rPr>
      </w:pPr>
      <w:r w:rsidRPr="008D440E">
        <w:rPr>
          <w:rFonts w:ascii="Times New Roman" w:hAnsi="Times New Roman" w:cs="Times New Roman"/>
          <w:spacing w:val="-3"/>
        </w:rPr>
        <w:t>Judy Loew</w:t>
      </w:r>
      <w:r w:rsidR="000B7A59" w:rsidRPr="008D440E">
        <w:rPr>
          <w:rFonts w:ascii="Times New Roman" w:hAnsi="Times New Roman" w:cs="Times New Roman"/>
          <w:spacing w:val="-3"/>
        </w:rPr>
        <w:tab/>
      </w:r>
      <w:r w:rsidR="00D907F8" w:rsidRPr="008D440E">
        <w:rPr>
          <w:rFonts w:ascii="Times New Roman" w:hAnsi="Times New Roman" w:cs="Times New Roman"/>
          <w:spacing w:val="-3"/>
        </w:rPr>
        <w:tab/>
      </w:r>
      <w:r w:rsidR="00CA0D64" w:rsidRPr="008D440E">
        <w:rPr>
          <w:rFonts w:ascii="Times New Roman" w:hAnsi="Times New Roman" w:cs="Times New Roman"/>
          <w:spacing w:val="-3"/>
        </w:rPr>
        <w:tab/>
      </w:r>
      <w:r w:rsidR="00CA0D64" w:rsidRPr="008D440E">
        <w:rPr>
          <w:rFonts w:ascii="Times New Roman" w:hAnsi="Times New Roman" w:cs="Times New Roman"/>
          <w:spacing w:val="-3"/>
        </w:rPr>
        <w:tab/>
      </w:r>
      <w:r w:rsidR="008D55FF" w:rsidRPr="008D440E">
        <w:rPr>
          <w:rFonts w:ascii="Times New Roman" w:hAnsi="Times New Roman" w:cs="Times New Roman"/>
          <w:spacing w:val="-3"/>
        </w:rPr>
        <w:tab/>
      </w:r>
      <w:r w:rsidR="003D1DE7" w:rsidRPr="008D440E">
        <w:rPr>
          <w:rFonts w:ascii="Times New Roman" w:hAnsi="Times New Roman" w:cs="Times New Roman"/>
          <w:spacing w:val="-3"/>
        </w:rPr>
        <w:tab/>
      </w:r>
      <w:r w:rsidR="003D1DE7" w:rsidRPr="008D440E">
        <w:rPr>
          <w:rFonts w:ascii="Times New Roman" w:hAnsi="Times New Roman" w:cs="Times New Roman"/>
          <w:spacing w:val="-3"/>
        </w:rPr>
        <w:fldChar w:fldCharType="begin"/>
      </w:r>
      <w:r w:rsidR="003D1DE7" w:rsidRPr="008D440E">
        <w:rPr>
          <w:rFonts w:ascii="Times New Roman" w:hAnsi="Times New Roman" w:cs="Times New Roman"/>
          <w:spacing w:val="-3"/>
        </w:rPr>
        <w:instrText>fillin "Complainant's name" \d ""</w:instrText>
      </w:r>
      <w:r w:rsidR="003D1DE7" w:rsidRPr="008D440E">
        <w:rPr>
          <w:rFonts w:ascii="Times New Roman" w:hAnsi="Times New Roman" w:cs="Times New Roman"/>
          <w:spacing w:val="-3"/>
        </w:rPr>
        <w:fldChar w:fldCharType="end"/>
      </w:r>
      <w:r w:rsidR="003D1DE7" w:rsidRPr="008D440E">
        <w:rPr>
          <w:rFonts w:ascii="Times New Roman" w:hAnsi="Times New Roman" w:cs="Times New Roman"/>
          <w:spacing w:val="-3"/>
        </w:rPr>
        <w:t>:</w:t>
      </w:r>
    </w:p>
    <w:p w:rsidR="003D1DE7" w:rsidRPr="008D440E" w:rsidRDefault="003D1DE7" w:rsidP="004F2D61">
      <w:pPr>
        <w:tabs>
          <w:tab w:val="left" w:pos="-720"/>
        </w:tabs>
        <w:suppressAutoHyphens/>
        <w:jc w:val="both"/>
        <w:rPr>
          <w:rFonts w:ascii="Times New Roman" w:hAnsi="Times New Roman" w:cs="Times New Roman"/>
          <w:spacing w:val="-3"/>
        </w:rPr>
      </w:pP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spacing w:val="-3"/>
        </w:rPr>
        <w:tab/>
      </w:r>
      <w:r w:rsidR="008D55FF" w:rsidRPr="008D440E">
        <w:rPr>
          <w:rFonts w:ascii="Times New Roman" w:hAnsi="Times New Roman" w:cs="Times New Roman"/>
          <w:spacing w:val="-3"/>
        </w:rPr>
        <w:tab/>
      </w:r>
      <w:r w:rsidR="00553B11" w:rsidRPr="008D440E">
        <w:rPr>
          <w:rFonts w:ascii="Times New Roman" w:hAnsi="Times New Roman" w:cs="Times New Roman"/>
          <w:spacing w:val="-3"/>
        </w:rPr>
        <w:tab/>
        <w:t>:</w:t>
      </w:r>
    </w:p>
    <w:p w:rsidR="00553B11" w:rsidRPr="008D440E" w:rsidRDefault="003D1DE7" w:rsidP="004F2D61">
      <w:pPr>
        <w:tabs>
          <w:tab w:val="left" w:pos="-720"/>
        </w:tabs>
        <w:suppressAutoHyphens/>
        <w:jc w:val="both"/>
        <w:rPr>
          <w:rFonts w:ascii="Times New Roman" w:hAnsi="Times New Roman" w:cs="Times New Roman"/>
          <w:spacing w:val="-3"/>
        </w:rPr>
      </w:pPr>
      <w:r w:rsidRPr="008D440E">
        <w:rPr>
          <w:rFonts w:ascii="Times New Roman" w:hAnsi="Times New Roman" w:cs="Times New Roman"/>
          <w:spacing w:val="-3"/>
        </w:rPr>
        <w:tab/>
        <w:t>v.</w:t>
      </w: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spacing w:val="-3"/>
        </w:rPr>
        <w:tab/>
      </w:r>
      <w:r w:rsidR="008D55FF" w:rsidRPr="008D440E">
        <w:rPr>
          <w:rFonts w:ascii="Times New Roman" w:hAnsi="Times New Roman" w:cs="Times New Roman"/>
          <w:spacing w:val="-3"/>
        </w:rPr>
        <w:tab/>
      </w:r>
      <w:r w:rsidRPr="008D440E">
        <w:rPr>
          <w:rFonts w:ascii="Times New Roman" w:hAnsi="Times New Roman" w:cs="Times New Roman"/>
          <w:spacing w:val="-3"/>
        </w:rPr>
        <w:tab/>
        <w:t>:</w:t>
      </w:r>
      <w:r w:rsidR="008D55FF" w:rsidRPr="008D440E">
        <w:rPr>
          <w:rFonts w:ascii="Times New Roman" w:hAnsi="Times New Roman" w:cs="Times New Roman"/>
          <w:spacing w:val="-3"/>
        </w:rPr>
        <w:tab/>
      </w:r>
      <w:r w:rsidRPr="008D440E">
        <w:rPr>
          <w:rFonts w:ascii="Times New Roman" w:hAnsi="Times New Roman" w:cs="Times New Roman"/>
          <w:spacing w:val="-3"/>
        </w:rPr>
        <w:tab/>
      </w:r>
      <w:r w:rsidR="007B4BF0" w:rsidRPr="008D440E">
        <w:rPr>
          <w:rFonts w:ascii="Times New Roman" w:hAnsi="Times New Roman" w:cs="Times New Roman"/>
          <w:spacing w:val="-3"/>
        </w:rPr>
        <w:t>F-2012-2314480</w:t>
      </w:r>
    </w:p>
    <w:p w:rsidR="003D1DE7" w:rsidRPr="008D440E" w:rsidRDefault="00BC59FE" w:rsidP="004F2D61">
      <w:pPr>
        <w:tabs>
          <w:tab w:val="left" w:pos="-720"/>
        </w:tabs>
        <w:suppressAutoHyphens/>
        <w:jc w:val="both"/>
        <w:rPr>
          <w:rFonts w:ascii="Times New Roman" w:hAnsi="Times New Roman" w:cs="Times New Roman"/>
          <w:spacing w:val="-3"/>
        </w:rPr>
      </w:pPr>
      <w:r w:rsidRPr="008D440E">
        <w:rPr>
          <w:rFonts w:ascii="Times New Roman" w:hAnsi="Times New Roman" w:cs="Times New Roman"/>
          <w:spacing w:val="-3"/>
        </w:rPr>
        <w:tab/>
      </w:r>
      <w:r w:rsidRPr="008D440E">
        <w:rPr>
          <w:rFonts w:ascii="Times New Roman" w:hAnsi="Times New Roman" w:cs="Times New Roman"/>
          <w:spacing w:val="-3"/>
        </w:rPr>
        <w:tab/>
      </w:r>
      <w:r w:rsidR="003D1DE7" w:rsidRPr="008D440E">
        <w:rPr>
          <w:rFonts w:ascii="Times New Roman" w:hAnsi="Times New Roman" w:cs="Times New Roman"/>
          <w:spacing w:val="-3"/>
        </w:rPr>
        <w:tab/>
      </w:r>
      <w:r w:rsidR="003D1DE7" w:rsidRPr="008D440E">
        <w:rPr>
          <w:rFonts w:ascii="Times New Roman" w:hAnsi="Times New Roman" w:cs="Times New Roman"/>
          <w:spacing w:val="-3"/>
        </w:rPr>
        <w:tab/>
      </w:r>
      <w:r w:rsidR="003D1DE7" w:rsidRPr="008D440E">
        <w:rPr>
          <w:rFonts w:ascii="Times New Roman" w:hAnsi="Times New Roman" w:cs="Times New Roman"/>
          <w:spacing w:val="-3"/>
        </w:rPr>
        <w:tab/>
      </w:r>
      <w:r w:rsidR="008D55FF" w:rsidRPr="008D440E">
        <w:rPr>
          <w:rFonts w:ascii="Times New Roman" w:hAnsi="Times New Roman" w:cs="Times New Roman"/>
          <w:spacing w:val="-3"/>
        </w:rPr>
        <w:tab/>
      </w:r>
      <w:r w:rsidR="00553B11" w:rsidRPr="008D440E">
        <w:rPr>
          <w:rFonts w:ascii="Times New Roman" w:hAnsi="Times New Roman" w:cs="Times New Roman"/>
          <w:spacing w:val="-3"/>
        </w:rPr>
        <w:tab/>
        <w:t>:</w:t>
      </w:r>
    </w:p>
    <w:p w:rsidR="003D1DE7" w:rsidRPr="008D440E" w:rsidRDefault="007B4BF0" w:rsidP="004F2D61">
      <w:pPr>
        <w:tabs>
          <w:tab w:val="left" w:pos="-720"/>
        </w:tabs>
        <w:suppressAutoHyphens/>
        <w:jc w:val="both"/>
        <w:rPr>
          <w:rFonts w:ascii="Times New Roman" w:hAnsi="Times New Roman" w:cs="Times New Roman"/>
          <w:spacing w:val="-3"/>
        </w:rPr>
      </w:pPr>
      <w:r w:rsidRPr="008D440E">
        <w:rPr>
          <w:rFonts w:ascii="Times New Roman" w:hAnsi="Times New Roman" w:cs="Times New Roman"/>
          <w:spacing w:val="-3"/>
        </w:rPr>
        <w:t>PPL Electric Utilities Corporation</w:t>
      </w:r>
      <w:r w:rsidR="008D55FF" w:rsidRPr="008D440E">
        <w:rPr>
          <w:rFonts w:ascii="Times New Roman" w:hAnsi="Times New Roman" w:cs="Times New Roman"/>
          <w:spacing w:val="-3"/>
        </w:rPr>
        <w:tab/>
      </w:r>
      <w:r w:rsidR="00C06612" w:rsidRPr="008D440E">
        <w:rPr>
          <w:rFonts w:ascii="Times New Roman" w:hAnsi="Times New Roman" w:cs="Times New Roman"/>
          <w:spacing w:val="-3"/>
        </w:rPr>
        <w:tab/>
      </w:r>
      <w:r w:rsidR="003D1DE7" w:rsidRPr="008D440E">
        <w:rPr>
          <w:rFonts w:ascii="Times New Roman" w:hAnsi="Times New Roman" w:cs="Times New Roman"/>
          <w:spacing w:val="-3"/>
        </w:rPr>
        <w:tab/>
        <w:t>:</w:t>
      </w:r>
    </w:p>
    <w:p w:rsidR="003D1DE7" w:rsidRPr="008D440E" w:rsidRDefault="003D1DE7" w:rsidP="0032796F">
      <w:pPr>
        <w:tabs>
          <w:tab w:val="left" w:pos="-720"/>
        </w:tabs>
        <w:suppressAutoHyphens/>
        <w:jc w:val="both"/>
        <w:rPr>
          <w:rFonts w:ascii="Times New Roman" w:hAnsi="Times New Roman" w:cs="Times New Roman"/>
          <w:spacing w:val="-3"/>
        </w:rPr>
      </w:pPr>
    </w:p>
    <w:p w:rsidR="00066AF1" w:rsidRPr="008D440E" w:rsidRDefault="00066AF1" w:rsidP="004F2D61">
      <w:pPr>
        <w:tabs>
          <w:tab w:val="left" w:pos="-720"/>
          <w:tab w:val="left" w:pos="5040"/>
        </w:tabs>
        <w:suppressAutoHyphens/>
        <w:jc w:val="both"/>
        <w:rPr>
          <w:rFonts w:ascii="Times New Roman" w:hAnsi="Times New Roman" w:cs="Times New Roman"/>
          <w:spacing w:val="-3"/>
        </w:rPr>
      </w:pPr>
    </w:p>
    <w:p w:rsidR="007275E4" w:rsidRPr="008D440E" w:rsidRDefault="007275E4" w:rsidP="0032796F">
      <w:pPr>
        <w:tabs>
          <w:tab w:val="left" w:pos="-720"/>
          <w:tab w:val="left" w:pos="5040"/>
        </w:tabs>
        <w:suppressAutoHyphens/>
        <w:jc w:val="both"/>
        <w:rPr>
          <w:rFonts w:ascii="Times New Roman" w:hAnsi="Times New Roman" w:cs="Times New Roman"/>
          <w:spacing w:val="-3"/>
        </w:rPr>
      </w:pPr>
    </w:p>
    <w:p w:rsidR="0066241C" w:rsidRPr="008D440E" w:rsidRDefault="00B93D4C" w:rsidP="0032796F">
      <w:pPr>
        <w:tabs>
          <w:tab w:val="center" w:pos="4680"/>
        </w:tabs>
        <w:suppressAutoHyphens/>
        <w:jc w:val="center"/>
        <w:rPr>
          <w:rFonts w:ascii="Times New Roman" w:hAnsi="Times New Roman" w:cs="Times New Roman"/>
          <w:b/>
          <w:bCs/>
          <w:spacing w:val="-3"/>
        </w:rPr>
      </w:pPr>
      <w:r w:rsidRPr="008D440E">
        <w:rPr>
          <w:rFonts w:ascii="Times New Roman" w:hAnsi="Times New Roman" w:cs="Times New Roman"/>
          <w:b/>
          <w:bCs/>
          <w:spacing w:val="-3"/>
          <w:u w:val="single"/>
        </w:rPr>
        <w:t>INITIAL DECISION</w:t>
      </w:r>
    </w:p>
    <w:p w:rsidR="00124780" w:rsidRPr="008D440E" w:rsidRDefault="00124780" w:rsidP="004F2D61">
      <w:pPr>
        <w:jc w:val="center"/>
        <w:rPr>
          <w:rFonts w:ascii="Times New Roman" w:hAnsi="Times New Roman" w:cs="Times New Roman"/>
        </w:rPr>
      </w:pPr>
    </w:p>
    <w:p w:rsidR="00124780" w:rsidRPr="008D440E" w:rsidRDefault="00124780" w:rsidP="0032796F">
      <w:pPr>
        <w:jc w:val="center"/>
        <w:rPr>
          <w:rFonts w:ascii="Times New Roman" w:hAnsi="Times New Roman" w:cs="Times New Roman"/>
        </w:rPr>
      </w:pPr>
    </w:p>
    <w:p w:rsidR="00124780" w:rsidRPr="008D440E" w:rsidRDefault="00124780" w:rsidP="0032796F">
      <w:pPr>
        <w:jc w:val="center"/>
        <w:rPr>
          <w:rFonts w:ascii="Times New Roman" w:hAnsi="Times New Roman" w:cs="Times New Roman"/>
        </w:rPr>
      </w:pPr>
      <w:r w:rsidRPr="008D440E">
        <w:rPr>
          <w:rFonts w:ascii="Times New Roman" w:hAnsi="Times New Roman" w:cs="Times New Roman"/>
        </w:rPr>
        <w:t>Before</w:t>
      </w:r>
    </w:p>
    <w:p w:rsidR="00124780" w:rsidRPr="008D440E" w:rsidRDefault="00124780" w:rsidP="0032796F">
      <w:pPr>
        <w:jc w:val="center"/>
        <w:rPr>
          <w:rFonts w:ascii="Times New Roman" w:hAnsi="Times New Roman" w:cs="Times New Roman"/>
        </w:rPr>
      </w:pPr>
      <w:r w:rsidRPr="008D440E">
        <w:rPr>
          <w:rFonts w:ascii="Times New Roman" w:hAnsi="Times New Roman" w:cs="Times New Roman"/>
        </w:rPr>
        <w:t>Joel H. Cheskis</w:t>
      </w:r>
    </w:p>
    <w:p w:rsidR="00124780" w:rsidRPr="008D440E" w:rsidRDefault="00124780" w:rsidP="0032796F">
      <w:pPr>
        <w:jc w:val="center"/>
        <w:rPr>
          <w:rFonts w:ascii="Times New Roman" w:hAnsi="Times New Roman" w:cs="Times New Roman"/>
        </w:rPr>
      </w:pPr>
      <w:r w:rsidRPr="008D440E">
        <w:rPr>
          <w:rFonts w:ascii="Times New Roman" w:hAnsi="Times New Roman" w:cs="Times New Roman"/>
        </w:rPr>
        <w:t>Administrative Law Judge</w:t>
      </w:r>
    </w:p>
    <w:p w:rsidR="00124780" w:rsidRPr="008D440E" w:rsidRDefault="00124780" w:rsidP="004F2D61">
      <w:pPr>
        <w:jc w:val="center"/>
        <w:rPr>
          <w:rFonts w:ascii="Times New Roman" w:hAnsi="Times New Roman" w:cs="Times New Roman"/>
        </w:rPr>
      </w:pPr>
    </w:p>
    <w:p w:rsidR="00124780" w:rsidRPr="008D440E" w:rsidRDefault="00124780" w:rsidP="0032796F">
      <w:pPr>
        <w:rPr>
          <w:rFonts w:ascii="Times New Roman" w:hAnsi="Times New Roman" w:cs="Times New Roman"/>
        </w:rPr>
      </w:pPr>
    </w:p>
    <w:p w:rsidR="00124780" w:rsidRPr="008D440E" w:rsidRDefault="00124780" w:rsidP="0032796F">
      <w:pPr>
        <w:keepNext/>
        <w:jc w:val="center"/>
        <w:outlineLvl w:val="0"/>
        <w:rPr>
          <w:rFonts w:ascii="Times New Roman" w:hAnsi="Times New Roman" w:cs="Times New Roman"/>
          <w:u w:val="single"/>
        </w:rPr>
      </w:pPr>
      <w:r w:rsidRPr="008D440E">
        <w:rPr>
          <w:rFonts w:ascii="Times New Roman" w:hAnsi="Times New Roman" w:cs="Times New Roman"/>
          <w:u w:val="single"/>
        </w:rPr>
        <w:t>HISTORY OF THE PROCEEDING</w:t>
      </w:r>
    </w:p>
    <w:p w:rsidR="00646FCC" w:rsidRPr="008D440E" w:rsidRDefault="00646FCC" w:rsidP="004F2D61">
      <w:pPr>
        <w:pStyle w:val="ParaTab1"/>
        <w:tabs>
          <w:tab w:val="left" w:pos="2070"/>
        </w:tabs>
        <w:ind w:firstLine="0"/>
        <w:rPr>
          <w:rFonts w:ascii="Times New Roman" w:hAnsi="Times New Roman" w:cs="Times New Roman"/>
        </w:rPr>
      </w:pPr>
    </w:p>
    <w:p w:rsidR="008D55FF" w:rsidRPr="008D440E" w:rsidRDefault="008D55FF" w:rsidP="0032796F">
      <w:pPr>
        <w:pStyle w:val="ParaTab1"/>
        <w:tabs>
          <w:tab w:val="left" w:pos="2070"/>
        </w:tabs>
        <w:ind w:firstLine="0"/>
        <w:rPr>
          <w:rFonts w:ascii="Times New Roman" w:hAnsi="Times New Roman" w:cs="Times New Roman"/>
        </w:rPr>
      </w:pPr>
    </w:p>
    <w:p w:rsidR="007B4BF0" w:rsidRPr="008D440E" w:rsidRDefault="007B4BF0" w:rsidP="004F2D61">
      <w:pPr>
        <w:pStyle w:val="ParaTab1"/>
        <w:tabs>
          <w:tab w:val="left" w:pos="1440"/>
        </w:tabs>
        <w:spacing w:line="360" w:lineRule="auto"/>
        <w:ind w:firstLine="0"/>
        <w:rPr>
          <w:rFonts w:ascii="Times New Roman" w:hAnsi="Times New Roman" w:cs="Times New Roman"/>
          <w:spacing w:val="-3"/>
        </w:rPr>
      </w:pPr>
      <w:r w:rsidRPr="008D440E">
        <w:rPr>
          <w:rFonts w:ascii="Times New Roman" w:hAnsi="Times New Roman" w:cs="Times New Roman"/>
        </w:rPr>
        <w:tab/>
      </w:r>
      <w:r w:rsidR="005826F6" w:rsidRPr="008D440E">
        <w:rPr>
          <w:rFonts w:ascii="Times New Roman" w:hAnsi="Times New Roman" w:cs="Times New Roman"/>
        </w:rPr>
        <w:t xml:space="preserve">On July 16, 2012, Judy Loew filed a formal Complaint with the Pennsylvania Public Utility Commission (Commission) against PPL Electric Utilities Corporation (PPL or “the Company”), at Docket Number </w:t>
      </w:r>
      <w:r w:rsidR="005826F6" w:rsidRPr="008D440E">
        <w:rPr>
          <w:rFonts w:ascii="Times New Roman" w:hAnsi="Times New Roman" w:cs="Times New Roman"/>
          <w:spacing w:val="-3"/>
        </w:rPr>
        <w:t>F-2012-2314480.  The Complaint was a timely appeal of a decision of the Commission’s Bureau of Consumer Services at case number 2959962.</w:t>
      </w:r>
      <w:r w:rsidR="004B56B7" w:rsidRPr="008D440E">
        <w:rPr>
          <w:rFonts w:ascii="Times New Roman" w:hAnsi="Times New Roman" w:cs="Times New Roman"/>
          <w:spacing w:val="-3"/>
        </w:rPr>
        <w:t xml:space="preserve">  </w:t>
      </w:r>
      <w:r w:rsidR="00065435" w:rsidRPr="008D440E">
        <w:rPr>
          <w:rFonts w:ascii="Times New Roman" w:hAnsi="Times New Roman" w:cs="Times New Roman"/>
          <w:spacing w:val="-3"/>
        </w:rPr>
        <w:t>In her Complaint, Ms. Loew averred that PPL was overcharging her for services for two years even though she uses very little energy.  Ms. Loew stated that the Company checked her meter but she would still like her bill reduced.</w:t>
      </w:r>
    </w:p>
    <w:p w:rsidR="00065435" w:rsidRPr="008D440E" w:rsidRDefault="00065435" w:rsidP="004F2D61">
      <w:pPr>
        <w:pStyle w:val="ParaTab1"/>
        <w:tabs>
          <w:tab w:val="left" w:pos="1440"/>
        </w:tabs>
        <w:spacing w:line="360" w:lineRule="auto"/>
        <w:ind w:firstLine="0"/>
        <w:rPr>
          <w:rFonts w:ascii="Times New Roman" w:hAnsi="Times New Roman" w:cs="Times New Roman"/>
          <w:spacing w:val="-3"/>
        </w:rPr>
      </w:pPr>
    </w:p>
    <w:p w:rsidR="00041FED" w:rsidRPr="008D440E" w:rsidRDefault="00065435" w:rsidP="004F2D61">
      <w:pPr>
        <w:pStyle w:val="ParaTab1"/>
        <w:tabs>
          <w:tab w:val="left" w:pos="1440"/>
        </w:tabs>
        <w:spacing w:line="360" w:lineRule="auto"/>
        <w:ind w:firstLine="0"/>
        <w:rPr>
          <w:rFonts w:ascii="Times New Roman" w:hAnsi="Times New Roman" w:cs="Times New Roman"/>
        </w:rPr>
      </w:pPr>
      <w:r w:rsidRPr="008D440E">
        <w:rPr>
          <w:rFonts w:ascii="Times New Roman" w:hAnsi="Times New Roman" w:cs="Times New Roman"/>
          <w:spacing w:val="-3"/>
        </w:rPr>
        <w:tab/>
      </w:r>
      <w:r w:rsidR="00CD58DF" w:rsidRPr="008D440E">
        <w:rPr>
          <w:rFonts w:ascii="Times New Roman" w:hAnsi="Times New Roman" w:cs="Times New Roman"/>
          <w:spacing w:val="-3"/>
        </w:rPr>
        <w:t xml:space="preserve">On August 3, 2012, PPL filed an Answer to Ms. Loew’s Complaint.  In its Answer, PPL denied that it is overcharging Ms. Loew for electric service </w:t>
      </w:r>
      <w:r w:rsidR="001A48F9">
        <w:rPr>
          <w:rFonts w:ascii="Times New Roman" w:hAnsi="Times New Roman" w:cs="Times New Roman"/>
          <w:spacing w:val="-3"/>
        </w:rPr>
        <w:t>and</w:t>
      </w:r>
      <w:r w:rsidR="00CD58DF" w:rsidRPr="008D440E">
        <w:rPr>
          <w:rFonts w:ascii="Times New Roman" w:hAnsi="Times New Roman" w:cs="Times New Roman"/>
          <w:spacing w:val="-3"/>
        </w:rPr>
        <w:t xml:space="preserve"> </w:t>
      </w:r>
      <w:r w:rsidR="00CE3E39">
        <w:rPr>
          <w:rFonts w:ascii="Times New Roman" w:hAnsi="Times New Roman" w:cs="Times New Roman"/>
          <w:spacing w:val="-3"/>
        </w:rPr>
        <w:t xml:space="preserve">stated </w:t>
      </w:r>
      <w:r w:rsidR="00CD58DF" w:rsidRPr="008D440E">
        <w:rPr>
          <w:rFonts w:ascii="Times New Roman" w:hAnsi="Times New Roman" w:cs="Times New Roman"/>
          <w:spacing w:val="-3"/>
        </w:rPr>
        <w:t>that all her charges are based on actual electric usage.  PPL added that it conducted a field investigation and determined that Ms. Loew’s meter was 99.79% accurate and that Ms. Loew had the capacity to use the electric for which she was billed.  PPL denied all other allegations and requested that the Commission deny Ms. Loew’s Complaint</w:t>
      </w:r>
      <w:r w:rsidR="001E2EAE" w:rsidRPr="008D440E">
        <w:rPr>
          <w:rFonts w:ascii="Times New Roman" w:hAnsi="Times New Roman" w:cs="Times New Roman"/>
          <w:spacing w:val="-3"/>
        </w:rPr>
        <w:t>.</w:t>
      </w:r>
    </w:p>
    <w:p w:rsidR="00041FED" w:rsidRPr="008D440E" w:rsidRDefault="00041FED" w:rsidP="004F2D61">
      <w:pPr>
        <w:pStyle w:val="ParaTab1"/>
        <w:tabs>
          <w:tab w:val="left" w:pos="1440"/>
        </w:tabs>
        <w:spacing w:line="360" w:lineRule="auto"/>
        <w:ind w:firstLine="0"/>
        <w:rPr>
          <w:rFonts w:ascii="Times New Roman" w:hAnsi="Times New Roman" w:cs="Times New Roman"/>
        </w:rPr>
      </w:pPr>
    </w:p>
    <w:p w:rsidR="00BB3CA2" w:rsidRPr="008D440E" w:rsidRDefault="001E2EAE" w:rsidP="001E2EAE">
      <w:pPr>
        <w:pStyle w:val="ParaTab1"/>
        <w:tabs>
          <w:tab w:val="left" w:pos="1440"/>
        </w:tabs>
        <w:spacing w:line="360" w:lineRule="auto"/>
        <w:ind w:firstLine="0"/>
        <w:rPr>
          <w:rFonts w:ascii="Times New Roman" w:hAnsi="Times New Roman" w:cs="Times New Roman"/>
        </w:rPr>
      </w:pPr>
      <w:r w:rsidRPr="008D440E">
        <w:rPr>
          <w:rFonts w:ascii="Times New Roman" w:hAnsi="Times New Roman" w:cs="Times New Roman"/>
        </w:rPr>
        <w:lastRenderedPageBreak/>
        <w:tab/>
        <w:t>On October 1, 2012, the Commission issued a Telephonic Hearing Notice scheduling an Initial Telephonic Hearing for Wednesday, November 7, 2012</w:t>
      </w:r>
      <w:r w:rsidR="007714AC" w:rsidRPr="008D440E">
        <w:rPr>
          <w:rFonts w:ascii="Times New Roman" w:hAnsi="Times New Roman" w:cs="Times New Roman"/>
        </w:rPr>
        <w:t>,</w:t>
      </w:r>
      <w:r w:rsidRPr="008D440E">
        <w:rPr>
          <w:rFonts w:ascii="Times New Roman" w:hAnsi="Times New Roman" w:cs="Times New Roman"/>
        </w:rPr>
        <w:t xml:space="preserve"> at 10:00 a.m. and assigning me as the Presiding Officer.  On October 11, 2012</w:t>
      </w:r>
      <w:r w:rsidR="008A5333" w:rsidRPr="008D440E">
        <w:rPr>
          <w:rFonts w:ascii="Times New Roman" w:hAnsi="Times New Roman" w:cs="Times New Roman"/>
        </w:rPr>
        <w:t>, a Prehearing Order was issued establishing the procedural issues pertaining to the hearing.</w:t>
      </w:r>
    </w:p>
    <w:p w:rsidR="00BB3CA2" w:rsidRPr="008D440E" w:rsidRDefault="00BB3CA2" w:rsidP="004F2D61">
      <w:pPr>
        <w:pStyle w:val="ParaTab1"/>
        <w:tabs>
          <w:tab w:val="left" w:pos="1440"/>
        </w:tabs>
        <w:spacing w:line="360" w:lineRule="auto"/>
        <w:ind w:firstLine="0"/>
        <w:rPr>
          <w:rFonts w:ascii="Times New Roman" w:hAnsi="Times New Roman" w:cs="Times New Roman"/>
        </w:rPr>
      </w:pPr>
    </w:p>
    <w:p w:rsidR="001E2EAE" w:rsidRPr="008D440E" w:rsidRDefault="001E2EAE" w:rsidP="004F2D61">
      <w:pPr>
        <w:pStyle w:val="ParaTab1"/>
        <w:tabs>
          <w:tab w:val="left" w:pos="1440"/>
        </w:tabs>
        <w:spacing w:line="360" w:lineRule="auto"/>
        <w:ind w:firstLine="0"/>
        <w:rPr>
          <w:rFonts w:ascii="Times New Roman" w:hAnsi="Times New Roman" w:cs="Times New Roman"/>
        </w:rPr>
      </w:pPr>
      <w:r w:rsidRPr="008D440E">
        <w:rPr>
          <w:rFonts w:ascii="Times New Roman" w:hAnsi="Times New Roman" w:cs="Times New Roman"/>
        </w:rPr>
        <w:tab/>
        <w:t xml:space="preserve">The hearing in this case was held on </w:t>
      </w:r>
      <w:r w:rsidR="00351996" w:rsidRPr="008D440E">
        <w:rPr>
          <w:rFonts w:ascii="Times New Roman" w:hAnsi="Times New Roman" w:cs="Times New Roman"/>
        </w:rPr>
        <w:t>November 7, 2012</w:t>
      </w:r>
      <w:r w:rsidR="007714AC" w:rsidRPr="008D440E">
        <w:rPr>
          <w:rFonts w:ascii="Times New Roman" w:hAnsi="Times New Roman" w:cs="Times New Roman"/>
        </w:rPr>
        <w:t>,</w:t>
      </w:r>
      <w:r w:rsidR="00351996" w:rsidRPr="008D440E">
        <w:rPr>
          <w:rFonts w:ascii="Times New Roman" w:hAnsi="Times New Roman" w:cs="Times New Roman"/>
        </w:rPr>
        <w:t xml:space="preserve"> as scheduled.  Ms. Loew appeared </w:t>
      </w:r>
      <w:r w:rsidR="00351996" w:rsidRPr="008D440E">
        <w:rPr>
          <w:rFonts w:ascii="Times New Roman" w:hAnsi="Times New Roman" w:cs="Times New Roman"/>
          <w:i/>
        </w:rPr>
        <w:t>pro se</w:t>
      </w:r>
      <w:r w:rsidR="00351996" w:rsidRPr="008D440E">
        <w:rPr>
          <w:rFonts w:ascii="Times New Roman" w:hAnsi="Times New Roman" w:cs="Times New Roman"/>
        </w:rPr>
        <w:t xml:space="preserve"> and presented oral testimony.  Graig Schultz, Esquire appeared on behalf of PPL and presented two witnesses who sponsored two exhibits that were admitted into the record during the hearing.  The record in this case consists of the hearing transcript of thirty-three (33) pages and PPL’s two exhibits.  The record closed in this proceeding when the transcript was filed with the Commission on November 20, 2012.  This matter is now ready for disposition.</w:t>
      </w:r>
    </w:p>
    <w:p w:rsidR="00351996" w:rsidRPr="008D440E" w:rsidRDefault="00351996" w:rsidP="004F2D61">
      <w:pPr>
        <w:pStyle w:val="ParaTab1"/>
        <w:tabs>
          <w:tab w:val="left" w:pos="1440"/>
        </w:tabs>
        <w:spacing w:line="360" w:lineRule="auto"/>
        <w:ind w:firstLine="0"/>
        <w:rPr>
          <w:rFonts w:ascii="Times New Roman" w:hAnsi="Times New Roman" w:cs="Times New Roman"/>
        </w:rPr>
      </w:pPr>
    </w:p>
    <w:p w:rsidR="008A5333" w:rsidRPr="008D440E" w:rsidRDefault="00BB3CA2" w:rsidP="004F2D61">
      <w:pPr>
        <w:pStyle w:val="ParaTab1"/>
        <w:tabs>
          <w:tab w:val="left" w:pos="1440"/>
        </w:tabs>
        <w:spacing w:line="360" w:lineRule="auto"/>
        <w:ind w:firstLine="0"/>
        <w:rPr>
          <w:rFonts w:ascii="Times New Roman" w:hAnsi="Times New Roman" w:cs="Times New Roman"/>
        </w:rPr>
      </w:pPr>
      <w:r w:rsidRPr="008D440E">
        <w:rPr>
          <w:rFonts w:ascii="Times New Roman" w:hAnsi="Times New Roman" w:cs="Times New Roman"/>
        </w:rPr>
        <w:tab/>
        <w:t xml:space="preserve">For the reasons discussed below, Ms. </w:t>
      </w:r>
      <w:r w:rsidR="004458CF" w:rsidRPr="008D440E">
        <w:rPr>
          <w:rFonts w:ascii="Times New Roman" w:hAnsi="Times New Roman" w:cs="Times New Roman"/>
        </w:rPr>
        <w:t>Loew’s</w:t>
      </w:r>
      <w:r w:rsidRPr="008D440E">
        <w:rPr>
          <w:rFonts w:ascii="Times New Roman" w:hAnsi="Times New Roman" w:cs="Times New Roman"/>
        </w:rPr>
        <w:t xml:space="preserve"> Complaint will be dismissed.</w:t>
      </w:r>
    </w:p>
    <w:p w:rsidR="00BB3CA2" w:rsidRPr="008D440E" w:rsidRDefault="00BB3CA2" w:rsidP="0032796F">
      <w:pPr>
        <w:pStyle w:val="ParaTab1"/>
        <w:tabs>
          <w:tab w:val="left" w:pos="1440"/>
        </w:tabs>
        <w:spacing w:line="360" w:lineRule="auto"/>
        <w:ind w:firstLine="0"/>
        <w:rPr>
          <w:rFonts w:ascii="Times New Roman" w:hAnsi="Times New Roman" w:cs="Times New Roman"/>
        </w:rPr>
      </w:pPr>
    </w:p>
    <w:p w:rsidR="003D52B2" w:rsidRPr="008D440E" w:rsidRDefault="003D52B2" w:rsidP="003D52B2">
      <w:pPr>
        <w:spacing w:line="360" w:lineRule="auto"/>
        <w:jc w:val="center"/>
        <w:rPr>
          <w:rFonts w:ascii="Times New Roman" w:hAnsi="Times New Roman" w:cs="Times New Roman"/>
          <w:u w:val="single"/>
        </w:rPr>
      </w:pPr>
      <w:r w:rsidRPr="008D440E">
        <w:rPr>
          <w:rFonts w:ascii="Times New Roman" w:hAnsi="Times New Roman" w:cs="Times New Roman"/>
          <w:u w:val="single"/>
        </w:rPr>
        <w:t>FINDINGS OF FACT</w:t>
      </w:r>
    </w:p>
    <w:p w:rsidR="003D52B2" w:rsidRPr="008D440E" w:rsidRDefault="003D52B2" w:rsidP="003D52B2">
      <w:pPr>
        <w:spacing w:line="360" w:lineRule="auto"/>
        <w:ind w:firstLine="1440"/>
        <w:jc w:val="center"/>
        <w:rPr>
          <w:rFonts w:ascii="Times New Roman" w:hAnsi="Times New Roman" w:cs="Times New Roman"/>
        </w:rPr>
      </w:pPr>
    </w:p>
    <w:p w:rsidR="000544BA" w:rsidRPr="008D440E" w:rsidRDefault="00CD41DB"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The c</w:t>
      </w:r>
      <w:r w:rsidR="003D52B2" w:rsidRPr="008D440E">
        <w:rPr>
          <w:rFonts w:ascii="Times New Roman" w:hAnsi="Times New Roman" w:cs="Times New Roman"/>
        </w:rPr>
        <w:t xml:space="preserve">omplainant in this proceeding is </w:t>
      </w:r>
      <w:r w:rsidR="00351996" w:rsidRPr="008D440E">
        <w:rPr>
          <w:rFonts w:ascii="Times New Roman" w:hAnsi="Times New Roman" w:cs="Times New Roman"/>
        </w:rPr>
        <w:t>Judy Loew</w:t>
      </w:r>
      <w:r w:rsidR="003D52B2" w:rsidRPr="008D440E">
        <w:rPr>
          <w:rFonts w:ascii="Times New Roman" w:hAnsi="Times New Roman" w:cs="Times New Roman"/>
        </w:rPr>
        <w:t>.</w:t>
      </w:r>
    </w:p>
    <w:p w:rsidR="000544BA" w:rsidRPr="008D440E" w:rsidRDefault="000544BA" w:rsidP="0090472B">
      <w:pPr>
        <w:spacing w:line="360" w:lineRule="auto"/>
        <w:ind w:firstLine="1440"/>
        <w:rPr>
          <w:rFonts w:ascii="Times New Roman" w:hAnsi="Times New Roman" w:cs="Times New Roman"/>
        </w:rPr>
      </w:pPr>
    </w:p>
    <w:p w:rsidR="000544BA" w:rsidRPr="008D440E" w:rsidRDefault="000544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 xml:space="preserve">The </w:t>
      </w:r>
      <w:r w:rsidR="00CD41DB" w:rsidRPr="008D440E">
        <w:rPr>
          <w:rFonts w:ascii="Times New Roman" w:hAnsi="Times New Roman" w:cs="Times New Roman"/>
        </w:rPr>
        <w:t>r</w:t>
      </w:r>
      <w:r w:rsidR="003D52B2" w:rsidRPr="008D440E">
        <w:rPr>
          <w:rFonts w:ascii="Times New Roman" w:hAnsi="Times New Roman" w:cs="Times New Roman"/>
        </w:rPr>
        <w:t xml:space="preserve">espondent </w:t>
      </w:r>
      <w:r w:rsidRPr="008D440E">
        <w:rPr>
          <w:rFonts w:ascii="Times New Roman" w:hAnsi="Times New Roman" w:cs="Times New Roman"/>
        </w:rPr>
        <w:t xml:space="preserve">is </w:t>
      </w:r>
      <w:r w:rsidR="00351996" w:rsidRPr="008D440E">
        <w:rPr>
          <w:rFonts w:ascii="Times New Roman" w:hAnsi="Times New Roman" w:cs="Times New Roman"/>
        </w:rPr>
        <w:t>PPL Electric Utilities Corporation.</w:t>
      </w:r>
    </w:p>
    <w:p w:rsidR="000F2BBA" w:rsidRPr="008D440E" w:rsidRDefault="000F2BBA" w:rsidP="000F2BBA">
      <w:pPr>
        <w:pStyle w:val="ListParagraph"/>
        <w:rPr>
          <w:rFonts w:ascii="Times New Roman" w:hAnsi="Times New Roman" w:cs="Times New Roman"/>
        </w:rPr>
      </w:pPr>
    </w:p>
    <w:p w:rsidR="000F2BBA" w:rsidRPr="008D440E" w:rsidRDefault="000F2B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 has lived at 6776 Windmere Court for eight years.  Tr. 10-11.</w:t>
      </w:r>
    </w:p>
    <w:p w:rsidR="000F2BBA" w:rsidRPr="008D440E" w:rsidRDefault="000F2BBA" w:rsidP="000F2BBA">
      <w:pPr>
        <w:pStyle w:val="ListParagraph"/>
        <w:rPr>
          <w:rFonts w:ascii="Times New Roman" w:hAnsi="Times New Roman" w:cs="Times New Roman"/>
        </w:rPr>
      </w:pPr>
    </w:p>
    <w:p w:rsidR="000F2BBA" w:rsidRPr="008D440E" w:rsidRDefault="000F2B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 has been living alone since February of 2010 and works twelve hours each day.  Tr. 9.</w:t>
      </w:r>
    </w:p>
    <w:p w:rsidR="000F2BBA" w:rsidRPr="008D440E" w:rsidRDefault="000F2BBA" w:rsidP="000F2BBA">
      <w:pPr>
        <w:pStyle w:val="ListParagraph"/>
        <w:rPr>
          <w:rFonts w:ascii="Times New Roman" w:hAnsi="Times New Roman" w:cs="Times New Roman"/>
        </w:rPr>
      </w:pPr>
    </w:p>
    <w:p w:rsidR="000F2BBA" w:rsidRPr="008D440E" w:rsidRDefault="000F2B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Loew’s home is a single family home that is heated by gas and has a central air conditioner.  Tr. 11.</w:t>
      </w:r>
    </w:p>
    <w:p w:rsidR="000F2BBA" w:rsidRPr="008D440E" w:rsidRDefault="000F2BBA" w:rsidP="000F2BBA">
      <w:pPr>
        <w:pStyle w:val="ListParagraph"/>
        <w:rPr>
          <w:rFonts w:ascii="Times New Roman" w:hAnsi="Times New Roman" w:cs="Times New Roman"/>
        </w:rPr>
      </w:pPr>
    </w:p>
    <w:p w:rsidR="000F2BBA" w:rsidRPr="008D440E" w:rsidRDefault="000F2B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 sets her air conditioner at 67 or 68 degrees.</w:t>
      </w:r>
      <w:r w:rsidR="007714AC" w:rsidRPr="008D440E">
        <w:rPr>
          <w:rFonts w:ascii="Times New Roman" w:hAnsi="Times New Roman" w:cs="Times New Roman"/>
        </w:rPr>
        <w:t xml:space="preserve">  Tr. 11.</w:t>
      </w:r>
    </w:p>
    <w:p w:rsidR="000F2BBA" w:rsidRPr="008D440E" w:rsidRDefault="000F2BBA" w:rsidP="000F2BBA">
      <w:pPr>
        <w:pStyle w:val="ListParagraph"/>
        <w:rPr>
          <w:rFonts w:ascii="Times New Roman" w:hAnsi="Times New Roman" w:cs="Times New Roman"/>
        </w:rPr>
      </w:pPr>
    </w:p>
    <w:p w:rsidR="000F2BBA" w:rsidRPr="008D440E" w:rsidRDefault="000F2BBA"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Prior to 2010, four people lived in Ms. Loew’s home.  Tr. 12.</w:t>
      </w:r>
    </w:p>
    <w:p w:rsidR="000F2BBA" w:rsidRPr="008D440E" w:rsidRDefault="000F2BBA" w:rsidP="000F2BBA">
      <w:pPr>
        <w:pStyle w:val="ListParagraph"/>
        <w:rPr>
          <w:rFonts w:ascii="Times New Roman" w:hAnsi="Times New Roman" w:cs="Times New Roman"/>
        </w:rPr>
      </w:pPr>
    </w:p>
    <w:p w:rsidR="000F2BBA" w:rsidRPr="008D440E" w:rsidRDefault="00242E8B"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Terry Crouthamel has worked with PPL for forty-one (41) years and is currently a customer contact representative.  Tr. 14.</w:t>
      </w:r>
    </w:p>
    <w:p w:rsidR="00242E8B" w:rsidRPr="008D440E" w:rsidRDefault="00242E8B" w:rsidP="00242E8B">
      <w:pPr>
        <w:pStyle w:val="ListParagraph"/>
        <w:rPr>
          <w:rFonts w:ascii="Times New Roman" w:hAnsi="Times New Roman" w:cs="Times New Roman"/>
        </w:rPr>
      </w:pPr>
    </w:p>
    <w:p w:rsidR="00242E8B" w:rsidRPr="008D440E" w:rsidRDefault="002F05DE"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Mr. Crouthamel’s work responsibilities include issues related to high bills, meter mixes, foreign wiring and property damages.  Tr. 14.</w:t>
      </w:r>
    </w:p>
    <w:p w:rsidR="002F05DE" w:rsidRPr="008D440E" w:rsidRDefault="002F05DE" w:rsidP="002F05DE">
      <w:pPr>
        <w:pStyle w:val="ListParagraph"/>
        <w:rPr>
          <w:rFonts w:ascii="Times New Roman" w:hAnsi="Times New Roman" w:cs="Times New Roman"/>
        </w:rPr>
      </w:pPr>
    </w:p>
    <w:p w:rsidR="002F05DE" w:rsidRPr="008D440E" w:rsidRDefault="002F05DE"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A high bill investigation involves visiting a customer’s home and filling out a cost estimate sheet that contains industry standard usage for various items found in the home to determine what the estimated usage is for that home.  Tr. 14.</w:t>
      </w:r>
    </w:p>
    <w:p w:rsidR="002F05DE" w:rsidRPr="008D440E" w:rsidRDefault="002F05DE" w:rsidP="002F05DE">
      <w:pPr>
        <w:pStyle w:val="ListParagraph"/>
        <w:rPr>
          <w:rFonts w:ascii="Times New Roman" w:hAnsi="Times New Roman" w:cs="Times New Roman"/>
        </w:rPr>
      </w:pPr>
    </w:p>
    <w:p w:rsidR="002F05DE" w:rsidRPr="008D440E" w:rsidRDefault="002F05DE"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A high bill investigation is performed at a customer’s request if the customer believes that he or she is being charged incorrectly for their electricity usage.  Tr. 14-15.</w:t>
      </w:r>
    </w:p>
    <w:p w:rsidR="002F05DE" w:rsidRPr="008D440E" w:rsidRDefault="002F05DE" w:rsidP="002F05DE">
      <w:pPr>
        <w:pStyle w:val="ListParagraph"/>
        <w:rPr>
          <w:rFonts w:ascii="Times New Roman" w:hAnsi="Times New Roman" w:cs="Times New Roman"/>
        </w:rPr>
      </w:pPr>
    </w:p>
    <w:p w:rsidR="002F05DE" w:rsidRPr="008D440E" w:rsidRDefault="002F05DE"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Mr. Crouthamel performed a high bill in</w:t>
      </w:r>
      <w:r w:rsidR="00EC2FC4">
        <w:rPr>
          <w:rFonts w:ascii="Times New Roman" w:hAnsi="Times New Roman" w:cs="Times New Roman"/>
        </w:rPr>
        <w:t>vestigation for Ms. Loew at the </w:t>
      </w:r>
      <w:r w:rsidRPr="008D440E">
        <w:rPr>
          <w:rFonts w:ascii="Times New Roman" w:hAnsi="Times New Roman" w:cs="Times New Roman"/>
        </w:rPr>
        <w:t>6776 Windmere Court residence on March 1, 2012.  Tr. 15.</w:t>
      </w:r>
    </w:p>
    <w:p w:rsidR="002F05DE" w:rsidRPr="008D440E" w:rsidRDefault="002F05DE" w:rsidP="002F05DE">
      <w:pPr>
        <w:pStyle w:val="ListParagraph"/>
        <w:rPr>
          <w:rFonts w:ascii="Times New Roman" w:hAnsi="Times New Roman" w:cs="Times New Roman"/>
        </w:rPr>
      </w:pPr>
    </w:p>
    <w:p w:rsidR="002F05DE" w:rsidRPr="008D440E" w:rsidRDefault="002F05DE"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 xml:space="preserve">PPL Exhibit Number 5 is </w:t>
      </w:r>
      <w:r w:rsidR="00700176" w:rsidRPr="008D440E">
        <w:rPr>
          <w:rFonts w:ascii="Times New Roman" w:hAnsi="Times New Roman" w:cs="Times New Roman"/>
        </w:rPr>
        <w:t>the report of the high bill investigation Mr. Crouthamel performed at Ms. Loew’s residence on March 1, 2012.  Tr. 15-16; PPL Exh. No. 5.</w:t>
      </w:r>
    </w:p>
    <w:p w:rsidR="00700176" w:rsidRPr="008D440E" w:rsidRDefault="00700176" w:rsidP="00700176">
      <w:pPr>
        <w:pStyle w:val="ListParagraph"/>
        <w:rPr>
          <w:rFonts w:ascii="Times New Roman" w:hAnsi="Times New Roman" w:cs="Times New Roman"/>
        </w:rPr>
      </w:pPr>
    </w:p>
    <w:p w:rsidR="00700176" w:rsidRPr="008D440E" w:rsidRDefault="00306D24"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Mr. Crouthamel noted that Ms. Loew had a washer, dryer, television, computer, a vacuum cleaner</w:t>
      </w:r>
      <w:r w:rsidR="004458CF" w:rsidRPr="008D440E">
        <w:rPr>
          <w:rFonts w:ascii="Times New Roman" w:hAnsi="Times New Roman" w:cs="Times New Roman"/>
        </w:rPr>
        <w:t xml:space="preserve"> and</w:t>
      </w:r>
      <w:r w:rsidRPr="008D440E">
        <w:rPr>
          <w:rFonts w:ascii="Times New Roman" w:hAnsi="Times New Roman" w:cs="Times New Roman"/>
        </w:rPr>
        <w:t xml:space="preserve"> gas forced or circulated air.  Tr. 17.</w:t>
      </w:r>
    </w:p>
    <w:p w:rsidR="00306D24" w:rsidRPr="008D440E" w:rsidRDefault="00306D24" w:rsidP="00306D24">
      <w:pPr>
        <w:pStyle w:val="ListParagraph"/>
        <w:rPr>
          <w:rFonts w:ascii="Times New Roman" w:hAnsi="Times New Roman" w:cs="Times New Roman"/>
        </w:rPr>
      </w:pPr>
    </w:p>
    <w:p w:rsidR="00306D24"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Mr. Crouthamel’s investigation estimate</w:t>
      </w:r>
      <w:r w:rsidR="00F26058">
        <w:rPr>
          <w:rFonts w:ascii="Times New Roman" w:hAnsi="Times New Roman" w:cs="Times New Roman"/>
        </w:rPr>
        <w:t>d that Ms. Loew would have used </w:t>
      </w:r>
      <w:r w:rsidRPr="008D440E">
        <w:rPr>
          <w:rFonts w:ascii="Times New Roman" w:hAnsi="Times New Roman" w:cs="Times New Roman"/>
        </w:rPr>
        <w:t xml:space="preserve">851 kwh in February 2012 when she in fact used 967 kwh and 941 kwh in January 2012 when she in fact used 920 kwh so Mr. Crouthamel thought his </w:t>
      </w:r>
      <w:r w:rsidR="007714AC" w:rsidRPr="008D440E">
        <w:rPr>
          <w:rFonts w:ascii="Times New Roman" w:hAnsi="Times New Roman" w:cs="Times New Roman"/>
        </w:rPr>
        <w:t xml:space="preserve">overall </w:t>
      </w:r>
      <w:r w:rsidRPr="008D440E">
        <w:rPr>
          <w:rFonts w:ascii="Times New Roman" w:hAnsi="Times New Roman" w:cs="Times New Roman"/>
        </w:rPr>
        <w:t>estimates were accurate.  Tr. 17-18; PPL Exh. No. 5.</w:t>
      </w:r>
    </w:p>
    <w:p w:rsidR="00272AC7" w:rsidRPr="008D440E" w:rsidRDefault="00272AC7" w:rsidP="00272AC7">
      <w:pPr>
        <w:pStyle w:val="ListParagraph"/>
        <w:rPr>
          <w:rFonts w:ascii="Times New Roman" w:hAnsi="Times New Roman" w:cs="Times New Roman"/>
        </w:rPr>
      </w:pPr>
    </w:p>
    <w:p w:rsidR="00272AC7"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Mr. Crouthamel also tested Ms. Loew’s meter when he was at her home and the results of the test revealed that the meter was 99.79% accurate.  Tr. 18.</w:t>
      </w:r>
    </w:p>
    <w:p w:rsidR="00272AC7" w:rsidRPr="008D440E" w:rsidRDefault="00272AC7" w:rsidP="00272AC7">
      <w:pPr>
        <w:pStyle w:val="ListParagraph"/>
        <w:rPr>
          <w:rFonts w:ascii="Times New Roman" w:hAnsi="Times New Roman" w:cs="Times New Roman"/>
        </w:rPr>
      </w:pPr>
    </w:p>
    <w:p w:rsidR="00272AC7"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Based on the cost estimates for January and February, 2012, Mr. Crouthamel believes that Ms. Loew has the capacity to use the kwh that PPL has billed her for.  Tr. 19.</w:t>
      </w:r>
    </w:p>
    <w:p w:rsidR="00272AC7" w:rsidRPr="008D440E" w:rsidRDefault="00272AC7" w:rsidP="00272AC7">
      <w:pPr>
        <w:pStyle w:val="ListParagraph"/>
        <w:rPr>
          <w:rFonts w:ascii="Times New Roman" w:hAnsi="Times New Roman" w:cs="Times New Roman"/>
        </w:rPr>
      </w:pPr>
    </w:p>
    <w:p w:rsidR="00272AC7"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 xml:space="preserve">Mr. Crouthamel has never seen a meter </w:t>
      </w:r>
      <w:r w:rsidR="00AB704A">
        <w:rPr>
          <w:rFonts w:ascii="Times New Roman" w:hAnsi="Times New Roman" w:cs="Times New Roman"/>
        </w:rPr>
        <w:t xml:space="preserve">test </w:t>
      </w:r>
      <w:r w:rsidRPr="008D440E">
        <w:rPr>
          <w:rFonts w:ascii="Times New Roman" w:hAnsi="Times New Roman" w:cs="Times New Roman"/>
        </w:rPr>
        <w:t>as being accurate when in fact it was not accurate.  Tr. 20.</w:t>
      </w:r>
    </w:p>
    <w:p w:rsidR="00272AC7" w:rsidRPr="008D440E" w:rsidRDefault="00272AC7" w:rsidP="00272AC7">
      <w:pPr>
        <w:pStyle w:val="ListParagraph"/>
        <w:rPr>
          <w:rFonts w:ascii="Times New Roman" w:hAnsi="Times New Roman" w:cs="Times New Roman"/>
        </w:rPr>
      </w:pPr>
    </w:p>
    <w:p w:rsidR="00272AC7"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Mary Beth Kashuba is a customer service representative with PPL.  Tr. 21.</w:t>
      </w:r>
    </w:p>
    <w:p w:rsidR="00272AC7" w:rsidRPr="008D440E" w:rsidRDefault="00272AC7" w:rsidP="00272AC7">
      <w:pPr>
        <w:pStyle w:val="ListParagraph"/>
        <w:rPr>
          <w:rFonts w:ascii="Times New Roman" w:hAnsi="Times New Roman" w:cs="Times New Roman"/>
        </w:rPr>
      </w:pPr>
    </w:p>
    <w:p w:rsidR="00272AC7" w:rsidRPr="008D440E" w:rsidRDefault="00272AC7"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PPL Exhibit Number 1 is the account activity statement for Ms. Loew’s account and provides basic account history usage, dollar amounts, bills and payments.  Tr. 22-23; PPL Exh. No. 1.</w:t>
      </w:r>
    </w:p>
    <w:p w:rsidR="00272AC7" w:rsidRPr="008D440E" w:rsidRDefault="00272AC7" w:rsidP="00272AC7">
      <w:pPr>
        <w:pStyle w:val="ListParagraph"/>
        <w:rPr>
          <w:rFonts w:ascii="Times New Roman" w:hAnsi="Times New Roman" w:cs="Times New Roman"/>
        </w:rPr>
      </w:pPr>
    </w:p>
    <w:p w:rsidR="00272AC7" w:rsidRPr="008D440E" w:rsidRDefault="00371386"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 is on budget billing and has a total overdue balance of $1,878.82.  Tr. 23; PPL Exh. No. 1.</w:t>
      </w:r>
    </w:p>
    <w:p w:rsidR="00371386" w:rsidRPr="008D440E" w:rsidRDefault="00371386" w:rsidP="00371386">
      <w:pPr>
        <w:pStyle w:val="ListParagraph"/>
        <w:rPr>
          <w:rFonts w:ascii="Times New Roman" w:hAnsi="Times New Roman" w:cs="Times New Roman"/>
        </w:rPr>
      </w:pPr>
    </w:p>
    <w:p w:rsidR="00371386" w:rsidRPr="008D440E" w:rsidRDefault="00371386"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 made three payments in 2012.  Tr. 23; PPL Exh. No. 1.</w:t>
      </w:r>
    </w:p>
    <w:p w:rsidR="00371386" w:rsidRPr="008D440E" w:rsidRDefault="00371386" w:rsidP="00371386">
      <w:pPr>
        <w:pStyle w:val="ListParagraph"/>
        <w:rPr>
          <w:rFonts w:ascii="Times New Roman" w:hAnsi="Times New Roman" w:cs="Times New Roman"/>
        </w:rPr>
      </w:pPr>
    </w:p>
    <w:p w:rsidR="00371386" w:rsidRPr="008D440E" w:rsidRDefault="00371386"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Space heating and cooling tend to be the largest energy users in a residential account so if a customer has central air conditioning their usage would be higher in the summer months than in the spring months when there is less heating and cooling.  Tr. 25.</w:t>
      </w:r>
    </w:p>
    <w:p w:rsidR="00371386" w:rsidRPr="008D440E" w:rsidRDefault="00371386" w:rsidP="00371386">
      <w:pPr>
        <w:pStyle w:val="ListParagraph"/>
        <w:rPr>
          <w:rFonts w:ascii="Times New Roman" w:hAnsi="Times New Roman" w:cs="Times New Roman"/>
        </w:rPr>
      </w:pPr>
    </w:p>
    <w:p w:rsidR="00371386" w:rsidRPr="008D440E" w:rsidRDefault="00371386" w:rsidP="0090472B">
      <w:pPr>
        <w:numPr>
          <w:ilvl w:val="0"/>
          <w:numId w:val="24"/>
        </w:numPr>
        <w:spacing w:line="360" w:lineRule="auto"/>
        <w:ind w:left="0" w:firstLine="1440"/>
        <w:rPr>
          <w:rFonts w:ascii="Times New Roman" w:hAnsi="Times New Roman" w:cs="Times New Roman"/>
        </w:rPr>
      </w:pPr>
      <w:r w:rsidRPr="008D440E">
        <w:rPr>
          <w:rFonts w:ascii="Times New Roman" w:hAnsi="Times New Roman" w:cs="Times New Roman"/>
        </w:rPr>
        <w:t>Ms. Loew’s account is consistent with a customer using central air conditioning in the summer months and having a non-electric heat source such as gas heat in the winter months.  Tr. 25.</w:t>
      </w:r>
    </w:p>
    <w:p w:rsidR="00B35CE7" w:rsidRPr="008D440E" w:rsidRDefault="00B35CE7" w:rsidP="00142D6F">
      <w:pPr>
        <w:pStyle w:val="ListParagraph"/>
        <w:spacing w:line="360" w:lineRule="auto"/>
        <w:ind w:left="0"/>
        <w:rPr>
          <w:rFonts w:ascii="Times New Roman" w:hAnsi="Times New Roman" w:cs="Times New Roman"/>
          <w:strike/>
          <w:spacing w:val="-3"/>
        </w:rPr>
      </w:pPr>
    </w:p>
    <w:p w:rsidR="00392EFE" w:rsidRPr="008D440E" w:rsidRDefault="00392EFE" w:rsidP="0032796F">
      <w:pPr>
        <w:pStyle w:val="ParaTab1"/>
        <w:spacing w:line="360" w:lineRule="auto"/>
        <w:ind w:firstLine="0"/>
        <w:jc w:val="center"/>
        <w:rPr>
          <w:rFonts w:ascii="Times New Roman" w:hAnsi="Times New Roman" w:cs="Times New Roman"/>
          <w:spacing w:val="-3"/>
          <w:u w:val="single"/>
        </w:rPr>
      </w:pPr>
      <w:r w:rsidRPr="008D440E">
        <w:rPr>
          <w:rFonts w:ascii="Times New Roman" w:hAnsi="Times New Roman" w:cs="Times New Roman"/>
          <w:spacing w:val="-3"/>
          <w:u w:val="single"/>
        </w:rPr>
        <w:t>DISCUSSION</w:t>
      </w:r>
    </w:p>
    <w:p w:rsidR="00392EFE" w:rsidRPr="008D440E" w:rsidRDefault="00392EFE" w:rsidP="0032796F">
      <w:pPr>
        <w:pStyle w:val="ParaTab1"/>
        <w:spacing w:line="360" w:lineRule="auto"/>
        <w:ind w:firstLine="0"/>
        <w:rPr>
          <w:rFonts w:ascii="Times New Roman" w:hAnsi="Times New Roman" w:cs="Times New Roman"/>
          <w:spacing w:val="-3"/>
        </w:rPr>
      </w:pPr>
    </w:p>
    <w:p w:rsidR="000205D9" w:rsidRPr="008D440E" w:rsidRDefault="00CC1E58" w:rsidP="0032796F">
      <w:pPr>
        <w:pStyle w:val="ParaTab1"/>
        <w:spacing w:line="360" w:lineRule="auto"/>
        <w:ind w:firstLine="0"/>
        <w:rPr>
          <w:rFonts w:ascii="Times New Roman" w:hAnsi="Times New Roman" w:cs="Times New Roman"/>
        </w:rPr>
      </w:pPr>
      <w:r w:rsidRPr="008D440E">
        <w:rPr>
          <w:rFonts w:ascii="Times New Roman" w:hAnsi="Times New Roman" w:cs="Times New Roman"/>
          <w:spacing w:val="-3"/>
        </w:rPr>
        <w:tab/>
      </w:r>
      <w:r w:rsidRPr="008D440E">
        <w:rPr>
          <w:rFonts w:ascii="Times New Roman" w:hAnsi="Times New Roman" w:cs="Times New Roman"/>
          <w:spacing w:val="-3"/>
        </w:rPr>
        <w:tab/>
      </w:r>
      <w:r w:rsidRPr="008D440E">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8D440E">
        <w:rPr>
          <w:rFonts w:ascii="Times New Roman" w:hAnsi="Times New Roman" w:cs="Times New Roman"/>
          <w:u w:val="single"/>
        </w:rPr>
        <w:t>Se-Ling Hosiery v. Margulies</w:t>
      </w:r>
      <w:r w:rsidRPr="008D440E">
        <w:rPr>
          <w:rFonts w:ascii="Times New Roman" w:hAnsi="Times New Roman" w:cs="Times New Roman"/>
        </w:rPr>
        <w:t>, 364 Pa. 54, 70 A.2d 854 (1950).  In this proceeding,</w:t>
      </w:r>
      <w:r w:rsidR="006432FF" w:rsidRPr="008D440E">
        <w:rPr>
          <w:rFonts w:ascii="Times New Roman" w:hAnsi="Times New Roman" w:cs="Times New Roman"/>
        </w:rPr>
        <w:t xml:space="preserve"> Ms</w:t>
      </w:r>
      <w:r w:rsidR="001B2F97">
        <w:rPr>
          <w:rFonts w:ascii="Times New Roman" w:hAnsi="Times New Roman" w:cs="Times New Roman"/>
        </w:rPr>
        <w:t xml:space="preserve">. </w:t>
      </w:r>
      <w:r w:rsidR="000205D9" w:rsidRPr="008D440E">
        <w:rPr>
          <w:rFonts w:ascii="Times New Roman" w:hAnsi="Times New Roman" w:cs="Times New Roman"/>
        </w:rPr>
        <w:t>Loew complains that her bill is too high.  Ms. Loew seeks an Order from the Commission directing PPL to reduce her bill.  Ms. Loew therefore has the burden of proof in this proceeding.</w:t>
      </w:r>
    </w:p>
    <w:p w:rsidR="000205D9" w:rsidRPr="008D440E" w:rsidRDefault="000205D9" w:rsidP="0032796F">
      <w:pPr>
        <w:pStyle w:val="ParaTab1"/>
        <w:spacing w:line="360" w:lineRule="auto"/>
        <w:ind w:firstLine="0"/>
        <w:rPr>
          <w:rFonts w:ascii="Times New Roman" w:hAnsi="Times New Roman" w:cs="Times New Roman"/>
        </w:rPr>
      </w:pPr>
    </w:p>
    <w:p w:rsidR="00A10C7C" w:rsidRPr="008D440E" w:rsidRDefault="00A10C7C" w:rsidP="00A10C7C">
      <w:pPr>
        <w:spacing w:line="360" w:lineRule="auto"/>
        <w:ind w:firstLine="1440"/>
        <w:rPr>
          <w:rFonts w:ascii="Times New Roman" w:hAnsi="Times New Roman" w:cs="Times New Roman"/>
        </w:rPr>
      </w:pPr>
      <w:r w:rsidRPr="008D440E">
        <w:rPr>
          <w:rFonts w:ascii="Times New Roman" w:hAnsi="Times New Roman" w:cs="Times New Roman"/>
        </w:rPr>
        <w:t>If a complainant establishes a prima facie</w:t>
      </w:r>
      <w:r w:rsidRPr="008D440E">
        <w:rPr>
          <w:rFonts w:ascii="Times New Roman" w:hAnsi="Times New Roman" w:cs="Times New Roman"/>
          <w:i/>
        </w:rPr>
        <w:t xml:space="preserve"> </w:t>
      </w:r>
      <w:r w:rsidRPr="008D440E">
        <w:rPr>
          <w:rFonts w:ascii="Times New Roman" w:hAnsi="Times New Roman" w:cs="Times New Roman"/>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8D440E">
        <w:rPr>
          <w:rFonts w:ascii="Times New Roman" w:hAnsi="Times New Roman" w:cs="Times New Roman"/>
          <w:u w:val="single"/>
        </w:rPr>
        <w:t>Replogle v. Pennsylvania Electric Company</w:t>
      </w:r>
      <w:r w:rsidRPr="008D440E">
        <w:rPr>
          <w:rFonts w:ascii="Times New Roman" w:hAnsi="Times New Roman" w:cs="Times New Roman"/>
        </w:rPr>
        <w:t>, 54 Pa. PUC 528 (1980</w:t>
      </w:r>
      <w:r w:rsidR="0042301C" w:rsidRPr="008D440E">
        <w:rPr>
          <w:rFonts w:ascii="Times New Roman" w:hAnsi="Times New Roman" w:cs="Times New Roman"/>
        </w:rPr>
        <w:t>)</w:t>
      </w:r>
      <w:r w:rsidR="00CC0F6B" w:rsidRPr="008D440E">
        <w:rPr>
          <w:rFonts w:ascii="Times New Roman" w:hAnsi="Times New Roman" w:cs="Times New Roman"/>
        </w:rPr>
        <w:t xml:space="preserve"> (</w:t>
      </w:r>
      <w:r w:rsidR="00CC0F6B" w:rsidRPr="008D440E">
        <w:rPr>
          <w:rFonts w:ascii="Times New Roman" w:hAnsi="Times New Roman" w:cs="Times New Roman"/>
          <w:u w:val="single"/>
        </w:rPr>
        <w:t>Replogle</w:t>
      </w:r>
      <w:r w:rsidR="00CC0F6B" w:rsidRPr="008D440E">
        <w:rPr>
          <w:rFonts w:ascii="Times New Roman" w:hAnsi="Times New Roman" w:cs="Times New Roman"/>
        </w:rPr>
        <w:t>)</w:t>
      </w:r>
      <w:r w:rsidRPr="008D440E">
        <w:rPr>
          <w:rFonts w:ascii="Times New Roman" w:hAnsi="Times New Roman" w:cs="Times New Roman"/>
        </w:rPr>
        <w:t xml:space="preserve">, and </w:t>
      </w:r>
      <w:r w:rsidRPr="008D440E">
        <w:rPr>
          <w:rFonts w:ascii="Times New Roman" w:hAnsi="Times New Roman" w:cs="Times New Roman"/>
          <w:u w:val="single"/>
        </w:rPr>
        <w:t>Waldron v. Philadelphia Electric Company</w:t>
      </w:r>
      <w:r w:rsidRPr="008D440E">
        <w:rPr>
          <w:rFonts w:ascii="Times New Roman" w:hAnsi="Times New Roman" w:cs="Times New Roman"/>
        </w:rPr>
        <w:t>, 54 Pa. PUC 98 (1980).</w:t>
      </w:r>
    </w:p>
    <w:p w:rsidR="00A10C7C" w:rsidRPr="008D440E" w:rsidRDefault="00A10C7C" w:rsidP="00A10C7C">
      <w:pPr>
        <w:spacing w:line="360" w:lineRule="auto"/>
        <w:ind w:firstLine="1440"/>
        <w:rPr>
          <w:rFonts w:ascii="Times New Roman" w:hAnsi="Times New Roman" w:cs="Times New Roman"/>
        </w:rPr>
      </w:pPr>
    </w:p>
    <w:p w:rsidR="00A10C7C" w:rsidRPr="008D440E" w:rsidRDefault="00A10C7C" w:rsidP="00A10C7C">
      <w:pPr>
        <w:spacing w:line="360" w:lineRule="auto"/>
        <w:ind w:firstLine="1440"/>
        <w:rPr>
          <w:rFonts w:ascii="Times New Roman" w:hAnsi="Times New Roman" w:cs="Times New Roman"/>
        </w:rPr>
      </w:pPr>
      <w:r w:rsidRPr="008D440E">
        <w:rPr>
          <w:rFonts w:ascii="Times New Roman" w:hAnsi="Times New Roman" w:cs="Times New Roman"/>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8D440E">
        <w:rPr>
          <w:rFonts w:ascii="Times New Roman" w:hAnsi="Times New Roman" w:cs="Times New Roman"/>
          <w:u w:val="single"/>
        </w:rPr>
        <w:t>Norfolk &amp; Western Ry. Co. v. Pa. P.U.C.</w:t>
      </w:r>
      <w:r w:rsidRPr="008D440E">
        <w:rPr>
          <w:rFonts w:ascii="Times New Roman" w:hAnsi="Times New Roman" w:cs="Times New Roman"/>
        </w:rPr>
        <w:t xml:space="preserve">, 489 Pa. 109, 413 A.2d 1037 (1980); </w:t>
      </w:r>
      <w:r w:rsidRPr="008D440E">
        <w:rPr>
          <w:rFonts w:ascii="Times New Roman" w:hAnsi="Times New Roman" w:cs="Times New Roman"/>
          <w:u w:val="single"/>
        </w:rPr>
        <w:t>Erie Resistor Corp. v. Unemployment Comp. Bd. of Review</w:t>
      </w:r>
      <w:r w:rsidRPr="008D440E">
        <w:rPr>
          <w:rFonts w:ascii="Times New Roman" w:hAnsi="Times New Roman" w:cs="Times New Roman"/>
        </w:rPr>
        <w:t xml:space="preserve">, 194 Pa. Superior Ct. 278, 166 A.2d 96 (1961); and </w:t>
      </w:r>
      <w:r w:rsidRPr="008D440E">
        <w:rPr>
          <w:rFonts w:ascii="Times New Roman" w:hAnsi="Times New Roman" w:cs="Times New Roman"/>
          <w:u w:val="single"/>
        </w:rPr>
        <w:t>Murphy v. Comm., Dept. of Public Welfare, White Haven Center</w:t>
      </w:r>
      <w:r w:rsidRPr="008D440E">
        <w:rPr>
          <w:rFonts w:ascii="Times New Roman" w:hAnsi="Times New Roman" w:cs="Times New Roman"/>
        </w:rPr>
        <w:t>, 85 Pa. Cmwlth Ct. 23, 480 A.2d 382 (1984).</w:t>
      </w:r>
    </w:p>
    <w:p w:rsidR="00A10C7C" w:rsidRPr="008D440E" w:rsidRDefault="00A10C7C" w:rsidP="00A10C7C">
      <w:pPr>
        <w:spacing w:line="360" w:lineRule="auto"/>
        <w:ind w:firstLine="1440"/>
        <w:rPr>
          <w:rFonts w:ascii="Times New Roman" w:hAnsi="Times New Roman" w:cs="Times New Roman"/>
        </w:rPr>
      </w:pPr>
    </w:p>
    <w:p w:rsidR="000205D9" w:rsidRPr="008D440E" w:rsidRDefault="00A10C7C"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In this case</w:t>
      </w:r>
      <w:r w:rsidR="000205D9" w:rsidRPr="008D440E">
        <w:rPr>
          <w:rFonts w:ascii="Times New Roman" w:hAnsi="Times New Roman" w:cs="Times New Roman"/>
        </w:rPr>
        <w:t xml:space="preserve">, </w:t>
      </w:r>
      <w:r w:rsidR="007714AC" w:rsidRPr="008D440E">
        <w:rPr>
          <w:rFonts w:ascii="Times New Roman" w:hAnsi="Times New Roman" w:cs="Times New Roman"/>
        </w:rPr>
        <w:t xml:space="preserve">Ms. Loew </w:t>
      </w:r>
      <w:r w:rsidR="005C0395" w:rsidRPr="008D440E">
        <w:rPr>
          <w:rFonts w:ascii="Times New Roman" w:hAnsi="Times New Roman" w:cs="Times New Roman"/>
        </w:rPr>
        <w:t xml:space="preserve">complains that her bill is too high and would like it reduced.  </w:t>
      </w:r>
      <w:r w:rsidR="007714AC" w:rsidRPr="008D440E">
        <w:rPr>
          <w:rFonts w:ascii="Times New Roman" w:hAnsi="Times New Roman" w:cs="Times New Roman"/>
        </w:rPr>
        <w:t>T</w:t>
      </w:r>
      <w:r w:rsidR="005C0395" w:rsidRPr="008D440E">
        <w:rPr>
          <w:rFonts w:ascii="Times New Roman" w:hAnsi="Times New Roman" w:cs="Times New Roman"/>
        </w:rPr>
        <w:t xml:space="preserve">he Commission has well-established precedent regarding the burden a complainant must satisfy to demonstrate a high bill and receive a reduction.  </w:t>
      </w:r>
      <w:r w:rsidR="007714AC" w:rsidRPr="008D440E">
        <w:rPr>
          <w:rFonts w:ascii="Times New Roman" w:hAnsi="Times New Roman" w:cs="Times New Roman"/>
        </w:rPr>
        <w:t xml:space="preserve">As discussed further below, </w:t>
      </w:r>
      <w:r w:rsidR="005C0395" w:rsidRPr="008D440E">
        <w:rPr>
          <w:rFonts w:ascii="Times New Roman" w:hAnsi="Times New Roman" w:cs="Times New Roman"/>
        </w:rPr>
        <w:t>Ms. Loew has failed to satisfy this burden, or otherwise demonstrate that PPL violated any provision of the Public Utility Code, any Commission Order or regulation or any Commission-approved Company tariff.  Ms. Loew’s Complaint will therefore be dismissed.</w:t>
      </w:r>
    </w:p>
    <w:p w:rsidR="005C0395" w:rsidRPr="008D440E" w:rsidRDefault="005C0395" w:rsidP="0032796F">
      <w:pPr>
        <w:pStyle w:val="ParaTab1"/>
        <w:spacing w:line="360" w:lineRule="auto"/>
        <w:ind w:firstLine="0"/>
        <w:rPr>
          <w:rFonts w:ascii="Times New Roman" w:hAnsi="Times New Roman" w:cs="Times New Roman"/>
        </w:rPr>
      </w:pPr>
    </w:p>
    <w:p w:rsidR="005C0395" w:rsidRPr="008D440E" w:rsidRDefault="005C0395"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CA0518" w:rsidRPr="008D440E">
        <w:rPr>
          <w:rFonts w:ascii="Times New Roman" w:hAnsi="Times New Roman" w:cs="Times New Roman"/>
        </w:rPr>
        <w:t xml:space="preserve">In </w:t>
      </w:r>
      <w:r w:rsidR="00CA0518" w:rsidRPr="008D440E">
        <w:rPr>
          <w:rFonts w:ascii="Times New Roman" w:hAnsi="Times New Roman" w:cs="Times New Roman"/>
          <w:u w:val="single"/>
        </w:rPr>
        <w:t>Waldron v. Philadelphia Electric Co.</w:t>
      </w:r>
      <w:r w:rsidR="00CA0518" w:rsidRPr="008D440E">
        <w:rPr>
          <w:rFonts w:ascii="Times New Roman" w:hAnsi="Times New Roman" w:cs="Times New Roman"/>
        </w:rPr>
        <w:t>, 54 Pa. PUC 98 (1980) (</w:t>
      </w:r>
      <w:r w:rsidR="00CA0518" w:rsidRPr="008D440E">
        <w:rPr>
          <w:rFonts w:ascii="Times New Roman" w:hAnsi="Times New Roman" w:cs="Times New Roman"/>
          <w:u w:val="single"/>
        </w:rPr>
        <w:t>Waldron</w:t>
      </w:r>
      <w:r w:rsidR="00CA0518" w:rsidRPr="008D440E">
        <w:rPr>
          <w:rFonts w:ascii="Times New Roman" w:hAnsi="Times New Roman" w:cs="Times New Roman"/>
        </w:rPr>
        <w:t xml:space="preserve">), </w:t>
      </w:r>
      <w:r w:rsidR="00C67B86" w:rsidRPr="008D440E">
        <w:rPr>
          <w:rFonts w:ascii="Times New Roman" w:hAnsi="Times New Roman" w:cs="Times New Roman"/>
        </w:rPr>
        <w:t xml:space="preserve">the Commission adopted the Michigan Public Service Commission’s policy enunciated in </w:t>
      </w:r>
      <w:r w:rsidR="00C67B86" w:rsidRPr="008D440E">
        <w:rPr>
          <w:rFonts w:ascii="Times New Roman" w:hAnsi="Times New Roman" w:cs="Times New Roman"/>
          <w:u w:val="single"/>
        </w:rPr>
        <w:t>Hallifax v. O&amp;A Electric Co-OP</w:t>
      </w:r>
      <w:r w:rsidR="00C67B86" w:rsidRPr="008D440E">
        <w:rPr>
          <w:rFonts w:ascii="Times New Roman" w:hAnsi="Times New Roman" w:cs="Times New Roman"/>
        </w:rPr>
        <w:t xml:space="preserve">, Case No. U-5825, May 1979, which stated that, while the accuracy of the meter is an important factor in resolving billing disputes, it is not the sole criterion.  </w:t>
      </w:r>
      <w:r w:rsidR="00C67B86" w:rsidRPr="008D440E">
        <w:rPr>
          <w:rFonts w:ascii="Times New Roman" w:hAnsi="Times New Roman" w:cs="Times New Roman"/>
          <w:i/>
        </w:rPr>
        <w:t>See also</w:t>
      </w:r>
      <w:r w:rsidR="00C67B86" w:rsidRPr="008D440E">
        <w:rPr>
          <w:rFonts w:ascii="Times New Roman" w:hAnsi="Times New Roman" w:cs="Times New Roman"/>
        </w:rPr>
        <w:t xml:space="preserve">, </w:t>
      </w:r>
      <w:r w:rsidR="00C67B86" w:rsidRPr="008D440E">
        <w:rPr>
          <w:rFonts w:ascii="Times New Roman" w:hAnsi="Times New Roman" w:cs="Times New Roman"/>
          <w:u w:val="single"/>
        </w:rPr>
        <w:t>Nicolas Montagna d/b/a Montagna Homes v. National Fuel Gas Distribution Corporation</w:t>
      </w:r>
      <w:r w:rsidR="00C67B86" w:rsidRPr="008D440E">
        <w:rPr>
          <w:rFonts w:ascii="Times New Roman" w:hAnsi="Times New Roman" w:cs="Times New Roman"/>
        </w:rPr>
        <w:t xml:space="preserve">, Docket Number C-2011-2243674, Opinion and Order (entered April 12, 2012).  The Commission noted in </w:t>
      </w:r>
      <w:r w:rsidR="00C67B86" w:rsidRPr="008D440E">
        <w:rPr>
          <w:rFonts w:ascii="Times New Roman" w:hAnsi="Times New Roman" w:cs="Times New Roman"/>
          <w:u w:val="single"/>
        </w:rPr>
        <w:t>Waldron</w:t>
      </w:r>
      <w:r w:rsidR="00C67B86" w:rsidRPr="008D440E">
        <w:rPr>
          <w:rFonts w:ascii="Times New Roman" w:hAnsi="Times New Roman" w:cs="Times New Roman"/>
        </w:rPr>
        <w:t xml:space="preserve"> that it will also consider: the billing history of the complainant, any change in the number of occupants residing at the household, the potential for energy utilization, and any other relevant facts or circumstances that are brought to light during the complaint proceeding.  </w:t>
      </w:r>
      <w:r w:rsidR="00C67B86" w:rsidRPr="008D440E">
        <w:rPr>
          <w:rFonts w:ascii="Times New Roman" w:hAnsi="Times New Roman" w:cs="Times New Roman"/>
          <w:u w:val="single"/>
        </w:rPr>
        <w:t>Waldron</w:t>
      </w:r>
      <w:r w:rsidR="00C67B86" w:rsidRPr="008D440E">
        <w:rPr>
          <w:rFonts w:ascii="Times New Roman" w:hAnsi="Times New Roman" w:cs="Times New Roman"/>
        </w:rPr>
        <w:t xml:space="preserve"> at 100.</w:t>
      </w:r>
    </w:p>
    <w:p w:rsidR="00C67B86" w:rsidRPr="008D440E" w:rsidRDefault="00C67B86" w:rsidP="0032796F">
      <w:pPr>
        <w:pStyle w:val="ParaTab1"/>
        <w:spacing w:line="360" w:lineRule="auto"/>
        <w:ind w:firstLine="0"/>
        <w:rPr>
          <w:rFonts w:ascii="Times New Roman" w:hAnsi="Times New Roman" w:cs="Times New Roman"/>
        </w:rPr>
      </w:pPr>
    </w:p>
    <w:p w:rsidR="00C67B86" w:rsidRPr="008D440E" w:rsidRDefault="00C67B86"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 xml:space="preserve">In </w:t>
      </w:r>
      <w:r w:rsidRPr="008D440E">
        <w:rPr>
          <w:rFonts w:ascii="Times New Roman" w:hAnsi="Times New Roman" w:cs="Times New Roman"/>
          <w:u w:val="single"/>
        </w:rPr>
        <w:t>Nehemiah B. Thomas v. PECO</w:t>
      </w:r>
      <w:r w:rsidRPr="008D440E">
        <w:rPr>
          <w:rFonts w:ascii="Times New Roman" w:hAnsi="Times New Roman" w:cs="Times New Roman"/>
        </w:rPr>
        <w:t>, Docket No. C-2010-2187197, Order (entered November 15, 2011) (</w:t>
      </w:r>
      <w:r w:rsidRPr="008D440E">
        <w:rPr>
          <w:rFonts w:ascii="Times New Roman" w:hAnsi="Times New Roman" w:cs="Times New Roman"/>
          <w:u w:val="single"/>
        </w:rPr>
        <w:t>Thomas</w:t>
      </w:r>
      <w:r w:rsidRPr="008D440E">
        <w:rPr>
          <w:rFonts w:ascii="Times New Roman" w:hAnsi="Times New Roman" w:cs="Times New Roman"/>
        </w:rPr>
        <w:t>), the Commission stated:</w:t>
      </w:r>
    </w:p>
    <w:p w:rsidR="00C67B86" w:rsidRPr="008D440E" w:rsidRDefault="00C67B86" w:rsidP="00C67B86">
      <w:pPr>
        <w:pStyle w:val="ParaTab1"/>
        <w:ind w:left="1440" w:right="1440" w:firstLine="0"/>
        <w:rPr>
          <w:rFonts w:ascii="Times New Roman" w:hAnsi="Times New Roman" w:cs="Times New Roman"/>
        </w:rPr>
      </w:pPr>
    </w:p>
    <w:p w:rsidR="00C67B86" w:rsidRPr="008D440E" w:rsidRDefault="00C67B86" w:rsidP="00C67B86">
      <w:pPr>
        <w:pStyle w:val="ParaTab1"/>
        <w:ind w:left="1440" w:right="1440" w:firstLine="0"/>
        <w:rPr>
          <w:rFonts w:ascii="Times New Roman" w:hAnsi="Times New Roman" w:cs="Times New Roman"/>
        </w:rPr>
      </w:pPr>
      <w:r w:rsidRPr="008D440E">
        <w:rPr>
          <w:rFonts w:ascii="Times New Roman" w:hAnsi="Times New Roman" w:cs="Times New Roman"/>
        </w:rPr>
        <w:t xml:space="preserve">[T]he Waldron rule allows a complainant to establish a </w:t>
      </w:r>
      <w:r w:rsidRPr="008D440E">
        <w:rPr>
          <w:rFonts w:ascii="Times New Roman" w:hAnsi="Times New Roman" w:cs="Times New Roman"/>
          <w:i/>
        </w:rPr>
        <w:t>prima facia</w:t>
      </w:r>
      <w:r w:rsidRPr="008D440E">
        <w:rPr>
          <w:rFonts w:ascii="Times New Roman" w:hAnsi="Times New Roman" w:cs="Times New Roman"/>
        </w:rPr>
        <w:t xml:space="preserve"> case in a “high bill” complaint by showing that the disputed bill is abnormally high when compared to prior usage patterns and his or her patter</w:t>
      </w:r>
      <w:r w:rsidR="007714AC" w:rsidRPr="008D440E">
        <w:rPr>
          <w:rFonts w:ascii="Times New Roman" w:hAnsi="Times New Roman" w:cs="Times New Roman"/>
        </w:rPr>
        <w:t>n</w:t>
      </w:r>
      <w:r w:rsidRPr="008D440E">
        <w:rPr>
          <w:rFonts w:ascii="Times New Roman" w:hAnsi="Times New Roman" w:cs="Times New Roman"/>
        </w:rPr>
        <w:t xml:space="preserve"> of usage has not changed </w:t>
      </w:r>
      <w:r w:rsidRPr="008D440E">
        <w:rPr>
          <w:rFonts w:ascii="Times New Roman" w:hAnsi="Times New Roman" w:cs="Times New Roman"/>
          <w:i/>
        </w:rPr>
        <w:t>or by providing other relevant evidence showing that the disputed bill is unreasonably high</w:t>
      </w:r>
      <w:r w:rsidRPr="008D440E">
        <w:rPr>
          <w:rFonts w:ascii="Times New Roman" w:hAnsi="Times New Roman" w:cs="Times New Roman"/>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8D440E">
        <w:rPr>
          <w:rFonts w:ascii="Times New Roman" w:hAnsi="Times New Roman" w:cs="Times New Roman"/>
          <w:i/>
        </w:rPr>
        <w:t>and any other relevant facts or circumstances that come to light during the proceeding</w:t>
      </w:r>
      <w:r w:rsidRPr="008D440E">
        <w:rPr>
          <w:rFonts w:ascii="Times New Roman" w:hAnsi="Times New Roman" w:cs="Times New Roman"/>
        </w:rPr>
        <w:t>.”</w:t>
      </w:r>
    </w:p>
    <w:p w:rsidR="00C67B86" w:rsidRPr="008D440E" w:rsidRDefault="00C67B86" w:rsidP="00C67B86">
      <w:pPr>
        <w:pStyle w:val="ParaTab1"/>
        <w:ind w:left="1440" w:right="1440" w:firstLine="0"/>
        <w:rPr>
          <w:rFonts w:ascii="Times New Roman" w:hAnsi="Times New Roman" w:cs="Times New Roman"/>
          <w:u w:val="single"/>
        </w:rPr>
      </w:pPr>
    </w:p>
    <w:p w:rsidR="00C67B86" w:rsidRPr="008D440E" w:rsidRDefault="00C67B86" w:rsidP="0032796F">
      <w:pPr>
        <w:pStyle w:val="ParaTab1"/>
        <w:spacing w:line="360" w:lineRule="auto"/>
        <w:ind w:firstLine="0"/>
        <w:rPr>
          <w:rFonts w:ascii="Times New Roman" w:hAnsi="Times New Roman" w:cs="Times New Roman"/>
        </w:rPr>
      </w:pPr>
      <w:r w:rsidRPr="008D440E">
        <w:rPr>
          <w:rFonts w:ascii="Times New Roman" w:hAnsi="Times New Roman" w:cs="Times New Roman"/>
          <w:u w:val="single"/>
        </w:rPr>
        <w:t>Thomas</w:t>
      </w:r>
      <w:r w:rsidRPr="008D440E">
        <w:rPr>
          <w:rFonts w:ascii="Times New Roman" w:hAnsi="Times New Roman" w:cs="Times New Roman"/>
        </w:rPr>
        <w:t xml:space="preserve"> at 5 (citations omitted; emphasis in original); </w:t>
      </w:r>
      <w:r w:rsidRPr="008D440E">
        <w:rPr>
          <w:rFonts w:ascii="Times New Roman" w:hAnsi="Times New Roman" w:cs="Times New Roman"/>
          <w:i/>
        </w:rPr>
        <w:t>see also</w:t>
      </w:r>
      <w:r w:rsidRPr="008D440E">
        <w:rPr>
          <w:rFonts w:ascii="Times New Roman" w:hAnsi="Times New Roman" w:cs="Times New Roman"/>
        </w:rPr>
        <w:t xml:space="preserve">, </w:t>
      </w:r>
      <w:r w:rsidRPr="008D440E">
        <w:rPr>
          <w:rFonts w:ascii="Times New Roman" w:hAnsi="Times New Roman" w:cs="Times New Roman"/>
          <w:u w:val="single"/>
        </w:rPr>
        <w:t>Charisse Bennett v. Peoples Natural Gas Co.</w:t>
      </w:r>
      <w:r w:rsidRPr="008D440E">
        <w:rPr>
          <w:rFonts w:ascii="Times New Roman" w:hAnsi="Times New Roman" w:cs="Times New Roman"/>
        </w:rPr>
        <w:t>, Docket No. C-2009-2122979, Order (entered October 13, 2010).</w:t>
      </w:r>
    </w:p>
    <w:p w:rsidR="005B5DF3" w:rsidRPr="008D440E" w:rsidRDefault="005B5DF3" w:rsidP="0032796F">
      <w:pPr>
        <w:pStyle w:val="ParaTab1"/>
        <w:spacing w:line="360" w:lineRule="auto"/>
        <w:ind w:firstLine="0"/>
        <w:rPr>
          <w:rFonts w:ascii="Times New Roman" w:hAnsi="Times New Roman" w:cs="Times New Roman"/>
        </w:rPr>
      </w:pPr>
    </w:p>
    <w:p w:rsidR="005B5DF3" w:rsidRPr="008D440E" w:rsidRDefault="005B5DF3"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Ms. Loew has failed to satisfy her burden to demonstrate by a preponderance of the evidence that PPL’s bills were inaccurate under this well-established Commission precedent.  Therefore, Ms. Loew’s Complaint will be dismissed.</w:t>
      </w:r>
    </w:p>
    <w:p w:rsidR="005B5DF3" w:rsidRPr="008D440E" w:rsidRDefault="005B5DF3" w:rsidP="0032796F">
      <w:pPr>
        <w:pStyle w:val="ParaTab1"/>
        <w:spacing w:line="360" w:lineRule="auto"/>
        <w:ind w:firstLine="0"/>
        <w:rPr>
          <w:rFonts w:ascii="Times New Roman" w:hAnsi="Times New Roman" w:cs="Times New Roman"/>
        </w:rPr>
      </w:pPr>
    </w:p>
    <w:p w:rsidR="00851C2B" w:rsidRPr="008D440E" w:rsidRDefault="005B5DF3" w:rsidP="00851C2B">
      <w:pPr>
        <w:pStyle w:val="ParaTab1"/>
        <w:spacing w:line="360" w:lineRule="auto"/>
        <w:rPr>
          <w:rFonts w:ascii="Times New Roman" w:hAnsi="Times New Roman" w:cs="Times New Roman"/>
        </w:rPr>
      </w:pPr>
      <w:r w:rsidRPr="008D440E">
        <w:rPr>
          <w:rFonts w:ascii="Times New Roman" w:hAnsi="Times New Roman" w:cs="Times New Roman"/>
        </w:rPr>
        <w:t xml:space="preserve">To begin, PPL presented evidence that </w:t>
      </w:r>
      <w:r w:rsidR="00A55FEF" w:rsidRPr="008D440E">
        <w:rPr>
          <w:rFonts w:ascii="Times New Roman" w:hAnsi="Times New Roman" w:cs="Times New Roman"/>
        </w:rPr>
        <w:t xml:space="preserve">Ms. Loew’s meter tested at </w:t>
      </w:r>
      <w:r w:rsidR="009F2255" w:rsidRPr="008D440E">
        <w:rPr>
          <w:rFonts w:ascii="Times New Roman" w:hAnsi="Times New Roman" w:cs="Times New Roman"/>
        </w:rPr>
        <w:t xml:space="preserve">a </w:t>
      </w:r>
      <w:r w:rsidR="00A55FEF" w:rsidRPr="008D440E">
        <w:rPr>
          <w:rFonts w:ascii="Times New Roman" w:hAnsi="Times New Roman" w:cs="Times New Roman"/>
        </w:rPr>
        <w:t xml:space="preserve">99.79% accuracy rate.  Tr. </w:t>
      </w:r>
      <w:r w:rsidR="009F2255" w:rsidRPr="008D440E">
        <w:rPr>
          <w:rFonts w:ascii="Times New Roman" w:hAnsi="Times New Roman" w:cs="Times New Roman"/>
        </w:rPr>
        <w:t>18</w:t>
      </w:r>
      <w:r w:rsidR="00196974" w:rsidRPr="008D440E">
        <w:rPr>
          <w:rFonts w:ascii="Times New Roman" w:hAnsi="Times New Roman" w:cs="Times New Roman"/>
        </w:rPr>
        <w:t>; PPL Exh. No. 5</w:t>
      </w:r>
      <w:r w:rsidR="009F2255" w:rsidRPr="008D440E">
        <w:rPr>
          <w:rFonts w:ascii="Times New Roman" w:hAnsi="Times New Roman" w:cs="Times New Roman"/>
        </w:rPr>
        <w:t xml:space="preserve">.  </w:t>
      </w:r>
      <w:r w:rsidR="00851C2B" w:rsidRPr="008D440E">
        <w:rPr>
          <w:rFonts w:ascii="Times New Roman" w:hAnsi="Times New Roman" w:cs="Times New Roman"/>
        </w:rPr>
        <w:t>Sections 57.20-57.25 of the Commission</w:t>
      </w:r>
      <w:r w:rsidR="004458CF" w:rsidRPr="008D440E">
        <w:rPr>
          <w:rFonts w:ascii="Times New Roman" w:hAnsi="Times New Roman" w:cs="Times New Roman"/>
        </w:rPr>
        <w:t>’s</w:t>
      </w:r>
      <w:r w:rsidR="00851C2B" w:rsidRPr="008D440E">
        <w:rPr>
          <w:rFonts w:ascii="Times New Roman" w:hAnsi="Times New Roman" w:cs="Times New Roman"/>
        </w:rPr>
        <w:t xml:space="preserve"> regulations pertain to the testing of electric meters and adjustment of a customer’s electric bills based on inaccurate meters.  52 Pa. Code §§57.20</w:t>
      </w:r>
      <w:r w:rsidR="00851C2B" w:rsidRPr="008D440E">
        <w:rPr>
          <w:rFonts w:ascii="Times New Roman" w:hAnsi="Times New Roman" w:cs="Times New Roman"/>
        </w:rPr>
        <w:noBreakHyphen/>
        <w:t xml:space="preserve">57.25; </w:t>
      </w:r>
      <w:r w:rsidR="00851C2B" w:rsidRPr="008D440E">
        <w:rPr>
          <w:rFonts w:ascii="Times New Roman" w:hAnsi="Times New Roman" w:cs="Times New Roman"/>
          <w:i/>
        </w:rPr>
        <w:t>see also</w:t>
      </w:r>
      <w:r w:rsidR="00851C2B" w:rsidRPr="008D440E">
        <w:rPr>
          <w:rFonts w:ascii="Times New Roman" w:hAnsi="Times New Roman" w:cs="Times New Roman"/>
        </w:rPr>
        <w:t xml:space="preserve">, </w:t>
      </w:r>
      <w:r w:rsidR="00851C2B" w:rsidRPr="008D440E">
        <w:rPr>
          <w:rFonts w:ascii="Times New Roman" w:hAnsi="Times New Roman" w:cs="Times New Roman"/>
          <w:u w:val="single"/>
        </w:rPr>
        <w:t>Phillip F. Sforza v. West Penn Power Co. d/b/a Allegheny Power</w:t>
      </w:r>
      <w:r w:rsidR="00851C2B" w:rsidRPr="008D440E">
        <w:rPr>
          <w:rFonts w:ascii="Times New Roman" w:hAnsi="Times New Roman" w:cs="Times New Roman"/>
        </w:rPr>
        <w:t>, Docket No. C-2008-2025536, Op</w:t>
      </w:r>
      <w:r w:rsidR="00EA75CD">
        <w:rPr>
          <w:rFonts w:ascii="Times New Roman" w:hAnsi="Times New Roman" w:cs="Times New Roman"/>
        </w:rPr>
        <w:t>inion and Order (entered August 11, </w:t>
      </w:r>
      <w:r w:rsidR="00851C2B" w:rsidRPr="008D440E">
        <w:rPr>
          <w:rFonts w:ascii="Times New Roman" w:hAnsi="Times New Roman" w:cs="Times New Roman"/>
        </w:rPr>
        <w:t>2009).  Of note, a customer’s electric bill is to be adjusted only if an electric meter, after testing, is found to have an average meter error of more than 2% fast or more than 2% slow.  52 Pa. Code § 57.24.  Thus, electric meters are presumed to accurately register consumption if the meter’s margin of error is plus or minus 2%.  At 99.79% accuracy, Ms. Loew is not entitled to a bill adjustment based on this factor alone.</w:t>
      </w:r>
    </w:p>
    <w:p w:rsidR="00851C2B" w:rsidRPr="008D440E" w:rsidRDefault="00851C2B" w:rsidP="0032796F">
      <w:pPr>
        <w:pStyle w:val="ParaTab1"/>
        <w:spacing w:line="360" w:lineRule="auto"/>
        <w:ind w:firstLine="0"/>
        <w:rPr>
          <w:rFonts w:ascii="Times New Roman" w:hAnsi="Times New Roman" w:cs="Times New Roman"/>
        </w:rPr>
      </w:pPr>
    </w:p>
    <w:p w:rsidR="009F2255" w:rsidRPr="008D440E" w:rsidRDefault="00851C2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9F2255" w:rsidRPr="008D440E">
        <w:rPr>
          <w:rFonts w:ascii="Times New Roman" w:hAnsi="Times New Roman" w:cs="Times New Roman"/>
        </w:rPr>
        <w:t>PPL also presented evidence that an investigation of Ms. Loew’s home revealed appliances that are consistent with the bills PPL has provided.  In particular, in addition to the typical appliances such as a washer, dryer, television, computer and vacuum cleaner, Ms. Loew’s home is heated by natural gas and cooled by a central air conditioning unit.  Tr. 17; PPL Exh. No. 5.  As PPL witness Crouthamel testified, the results of his high bill investigation of Ms. Loew’s home demonstrated that his estimates were accurate and her bills were correct.  Tr. 17-18; PPL Exh. No. 5.</w:t>
      </w:r>
    </w:p>
    <w:p w:rsidR="009F2255" w:rsidRPr="008D440E" w:rsidRDefault="009F2255" w:rsidP="0032796F">
      <w:pPr>
        <w:pStyle w:val="ParaTab1"/>
        <w:spacing w:line="360" w:lineRule="auto"/>
        <w:ind w:firstLine="0"/>
        <w:rPr>
          <w:rFonts w:ascii="Times New Roman" w:hAnsi="Times New Roman" w:cs="Times New Roman"/>
        </w:rPr>
      </w:pPr>
    </w:p>
    <w:p w:rsidR="009F2255" w:rsidRPr="008D440E" w:rsidRDefault="009F2255" w:rsidP="00963E20">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Mr. Crouthamel’s testimony was affirmed by the testimony of PPL witness Kashuba.  Ms. Kashuba testified that:</w:t>
      </w:r>
    </w:p>
    <w:p w:rsidR="009F2255" w:rsidRPr="008D440E" w:rsidRDefault="009F2255" w:rsidP="00963E20">
      <w:pPr>
        <w:pStyle w:val="ParaTab1"/>
        <w:ind w:firstLine="0"/>
        <w:rPr>
          <w:rFonts w:ascii="Times New Roman" w:hAnsi="Times New Roman" w:cs="Times New Roman"/>
        </w:rPr>
      </w:pPr>
    </w:p>
    <w:p w:rsidR="009F2255" w:rsidRPr="008D440E" w:rsidRDefault="009F2255" w:rsidP="00963E20">
      <w:pPr>
        <w:pStyle w:val="ParaTab1"/>
        <w:ind w:left="1440" w:right="1440" w:firstLine="0"/>
        <w:rPr>
          <w:rFonts w:ascii="Times New Roman" w:hAnsi="Times New Roman" w:cs="Times New Roman"/>
        </w:rPr>
      </w:pPr>
      <w:r w:rsidRPr="008D440E">
        <w:rPr>
          <w:rFonts w:ascii="Times New Roman" w:hAnsi="Times New Roman" w:cs="Times New Roman"/>
        </w:rPr>
        <w:t>Q.</w:t>
      </w:r>
      <w:r w:rsidRPr="008D440E">
        <w:rPr>
          <w:rFonts w:ascii="Times New Roman" w:hAnsi="Times New Roman" w:cs="Times New Roman"/>
        </w:rPr>
        <w:tab/>
        <w:t>In your experience dealing with account activity statements and customer accounts, does it make sense that a customer would be receiving a higher charge and using more kwh in the summer months if that customer is running central air conditioning versus having a non-electric heat source such as gas heat in the winter months?</w:t>
      </w:r>
    </w:p>
    <w:p w:rsidR="009F2255" w:rsidRPr="008D440E" w:rsidRDefault="009F2255" w:rsidP="009F2255">
      <w:pPr>
        <w:pStyle w:val="ParaTab1"/>
        <w:ind w:left="1440" w:right="1440" w:firstLine="0"/>
        <w:rPr>
          <w:rFonts w:ascii="Times New Roman" w:hAnsi="Times New Roman" w:cs="Times New Roman"/>
        </w:rPr>
      </w:pPr>
    </w:p>
    <w:p w:rsidR="009F2255" w:rsidRPr="008D440E" w:rsidRDefault="009F2255" w:rsidP="009F2255">
      <w:pPr>
        <w:pStyle w:val="ParaTab1"/>
        <w:ind w:left="1440" w:right="1440" w:firstLine="0"/>
        <w:rPr>
          <w:rFonts w:ascii="Times New Roman" w:hAnsi="Times New Roman" w:cs="Times New Roman"/>
        </w:rPr>
      </w:pPr>
      <w:r w:rsidRPr="008D440E">
        <w:rPr>
          <w:rFonts w:ascii="Times New Roman" w:hAnsi="Times New Roman" w:cs="Times New Roman"/>
        </w:rPr>
        <w:t>A.</w:t>
      </w:r>
      <w:r w:rsidRPr="008D440E">
        <w:rPr>
          <w:rFonts w:ascii="Times New Roman" w:hAnsi="Times New Roman" w:cs="Times New Roman"/>
        </w:rPr>
        <w:tab/>
      </w:r>
      <w:r w:rsidR="007A19DB" w:rsidRPr="008D440E">
        <w:rPr>
          <w:rFonts w:ascii="Times New Roman" w:hAnsi="Times New Roman" w:cs="Times New Roman"/>
        </w:rPr>
        <w:t xml:space="preserve">Yes.  </w:t>
      </w:r>
      <w:r w:rsidRPr="008D440E">
        <w:rPr>
          <w:rFonts w:ascii="Times New Roman" w:hAnsi="Times New Roman" w:cs="Times New Roman"/>
        </w:rPr>
        <w:t>Space heating and cooling tend to be the largest energy users in a residential account and so if a customer has central air, we would expect their summer usage to be much higher than the spring months.  Spring months we normally see no heating or cooling, so we would expect that to be safeguard usage.  Pretty much just usage for domestic appliances.</w:t>
      </w:r>
    </w:p>
    <w:p w:rsidR="009F2255" w:rsidRPr="008D440E" w:rsidRDefault="009F2255" w:rsidP="009F2255">
      <w:pPr>
        <w:pStyle w:val="ParaTab1"/>
        <w:ind w:left="1440" w:right="1440" w:firstLine="0"/>
        <w:rPr>
          <w:rFonts w:ascii="Times New Roman" w:hAnsi="Times New Roman" w:cs="Times New Roman"/>
        </w:rPr>
      </w:pPr>
    </w:p>
    <w:p w:rsidR="009F2255" w:rsidRPr="008D440E" w:rsidRDefault="009F2255" w:rsidP="009F2255">
      <w:pPr>
        <w:pStyle w:val="ParaTab1"/>
        <w:ind w:left="1440" w:right="1440" w:firstLine="0"/>
        <w:rPr>
          <w:rFonts w:ascii="Times New Roman" w:hAnsi="Times New Roman" w:cs="Times New Roman"/>
        </w:rPr>
      </w:pPr>
      <w:r w:rsidRPr="008D440E">
        <w:rPr>
          <w:rFonts w:ascii="Times New Roman" w:hAnsi="Times New Roman" w:cs="Times New Roman"/>
        </w:rPr>
        <w:t>Q.</w:t>
      </w:r>
      <w:r w:rsidRPr="008D440E">
        <w:rPr>
          <w:rFonts w:ascii="Times New Roman" w:hAnsi="Times New Roman" w:cs="Times New Roman"/>
        </w:rPr>
        <w:tab/>
        <w:t>So that would then help explain that fluctuation in Ms. Loew’s bill?</w:t>
      </w:r>
    </w:p>
    <w:p w:rsidR="009F2255" w:rsidRPr="008D440E" w:rsidRDefault="009F2255" w:rsidP="009F2255">
      <w:pPr>
        <w:pStyle w:val="ParaTab1"/>
        <w:ind w:left="1440" w:right="1440" w:firstLine="0"/>
        <w:rPr>
          <w:rFonts w:ascii="Times New Roman" w:hAnsi="Times New Roman" w:cs="Times New Roman"/>
        </w:rPr>
      </w:pPr>
    </w:p>
    <w:p w:rsidR="009F2255" w:rsidRPr="008D440E" w:rsidRDefault="009F2255" w:rsidP="009F2255">
      <w:pPr>
        <w:pStyle w:val="ParaTab1"/>
        <w:ind w:left="1440" w:right="1440" w:firstLine="0"/>
        <w:rPr>
          <w:rFonts w:ascii="Times New Roman" w:hAnsi="Times New Roman" w:cs="Times New Roman"/>
        </w:rPr>
      </w:pPr>
      <w:r w:rsidRPr="008D440E">
        <w:rPr>
          <w:rFonts w:ascii="Times New Roman" w:hAnsi="Times New Roman" w:cs="Times New Roman"/>
        </w:rPr>
        <w:t>A.</w:t>
      </w:r>
      <w:r w:rsidRPr="008D440E">
        <w:rPr>
          <w:rFonts w:ascii="Times New Roman" w:hAnsi="Times New Roman" w:cs="Times New Roman"/>
        </w:rPr>
        <w:tab/>
        <w:t>Yes, it would.</w:t>
      </w:r>
    </w:p>
    <w:p w:rsidR="009F2255" w:rsidRPr="008D440E" w:rsidRDefault="009F2255" w:rsidP="009F2255">
      <w:pPr>
        <w:pStyle w:val="ParaTab1"/>
        <w:ind w:left="1440" w:right="1440" w:firstLine="0"/>
        <w:rPr>
          <w:rFonts w:ascii="Times New Roman" w:hAnsi="Times New Roman" w:cs="Times New Roman"/>
        </w:rPr>
      </w:pPr>
    </w:p>
    <w:p w:rsidR="005B5DF3" w:rsidRPr="008D440E" w:rsidRDefault="009F2255"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Tr. 25.</w:t>
      </w:r>
      <w:r w:rsidR="00196974" w:rsidRPr="008D440E">
        <w:rPr>
          <w:rFonts w:ascii="Times New Roman" w:hAnsi="Times New Roman" w:cs="Times New Roman"/>
        </w:rPr>
        <w:t xml:space="preserve">  Substantial record evidence therefore supports denying Ms. Loew’s complaint on the basis that her meter may be inaccurate.</w:t>
      </w:r>
    </w:p>
    <w:p w:rsidR="005B5DF3" w:rsidRPr="008D440E" w:rsidRDefault="005B5DF3" w:rsidP="0032796F">
      <w:pPr>
        <w:pStyle w:val="ParaTab1"/>
        <w:spacing w:line="360" w:lineRule="auto"/>
        <w:ind w:firstLine="0"/>
        <w:rPr>
          <w:rFonts w:ascii="Times New Roman" w:hAnsi="Times New Roman" w:cs="Times New Roman"/>
        </w:rPr>
      </w:pPr>
    </w:p>
    <w:p w:rsidR="009B43E6" w:rsidRPr="008D440E" w:rsidRDefault="005B5DF3"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4458CF" w:rsidRPr="008D440E">
        <w:rPr>
          <w:rFonts w:ascii="Times New Roman" w:hAnsi="Times New Roman" w:cs="Times New Roman"/>
        </w:rPr>
        <w:t xml:space="preserve">While the Commission policy is that meter accuracy is not the sole criterion in high bill situations, Ms. Loew has not satisfied the other factors considered under </w:t>
      </w:r>
      <w:r w:rsidR="004458CF" w:rsidRPr="008D440E">
        <w:rPr>
          <w:rFonts w:ascii="Times New Roman" w:hAnsi="Times New Roman" w:cs="Times New Roman"/>
          <w:u w:val="single"/>
        </w:rPr>
        <w:t>Waldron</w:t>
      </w:r>
      <w:r w:rsidR="00196974" w:rsidRPr="008D440E">
        <w:rPr>
          <w:rFonts w:ascii="Times New Roman" w:hAnsi="Times New Roman" w:cs="Times New Roman"/>
        </w:rPr>
        <w:t xml:space="preserve"> </w:t>
      </w:r>
      <w:r w:rsidR="004458CF" w:rsidRPr="008D440E">
        <w:rPr>
          <w:rFonts w:ascii="Times New Roman" w:hAnsi="Times New Roman" w:cs="Times New Roman"/>
        </w:rPr>
        <w:t xml:space="preserve">either.  </w:t>
      </w:r>
      <w:r w:rsidR="000859DC" w:rsidRPr="008D440E">
        <w:rPr>
          <w:rFonts w:ascii="Times New Roman" w:hAnsi="Times New Roman" w:cs="Times New Roman"/>
        </w:rPr>
        <w:t xml:space="preserve">For example, Ms. Loew </w:t>
      </w:r>
      <w:r w:rsidR="006F2D8B" w:rsidRPr="008D440E">
        <w:rPr>
          <w:rFonts w:ascii="Times New Roman" w:hAnsi="Times New Roman" w:cs="Times New Roman"/>
        </w:rPr>
        <w:t>did not demonstrate that her billing history supports a finding that her bills are high.  The only record evidence in this proceeding regarding billing history is detailed in PPL Exh</w:t>
      </w:r>
      <w:r w:rsidR="009A319A" w:rsidRPr="008D440E">
        <w:rPr>
          <w:rFonts w:ascii="Times New Roman" w:hAnsi="Times New Roman" w:cs="Times New Roman"/>
        </w:rPr>
        <w:t>ibit</w:t>
      </w:r>
      <w:r w:rsidR="006F2D8B" w:rsidRPr="008D440E">
        <w:rPr>
          <w:rFonts w:ascii="Times New Roman" w:hAnsi="Times New Roman" w:cs="Times New Roman"/>
        </w:rPr>
        <w:t xml:space="preserve"> N</w:t>
      </w:r>
      <w:r w:rsidR="009A319A" w:rsidRPr="008D440E">
        <w:rPr>
          <w:rFonts w:ascii="Times New Roman" w:hAnsi="Times New Roman" w:cs="Times New Roman"/>
        </w:rPr>
        <w:t>umber</w:t>
      </w:r>
      <w:r w:rsidR="006F2D8B" w:rsidRPr="008D440E">
        <w:rPr>
          <w:rFonts w:ascii="Times New Roman" w:hAnsi="Times New Roman" w:cs="Times New Roman"/>
        </w:rPr>
        <w:t xml:space="preserve"> 1.  According to this Exhibit,</w:t>
      </w:r>
      <w:r w:rsidR="00AE347E">
        <w:rPr>
          <w:rFonts w:ascii="Times New Roman" w:hAnsi="Times New Roman" w:cs="Times New Roman"/>
        </w:rPr>
        <w:t xml:space="preserve"> Ms. Loew’s usage from </w:t>
      </w:r>
      <w:r w:rsidR="00AB704A">
        <w:rPr>
          <w:rFonts w:ascii="Times New Roman" w:hAnsi="Times New Roman" w:cs="Times New Roman"/>
        </w:rPr>
        <w:t>November</w:t>
      </w:r>
      <w:r w:rsidR="00AE347E">
        <w:rPr>
          <w:rFonts w:ascii="Times New Roman" w:hAnsi="Times New Roman" w:cs="Times New Roman"/>
        </w:rPr>
        <w:t>, </w:t>
      </w:r>
      <w:r w:rsidR="006F2D8B" w:rsidRPr="008D440E">
        <w:rPr>
          <w:rFonts w:ascii="Times New Roman" w:hAnsi="Times New Roman" w:cs="Times New Roman"/>
        </w:rPr>
        <w:t>2010 to October, 2012, as measured in kwh is:</w:t>
      </w:r>
    </w:p>
    <w:p w:rsidR="006F2D8B" w:rsidRPr="008D440E" w:rsidRDefault="006F2D8B" w:rsidP="009B43E6">
      <w:pPr>
        <w:autoSpaceDE/>
        <w:autoSpaceDN/>
        <w:rPr>
          <w:rFonts w:ascii="Times New Roman" w:hAnsi="Times New Roman" w:cs="Times New Roman"/>
        </w:rPr>
      </w:pPr>
    </w:p>
    <w:tbl>
      <w:tblPr>
        <w:tblStyle w:val="TableGrid"/>
        <w:tblW w:w="0" w:type="auto"/>
        <w:tblInd w:w="828" w:type="dxa"/>
        <w:tblLook w:val="04A0" w:firstRow="1" w:lastRow="0" w:firstColumn="1" w:lastColumn="0" w:noHBand="0" w:noVBand="1"/>
      </w:tblPr>
      <w:tblGrid>
        <w:gridCol w:w="2790"/>
        <w:gridCol w:w="2070"/>
        <w:gridCol w:w="2340"/>
      </w:tblGrid>
      <w:tr w:rsidR="006F2D8B" w:rsidRPr="008D440E" w:rsidTr="006F2D8B">
        <w:tc>
          <w:tcPr>
            <w:tcW w:w="2790" w:type="dxa"/>
          </w:tcPr>
          <w:p w:rsidR="006F2D8B" w:rsidRPr="008D440E" w:rsidRDefault="006F2D8B" w:rsidP="006F2D8B">
            <w:pPr>
              <w:pStyle w:val="ParaTab1"/>
              <w:spacing w:line="360" w:lineRule="auto"/>
              <w:ind w:firstLine="0"/>
              <w:jc w:val="center"/>
              <w:rPr>
                <w:rFonts w:ascii="Times New Roman" w:hAnsi="Times New Roman" w:cs="Times New Roman"/>
                <w:b/>
                <w:u w:val="single"/>
              </w:rPr>
            </w:pPr>
            <w:r w:rsidRPr="008D440E">
              <w:rPr>
                <w:rFonts w:ascii="Times New Roman" w:hAnsi="Times New Roman" w:cs="Times New Roman"/>
                <w:b/>
                <w:u w:val="single"/>
              </w:rPr>
              <w:t>Month</w:t>
            </w:r>
          </w:p>
        </w:tc>
        <w:tc>
          <w:tcPr>
            <w:tcW w:w="2070" w:type="dxa"/>
          </w:tcPr>
          <w:p w:rsidR="006F2D8B" w:rsidRPr="008D440E" w:rsidRDefault="006F2D8B" w:rsidP="006F2D8B">
            <w:pPr>
              <w:pStyle w:val="ParaTab1"/>
              <w:spacing w:line="360" w:lineRule="auto"/>
              <w:ind w:firstLine="0"/>
              <w:jc w:val="center"/>
              <w:rPr>
                <w:rFonts w:ascii="Times New Roman" w:hAnsi="Times New Roman" w:cs="Times New Roman"/>
                <w:b/>
                <w:u w:val="single"/>
              </w:rPr>
            </w:pPr>
            <w:r w:rsidRPr="008D440E">
              <w:rPr>
                <w:rFonts w:ascii="Times New Roman" w:hAnsi="Times New Roman" w:cs="Times New Roman"/>
                <w:b/>
                <w:u w:val="single"/>
              </w:rPr>
              <w:t>2010-11</w:t>
            </w:r>
          </w:p>
        </w:tc>
        <w:tc>
          <w:tcPr>
            <w:tcW w:w="2340" w:type="dxa"/>
          </w:tcPr>
          <w:p w:rsidR="006F2D8B" w:rsidRPr="008D440E" w:rsidRDefault="006F2D8B" w:rsidP="006F2D8B">
            <w:pPr>
              <w:pStyle w:val="ParaTab1"/>
              <w:spacing w:line="360" w:lineRule="auto"/>
              <w:ind w:firstLine="0"/>
              <w:jc w:val="center"/>
              <w:rPr>
                <w:rFonts w:ascii="Times New Roman" w:hAnsi="Times New Roman" w:cs="Times New Roman"/>
                <w:b/>
                <w:u w:val="single"/>
              </w:rPr>
            </w:pPr>
            <w:r w:rsidRPr="008D440E">
              <w:rPr>
                <w:rFonts w:ascii="Times New Roman" w:hAnsi="Times New Roman" w:cs="Times New Roman"/>
                <w:b/>
                <w:u w:val="single"/>
              </w:rPr>
              <w:t>2011-12</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November</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523</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1145</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December</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721</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1171</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January</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869</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920</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February</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702</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967</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March</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612</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911</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April</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614</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940</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May</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827</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695</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June</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1245</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1537</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July</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1789</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1905</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August</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2157</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1654</w:t>
            </w:r>
          </w:p>
        </w:tc>
      </w:tr>
      <w:tr w:rsidR="006F2D8B" w:rsidRPr="008D440E" w:rsidTr="006F2D8B">
        <w:tc>
          <w:tcPr>
            <w:tcW w:w="2790" w:type="dxa"/>
          </w:tcPr>
          <w:p w:rsidR="006F2D8B"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September</w:t>
            </w:r>
          </w:p>
        </w:tc>
        <w:tc>
          <w:tcPr>
            <w:tcW w:w="207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1865</w:t>
            </w:r>
          </w:p>
        </w:tc>
        <w:tc>
          <w:tcPr>
            <w:tcW w:w="2340" w:type="dxa"/>
          </w:tcPr>
          <w:p w:rsidR="006F2D8B"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1580</w:t>
            </w:r>
          </w:p>
        </w:tc>
      </w:tr>
      <w:tr w:rsidR="00A83B91" w:rsidRPr="008D440E" w:rsidTr="006F2D8B">
        <w:tc>
          <w:tcPr>
            <w:tcW w:w="2790" w:type="dxa"/>
          </w:tcPr>
          <w:p w:rsidR="00A83B91"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October</w:t>
            </w:r>
          </w:p>
        </w:tc>
        <w:tc>
          <w:tcPr>
            <w:tcW w:w="2070" w:type="dxa"/>
          </w:tcPr>
          <w:p w:rsidR="00A83B91" w:rsidRPr="008D440E" w:rsidRDefault="00A83B91"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1632</w:t>
            </w:r>
          </w:p>
        </w:tc>
        <w:tc>
          <w:tcPr>
            <w:tcW w:w="2340" w:type="dxa"/>
          </w:tcPr>
          <w:p w:rsidR="00A83B91" w:rsidRPr="008D440E" w:rsidRDefault="00C0074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801</w:t>
            </w:r>
          </w:p>
        </w:tc>
      </w:tr>
    </w:tbl>
    <w:p w:rsidR="006F2D8B" w:rsidRPr="008D440E" w:rsidRDefault="006F2D8B" w:rsidP="0032796F">
      <w:pPr>
        <w:pStyle w:val="ParaTab1"/>
        <w:spacing w:line="360" w:lineRule="auto"/>
        <w:ind w:firstLine="0"/>
        <w:rPr>
          <w:rFonts w:ascii="Times New Roman" w:hAnsi="Times New Roman" w:cs="Times New Roman"/>
        </w:rPr>
      </w:pPr>
    </w:p>
    <w:p w:rsidR="00C46963" w:rsidRPr="008D440E" w:rsidRDefault="006F2D8B"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PPL Exh. No. 1.</w:t>
      </w:r>
    </w:p>
    <w:p w:rsidR="00C46963" w:rsidRPr="008D440E" w:rsidRDefault="00C46963" w:rsidP="0032796F">
      <w:pPr>
        <w:pStyle w:val="ParaTab1"/>
        <w:spacing w:line="360" w:lineRule="auto"/>
        <w:ind w:firstLine="0"/>
        <w:rPr>
          <w:rFonts w:ascii="Times New Roman" w:hAnsi="Times New Roman" w:cs="Times New Roman"/>
        </w:rPr>
      </w:pPr>
    </w:p>
    <w:p w:rsidR="00C46963" w:rsidRPr="008D440E" w:rsidRDefault="00C46963"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CD60FA" w:rsidRPr="008D440E">
        <w:rPr>
          <w:rFonts w:ascii="Times New Roman" w:hAnsi="Times New Roman" w:cs="Times New Roman"/>
        </w:rPr>
        <w:t>While eight of these monthly comparisons indicate increases</w:t>
      </w:r>
      <w:r w:rsidR="009A319A" w:rsidRPr="008D440E">
        <w:rPr>
          <w:rFonts w:ascii="Times New Roman" w:hAnsi="Times New Roman" w:cs="Times New Roman"/>
        </w:rPr>
        <w:t xml:space="preserve"> from </w:t>
      </w:r>
      <w:r w:rsidR="00F8066A">
        <w:rPr>
          <w:rFonts w:ascii="Times New Roman" w:hAnsi="Times New Roman" w:cs="Times New Roman"/>
        </w:rPr>
        <w:t>2010-2011 to </w:t>
      </w:r>
      <w:r w:rsidR="00196974" w:rsidRPr="008D440E">
        <w:rPr>
          <w:rFonts w:ascii="Times New Roman" w:hAnsi="Times New Roman" w:cs="Times New Roman"/>
        </w:rPr>
        <w:t>2011-2012</w:t>
      </w:r>
      <w:r w:rsidR="00CD60FA" w:rsidRPr="008D440E">
        <w:rPr>
          <w:rFonts w:ascii="Times New Roman" w:hAnsi="Times New Roman" w:cs="Times New Roman"/>
        </w:rPr>
        <w:t xml:space="preserve">, compared to only four of the monthly comparisons that indicate decreases, and some </w:t>
      </w:r>
      <w:r w:rsidR="004458CF" w:rsidRPr="008D440E">
        <w:rPr>
          <w:rFonts w:ascii="Times New Roman" w:hAnsi="Times New Roman" w:cs="Times New Roman"/>
        </w:rPr>
        <w:t>of the increases are significant</w:t>
      </w:r>
      <w:r w:rsidR="00CD60FA" w:rsidRPr="008D440E">
        <w:rPr>
          <w:rFonts w:ascii="Times New Roman" w:hAnsi="Times New Roman" w:cs="Times New Roman"/>
        </w:rPr>
        <w:t>, there is no clear pattern that would support a finding that Ms. Loew’s meter is inaccurate</w:t>
      </w:r>
      <w:r w:rsidR="004458CF" w:rsidRPr="008D440E">
        <w:rPr>
          <w:rFonts w:ascii="Times New Roman" w:hAnsi="Times New Roman" w:cs="Times New Roman"/>
        </w:rPr>
        <w:t xml:space="preserve"> or PPL’s bills to Ms. Loew are </w:t>
      </w:r>
      <w:r w:rsidR="00AB704A">
        <w:rPr>
          <w:rFonts w:ascii="Times New Roman" w:hAnsi="Times New Roman" w:cs="Times New Roman"/>
        </w:rPr>
        <w:t>incorrect</w:t>
      </w:r>
      <w:r w:rsidR="009A319A" w:rsidRPr="008D440E">
        <w:rPr>
          <w:rFonts w:ascii="Times New Roman" w:hAnsi="Times New Roman" w:cs="Times New Roman"/>
        </w:rPr>
        <w:t xml:space="preserve">.  </w:t>
      </w:r>
      <w:r w:rsidR="00CD60FA" w:rsidRPr="008D440E">
        <w:rPr>
          <w:rFonts w:ascii="Times New Roman" w:hAnsi="Times New Roman" w:cs="Times New Roman"/>
        </w:rPr>
        <w:t xml:space="preserve">For example, whereas the usage </w:t>
      </w:r>
      <w:r w:rsidR="00AB704A">
        <w:rPr>
          <w:rFonts w:ascii="Times New Roman" w:hAnsi="Times New Roman" w:cs="Times New Roman"/>
        </w:rPr>
        <w:t>in</w:t>
      </w:r>
      <w:r w:rsidR="00CD60FA" w:rsidRPr="008D440E">
        <w:rPr>
          <w:rFonts w:ascii="Times New Roman" w:hAnsi="Times New Roman" w:cs="Times New Roman"/>
        </w:rPr>
        <w:t xml:space="preserve"> November, 2011 </w:t>
      </w:r>
      <w:r w:rsidR="00AB704A">
        <w:rPr>
          <w:rFonts w:ascii="Times New Roman" w:hAnsi="Times New Roman" w:cs="Times New Roman"/>
        </w:rPr>
        <w:t xml:space="preserve">was more than double the usage in </w:t>
      </w:r>
      <w:r w:rsidR="00CD60FA" w:rsidRPr="008D440E">
        <w:rPr>
          <w:rFonts w:ascii="Times New Roman" w:hAnsi="Times New Roman" w:cs="Times New Roman"/>
        </w:rPr>
        <w:t>November, 201</w:t>
      </w:r>
      <w:r w:rsidR="00CB7D27">
        <w:rPr>
          <w:rFonts w:ascii="Times New Roman" w:hAnsi="Times New Roman" w:cs="Times New Roman"/>
        </w:rPr>
        <w:t>2 (523 kwh to </w:t>
      </w:r>
      <w:r w:rsidR="00CD60FA" w:rsidRPr="008D440E">
        <w:rPr>
          <w:rFonts w:ascii="Times New Roman" w:hAnsi="Times New Roman" w:cs="Times New Roman"/>
        </w:rPr>
        <w:t xml:space="preserve">1145 kwh), the usage </w:t>
      </w:r>
      <w:r w:rsidR="00AB704A">
        <w:rPr>
          <w:rFonts w:ascii="Times New Roman" w:hAnsi="Times New Roman" w:cs="Times New Roman"/>
        </w:rPr>
        <w:t xml:space="preserve">in </w:t>
      </w:r>
      <w:r w:rsidR="00CD60FA" w:rsidRPr="008D440E">
        <w:rPr>
          <w:rFonts w:ascii="Times New Roman" w:hAnsi="Times New Roman" w:cs="Times New Roman"/>
        </w:rPr>
        <w:t xml:space="preserve">October, 2011 </w:t>
      </w:r>
      <w:r w:rsidR="00AB704A">
        <w:rPr>
          <w:rFonts w:ascii="Times New Roman" w:hAnsi="Times New Roman" w:cs="Times New Roman"/>
        </w:rPr>
        <w:t xml:space="preserve">was less than half the usage in </w:t>
      </w:r>
      <w:r w:rsidR="00CD60FA" w:rsidRPr="008D440E">
        <w:rPr>
          <w:rFonts w:ascii="Times New Roman" w:hAnsi="Times New Roman" w:cs="Times New Roman"/>
        </w:rPr>
        <w:t xml:space="preserve">October, 2012 </w:t>
      </w:r>
      <w:r w:rsidR="00D87411">
        <w:rPr>
          <w:rFonts w:ascii="Times New Roman" w:hAnsi="Times New Roman" w:cs="Times New Roman"/>
        </w:rPr>
        <w:t>(1632 kwh to </w:t>
      </w:r>
      <w:r w:rsidR="00CD60FA" w:rsidRPr="008D440E">
        <w:rPr>
          <w:rFonts w:ascii="Times New Roman" w:hAnsi="Times New Roman" w:cs="Times New Roman"/>
        </w:rPr>
        <w:t>801 kwh).  Certainly, on average Ms. Loew’s usage in 20</w:t>
      </w:r>
      <w:r w:rsidR="00396E8D">
        <w:rPr>
          <w:rFonts w:ascii="Times New Roman" w:hAnsi="Times New Roman" w:cs="Times New Roman"/>
        </w:rPr>
        <w:t>12 was higher than her usage in </w:t>
      </w:r>
      <w:r w:rsidR="00CD60FA" w:rsidRPr="008D440E">
        <w:rPr>
          <w:rFonts w:ascii="Times New Roman" w:hAnsi="Times New Roman" w:cs="Times New Roman"/>
        </w:rPr>
        <w:t>2011, but such a difference could be explained by other reasons</w:t>
      </w:r>
      <w:r w:rsidR="004E2B76">
        <w:rPr>
          <w:rFonts w:ascii="Times New Roman" w:hAnsi="Times New Roman" w:cs="Times New Roman"/>
        </w:rPr>
        <w:t>, such as warmer weather in </w:t>
      </w:r>
      <w:r w:rsidR="004458CF" w:rsidRPr="008D440E">
        <w:rPr>
          <w:rFonts w:ascii="Times New Roman" w:hAnsi="Times New Roman" w:cs="Times New Roman"/>
        </w:rPr>
        <w:t>2012 that required</w:t>
      </w:r>
      <w:r w:rsidR="00CD60FA" w:rsidRPr="008D440E">
        <w:rPr>
          <w:rFonts w:ascii="Times New Roman" w:hAnsi="Times New Roman" w:cs="Times New Roman"/>
        </w:rPr>
        <w:t xml:space="preserve"> </w:t>
      </w:r>
      <w:r w:rsidR="009A319A" w:rsidRPr="008D440E">
        <w:rPr>
          <w:rFonts w:ascii="Times New Roman" w:hAnsi="Times New Roman" w:cs="Times New Roman"/>
        </w:rPr>
        <w:t>the air conditioner to run more often</w:t>
      </w:r>
      <w:r w:rsidR="00CD60FA" w:rsidRPr="008D440E">
        <w:rPr>
          <w:rFonts w:ascii="Times New Roman" w:hAnsi="Times New Roman" w:cs="Times New Roman"/>
        </w:rPr>
        <w:t xml:space="preserve">.  </w:t>
      </w:r>
      <w:r w:rsidR="009A319A" w:rsidRPr="008D440E">
        <w:rPr>
          <w:rFonts w:ascii="Times New Roman" w:hAnsi="Times New Roman" w:cs="Times New Roman"/>
        </w:rPr>
        <w:t xml:space="preserve">There is no record evidence to support a finding that Ms. Loew’s billing history demonstrates that she is being incorrectly billed by PPL.  </w:t>
      </w:r>
      <w:r w:rsidR="009A319A" w:rsidRPr="008D440E">
        <w:rPr>
          <w:rFonts w:ascii="Times New Roman" w:hAnsi="Times New Roman" w:cs="Times New Roman"/>
          <w:u w:val="single"/>
        </w:rPr>
        <w:t>Waldron</w:t>
      </w:r>
      <w:r w:rsidR="009A319A" w:rsidRPr="008D440E">
        <w:rPr>
          <w:rFonts w:ascii="Times New Roman" w:hAnsi="Times New Roman" w:cs="Times New Roman"/>
        </w:rPr>
        <w:t>.</w:t>
      </w:r>
    </w:p>
    <w:p w:rsidR="00C46963" w:rsidRPr="008D440E" w:rsidRDefault="00C46963" w:rsidP="0032796F">
      <w:pPr>
        <w:pStyle w:val="ParaTab1"/>
        <w:spacing w:line="360" w:lineRule="auto"/>
        <w:ind w:firstLine="0"/>
        <w:rPr>
          <w:rFonts w:ascii="Times New Roman" w:hAnsi="Times New Roman" w:cs="Times New Roman"/>
        </w:rPr>
      </w:pPr>
    </w:p>
    <w:p w:rsidR="00CD60FA" w:rsidRPr="008D440E" w:rsidRDefault="00C46963"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CD60FA" w:rsidRPr="008D440E">
        <w:rPr>
          <w:rFonts w:ascii="Times New Roman" w:hAnsi="Times New Roman" w:cs="Times New Roman"/>
        </w:rPr>
        <w:t xml:space="preserve">Ms. Loew </w:t>
      </w:r>
      <w:r w:rsidR="009A319A" w:rsidRPr="008D440E">
        <w:rPr>
          <w:rFonts w:ascii="Times New Roman" w:hAnsi="Times New Roman" w:cs="Times New Roman"/>
        </w:rPr>
        <w:t xml:space="preserve">also did not </w:t>
      </w:r>
      <w:r w:rsidR="00CD60FA" w:rsidRPr="008D440E">
        <w:rPr>
          <w:rFonts w:ascii="Times New Roman" w:hAnsi="Times New Roman" w:cs="Times New Roman"/>
        </w:rPr>
        <w:t xml:space="preserve">present any evidence regarding the other </w:t>
      </w:r>
      <w:r w:rsidR="00CD60FA" w:rsidRPr="008D440E">
        <w:rPr>
          <w:rFonts w:ascii="Times New Roman" w:hAnsi="Times New Roman" w:cs="Times New Roman"/>
          <w:u w:val="single"/>
        </w:rPr>
        <w:t>Waldron</w:t>
      </w:r>
      <w:r w:rsidR="00CD60FA" w:rsidRPr="008D440E">
        <w:rPr>
          <w:rFonts w:ascii="Times New Roman" w:hAnsi="Times New Roman" w:cs="Times New Roman"/>
        </w:rPr>
        <w:t xml:space="preserve"> factors</w:t>
      </w:r>
      <w:r w:rsidRPr="008D440E">
        <w:rPr>
          <w:rFonts w:ascii="Times New Roman" w:hAnsi="Times New Roman" w:cs="Times New Roman"/>
        </w:rPr>
        <w:t>.  As noted, Ms. Loew</w:t>
      </w:r>
      <w:r w:rsidR="001A48F9">
        <w:rPr>
          <w:rFonts w:ascii="Times New Roman" w:hAnsi="Times New Roman" w:cs="Times New Roman"/>
        </w:rPr>
        <w:t xml:space="preserve"> has</w:t>
      </w:r>
      <w:r w:rsidRPr="008D440E">
        <w:rPr>
          <w:rFonts w:ascii="Times New Roman" w:hAnsi="Times New Roman" w:cs="Times New Roman"/>
        </w:rPr>
        <w:t xml:space="preserve"> lived alone in the home since February, 2010</w:t>
      </w:r>
      <w:r w:rsidR="009A319A" w:rsidRPr="008D440E">
        <w:rPr>
          <w:rFonts w:ascii="Times New Roman" w:hAnsi="Times New Roman" w:cs="Times New Roman"/>
        </w:rPr>
        <w:t>.  T</w:t>
      </w:r>
      <w:r w:rsidRPr="008D440E">
        <w:rPr>
          <w:rFonts w:ascii="Times New Roman" w:hAnsi="Times New Roman" w:cs="Times New Roman"/>
        </w:rPr>
        <w:t>r. 9</w:t>
      </w:r>
      <w:r w:rsidR="009A319A" w:rsidRPr="008D440E">
        <w:rPr>
          <w:rFonts w:ascii="Times New Roman" w:hAnsi="Times New Roman" w:cs="Times New Roman"/>
        </w:rPr>
        <w:t xml:space="preserve">.  There is, therefore, no evidence that any change in the number of occupants residing at the household </w:t>
      </w:r>
      <w:r w:rsidR="004458CF" w:rsidRPr="008D440E">
        <w:rPr>
          <w:rFonts w:ascii="Times New Roman" w:hAnsi="Times New Roman" w:cs="Times New Roman"/>
        </w:rPr>
        <w:t xml:space="preserve">from 2010-2011 to 2011-2012 </w:t>
      </w:r>
      <w:r w:rsidR="009A319A" w:rsidRPr="008D440E">
        <w:rPr>
          <w:rFonts w:ascii="Times New Roman" w:hAnsi="Times New Roman" w:cs="Times New Roman"/>
        </w:rPr>
        <w:t xml:space="preserve">demonstrates that Ms. Loew was being incorrectly billed by PPL.  Nor is </w:t>
      </w:r>
      <w:r w:rsidRPr="008D440E">
        <w:rPr>
          <w:rFonts w:ascii="Times New Roman" w:hAnsi="Times New Roman" w:cs="Times New Roman"/>
        </w:rPr>
        <w:t xml:space="preserve">there </w:t>
      </w:r>
      <w:r w:rsidR="009A319A" w:rsidRPr="008D440E">
        <w:rPr>
          <w:rFonts w:ascii="Times New Roman" w:hAnsi="Times New Roman" w:cs="Times New Roman"/>
        </w:rPr>
        <w:t xml:space="preserve">any </w:t>
      </w:r>
      <w:r w:rsidRPr="008D440E">
        <w:rPr>
          <w:rFonts w:ascii="Times New Roman" w:hAnsi="Times New Roman" w:cs="Times New Roman"/>
        </w:rPr>
        <w:t>record evidence regarding the potential for energy utilization that would support a finding that Ms. Loew’s bill was higher than it should be.  Ms. Loew also did not raise any other relevant factors or circumstances during the proceeding that would support a finding that she was receiving a high bill for electric service from PPL.</w:t>
      </w:r>
    </w:p>
    <w:p w:rsidR="009A319A" w:rsidRPr="008D440E" w:rsidRDefault="009A319A" w:rsidP="0032796F">
      <w:pPr>
        <w:pStyle w:val="ParaTab1"/>
        <w:spacing w:line="360" w:lineRule="auto"/>
        <w:ind w:firstLine="0"/>
        <w:rPr>
          <w:rFonts w:ascii="Times New Roman" w:hAnsi="Times New Roman" w:cs="Times New Roman"/>
        </w:rPr>
      </w:pPr>
    </w:p>
    <w:p w:rsidR="009A319A" w:rsidRPr="008D440E" w:rsidRDefault="009A319A"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In conclusion, it is not unreasonable that Ms. Loew’s bills would incr</w:t>
      </w:r>
      <w:r w:rsidR="0055279E" w:rsidRPr="008D440E">
        <w:rPr>
          <w:rFonts w:ascii="Times New Roman" w:hAnsi="Times New Roman" w:cs="Times New Roman"/>
        </w:rPr>
        <w:t xml:space="preserve">ease from one month to the next, as Ms. Loew testified, Tr. 9-10, when her home is heated with a non-electric heat source and cooled by central air conditioning.  This is especially true when Ms. Loew testified that she keeps her air conditioning set at 67 or 68 degrees.  Tr. 11.  Heating and cooling have a major impact on electric usage </w:t>
      </w:r>
      <w:r w:rsidR="004458CF" w:rsidRPr="008D440E">
        <w:rPr>
          <w:rFonts w:ascii="Times New Roman" w:hAnsi="Times New Roman" w:cs="Times New Roman"/>
        </w:rPr>
        <w:t xml:space="preserve">for residential customers and could </w:t>
      </w:r>
      <w:r w:rsidR="0055279E" w:rsidRPr="008D440E">
        <w:rPr>
          <w:rFonts w:ascii="Times New Roman" w:hAnsi="Times New Roman" w:cs="Times New Roman"/>
        </w:rPr>
        <w:t xml:space="preserve">be the cause for </w:t>
      </w:r>
      <w:r w:rsidR="00196974" w:rsidRPr="008D440E">
        <w:rPr>
          <w:rFonts w:ascii="Times New Roman" w:hAnsi="Times New Roman" w:cs="Times New Roman"/>
        </w:rPr>
        <w:t xml:space="preserve">the fluctuations that </w:t>
      </w:r>
      <w:r w:rsidR="0055279E" w:rsidRPr="008D440E">
        <w:rPr>
          <w:rFonts w:ascii="Times New Roman" w:hAnsi="Times New Roman" w:cs="Times New Roman"/>
        </w:rPr>
        <w:t>Ms. Loew claims to be incorrect bills.</w:t>
      </w:r>
    </w:p>
    <w:p w:rsidR="00CD60FA" w:rsidRPr="008D440E" w:rsidRDefault="00CD60FA" w:rsidP="0032796F">
      <w:pPr>
        <w:pStyle w:val="ParaTab1"/>
        <w:spacing w:line="360" w:lineRule="auto"/>
        <w:ind w:firstLine="0"/>
        <w:rPr>
          <w:rFonts w:ascii="Times New Roman" w:hAnsi="Times New Roman" w:cs="Times New Roman"/>
        </w:rPr>
      </w:pPr>
    </w:p>
    <w:p w:rsidR="00CF0FC2" w:rsidRPr="008D440E" w:rsidRDefault="00C46963" w:rsidP="0032796F">
      <w:pPr>
        <w:pStyle w:val="ParaTab1"/>
        <w:spacing w:line="360" w:lineRule="auto"/>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r>
      <w:r w:rsidR="0055279E" w:rsidRPr="008D440E">
        <w:rPr>
          <w:rFonts w:ascii="Times New Roman" w:hAnsi="Times New Roman" w:cs="Times New Roman"/>
        </w:rPr>
        <w:t>As such</w:t>
      </w:r>
      <w:r w:rsidRPr="008D440E">
        <w:rPr>
          <w:rFonts w:ascii="Times New Roman" w:hAnsi="Times New Roman" w:cs="Times New Roman"/>
        </w:rPr>
        <w:t xml:space="preserve">, Ms. Loew failed to </w:t>
      </w:r>
      <w:r w:rsidR="00D0123E" w:rsidRPr="008D440E">
        <w:rPr>
          <w:rFonts w:ascii="Times New Roman" w:hAnsi="Times New Roman" w:cs="Times New Roman"/>
        </w:rPr>
        <w:t xml:space="preserve">carry her burden </w:t>
      </w:r>
      <w:r w:rsidR="0055279E" w:rsidRPr="008D440E">
        <w:rPr>
          <w:rFonts w:ascii="Times New Roman" w:hAnsi="Times New Roman" w:cs="Times New Roman"/>
        </w:rPr>
        <w:t xml:space="preserve">under </w:t>
      </w:r>
      <w:r w:rsidR="0055279E" w:rsidRPr="008D440E">
        <w:rPr>
          <w:rFonts w:ascii="Times New Roman" w:hAnsi="Times New Roman" w:cs="Times New Roman"/>
          <w:u w:val="single"/>
        </w:rPr>
        <w:t>Waldron</w:t>
      </w:r>
      <w:r w:rsidR="0055279E" w:rsidRPr="008D440E">
        <w:rPr>
          <w:rFonts w:ascii="Times New Roman" w:hAnsi="Times New Roman" w:cs="Times New Roman"/>
        </w:rPr>
        <w:t xml:space="preserve"> </w:t>
      </w:r>
      <w:r w:rsidR="00D0123E" w:rsidRPr="008D440E">
        <w:rPr>
          <w:rFonts w:ascii="Times New Roman" w:hAnsi="Times New Roman" w:cs="Times New Roman"/>
        </w:rPr>
        <w:t>to demonstrate that PPL issued her incorrect bills or otherwise violated the Public Utility Code, any Commission Order or regulation or any Commission-approved tariff in any manner.  In contrast, PPL presented substantial record evidence demonstrating that Ms. Loew’s meter was 99.79% accurate</w:t>
      </w:r>
      <w:r w:rsidR="007E5781" w:rsidRPr="008D440E">
        <w:rPr>
          <w:rFonts w:ascii="Times New Roman" w:hAnsi="Times New Roman" w:cs="Times New Roman"/>
        </w:rPr>
        <w:t xml:space="preserve"> and that Ms. Loew’s usage was consistent with a customer with her home and type of appliances.  </w:t>
      </w:r>
      <w:r w:rsidR="0097724F" w:rsidRPr="008D440E">
        <w:rPr>
          <w:rFonts w:ascii="Times New Roman" w:hAnsi="Times New Roman" w:cs="Times New Roman"/>
        </w:rPr>
        <w:t xml:space="preserve">As the complainant in this case, </w:t>
      </w:r>
      <w:r w:rsidR="00CC0F6B" w:rsidRPr="008D440E">
        <w:rPr>
          <w:rFonts w:ascii="Times New Roman" w:hAnsi="Times New Roman" w:cs="Times New Roman"/>
        </w:rPr>
        <w:t xml:space="preserve">Ms. </w:t>
      </w:r>
      <w:r w:rsidR="007E5781" w:rsidRPr="008D440E">
        <w:rPr>
          <w:rFonts w:ascii="Times New Roman" w:hAnsi="Times New Roman" w:cs="Times New Roman"/>
        </w:rPr>
        <w:t xml:space="preserve">Loew </w:t>
      </w:r>
      <w:r w:rsidR="00CC0F6B" w:rsidRPr="008D440E">
        <w:rPr>
          <w:rFonts w:ascii="Times New Roman" w:hAnsi="Times New Roman" w:cs="Times New Roman"/>
        </w:rPr>
        <w:t xml:space="preserve">has the burden of going forward with the evidence </w:t>
      </w:r>
      <w:r w:rsidR="002077C6" w:rsidRPr="008D440E">
        <w:rPr>
          <w:rFonts w:ascii="Times New Roman" w:hAnsi="Times New Roman" w:cs="Times New Roman"/>
        </w:rPr>
        <w:t xml:space="preserve">after </w:t>
      </w:r>
      <w:r w:rsidR="007E5781" w:rsidRPr="008D440E">
        <w:rPr>
          <w:rFonts w:ascii="Times New Roman" w:hAnsi="Times New Roman" w:cs="Times New Roman"/>
        </w:rPr>
        <w:t xml:space="preserve">PPL </w:t>
      </w:r>
      <w:r w:rsidR="00CC0F6B" w:rsidRPr="008D440E">
        <w:rPr>
          <w:rFonts w:ascii="Times New Roman" w:hAnsi="Times New Roman" w:cs="Times New Roman"/>
        </w:rPr>
        <w:t xml:space="preserve">rebutted her </w:t>
      </w:r>
      <w:r w:rsidR="002077C6" w:rsidRPr="008D440E">
        <w:rPr>
          <w:rFonts w:ascii="Times New Roman" w:hAnsi="Times New Roman" w:cs="Times New Roman"/>
        </w:rPr>
        <w:t xml:space="preserve">initial </w:t>
      </w:r>
      <w:r w:rsidR="00CC0F6B" w:rsidRPr="008D440E">
        <w:rPr>
          <w:rFonts w:ascii="Times New Roman" w:hAnsi="Times New Roman" w:cs="Times New Roman"/>
        </w:rPr>
        <w:t>evidence</w:t>
      </w:r>
      <w:r w:rsidR="002077C6" w:rsidRPr="008D440E">
        <w:rPr>
          <w:rFonts w:ascii="Times New Roman" w:hAnsi="Times New Roman" w:cs="Times New Roman"/>
        </w:rPr>
        <w:t xml:space="preserve">.  </w:t>
      </w:r>
      <w:r w:rsidR="002077C6" w:rsidRPr="008D440E">
        <w:rPr>
          <w:rFonts w:ascii="Times New Roman" w:hAnsi="Times New Roman" w:cs="Times New Roman"/>
          <w:u w:val="single"/>
        </w:rPr>
        <w:t>Replogle</w:t>
      </w:r>
      <w:r w:rsidR="002077C6" w:rsidRPr="008D440E">
        <w:rPr>
          <w:rFonts w:ascii="Times New Roman" w:hAnsi="Times New Roman" w:cs="Times New Roman"/>
        </w:rPr>
        <w:t xml:space="preserve">, </w:t>
      </w:r>
      <w:r w:rsidR="002077C6" w:rsidRPr="008D440E">
        <w:rPr>
          <w:rFonts w:ascii="Times New Roman" w:hAnsi="Times New Roman" w:cs="Times New Roman"/>
          <w:i/>
        </w:rPr>
        <w:t>supra</w:t>
      </w:r>
      <w:r w:rsidR="002077C6" w:rsidRPr="008D440E">
        <w:rPr>
          <w:rFonts w:ascii="Times New Roman" w:hAnsi="Times New Roman" w:cs="Times New Roman"/>
        </w:rPr>
        <w:t xml:space="preserve">.  Ms. </w:t>
      </w:r>
      <w:r w:rsidR="007E5781" w:rsidRPr="008D440E">
        <w:rPr>
          <w:rFonts w:ascii="Times New Roman" w:hAnsi="Times New Roman" w:cs="Times New Roman"/>
        </w:rPr>
        <w:t xml:space="preserve">Loew </w:t>
      </w:r>
      <w:r w:rsidR="00CC0F6B" w:rsidRPr="008D440E">
        <w:rPr>
          <w:rFonts w:ascii="Times New Roman" w:hAnsi="Times New Roman" w:cs="Times New Roman"/>
        </w:rPr>
        <w:t xml:space="preserve">must </w:t>
      </w:r>
      <w:r w:rsidR="002077C6" w:rsidRPr="008D440E">
        <w:rPr>
          <w:rFonts w:ascii="Times New Roman" w:hAnsi="Times New Roman" w:cs="Times New Roman"/>
        </w:rPr>
        <w:t xml:space="preserve">then </w:t>
      </w:r>
      <w:r w:rsidR="00CC0F6B" w:rsidRPr="008D440E">
        <w:rPr>
          <w:rFonts w:ascii="Times New Roman" w:hAnsi="Times New Roman" w:cs="Times New Roman"/>
        </w:rPr>
        <w:t xml:space="preserve">rebut </w:t>
      </w:r>
      <w:r w:rsidR="007E5781" w:rsidRPr="008D440E">
        <w:rPr>
          <w:rFonts w:ascii="Times New Roman" w:hAnsi="Times New Roman" w:cs="Times New Roman"/>
        </w:rPr>
        <w:t xml:space="preserve">PPL’s </w:t>
      </w:r>
      <w:r w:rsidR="00CC0F6B" w:rsidRPr="008D440E">
        <w:rPr>
          <w:rFonts w:ascii="Times New Roman" w:hAnsi="Times New Roman" w:cs="Times New Roman"/>
        </w:rPr>
        <w:t xml:space="preserve">evidence by a preponderance of the evidence. </w:t>
      </w:r>
      <w:r w:rsidR="002077C6" w:rsidRPr="008D440E">
        <w:rPr>
          <w:rFonts w:ascii="Times New Roman" w:hAnsi="Times New Roman" w:cs="Times New Roman"/>
        </w:rPr>
        <w:t xml:space="preserve"> </w:t>
      </w:r>
      <w:r w:rsidR="002077C6" w:rsidRPr="008D440E">
        <w:rPr>
          <w:rFonts w:ascii="Times New Roman" w:hAnsi="Times New Roman" w:cs="Times New Roman"/>
          <w:u w:val="single"/>
        </w:rPr>
        <w:t>Id.</w:t>
      </w:r>
      <w:r w:rsidR="002077C6" w:rsidRPr="008D440E">
        <w:rPr>
          <w:rFonts w:ascii="Times New Roman" w:hAnsi="Times New Roman" w:cs="Times New Roman"/>
        </w:rPr>
        <w:t xml:space="preserve"> </w:t>
      </w:r>
      <w:r w:rsidR="00CC0F6B" w:rsidRPr="008D440E">
        <w:rPr>
          <w:rFonts w:ascii="Times New Roman" w:hAnsi="Times New Roman" w:cs="Times New Roman"/>
        </w:rPr>
        <w:t xml:space="preserve"> The burden of going forward with the evidence may shift from one party to another, but the burden of proof never shifts; it always remains on a complainant.  </w:t>
      </w:r>
      <w:r w:rsidR="00CC0F6B" w:rsidRPr="008D440E">
        <w:rPr>
          <w:rFonts w:ascii="Times New Roman" w:hAnsi="Times New Roman" w:cs="Times New Roman"/>
          <w:u w:val="single"/>
        </w:rPr>
        <w:t>Id.</w:t>
      </w:r>
      <w:r w:rsidR="002077C6" w:rsidRPr="008D440E">
        <w:rPr>
          <w:rFonts w:ascii="Times New Roman" w:hAnsi="Times New Roman" w:cs="Times New Roman"/>
        </w:rPr>
        <w:t xml:space="preserve">  Ms. </w:t>
      </w:r>
      <w:r w:rsidR="007E5781" w:rsidRPr="008D440E">
        <w:rPr>
          <w:rFonts w:ascii="Times New Roman" w:hAnsi="Times New Roman" w:cs="Times New Roman"/>
        </w:rPr>
        <w:t xml:space="preserve">Loew </w:t>
      </w:r>
      <w:r w:rsidR="002077C6" w:rsidRPr="008D440E">
        <w:rPr>
          <w:rFonts w:ascii="Times New Roman" w:hAnsi="Times New Roman" w:cs="Times New Roman"/>
        </w:rPr>
        <w:t xml:space="preserve">has failed to </w:t>
      </w:r>
      <w:r w:rsidR="00F13D42" w:rsidRPr="008D440E">
        <w:rPr>
          <w:rFonts w:ascii="Times New Roman" w:hAnsi="Times New Roman" w:cs="Times New Roman"/>
        </w:rPr>
        <w:t>carry her burden</w:t>
      </w:r>
      <w:r w:rsidR="007E5781" w:rsidRPr="008D440E">
        <w:rPr>
          <w:rFonts w:ascii="Times New Roman" w:hAnsi="Times New Roman" w:cs="Times New Roman"/>
        </w:rPr>
        <w:t xml:space="preserve"> with regard to the issue</w:t>
      </w:r>
      <w:r w:rsidR="004458CF" w:rsidRPr="008D440E">
        <w:rPr>
          <w:rFonts w:ascii="Times New Roman" w:hAnsi="Times New Roman" w:cs="Times New Roman"/>
        </w:rPr>
        <w:t>s</w:t>
      </w:r>
      <w:r w:rsidR="007E5781" w:rsidRPr="008D440E">
        <w:rPr>
          <w:rFonts w:ascii="Times New Roman" w:hAnsi="Times New Roman" w:cs="Times New Roman"/>
        </w:rPr>
        <w:t xml:space="preserve"> </w:t>
      </w:r>
      <w:r w:rsidR="002077C6" w:rsidRPr="008D440E">
        <w:rPr>
          <w:rFonts w:ascii="Times New Roman" w:hAnsi="Times New Roman" w:cs="Times New Roman"/>
        </w:rPr>
        <w:t xml:space="preserve">raised in her Complaint.  </w:t>
      </w:r>
      <w:r w:rsidR="004C6746" w:rsidRPr="008D440E">
        <w:rPr>
          <w:rFonts w:ascii="Times New Roman" w:hAnsi="Times New Roman" w:cs="Times New Roman"/>
        </w:rPr>
        <w:t xml:space="preserve">Ms. </w:t>
      </w:r>
      <w:r w:rsidR="007E5781" w:rsidRPr="008D440E">
        <w:rPr>
          <w:rFonts w:ascii="Times New Roman" w:hAnsi="Times New Roman" w:cs="Times New Roman"/>
        </w:rPr>
        <w:t xml:space="preserve">Loew’s </w:t>
      </w:r>
      <w:r w:rsidR="004C6746" w:rsidRPr="008D440E">
        <w:rPr>
          <w:rFonts w:ascii="Times New Roman" w:hAnsi="Times New Roman" w:cs="Times New Roman"/>
        </w:rPr>
        <w:t>Complaint must therefore be dismissed.</w:t>
      </w:r>
    </w:p>
    <w:p w:rsidR="00246F08" w:rsidRPr="008D440E" w:rsidRDefault="00246F08" w:rsidP="00754AFF">
      <w:pPr>
        <w:pStyle w:val="ParaTab1"/>
        <w:spacing w:line="360" w:lineRule="auto"/>
        <w:ind w:firstLine="0"/>
        <w:rPr>
          <w:rFonts w:ascii="Times New Roman" w:hAnsi="Times New Roman" w:cs="Times New Roman"/>
        </w:rPr>
      </w:pPr>
    </w:p>
    <w:p w:rsidR="00392EFE" w:rsidRPr="008D440E" w:rsidRDefault="00392EFE" w:rsidP="0032796F">
      <w:pPr>
        <w:pStyle w:val="ParaTab1"/>
        <w:spacing w:line="360" w:lineRule="auto"/>
        <w:ind w:firstLine="0"/>
        <w:jc w:val="center"/>
        <w:rPr>
          <w:rFonts w:ascii="Times New Roman" w:hAnsi="Times New Roman" w:cs="Times New Roman"/>
          <w:spacing w:val="-3"/>
          <w:u w:val="single"/>
        </w:rPr>
      </w:pPr>
      <w:r w:rsidRPr="008D440E">
        <w:rPr>
          <w:rFonts w:ascii="Times New Roman" w:hAnsi="Times New Roman" w:cs="Times New Roman"/>
          <w:spacing w:val="-3"/>
          <w:u w:val="single"/>
        </w:rPr>
        <w:t>CONCLUSIONS OF LAW</w:t>
      </w:r>
    </w:p>
    <w:p w:rsidR="00392EFE" w:rsidRPr="008D440E" w:rsidRDefault="00392EFE" w:rsidP="0032796F">
      <w:pPr>
        <w:pStyle w:val="BodyText"/>
        <w:tabs>
          <w:tab w:val="clear" w:pos="-1440"/>
          <w:tab w:val="clear" w:pos="-720"/>
          <w:tab w:val="clear" w:pos="0"/>
          <w:tab w:val="clear" w:pos="720"/>
          <w:tab w:val="clear" w:pos="1440"/>
        </w:tabs>
        <w:spacing w:line="360" w:lineRule="auto"/>
        <w:jc w:val="left"/>
        <w:rPr>
          <w:szCs w:val="24"/>
        </w:rPr>
      </w:pPr>
    </w:p>
    <w:p w:rsidR="003F6A4D" w:rsidRPr="008D440E"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8D440E">
        <w:rPr>
          <w:szCs w:val="24"/>
        </w:rPr>
        <w:t>Section 332(a) of the Public Utility Code provides that the party seeking relief from the Commission has the burden of proof.  66 Pa. C.S. § 332(a).</w:t>
      </w:r>
    </w:p>
    <w:p w:rsidR="003F6A4D" w:rsidRPr="008D440E" w:rsidRDefault="003F6A4D" w:rsidP="0032796F">
      <w:pPr>
        <w:pStyle w:val="ListParagraph"/>
        <w:ind w:left="0" w:firstLine="1440"/>
        <w:rPr>
          <w:rFonts w:ascii="Times New Roman" w:hAnsi="Times New Roman" w:cs="Times New Roman"/>
        </w:rPr>
      </w:pPr>
    </w:p>
    <w:p w:rsidR="00DE1895" w:rsidRPr="008D440E"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8D440E">
        <w:rPr>
          <w:szCs w:val="24"/>
        </w:rPr>
        <w:t xml:space="preserve">"Burden of proof" means a duty to establish a fact by a preponderance of the evidence, or evidence more convincing, by even the smallest degree, than the evidence presented by the other party.  </w:t>
      </w:r>
      <w:r w:rsidRPr="008D440E">
        <w:rPr>
          <w:szCs w:val="24"/>
          <w:u w:val="single"/>
        </w:rPr>
        <w:t>Se-Ling Hosiery v. Margulies</w:t>
      </w:r>
      <w:r w:rsidRPr="008D440E">
        <w:rPr>
          <w:szCs w:val="24"/>
        </w:rPr>
        <w:t>, 364 Pa. 54, 70 A.2d 854 (1950).</w:t>
      </w:r>
    </w:p>
    <w:p w:rsidR="005263AE" w:rsidRPr="008D440E" w:rsidRDefault="005263AE" w:rsidP="005263AE">
      <w:pPr>
        <w:pStyle w:val="BodyText"/>
        <w:tabs>
          <w:tab w:val="clear" w:pos="-1440"/>
          <w:tab w:val="clear" w:pos="-720"/>
          <w:tab w:val="clear" w:pos="0"/>
          <w:tab w:val="clear" w:pos="720"/>
          <w:tab w:val="clear" w:pos="1440"/>
        </w:tabs>
        <w:spacing w:line="360" w:lineRule="auto"/>
        <w:ind w:left="1440"/>
        <w:jc w:val="left"/>
        <w:rPr>
          <w:szCs w:val="24"/>
        </w:rPr>
      </w:pPr>
    </w:p>
    <w:p w:rsidR="00A904B9" w:rsidRPr="008D440E"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8D440E">
        <w:rPr>
          <w:szCs w:val="24"/>
        </w:rPr>
        <w:t>If a complainant establishes a prima facie</w:t>
      </w:r>
      <w:r w:rsidRPr="008D440E">
        <w:rPr>
          <w:i/>
          <w:szCs w:val="24"/>
        </w:rPr>
        <w:t xml:space="preserve"> </w:t>
      </w:r>
      <w:r w:rsidRPr="008D440E">
        <w:rPr>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8D440E">
        <w:rPr>
          <w:szCs w:val="24"/>
          <w:u w:val="single"/>
        </w:rPr>
        <w:t>Replogle v. Pennsylvania Electric Company</w:t>
      </w:r>
      <w:r w:rsidR="00754AFF" w:rsidRPr="008D440E">
        <w:rPr>
          <w:szCs w:val="24"/>
        </w:rPr>
        <w:t>, 54 Pa. PUC 528 (1980</w:t>
      </w:r>
      <w:r w:rsidRPr="008D440E">
        <w:rPr>
          <w:szCs w:val="24"/>
        </w:rPr>
        <w:t xml:space="preserve">), and </w:t>
      </w:r>
      <w:r w:rsidRPr="008D440E">
        <w:rPr>
          <w:szCs w:val="24"/>
          <w:u w:val="single"/>
        </w:rPr>
        <w:t>Waldron v. Philadelphia Electric Company</w:t>
      </w:r>
      <w:r w:rsidRPr="008D440E">
        <w:rPr>
          <w:szCs w:val="24"/>
        </w:rPr>
        <w:t>, 54 Pa. PUC 98 (1980).</w:t>
      </w:r>
    </w:p>
    <w:p w:rsidR="00A904B9" w:rsidRPr="008D440E" w:rsidRDefault="00A904B9" w:rsidP="00A904B9">
      <w:pPr>
        <w:pStyle w:val="ListParagraph"/>
        <w:rPr>
          <w:rFonts w:ascii="Times New Roman" w:hAnsi="Times New Roman" w:cs="Times New Roman"/>
        </w:rPr>
      </w:pPr>
    </w:p>
    <w:p w:rsidR="00A904B9" w:rsidRPr="008D440E"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8D440E">
        <w:rPr>
          <w:szCs w:val="24"/>
        </w:rPr>
        <w:t>The decision of the Commission must be supported by substantial evidence.  2 Pa. C.S. § 704.</w:t>
      </w:r>
    </w:p>
    <w:p w:rsidR="00A904B9" w:rsidRPr="008D440E" w:rsidRDefault="00A904B9" w:rsidP="00A904B9">
      <w:pPr>
        <w:pStyle w:val="ListParagraph"/>
        <w:rPr>
          <w:rFonts w:ascii="Times New Roman" w:hAnsi="Times New Roman" w:cs="Times New Roman"/>
        </w:rPr>
      </w:pPr>
    </w:p>
    <w:p w:rsidR="00601D94" w:rsidRPr="008D440E" w:rsidRDefault="00A904B9" w:rsidP="008A01A0">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8D440E">
        <w:rPr>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8D440E">
        <w:rPr>
          <w:szCs w:val="24"/>
          <w:u w:val="single"/>
        </w:rPr>
        <w:t>Norfolk &amp; Western Ry. Co. v. Pa. P.U.C.</w:t>
      </w:r>
      <w:r w:rsidRPr="008D440E">
        <w:rPr>
          <w:szCs w:val="24"/>
        </w:rPr>
        <w:t xml:space="preserve">, 489 Pa. 109, 413 A.2d 1037 (1980); </w:t>
      </w:r>
      <w:r w:rsidRPr="008D440E">
        <w:rPr>
          <w:szCs w:val="24"/>
          <w:u w:val="single"/>
        </w:rPr>
        <w:t>Erie Resistor Corp. v. Unemployment Comp. Bd. of Review</w:t>
      </w:r>
      <w:r w:rsidRPr="008D440E">
        <w:rPr>
          <w:szCs w:val="24"/>
        </w:rPr>
        <w:t xml:space="preserve">, 194 Pa. Superior Ct. 278, 166 A.2d 96 (1961); and </w:t>
      </w:r>
      <w:r w:rsidRPr="008D440E">
        <w:rPr>
          <w:szCs w:val="24"/>
          <w:u w:val="single"/>
        </w:rPr>
        <w:t>Murphy v. Comm., Dept. of Public Welfare, White Haven Center</w:t>
      </w:r>
      <w:r w:rsidRPr="008D440E">
        <w:rPr>
          <w:szCs w:val="24"/>
        </w:rPr>
        <w:t>, 85 Pa. Cmwlth Ct. 23, 480 A.2d 382 (1984).</w:t>
      </w:r>
    </w:p>
    <w:p w:rsidR="003139FA" w:rsidRPr="008D440E" w:rsidRDefault="003139FA" w:rsidP="003139FA">
      <w:pPr>
        <w:pStyle w:val="ListParagraph"/>
        <w:rPr>
          <w:rFonts w:ascii="Times New Roman" w:hAnsi="Times New Roman" w:cs="Times New Roman"/>
        </w:rPr>
      </w:pPr>
    </w:p>
    <w:p w:rsidR="003139FA" w:rsidRPr="008D440E" w:rsidRDefault="003139FA" w:rsidP="003139FA">
      <w:pPr>
        <w:pStyle w:val="ParaTab1"/>
        <w:numPr>
          <w:ilvl w:val="0"/>
          <w:numId w:val="11"/>
        </w:numPr>
        <w:spacing w:line="360" w:lineRule="auto"/>
        <w:ind w:left="0" w:firstLine="1440"/>
        <w:rPr>
          <w:rFonts w:ascii="Times New Roman" w:hAnsi="Times New Roman" w:cs="Times New Roman"/>
        </w:rPr>
      </w:pPr>
      <w:r w:rsidRPr="008D440E">
        <w:rPr>
          <w:rFonts w:ascii="Times New Roman" w:hAnsi="Times New Roman" w:cs="Times New Roman"/>
        </w:rPr>
        <w:t xml:space="preserve">While the accuracy of the meter is an important factor in resolving billing disputes, it is not the sole criterion.  </w:t>
      </w:r>
      <w:r w:rsidRPr="008D440E">
        <w:rPr>
          <w:rFonts w:ascii="Times New Roman" w:hAnsi="Times New Roman" w:cs="Times New Roman"/>
          <w:u w:val="single"/>
        </w:rPr>
        <w:t>Waldron v. Philadelphia Electric Co.</w:t>
      </w:r>
      <w:r w:rsidRPr="008D440E">
        <w:rPr>
          <w:rFonts w:ascii="Times New Roman" w:hAnsi="Times New Roman" w:cs="Times New Roman"/>
        </w:rPr>
        <w:t xml:space="preserve">, 54 Pa. PUC 98 (1980); </w:t>
      </w:r>
      <w:r w:rsidRPr="008D440E">
        <w:rPr>
          <w:rFonts w:ascii="Times New Roman" w:hAnsi="Times New Roman" w:cs="Times New Roman"/>
          <w:i/>
        </w:rPr>
        <w:t>see also</w:t>
      </w:r>
      <w:r w:rsidRPr="008D440E">
        <w:rPr>
          <w:rFonts w:ascii="Times New Roman" w:hAnsi="Times New Roman" w:cs="Times New Roman"/>
        </w:rPr>
        <w:t xml:space="preserve">, </w:t>
      </w:r>
      <w:r w:rsidRPr="008D440E">
        <w:rPr>
          <w:rFonts w:ascii="Times New Roman" w:hAnsi="Times New Roman" w:cs="Times New Roman"/>
          <w:u w:val="single"/>
        </w:rPr>
        <w:t>Nicolas Montagna d/b/a Montagna Homes v. National Fuel Gas Distribution Corporation</w:t>
      </w:r>
      <w:r w:rsidRPr="008D440E">
        <w:rPr>
          <w:rFonts w:ascii="Times New Roman" w:hAnsi="Times New Roman" w:cs="Times New Roman"/>
        </w:rPr>
        <w:t xml:space="preserve">, Docket Number C-2011-2243674, Opinion and Order (entered April 12, 2012).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8D440E">
        <w:rPr>
          <w:rFonts w:ascii="Times New Roman" w:hAnsi="Times New Roman" w:cs="Times New Roman"/>
          <w:u w:val="single"/>
        </w:rPr>
        <w:t>Waldron</w:t>
      </w:r>
      <w:r w:rsidRPr="008D440E">
        <w:rPr>
          <w:rFonts w:ascii="Times New Roman" w:hAnsi="Times New Roman" w:cs="Times New Roman"/>
        </w:rPr>
        <w:t xml:space="preserve"> at 100</w:t>
      </w:r>
      <w:r w:rsidR="00944C87" w:rsidRPr="008D440E">
        <w:rPr>
          <w:rFonts w:ascii="Times New Roman" w:hAnsi="Times New Roman" w:cs="Times New Roman"/>
        </w:rPr>
        <w:t xml:space="preserve">; </w:t>
      </w:r>
      <w:r w:rsidR="00944C87" w:rsidRPr="008D440E">
        <w:rPr>
          <w:rFonts w:ascii="Times New Roman" w:hAnsi="Times New Roman" w:cs="Times New Roman"/>
          <w:u w:val="single"/>
        </w:rPr>
        <w:t>Nehemiah B. Thomas v. PECO</w:t>
      </w:r>
      <w:r w:rsidR="00944C87" w:rsidRPr="008D440E">
        <w:rPr>
          <w:rFonts w:ascii="Times New Roman" w:hAnsi="Times New Roman" w:cs="Times New Roman"/>
        </w:rPr>
        <w:t>, Docket No. C-2010-2187197, Order (entered November 15, 2011)</w:t>
      </w:r>
      <w:r w:rsidRPr="008D440E">
        <w:rPr>
          <w:rFonts w:ascii="Times New Roman" w:hAnsi="Times New Roman" w:cs="Times New Roman"/>
        </w:rPr>
        <w:t>.</w:t>
      </w:r>
    </w:p>
    <w:p w:rsidR="003139FA" w:rsidRPr="008D440E" w:rsidRDefault="003139FA" w:rsidP="003139FA">
      <w:pPr>
        <w:pStyle w:val="ListParagraph"/>
        <w:rPr>
          <w:rFonts w:ascii="Times New Roman" w:hAnsi="Times New Roman" w:cs="Times New Roman"/>
        </w:rPr>
      </w:pPr>
    </w:p>
    <w:p w:rsidR="00243BF9" w:rsidRPr="008D440E" w:rsidRDefault="00243BF9" w:rsidP="00246F08">
      <w:pPr>
        <w:pStyle w:val="Style"/>
        <w:widowControl/>
        <w:numPr>
          <w:ilvl w:val="0"/>
          <w:numId w:val="11"/>
        </w:numPr>
        <w:spacing w:line="360" w:lineRule="auto"/>
        <w:ind w:left="0" w:firstLine="1440"/>
        <w:rPr>
          <w:u w:val="single"/>
        </w:rPr>
      </w:pPr>
      <w:r w:rsidRPr="008D440E">
        <w:t xml:space="preserve">A customer’s electric bill is to be adjusted only if an electric meter, after testing, is found to have an average meter error of more than 2% fast or more than 2% slow.  52 Pa. Code § 57.24; </w:t>
      </w:r>
      <w:r w:rsidRPr="008D440E">
        <w:rPr>
          <w:i/>
        </w:rPr>
        <w:t>see also</w:t>
      </w:r>
      <w:r w:rsidRPr="008D440E">
        <w:t xml:space="preserve">, </w:t>
      </w:r>
      <w:r w:rsidRPr="008D440E">
        <w:rPr>
          <w:u w:val="single"/>
        </w:rPr>
        <w:t>Phillip F. Sforza v. West Penn Power Co. d/b/a Allegheny Power</w:t>
      </w:r>
      <w:r w:rsidRPr="008D440E">
        <w:t>, Docket No. C-2008-2025536, Opinion and Order (entered August 11, 2009).</w:t>
      </w:r>
    </w:p>
    <w:p w:rsidR="00243BF9" w:rsidRPr="008D440E" w:rsidRDefault="00243BF9" w:rsidP="00243BF9">
      <w:pPr>
        <w:pStyle w:val="ListParagraph"/>
        <w:rPr>
          <w:rFonts w:ascii="Times New Roman" w:hAnsi="Times New Roman" w:cs="Times New Roman"/>
        </w:rPr>
      </w:pPr>
    </w:p>
    <w:p w:rsidR="00F20FEB" w:rsidRPr="008D440E" w:rsidRDefault="008A01A0" w:rsidP="00246F08">
      <w:pPr>
        <w:pStyle w:val="Style"/>
        <w:widowControl/>
        <w:numPr>
          <w:ilvl w:val="0"/>
          <w:numId w:val="11"/>
        </w:numPr>
        <w:spacing w:line="360" w:lineRule="auto"/>
        <w:ind w:left="0" w:firstLine="1440"/>
        <w:rPr>
          <w:u w:val="single"/>
        </w:rPr>
      </w:pPr>
      <w:r w:rsidRPr="008D440E">
        <w:t>Ms</w:t>
      </w:r>
      <w:r w:rsidR="00F20FEB" w:rsidRPr="008D440E">
        <w:t xml:space="preserve">. </w:t>
      </w:r>
      <w:r w:rsidR="003139FA" w:rsidRPr="008D440E">
        <w:t xml:space="preserve">Loew </w:t>
      </w:r>
      <w:r w:rsidR="00F20FEB" w:rsidRPr="008D440E">
        <w:t xml:space="preserve">failed to carry her burden to demonstrate that </w:t>
      </w:r>
      <w:r w:rsidR="003139FA" w:rsidRPr="008D440E">
        <w:t xml:space="preserve">PPL </w:t>
      </w:r>
      <w:r w:rsidR="00944C87" w:rsidRPr="008D440E">
        <w:t>incorrectly billed her</w:t>
      </w:r>
      <w:r w:rsidR="003139FA" w:rsidRPr="008D440E">
        <w:t xml:space="preserve"> or otherwise </w:t>
      </w:r>
      <w:r w:rsidR="00F20FEB" w:rsidRPr="008D440E">
        <w:t>violated any provision of the Public Utility Code, any Commission Order or regulation or any Commission-approved Company tariff.</w:t>
      </w:r>
    </w:p>
    <w:p w:rsidR="00F20FEB" w:rsidRPr="008D440E" w:rsidRDefault="00F20FEB" w:rsidP="00F20FEB">
      <w:pPr>
        <w:pStyle w:val="ListParagraph"/>
        <w:rPr>
          <w:rFonts w:ascii="Times New Roman" w:hAnsi="Times New Roman" w:cs="Times New Roman"/>
        </w:rPr>
      </w:pPr>
    </w:p>
    <w:p w:rsidR="00181F45" w:rsidRPr="008D440E" w:rsidRDefault="00F57774" w:rsidP="00246F08">
      <w:pPr>
        <w:pStyle w:val="Style"/>
        <w:widowControl/>
        <w:numPr>
          <w:ilvl w:val="0"/>
          <w:numId w:val="11"/>
        </w:numPr>
        <w:spacing w:line="360" w:lineRule="auto"/>
        <w:ind w:left="0" w:firstLine="1440"/>
        <w:rPr>
          <w:u w:val="single"/>
        </w:rPr>
      </w:pPr>
      <w:r w:rsidRPr="008D440E">
        <w:t xml:space="preserve">Ms. </w:t>
      </w:r>
      <w:r w:rsidR="003139FA" w:rsidRPr="008D440E">
        <w:t>Loew’s</w:t>
      </w:r>
      <w:r w:rsidR="005D2C10" w:rsidRPr="008D440E">
        <w:t xml:space="preserve"> </w:t>
      </w:r>
      <w:r w:rsidR="00181F45" w:rsidRPr="008D440E">
        <w:t xml:space="preserve">Complaint should be </w:t>
      </w:r>
      <w:r w:rsidR="008A01A0" w:rsidRPr="008D440E">
        <w:t>dismissed</w:t>
      </w:r>
      <w:r w:rsidR="00181F45" w:rsidRPr="008D440E">
        <w:t>.</w:t>
      </w:r>
    </w:p>
    <w:p w:rsidR="002077C6" w:rsidRPr="008D440E" w:rsidRDefault="002077C6" w:rsidP="0079586B">
      <w:pPr>
        <w:autoSpaceDE/>
        <w:autoSpaceDN/>
        <w:spacing w:line="360" w:lineRule="auto"/>
        <w:rPr>
          <w:rFonts w:ascii="Times New Roman" w:hAnsi="Times New Roman" w:cs="Times New Roman"/>
          <w:u w:val="single"/>
        </w:rPr>
      </w:pPr>
    </w:p>
    <w:p w:rsidR="00392EFE" w:rsidRPr="008D440E" w:rsidRDefault="00392EFE" w:rsidP="00246F08">
      <w:pPr>
        <w:pStyle w:val="BodyText"/>
        <w:tabs>
          <w:tab w:val="clear" w:pos="-1440"/>
          <w:tab w:val="clear" w:pos="-720"/>
          <w:tab w:val="clear" w:pos="0"/>
          <w:tab w:val="clear" w:pos="720"/>
          <w:tab w:val="clear" w:pos="1440"/>
        </w:tabs>
        <w:spacing w:line="360" w:lineRule="auto"/>
        <w:jc w:val="center"/>
        <w:rPr>
          <w:szCs w:val="24"/>
          <w:u w:val="single"/>
        </w:rPr>
      </w:pPr>
      <w:r w:rsidRPr="008D440E">
        <w:rPr>
          <w:szCs w:val="24"/>
          <w:u w:val="single"/>
        </w:rPr>
        <w:t>ORDER</w:t>
      </w:r>
    </w:p>
    <w:p w:rsidR="0032796F" w:rsidRPr="008D440E" w:rsidRDefault="0032796F" w:rsidP="00CB6FB5">
      <w:pPr>
        <w:pStyle w:val="BodyText"/>
        <w:spacing w:line="360" w:lineRule="auto"/>
        <w:jc w:val="left"/>
        <w:rPr>
          <w:szCs w:val="24"/>
        </w:rPr>
      </w:pPr>
    </w:p>
    <w:p w:rsidR="00406A6D" w:rsidRPr="008D440E" w:rsidRDefault="00406A6D" w:rsidP="0032796F">
      <w:pPr>
        <w:pStyle w:val="BodyText"/>
        <w:spacing w:line="360" w:lineRule="auto"/>
        <w:jc w:val="left"/>
        <w:rPr>
          <w:szCs w:val="24"/>
        </w:rPr>
      </w:pPr>
    </w:p>
    <w:p w:rsidR="00392EFE" w:rsidRPr="008D440E" w:rsidRDefault="00392EFE" w:rsidP="0032796F">
      <w:pPr>
        <w:pStyle w:val="BodyText"/>
        <w:spacing w:line="360" w:lineRule="auto"/>
        <w:jc w:val="left"/>
        <w:rPr>
          <w:szCs w:val="24"/>
        </w:rPr>
      </w:pPr>
      <w:r w:rsidRPr="008D440E">
        <w:rPr>
          <w:szCs w:val="24"/>
        </w:rPr>
        <w:tab/>
      </w:r>
      <w:r w:rsidRPr="008D440E">
        <w:rPr>
          <w:szCs w:val="24"/>
        </w:rPr>
        <w:tab/>
        <w:t>THEREFORE,</w:t>
      </w:r>
    </w:p>
    <w:p w:rsidR="001F5045" w:rsidRPr="008D440E" w:rsidRDefault="001F5045" w:rsidP="0032796F">
      <w:pPr>
        <w:pStyle w:val="BodyText"/>
        <w:spacing w:line="360" w:lineRule="auto"/>
        <w:jc w:val="left"/>
        <w:rPr>
          <w:szCs w:val="24"/>
        </w:rPr>
      </w:pPr>
    </w:p>
    <w:p w:rsidR="00392EFE" w:rsidRPr="008D440E" w:rsidRDefault="00392EFE" w:rsidP="0032796F">
      <w:pPr>
        <w:pStyle w:val="BodyText"/>
        <w:spacing w:line="360" w:lineRule="auto"/>
        <w:jc w:val="left"/>
        <w:rPr>
          <w:szCs w:val="24"/>
        </w:rPr>
      </w:pPr>
      <w:r w:rsidRPr="008D440E">
        <w:rPr>
          <w:szCs w:val="24"/>
        </w:rPr>
        <w:tab/>
      </w:r>
      <w:r w:rsidRPr="008D440E">
        <w:rPr>
          <w:szCs w:val="24"/>
        </w:rPr>
        <w:tab/>
        <w:t>IT IS ORDERED:</w:t>
      </w:r>
    </w:p>
    <w:p w:rsidR="001F5045" w:rsidRPr="008D440E" w:rsidRDefault="001F5045" w:rsidP="0032796F">
      <w:pPr>
        <w:pStyle w:val="BodyText"/>
        <w:spacing w:line="360" w:lineRule="auto"/>
        <w:jc w:val="left"/>
        <w:rPr>
          <w:szCs w:val="24"/>
        </w:rPr>
      </w:pPr>
    </w:p>
    <w:p w:rsidR="00392EFE" w:rsidRPr="008D440E" w:rsidRDefault="00666983" w:rsidP="008A01A0">
      <w:pPr>
        <w:pStyle w:val="ParaTab1"/>
        <w:numPr>
          <w:ilvl w:val="0"/>
          <w:numId w:val="14"/>
        </w:numPr>
        <w:spacing w:line="360" w:lineRule="auto"/>
        <w:ind w:left="0" w:firstLine="1440"/>
        <w:rPr>
          <w:rFonts w:ascii="Times New Roman" w:hAnsi="Times New Roman" w:cs="Times New Roman"/>
          <w:spacing w:val="-3"/>
        </w:rPr>
      </w:pPr>
      <w:r w:rsidRPr="008D440E">
        <w:rPr>
          <w:rFonts w:ascii="Times New Roman" w:hAnsi="Times New Roman" w:cs="Times New Roman"/>
          <w:spacing w:val="-3"/>
        </w:rPr>
        <w:t xml:space="preserve">That the formal Complaint filed by </w:t>
      </w:r>
      <w:r w:rsidR="003139FA" w:rsidRPr="008D440E">
        <w:rPr>
          <w:rFonts w:ascii="Times New Roman" w:hAnsi="Times New Roman" w:cs="Times New Roman"/>
          <w:spacing w:val="-3"/>
        </w:rPr>
        <w:t>Judy Loew</w:t>
      </w:r>
      <w:r w:rsidR="000310D2" w:rsidRPr="008D440E">
        <w:rPr>
          <w:rFonts w:ascii="Times New Roman" w:hAnsi="Times New Roman" w:cs="Times New Roman"/>
          <w:spacing w:val="-3"/>
        </w:rPr>
        <w:t xml:space="preserve"> </w:t>
      </w:r>
      <w:r w:rsidRPr="008D440E">
        <w:rPr>
          <w:rFonts w:ascii="Times New Roman" w:hAnsi="Times New Roman" w:cs="Times New Roman"/>
          <w:spacing w:val="-3"/>
        </w:rPr>
        <w:t xml:space="preserve">against </w:t>
      </w:r>
      <w:r w:rsidR="003139FA" w:rsidRPr="008D440E">
        <w:rPr>
          <w:rFonts w:ascii="Times New Roman" w:hAnsi="Times New Roman" w:cs="Times New Roman"/>
          <w:spacing w:val="-3"/>
        </w:rPr>
        <w:t xml:space="preserve">PPL Electric Utilities Corporation </w:t>
      </w:r>
      <w:r w:rsidR="00450FF9" w:rsidRPr="008D440E">
        <w:rPr>
          <w:rFonts w:ascii="Times New Roman" w:hAnsi="Times New Roman" w:cs="Times New Roman"/>
          <w:spacing w:val="-3"/>
        </w:rPr>
        <w:t xml:space="preserve">at </w:t>
      </w:r>
      <w:r w:rsidR="0031755B" w:rsidRPr="008D440E">
        <w:rPr>
          <w:rFonts w:ascii="Times New Roman" w:hAnsi="Times New Roman" w:cs="Times New Roman"/>
          <w:spacing w:val="-3"/>
        </w:rPr>
        <w:t>Docket Number</w:t>
      </w:r>
      <w:r w:rsidR="009B6264" w:rsidRPr="008D440E">
        <w:rPr>
          <w:rFonts w:ascii="Times New Roman" w:hAnsi="Times New Roman" w:cs="Times New Roman"/>
          <w:spacing w:val="-3"/>
        </w:rPr>
        <w:t xml:space="preserve"> </w:t>
      </w:r>
      <w:r w:rsidR="003139FA" w:rsidRPr="008D440E">
        <w:rPr>
          <w:rFonts w:ascii="Times New Roman" w:hAnsi="Times New Roman" w:cs="Times New Roman"/>
          <w:spacing w:val="-3"/>
        </w:rPr>
        <w:t>F-2012-2314480</w:t>
      </w:r>
      <w:r w:rsidR="002077C6" w:rsidRPr="008D440E">
        <w:rPr>
          <w:rFonts w:ascii="Times New Roman" w:hAnsi="Times New Roman" w:cs="Times New Roman"/>
          <w:spacing w:val="-3"/>
        </w:rPr>
        <w:t xml:space="preserve">, dated </w:t>
      </w:r>
      <w:r w:rsidR="003139FA" w:rsidRPr="008D440E">
        <w:rPr>
          <w:rFonts w:ascii="Times New Roman" w:hAnsi="Times New Roman" w:cs="Times New Roman"/>
          <w:spacing w:val="-3"/>
        </w:rPr>
        <w:t>July 16</w:t>
      </w:r>
      <w:r w:rsidR="002077C6" w:rsidRPr="008D440E">
        <w:rPr>
          <w:rFonts w:ascii="Times New Roman" w:hAnsi="Times New Roman" w:cs="Times New Roman"/>
          <w:spacing w:val="-3"/>
        </w:rPr>
        <w:t>, 2012,</w:t>
      </w:r>
      <w:r w:rsidR="005D2C10" w:rsidRPr="008D440E">
        <w:rPr>
          <w:rFonts w:ascii="Times New Roman" w:hAnsi="Times New Roman" w:cs="Times New Roman"/>
          <w:spacing w:val="-3"/>
        </w:rPr>
        <w:t xml:space="preserve"> </w:t>
      </w:r>
      <w:r w:rsidRPr="008D440E">
        <w:rPr>
          <w:rFonts w:ascii="Times New Roman" w:hAnsi="Times New Roman" w:cs="Times New Roman"/>
          <w:spacing w:val="-3"/>
        </w:rPr>
        <w:t xml:space="preserve">is </w:t>
      </w:r>
      <w:r w:rsidR="008A01A0" w:rsidRPr="008D440E">
        <w:rPr>
          <w:rFonts w:ascii="Times New Roman" w:hAnsi="Times New Roman" w:cs="Times New Roman"/>
          <w:spacing w:val="-3"/>
        </w:rPr>
        <w:t>dismissed.</w:t>
      </w:r>
    </w:p>
    <w:p w:rsidR="00282314" w:rsidRPr="008D440E" w:rsidRDefault="00282314" w:rsidP="0032796F">
      <w:pPr>
        <w:pStyle w:val="ParaTab1"/>
        <w:spacing w:line="360" w:lineRule="auto"/>
        <w:ind w:firstLine="0"/>
        <w:rPr>
          <w:rFonts w:ascii="Times New Roman" w:hAnsi="Times New Roman" w:cs="Times New Roman"/>
          <w:spacing w:val="-3"/>
        </w:rPr>
      </w:pPr>
    </w:p>
    <w:p w:rsidR="00A704B0" w:rsidRPr="008D440E" w:rsidRDefault="006E53CA" w:rsidP="00A704B0">
      <w:pPr>
        <w:pStyle w:val="ParaTab1"/>
        <w:numPr>
          <w:ilvl w:val="0"/>
          <w:numId w:val="14"/>
        </w:numPr>
        <w:spacing w:line="360" w:lineRule="auto"/>
        <w:ind w:left="0" w:firstLine="1440"/>
        <w:rPr>
          <w:rFonts w:ascii="Times New Roman" w:hAnsi="Times New Roman" w:cs="Times New Roman"/>
          <w:spacing w:val="-3"/>
        </w:rPr>
      </w:pPr>
      <w:r w:rsidRPr="008D440E">
        <w:rPr>
          <w:rFonts w:ascii="Times New Roman" w:hAnsi="Times New Roman" w:cs="Times New Roman"/>
          <w:spacing w:val="-3"/>
        </w:rPr>
        <w:t>That this matter</w:t>
      </w:r>
      <w:r w:rsidR="007759E9" w:rsidRPr="008D440E">
        <w:rPr>
          <w:rFonts w:ascii="Times New Roman" w:hAnsi="Times New Roman" w:cs="Times New Roman"/>
          <w:spacing w:val="-3"/>
        </w:rPr>
        <w:t xml:space="preserve"> at Docket Number </w:t>
      </w:r>
      <w:r w:rsidR="007B4BF0" w:rsidRPr="008D440E">
        <w:rPr>
          <w:rFonts w:ascii="Times New Roman" w:hAnsi="Times New Roman" w:cs="Times New Roman"/>
          <w:spacing w:val="-3"/>
        </w:rPr>
        <w:t xml:space="preserve">F-2012-2314480 </w:t>
      </w:r>
      <w:r w:rsidR="00A704B0" w:rsidRPr="008D440E">
        <w:rPr>
          <w:rFonts w:ascii="Times New Roman" w:hAnsi="Times New Roman" w:cs="Times New Roman"/>
          <w:spacing w:val="-3"/>
        </w:rPr>
        <w:t>be marked closed.</w:t>
      </w:r>
    </w:p>
    <w:p w:rsidR="009C187E" w:rsidRPr="008D440E" w:rsidRDefault="009C187E" w:rsidP="00CB6FB5">
      <w:pPr>
        <w:pStyle w:val="ParaTab1"/>
        <w:spacing w:line="360" w:lineRule="auto"/>
        <w:ind w:firstLine="0"/>
        <w:rPr>
          <w:rFonts w:ascii="Times New Roman" w:hAnsi="Times New Roman" w:cs="Times New Roman"/>
          <w:spacing w:val="-3"/>
        </w:rPr>
      </w:pPr>
    </w:p>
    <w:p w:rsidR="00180325" w:rsidRPr="008D440E" w:rsidRDefault="00180325" w:rsidP="00AA4E12">
      <w:pPr>
        <w:pStyle w:val="ParaTab1"/>
        <w:spacing w:line="360" w:lineRule="auto"/>
        <w:ind w:firstLine="0"/>
        <w:rPr>
          <w:rFonts w:ascii="Times New Roman" w:hAnsi="Times New Roman" w:cs="Times New Roman"/>
          <w:spacing w:val="-3"/>
        </w:rPr>
      </w:pPr>
    </w:p>
    <w:p w:rsidR="00ED185B" w:rsidRPr="008D440E" w:rsidRDefault="00ED185B" w:rsidP="0032796F">
      <w:pPr>
        <w:pStyle w:val="ParaTab1"/>
        <w:tabs>
          <w:tab w:val="clear" w:pos="-720"/>
          <w:tab w:val="left" w:pos="720"/>
          <w:tab w:val="left" w:pos="5040"/>
        </w:tabs>
        <w:ind w:firstLine="0"/>
        <w:rPr>
          <w:rFonts w:ascii="Times New Roman" w:hAnsi="Times New Roman" w:cs="Times New Roman"/>
          <w:spacing w:val="-3"/>
        </w:rPr>
      </w:pPr>
      <w:r w:rsidRPr="008D440E">
        <w:rPr>
          <w:rFonts w:ascii="Times New Roman" w:hAnsi="Times New Roman" w:cs="Times New Roman"/>
          <w:spacing w:val="-3"/>
        </w:rPr>
        <w:t>Date:</w:t>
      </w:r>
      <w:r w:rsidRPr="008D440E">
        <w:rPr>
          <w:rFonts w:ascii="Times New Roman" w:hAnsi="Times New Roman" w:cs="Times New Roman"/>
          <w:spacing w:val="-3"/>
        </w:rPr>
        <w:tab/>
      </w:r>
      <w:r w:rsidR="007B4BF0" w:rsidRPr="008D440E">
        <w:rPr>
          <w:rFonts w:ascii="Times New Roman" w:hAnsi="Times New Roman" w:cs="Times New Roman"/>
          <w:spacing w:val="-3"/>
          <w:u w:val="single"/>
        </w:rPr>
        <w:t xml:space="preserve">January </w:t>
      </w:r>
      <w:r w:rsidR="00F973A1" w:rsidRPr="008D440E">
        <w:rPr>
          <w:rFonts w:ascii="Times New Roman" w:hAnsi="Times New Roman" w:cs="Times New Roman"/>
          <w:spacing w:val="-3"/>
          <w:u w:val="single"/>
        </w:rPr>
        <w:t>11</w:t>
      </w:r>
      <w:r w:rsidR="007B4BF0" w:rsidRPr="008D440E">
        <w:rPr>
          <w:rFonts w:ascii="Times New Roman" w:hAnsi="Times New Roman" w:cs="Times New Roman"/>
          <w:spacing w:val="-3"/>
          <w:u w:val="single"/>
        </w:rPr>
        <w:t>, 2013</w:t>
      </w:r>
      <w:r w:rsidRPr="008D440E">
        <w:rPr>
          <w:rFonts w:ascii="Times New Roman" w:hAnsi="Times New Roman" w:cs="Times New Roman"/>
          <w:spacing w:val="-3"/>
        </w:rPr>
        <w:tab/>
        <w:t>______________________________</w:t>
      </w:r>
    </w:p>
    <w:p w:rsidR="00ED185B" w:rsidRPr="008D440E" w:rsidRDefault="00ED185B" w:rsidP="0032796F">
      <w:pPr>
        <w:pStyle w:val="ParaTab1"/>
        <w:tabs>
          <w:tab w:val="clear" w:pos="-720"/>
          <w:tab w:val="left" w:pos="720"/>
          <w:tab w:val="left" w:pos="5040"/>
        </w:tabs>
        <w:ind w:firstLine="0"/>
        <w:rPr>
          <w:rFonts w:ascii="Times New Roman" w:hAnsi="Times New Roman" w:cs="Times New Roman"/>
          <w:spacing w:val="-3"/>
        </w:rPr>
      </w:pPr>
      <w:r w:rsidRPr="008D440E">
        <w:rPr>
          <w:rFonts w:ascii="Times New Roman" w:hAnsi="Times New Roman" w:cs="Times New Roman"/>
          <w:spacing w:val="-3"/>
        </w:rPr>
        <w:tab/>
      </w:r>
      <w:r w:rsidRPr="008D440E">
        <w:rPr>
          <w:rFonts w:ascii="Times New Roman" w:hAnsi="Times New Roman" w:cs="Times New Roman"/>
          <w:spacing w:val="-3"/>
        </w:rPr>
        <w:tab/>
      </w:r>
      <w:r w:rsidR="006138B2" w:rsidRPr="008D440E">
        <w:rPr>
          <w:rFonts w:ascii="Times New Roman" w:hAnsi="Times New Roman" w:cs="Times New Roman"/>
          <w:spacing w:val="-3"/>
        </w:rPr>
        <w:t>Joel H. Cheskis</w:t>
      </w:r>
    </w:p>
    <w:p w:rsidR="00ED185B" w:rsidRPr="008D440E" w:rsidRDefault="00ED185B" w:rsidP="0032796F">
      <w:pPr>
        <w:pStyle w:val="ParaTab1"/>
        <w:tabs>
          <w:tab w:val="clear" w:pos="-720"/>
          <w:tab w:val="left" w:pos="720"/>
          <w:tab w:val="left" w:pos="5040"/>
        </w:tabs>
        <w:ind w:firstLine="0"/>
        <w:rPr>
          <w:rFonts w:ascii="Times New Roman" w:hAnsi="Times New Roman" w:cs="Times New Roman"/>
        </w:rPr>
      </w:pPr>
      <w:r w:rsidRPr="008D440E">
        <w:rPr>
          <w:rFonts w:ascii="Times New Roman" w:hAnsi="Times New Roman" w:cs="Times New Roman"/>
        </w:rPr>
        <w:tab/>
      </w:r>
      <w:r w:rsidRPr="008D440E">
        <w:rPr>
          <w:rFonts w:ascii="Times New Roman" w:hAnsi="Times New Roman" w:cs="Times New Roman"/>
        </w:rPr>
        <w:tab/>
        <w:t>Administrative Law Judge</w:t>
      </w:r>
    </w:p>
    <w:sectPr w:rsidR="00ED185B" w:rsidRPr="008D440E" w:rsidSect="00743F5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BE" w:rsidRDefault="00CD63BE">
      <w:pPr>
        <w:spacing w:line="20" w:lineRule="exact"/>
        <w:rPr>
          <w:sz w:val="20"/>
          <w:szCs w:val="20"/>
        </w:rPr>
      </w:pPr>
    </w:p>
  </w:endnote>
  <w:endnote w:type="continuationSeparator" w:id="0">
    <w:p w:rsidR="00CD63BE" w:rsidRDefault="00CD63BE">
      <w:pPr>
        <w:pStyle w:val="ParaTab1"/>
        <w:rPr>
          <w:sz w:val="20"/>
          <w:szCs w:val="20"/>
        </w:rPr>
      </w:pPr>
      <w:r>
        <w:rPr>
          <w:sz w:val="20"/>
          <w:szCs w:val="20"/>
        </w:rPr>
        <w:t xml:space="preserve"> </w:t>
      </w:r>
    </w:p>
  </w:endnote>
  <w:endnote w:type="continuationNotice" w:id="1">
    <w:p w:rsidR="00CD63BE" w:rsidRDefault="00CD63B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B5077A" w:rsidRDefault="00124780" w:rsidP="00B5077A">
    <w:pPr>
      <w:pStyle w:val="Footer"/>
      <w:jc w:val="center"/>
      <w:rPr>
        <w:rFonts w:ascii="Times New Roman" w:hAnsi="Times New Roman" w:cs="Times New Roman"/>
        <w:sz w:val="20"/>
        <w:szCs w:val="20"/>
      </w:rPr>
    </w:pPr>
    <w:r w:rsidRPr="008D55FF">
      <w:rPr>
        <w:rFonts w:ascii="Times New Roman" w:hAnsi="Times New Roman" w:cs="Times New Roman"/>
        <w:sz w:val="20"/>
        <w:szCs w:val="20"/>
      </w:rPr>
      <w:fldChar w:fldCharType="begin"/>
    </w:r>
    <w:r w:rsidRPr="008D55FF">
      <w:rPr>
        <w:rFonts w:ascii="Times New Roman" w:hAnsi="Times New Roman" w:cs="Times New Roman"/>
        <w:sz w:val="20"/>
        <w:szCs w:val="20"/>
      </w:rPr>
      <w:instrText xml:space="preserve"> PAGE   \* MERGEFORMAT </w:instrText>
    </w:r>
    <w:r w:rsidRPr="008D55FF">
      <w:rPr>
        <w:rFonts w:ascii="Times New Roman" w:hAnsi="Times New Roman" w:cs="Times New Roman"/>
        <w:sz w:val="20"/>
        <w:szCs w:val="20"/>
      </w:rPr>
      <w:fldChar w:fldCharType="separate"/>
    </w:r>
    <w:r w:rsidR="005E2D65">
      <w:rPr>
        <w:rFonts w:ascii="Times New Roman" w:hAnsi="Times New Roman" w:cs="Times New Roman"/>
        <w:noProof/>
        <w:sz w:val="20"/>
        <w:szCs w:val="20"/>
      </w:rPr>
      <w:t>9</w:t>
    </w:r>
    <w:r w:rsidRPr="008D55F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BE" w:rsidRDefault="00CD63BE" w:rsidP="0064363C">
      <w:pPr>
        <w:pStyle w:val="ParaTab1"/>
        <w:ind w:firstLine="0"/>
        <w:rPr>
          <w:sz w:val="20"/>
          <w:szCs w:val="20"/>
        </w:rPr>
      </w:pPr>
      <w:r>
        <w:rPr>
          <w:sz w:val="20"/>
          <w:szCs w:val="20"/>
        </w:rPr>
        <w:separator/>
      </w:r>
    </w:p>
  </w:footnote>
  <w:footnote w:type="continuationSeparator" w:id="0">
    <w:p w:rsidR="00CD63BE" w:rsidRDefault="00CD63B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E0"/>
    <w:multiLevelType w:val="hybridMultilevel"/>
    <w:tmpl w:val="96560C26"/>
    <w:lvl w:ilvl="0" w:tplc="2A8A4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FB1769"/>
    <w:multiLevelType w:val="hybridMultilevel"/>
    <w:tmpl w:val="11C4F2FA"/>
    <w:lvl w:ilvl="0" w:tplc="BA749E0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912509"/>
    <w:multiLevelType w:val="hybridMultilevel"/>
    <w:tmpl w:val="6CCC46F0"/>
    <w:lvl w:ilvl="0" w:tplc="9830FE96">
      <w:start w:val="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6A748F"/>
    <w:multiLevelType w:val="hybridMultilevel"/>
    <w:tmpl w:val="27D2297E"/>
    <w:lvl w:ilvl="0" w:tplc="3B824F2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E5EB5"/>
    <w:multiLevelType w:val="hybridMultilevel"/>
    <w:tmpl w:val="DD8CFF8A"/>
    <w:lvl w:ilvl="0" w:tplc="A452675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7A537E"/>
    <w:multiLevelType w:val="hybridMultilevel"/>
    <w:tmpl w:val="1958BD78"/>
    <w:lvl w:ilvl="0" w:tplc="6E9A6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8A1AEF"/>
    <w:multiLevelType w:val="hybridMultilevel"/>
    <w:tmpl w:val="17FED5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18702BF"/>
    <w:multiLevelType w:val="hybridMultilevel"/>
    <w:tmpl w:val="92289600"/>
    <w:lvl w:ilvl="0" w:tplc="B54497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670E42"/>
    <w:multiLevelType w:val="hybridMultilevel"/>
    <w:tmpl w:val="FDFE8F38"/>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AD2045"/>
    <w:multiLevelType w:val="hybridMultilevel"/>
    <w:tmpl w:val="1C703CA2"/>
    <w:lvl w:ilvl="0" w:tplc="FC2A746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D5B4673"/>
    <w:multiLevelType w:val="hybridMultilevel"/>
    <w:tmpl w:val="974810F8"/>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23D1"/>
    <w:multiLevelType w:val="hybridMultilevel"/>
    <w:tmpl w:val="542C6F28"/>
    <w:lvl w:ilvl="0" w:tplc="6CC676FE">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8EC060A"/>
    <w:multiLevelType w:val="hybridMultilevel"/>
    <w:tmpl w:val="150E2420"/>
    <w:lvl w:ilvl="0" w:tplc="FC68C4D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30B3D"/>
    <w:multiLevelType w:val="hybridMultilevel"/>
    <w:tmpl w:val="A9047418"/>
    <w:lvl w:ilvl="0" w:tplc="C71643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A65910"/>
    <w:multiLevelType w:val="hybridMultilevel"/>
    <w:tmpl w:val="ECC26236"/>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D964665"/>
    <w:multiLevelType w:val="hybridMultilevel"/>
    <w:tmpl w:val="4D7E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9">
    <w:nsid w:val="53DA29E8"/>
    <w:multiLevelType w:val="hybridMultilevel"/>
    <w:tmpl w:val="443656FE"/>
    <w:lvl w:ilvl="0" w:tplc="969ECBC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07316B"/>
    <w:multiLevelType w:val="hybridMultilevel"/>
    <w:tmpl w:val="6100CC98"/>
    <w:lvl w:ilvl="0" w:tplc="506A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35381"/>
    <w:multiLevelType w:val="hybridMultilevel"/>
    <w:tmpl w:val="E9D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4582C9A"/>
    <w:multiLevelType w:val="hybridMultilevel"/>
    <w:tmpl w:val="08DAD1C2"/>
    <w:lvl w:ilvl="0" w:tplc="F66C10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DF75337"/>
    <w:multiLevelType w:val="hybridMultilevel"/>
    <w:tmpl w:val="AFF6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20"/>
  </w:num>
  <w:num w:numId="5">
    <w:abstractNumId w:val="0"/>
  </w:num>
  <w:num w:numId="6">
    <w:abstractNumId w:val="14"/>
  </w:num>
  <w:num w:numId="7">
    <w:abstractNumId w:val="17"/>
  </w:num>
  <w:num w:numId="8">
    <w:abstractNumId w:val="22"/>
  </w:num>
  <w:num w:numId="9">
    <w:abstractNumId w:val="26"/>
  </w:num>
  <w:num w:numId="10">
    <w:abstractNumId w:val="8"/>
  </w:num>
  <w:num w:numId="11">
    <w:abstractNumId w:val="23"/>
  </w:num>
  <w:num w:numId="12">
    <w:abstractNumId w:val="21"/>
  </w:num>
  <w:num w:numId="13">
    <w:abstractNumId w:val="5"/>
  </w:num>
  <w:num w:numId="14">
    <w:abstractNumId w:val="24"/>
  </w:num>
  <w:num w:numId="15">
    <w:abstractNumId w:val="9"/>
  </w:num>
  <w:num w:numId="16">
    <w:abstractNumId w:val="4"/>
  </w:num>
  <w:num w:numId="17">
    <w:abstractNumId w:val="7"/>
  </w:num>
  <w:num w:numId="18">
    <w:abstractNumId w:val="1"/>
  </w:num>
  <w:num w:numId="19">
    <w:abstractNumId w:val="3"/>
  </w:num>
  <w:num w:numId="20">
    <w:abstractNumId w:val="19"/>
  </w:num>
  <w:num w:numId="21">
    <w:abstractNumId w:val="13"/>
  </w:num>
  <w:num w:numId="22">
    <w:abstractNumId w:val="15"/>
  </w:num>
  <w:num w:numId="23">
    <w:abstractNumId w:val="6"/>
  </w:num>
  <w:num w:numId="24">
    <w:abstractNumId w:val="25"/>
  </w:num>
  <w:num w:numId="25">
    <w:abstractNumId w:val="10"/>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A02"/>
    <w:rsid w:val="00001F04"/>
    <w:rsid w:val="0000220E"/>
    <w:rsid w:val="00004F97"/>
    <w:rsid w:val="00005A6D"/>
    <w:rsid w:val="00005A89"/>
    <w:rsid w:val="00006DDB"/>
    <w:rsid w:val="00017060"/>
    <w:rsid w:val="000205D9"/>
    <w:rsid w:val="000225E7"/>
    <w:rsid w:val="000234FD"/>
    <w:rsid w:val="000238A7"/>
    <w:rsid w:val="00024F6D"/>
    <w:rsid w:val="00024FF4"/>
    <w:rsid w:val="0002580A"/>
    <w:rsid w:val="00026ED2"/>
    <w:rsid w:val="000272CD"/>
    <w:rsid w:val="000310D2"/>
    <w:rsid w:val="00031EC1"/>
    <w:rsid w:val="00035CFA"/>
    <w:rsid w:val="0003733C"/>
    <w:rsid w:val="00037831"/>
    <w:rsid w:val="00041FED"/>
    <w:rsid w:val="000428A4"/>
    <w:rsid w:val="00042CC1"/>
    <w:rsid w:val="000433F9"/>
    <w:rsid w:val="0004353F"/>
    <w:rsid w:val="00044360"/>
    <w:rsid w:val="000443C2"/>
    <w:rsid w:val="00044EB2"/>
    <w:rsid w:val="0004672F"/>
    <w:rsid w:val="0005019C"/>
    <w:rsid w:val="000515BE"/>
    <w:rsid w:val="000516A9"/>
    <w:rsid w:val="00051734"/>
    <w:rsid w:val="00051BCA"/>
    <w:rsid w:val="000539F5"/>
    <w:rsid w:val="00054061"/>
    <w:rsid w:val="000544BA"/>
    <w:rsid w:val="00054E63"/>
    <w:rsid w:val="000555B0"/>
    <w:rsid w:val="000558AF"/>
    <w:rsid w:val="000567B6"/>
    <w:rsid w:val="00060599"/>
    <w:rsid w:val="000615B8"/>
    <w:rsid w:val="00064678"/>
    <w:rsid w:val="00064684"/>
    <w:rsid w:val="00065435"/>
    <w:rsid w:val="0006548C"/>
    <w:rsid w:val="000660EF"/>
    <w:rsid w:val="00066AF1"/>
    <w:rsid w:val="0007012C"/>
    <w:rsid w:val="00070C88"/>
    <w:rsid w:val="00071C51"/>
    <w:rsid w:val="0007344B"/>
    <w:rsid w:val="0007411C"/>
    <w:rsid w:val="00074FDA"/>
    <w:rsid w:val="0007546A"/>
    <w:rsid w:val="00077209"/>
    <w:rsid w:val="0008279A"/>
    <w:rsid w:val="00082B0F"/>
    <w:rsid w:val="00083DC0"/>
    <w:rsid w:val="000859DC"/>
    <w:rsid w:val="00086680"/>
    <w:rsid w:val="00087C96"/>
    <w:rsid w:val="00091575"/>
    <w:rsid w:val="00092F70"/>
    <w:rsid w:val="00095615"/>
    <w:rsid w:val="00095DB7"/>
    <w:rsid w:val="0009665C"/>
    <w:rsid w:val="000A1826"/>
    <w:rsid w:val="000A3D1B"/>
    <w:rsid w:val="000A6966"/>
    <w:rsid w:val="000A6A78"/>
    <w:rsid w:val="000A72D8"/>
    <w:rsid w:val="000A7D36"/>
    <w:rsid w:val="000B0829"/>
    <w:rsid w:val="000B1613"/>
    <w:rsid w:val="000B3727"/>
    <w:rsid w:val="000B3C86"/>
    <w:rsid w:val="000B495F"/>
    <w:rsid w:val="000B7A59"/>
    <w:rsid w:val="000C1849"/>
    <w:rsid w:val="000C2540"/>
    <w:rsid w:val="000C2D4D"/>
    <w:rsid w:val="000C35CC"/>
    <w:rsid w:val="000C4D25"/>
    <w:rsid w:val="000C58DF"/>
    <w:rsid w:val="000C68BB"/>
    <w:rsid w:val="000C696A"/>
    <w:rsid w:val="000C6A1D"/>
    <w:rsid w:val="000C7526"/>
    <w:rsid w:val="000C779C"/>
    <w:rsid w:val="000D0549"/>
    <w:rsid w:val="000D1363"/>
    <w:rsid w:val="000D2E02"/>
    <w:rsid w:val="000D395C"/>
    <w:rsid w:val="000D3D5F"/>
    <w:rsid w:val="000D3E8E"/>
    <w:rsid w:val="000D50C5"/>
    <w:rsid w:val="000D662C"/>
    <w:rsid w:val="000E1587"/>
    <w:rsid w:val="000E1C79"/>
    <w:rsid w:val="000E4193"/>
    <w:rsid w:val="000E4757"/>
    <w:rsid w:val="000E4E7A"/>
    <w:rsid w:val="000E62E6"/>
    <w:rsid w:val="000E7B8F"/>
    <w:rsid w:val="000F0DC5"/>
    <w:rsid w:val="000F25D2"/>
    <w:rsid w:val="000F2BBA"/>
    <w:rsid w:val="000F65AF"/>
    <w:rsid w:val="000F7094"/>
    <w:rsid w:val="000F77AD"/>
    <w:rsid w:val="001001DC"/>
    <w:rsid w:val="00100C65"/>
    <w:rsid w:val="0010758D"/>
    <w:rsid w:val="001105EC"/>
    <w:rsid w:val="001109AB"/>
    <w:rsid w:val="00110D2D"/>
    <w:rsid w:val="0011154D"/>
    <w:rsid w:val="00117FE0"/>
    <w:rsid w:val="001210D3"/>
    <w:rsid w:val="00124780"/>
    <w:rsid w:val="00130F90"/>
    <w:rsid w:val="0013598D"/>
    <w:rsid w:val="00136BB9"/>
    <w:rsid w:val="0014025B"/>
    <w:rsid w:val="00142D6F"/>
    <w:rsid w:val="0014421D"/>
    <w:rsid w:val="00145617"/>
    <w:rsid w:val="00150A55"/>
    <w:rsid w:val="001525C8"/>
    <w:rsid w:val="001545A6"/>
    <w:rsid w:val="001546A2"/>
    <w:rsid w:val="00155746"/>
    <w:rsid w:val="0015688E"/>
    <w:rsid w:val="00157500"/>
    <w:rsid w:val="0016025C"/>
    <w:rsid w:val="001631F2"/>
    <w:rsid w:val="001646E2"/>
    <w:rsid w:val="001649A5"/>
    <w:rsid w:val="00166348"/>
    <w:rsid w:val="001665C7"/>
    <w:rsid w:val="001722B7"/>
    <w:rsid w:val="00180325"/>
    <w:rsid w:val="00180D9A"/>
    <w:rsid w:val="0018161A"/>
    <w:rsid w:val="00181F45"/>
    <w:rsid w:val="00184710"/>
    <w:rsid w:val="00186FA7"/>
    <w:rsid w:val="001909D8"/>
    <w:rsid w:val="00190CE1"/>
    <w:rsid w:val="001913E2"/>
    <w:rsid w:val="00192554"/>
    <w:rsid w:val="001937BE"/>
    <w:rsid w:val="00193F05"/>
    <w:rsid w:val="00193F5D"/>
    <w:rsid w:val="00194C49"/>
    <w:rsid w:val="001954F5"/>
    <w:rsid w:val="001955C7"/>
    <w:rsid w:val="00196175"/>
    <w:rsid w:val="001968B9"/>
    <w:rsid w:val="00196974"/>
    <w:rsid w:val="001A223D"/>
    <w:rsid w:val="001A2372"/>
    <w:rsid w:val="001A48F9"/>
    <w:rsid w:val="001A526C"/>
    <w:rsid w:val="001A5326"/>
    <w:rsid w:val="001A5827"/>
    <w:rsid w:val="001A5A95"/>
    <w:rsid w:val="001A725C"/>
    <w:rsid w:val="001A78F6"/>
    <w:rsid w:val="001B19E2"/>
    <w:rsid w:val="001B2F97"/>
    <w:rsid w:val="001B32BD"/>
    <w:rsid w:val="001B4317"/>
    <w:rsid w:val="001B5A88"/>
    <w:rsid w:val="001B5FAA"/>
    <w:rsid w:val="001C07F5"/>
    <w:rsid w:val="001C20A7"/>
    <w:rsid w:val="001C2B31"/>
    <w:rsid w:val="001C6248"/>
    <w:rsid w:val="001C6C2C"/>
    <w:rsid w:val="001C788D"/>
    <w:rsid w:val="001D1AD1"/>
    <w:rsid w:val="001D2138"/>
    <w:rsid w:val="001D237C"/>
    <w:rsid w:val="001D29F5"/>
    <w:rsid w:val="001D35F6"/>
    <w:rsid w:val="001D7501"/>
    <w:rsid w:val="001D7774"/>
    <w:rsid w:val="001D7B3E"/>
    <w:rsid w:val="001E07E6"/>
    <w:rsid w:val="001E1C00"/>
    <w:rsid w:val="001E2EAE"/>
    <w:rsid w:val="001E3A07"/>
    <w:rsid w:val="001E3CC5"/>
    <w:rsid w:val="001E4547"/>
    <w:rsid w:val="001E56A5"/>
    <w:rsid w:val="001E617A"/>
    <w:rsid w:val="001F0D5B"/>
    <w:rsid w:val="001F110F"/>
    <w:rsid w:val="001F3E18"/>
    <w:rsid w:val="001F5045"/>
    <w:rsid w:val="001F7A4A"/>
    <w:rsid w:val="00202F73"/>
    <w:rsid w:val="00206667"/>
    <w:rsid w:val="002077C6"/>
    <w:rsid w:val="00213880"/>
    <w:rsid w:val="00214294"/>
    <w:rsid w:val="00214514"/>
    <w:rsid w:val="00216D90"/>
    <w:rsid w:val="00217BFA"/>
    <w:rsid w:val="0022061E"/>
    <w:rsid w:val="00220BB0"/>
    <w:rsid w:val="00222EC7"/>
    <w:rsid w:val="00223C3B"/>
    <w:rsid w:val="002241FE"/>
    <w:rsid w:val="00225856"/>
    <w:rsid w:val="00225E6B"/>
    <w:rsid w:val="00227A49"/>
    <w:rsid w:val="002309E0"/>
    <w:rsid w:val="00234024"/>
    <w:rsid w:val="00234F92"/>
    <w:rsid w:val="0023722B"/>
    <w:rsid w:val="00240BC7"/>
    <w:rsid w:val="00240C0D"/>
    <w:rsid w:val="00240C94"/>
    <w:rsid w:val="00240EF8"/>
    <w:rsid w:val="00242E8B"/>
    <w:rsid w:val="00243BF9"/>
    <w:rsid w:val="00243E2D"/>
    <w:rsid w:val="00244D8B"/>
    <w:rsid w:val="00246F08"/>
    <w:rsid w:val="00247574"/>
    <w:rsid w:val="00247841"/>
    <w:rsid w:val="00254E27"/>
    <w:rsid w:val="00255E38"/>
    <w:rsid w:val="00257593"/>
    <w:rsid w:val="00257823"/>
    <w:rsid w:val="00257AD4"/>
    <w:rsid w:val="00260857"/>
    <w:rsid w:val="002608BB"/>
    <w:rsid w:val="002613D4"/>
    <w:rsid w:val="00261452"/>
    <w:rsid w:val="002624B6"/>
    <w:rsid w:val="002629A3"/>
    <w:rsid w:val="002635C9"/>
    <w:rsid w:val="00265E77"/>
    <w:rsid w:val="002664F9"/>
    <w:rsid w:val="00272A1B"/>
    <w:rsid w:val="00272AC7"/>
    <w:rsid w:val="00272C05"/>
    <w:rsid w:val="0027423F"/>
    <w:rsid w:val="00274791"/>
    <w:rsid w:val="0027587A"/>
    <w:rsid w:val="002768A0"/>
    <w:rsid w:val="00276EA1"/>
    <w:rsid w:val="00280356"/>
    <w:rsid w:val="00280895"/>
    <w:rsid w:val="00280A4C"/>
    <w:rsid w:val="00281054"/>
    <w:rsid w:val="002814CA"/>
    <w:rsid w:val="0028197D"/>
    <w:rsid w:val="00281D25"/>
    <w:rsid w:val="00281E77"/>
    <w:rsid w:val="0028223C"/>
    <w:rsid w:val="00282314"/>
    <w:rsid w:val="0028258E"/>
    <w:rsid w:val="0028264E"/>
    <w:rsid w:val="00283139"/>
    <w:rsid w:val="002838A9"/>
    <w:rsid w:val="002838AA"/>
    <w:rsid w:val="002842AC"/>
    <w:rsid w:val="00284A79"/>
    <w:rsid w:val="0028579C"/>
    <w:rsid w:val="00286096"/>
    <w:rsid w:val="00287DC4"/>
    <w:rsid w:val="00292C8C"/>
    <w:rsid w:val="00293108"/>
    <w:rsid w:val="002931C8"/>
    <w:rsid w:val="00293230"/>
    <w:rsid w:val="00295F84"/>
    <w:rsid w:val="00296137"/>
    <w:rsid w:val="00296EC4"/>
    <w:rsid w:val="00297751"/>
    <w:rsid w:val="002A01C4"/>
    <w:rsid w:val="002A1DC4"/>
    <w:rsid w:val="002A4333"/>
    <w:rsid w:val="002A62ED"/>
    <w:rsid w:val="002B135F"/>
    <w:rsid w:val="002B365E"/>
    <w:rsid w:val="002B4BB0"/>
    <w:rsid w:val="002B5E52"/>
    <w:rsid w:val="002B78D7"/>
    <w:rsid w:val="002C324F"/>
    <w:rsid w:val="002C3C80"/>
    <w:rsid w:val="002C416E"/>
    <w:rsid w:val="002C6334"/>
    <w:rsid w:val="002C65DE"/>
    <w:rsid w:val="002D0575"/>
    <w:rsid w:val="002D0730"/>
    <w:rsid w:val="002D13B6"/>
    <w:rsid w:val="002D4B8D"/>
    <w:rsid w:val="002D6203"/>
    <w:rsid w:val="002D6750"/>
    <w:rsid w:val="002E149C"/>
    <w:rsid w:val="002E35A1"/>
    <w:rsid w:val="002E40C6"/>
    <w:rsid w:val="002E5C7F"/>
    <w:rsid w:val="002E7FA3"/>
    <w:rsid w:val="002F05DE"/>
    <w:rsid w:val="002F23C9"/>
    <w:rsid w:val="002F2730"/>
    <w:rsid w:val="002F4C37"/>
    <w:rsid w:val="002F4ED5"/>
    <w:rsid w:val="002F55A8"/>
    <w:rsid w:val="002F5CD5"/>
    <w:rsid w:val="0030247F"/>
    <w:rsid w:val="003032D4"/>
    <w:rsid w:val="00303493"/>
    <w:rsid w:val="00304B12"/>
    <w:rsid w:val="00305550"/>
    <w:rsid w:val="0030643B"/>
    <w:rsid w:val="00306D24"/>
    <w:rsid w:val="00307B56"/>
    <w:rsid w:val="00310289"/>
    <w:rsid w:val="00312CB7"/>
    <w:rsid w:val="003133AC"/>
    <w:rsid w:val="003139FA"/>
    <w:rsid w:val="003144F5"/>
    <w:rsid w:val="0031518E"/>
    <w:rsid w:val="00316913"/>
    <w:rsid w:val="0031755B"/>
    <w:rsid w:val="003175C1"/>
    <w:rsid w:val="003176BE"/>
    <w:rsid w:val="00317FA2"/>
    <w:rsid w:val="003220FF"/>
    <w:rsid w:val="00322E0F"/>
    <w:rsid w:val="00324EA1"/>
    <w:rsid w:val="00325CB2"/>
    <w:rsid w:val="00326D2B"/>
    <w:rsid w:val="003273FB"/>
    <w:rsid w:val="0032796F"/>
    <w:rsid w:val="003361D1"/>
    <w:rsid w:val="003372C6"/>
    <w:rsid w:val="00337CDB"/>
    <w:rsid w:val="00337CF1"/>
    <w:rsid w:val="00340712"/>
    <w:rsid w:val="003408E2"/>
    <w:rsid w:val="00340927"/>
    <w:rsid w:val="00344BB9"/>
    <w:rsid w:val="003452CA"/>
    <w:rsid w:val="0034744D"/>
    <w:rsid w:val="00350437"/>
    <w:rsid w:val="00351996"/>
    <w:rsid w:val="00352D40"/>
    <w:rsid w:val="00352DC7"/>
    <w:rsid w:val="00353C2C"/>
    <w:rsid w:val="003548A2"/>
    <w:rsid w:val="00355016"/>
    <w:rsid w:val="0035770A"/>
    <w:rsid w:val="00362634"/>
    <w:rsid w:val="00362B96"/>
    <w:rsid w:val="00362FFE"/>
    <w:rsid w:val="00363273"/>
    <w:rsid w:val="0036418D"/>
    <w:rsid w:val="00365D37"/>
    <w:rsid w:val="003662D7"/>
    <w:rsid w:val="003700DF"/>
    <w:rsid w:val="00370882"/>
    <w:rsid w:val="00371386"/>
    <w:rsid w:val="00371787"/>
    <w:rsid w:val="0037190D"/>
    <w:rsid w:val="00371DF8"/>
    <w:rsid w:val="00372836"/>
    <w:rsid w:val="00372D01"/>
    <w:rsid w:val="00373D26"/>
    <w:rsid w:val="00376195"/>
    <w:rsid w:val="00376D13"/>
    <w:rsid w:val="00377D13"/>
    <w:rsid w:val="00377F32"/>
    <w:rsid w:val="0038029E"/>
    <w:rsid w:val="003833BD"/>
    <w:rsid w:val="003837C0"/>
    <w:rsid w:val="0038454F"/>
    <w:rsid w:val="00386639"/>
    <w:rsid w:val="0039047F"/>
    <w:rsid w:val="00391285"/>
    <w:rsid w:val="00391F41"/>
    <w:rsid w:val="003921FB"/>
    <w:rsid w:val="00392EFE"/>
    <w:rsid w:val="003934FF"/>
    <w:rsid w:val="00394126"/>
    <w:rsid w:val="0039482E"/>
    <w:rsid w:val="00395B12"/>
    <w:rsid w:val="00396AE4"/>
    <w:rsid w:val="00396E8D"/>
    <w:rsid w:val="00397008"/>
    <w:rsid w:val="003A28F8"/>
    <w:rsid w:val="003A30F7"/>
    <w:rsid w:val="003A3BD7"/>
    <w:rsid w:val="003A5811"/>
    <w:rsid w:val="003A65C4"/>
    <w:rsid w:val="003A74C3"/>
    <w:rsid w:val="003B37E6"/>
    <w:rsid w:val="003B409C"/>
    <w:rsid w:val="003B429E"/>
    <w:rsid w:val="003B4D2C"/>
    <w:rsid w:val="003B6A94"/>
    <w:rsid w:val="003B6FF4"/>
    <w:rsid w:val="003C0305"/>
    <w:rsid w:val="003C15E1"/>
    <w:rsid w:val="003C18AE"/>
    <w:rsid w:val="003C19A1"/>
    <w:rsid w:val="003C37C6"/>
    <w:rsid w:val="003C5005"/>
    <w:rsid w:val="003C5897"/>
    <w:rsid w:val="003C604E"/>
    <w:rsid w:val="003C6EF3"/>
    <w:rsid w:val="003D1AA5"/>
    <w:rsid w:val="003D1DE7"/>
    <w:rsid w:val="003D408B"/>
    <w:rsid w:val="003D42BF"/>
    <w:rsid w:val="003D52B2"/>
    <w:rsid w:val="003D6062"/>
    <w:rsid w:val="003D74E0"/>
    <w:rsid w:val="003E01A1"/>
    <w:rsid w:val="003E08B4"/>
    <w:rsid w:val="003E1407"/>
    <w:rsid w:val="003E3F50"/>
    <w:rsid w:val="003F125F"/>
    <w:rsid w:val="003F35CF"/>
    <w:rsid w:val="003F3822"/>
    <w:rsid w:val="003F585C"/>
    <w:rsid w:val="003F5D7F"/>
    <w:rsid w:val="003F5E4D"/>
    <w:rsid w:val="003F6A4D"/>
    <w:rsid w:val="0040152C"/>
    <w:rsid w:val="00403C23"/>
    <w:rsid w:val="00403EE1"/>
    <w:rsid w:val="00405CE9"/>
    <w:rsid w:val="00405EEF"/>
    <w:rsid w:val="00406A6D"/>
    <w:rsid w:val="00406F13"/>
    <w:rsid w:val="00410838"/>
    <w:rsid w:val="004115BA"/>
    <w:rsid w:val="00413669"/>
    <w:rsid w:val="0041397D"/>
    <w:rsid w:val="0041487F"/>
    <w:rsid w:val="00414A84"/>
    <w:rsid w:val="00414F80"/>
    <w:rsid w:val="004176F9"/>
    <w:rsid w:val="00417760"/>
    <w:rsid w:val="0042301C"/>
    <w:rsid w:val="004245ED"/>
    <w:rsid w:val="0043187F"/>
    <w:rsid w:val="0043280F"/>
    <w:rsid w:val="00435583"/>
    <w:rsid w:val="00436089"/>
    <w:rsid w:val="00436AD3"/>
    <w:rsid w:val="00436C68"/>
    <w:rsid w:val="00440B5A"/>
    <w:rsid w:val="00440FC7"/>
    <w:rsid w:val="004414E9"/>
    <w:rsid w:val="0044205D"/>
    <w:rsid w:val="004458CF"/>
    <w:rsid w:val="004468E5"/>
    <w:rsid w:val="0044735D"/>
    <w:rsid w:val="00447ECC"/>
    <w:rsid w:val="00450C6E"/>
    <w:rsid w:val="00450FF9"/>
    <w:rsid w:val="0045181C"/>
    <w:rsid w:val="00451A59"/>
    <w:rsid w:val="004523C1"/>
    <w:rsid w:val="0045506F"/>
    <w:rsid w:val="004569A5"/>
    <w:rsid w:val="00461B36"/>
    <w:rsid w:val="00462542"/>
    <w:rsid w:val="00462DD3"/>
    <w:rsid w:val="00463BEB"/>
    <w:rsid w:val="00465678"/>
    <w:rsid w:val="004674B8"/>
    <w:rsid w:val="00471358"/>
    <w:rsid w:val="00483815"/>
    <w:rsid w:val="00483F13"/>
    <w:rsid w:val="00484254"/>
    <w:rsid w:val="00484536"/>
    <w:rsid w:val="00485FE5"/>
    <w:rsid w:val="0048604D"/>
    <w:rsid w:val="00487B37"/>
    <w:rsid w:val="00491142"/>
    <w:rsid w:val="004946F6"/>
    <w:rsid w:val="004955E6"/>
    <w:rsid w:val="00496BFA"/>
    <w:rsid w:val="004976C0"/>
    <w:rsid w:val="00497F0C"/>
    <w:rsid w:val="004A0A87"/>
    <w:rsid w:val="004A1185"/>
    <w:rsid w:val="004A3918"/>
    <w:rsid w:val="004A77F9"/>
    <w:rsid w:val="004B0990"/>
    <w:rsid w:val="004B235D"/>
    <w:rsid w:val="004B2F5C"/>
    <w:rsid w:val="004B3362"/>
    <w:rsid w:val="004B4098"/>
    <w:rsid w:val="004B4434"/>
    <w:rsid w:val="004B56B7"/>
    <w:rsid w:val="004B7AA0"/>
    <w:rsid w:val="004C081F"/>
    <w:rsid w:val="004C0C95"/>
    <w:rsid w:val="004C4447"/>
    <w:rsid w:val="004C4F0F"/>
    <w:rsid w:val="004C5E98"/>
    <w:rsid w:val="004C6746"/>
    <w:rsid w:val="004C6E5D"/>
    <w:rsid w:val="004D23E8"/>
    <w:rsid w:val="004D3082"/>
    <w:rsid w:val="004D3324"/>
    <w:rsid w:val="004D4340"/>
    <w:rsid w:val="004E1204"/>
    <w:rsid w:val="004E2B76"/>
    <w:rsid w:val="004E32D0"/>
    <w:rsid w:val="004E59B7"/>
    <w:rsid w:val="004E703A"/>
    <w:rsid w:val="004E7587"/>
    <w:rsid w:val="004E7962"/>
    <w:rsid w:val="004E7BE3"/>
    <w:rsid w:val="004E7EA5"/>
    <w:rsid w:val="004F0576"/>
    <w:rsid w:val="004F24A2"/>
    <w:rsid w:val="004F2D61"/>
    <w:rsid w:val="004F3216"/>
    <w:rsid w:val="004F3843"/>
    <w:rsid w:val="004F4257"/>
    <w:rsid w:val="004F640A"/>
    <w:rsid w:val="004F7B16"/>
    <w:rsid w:val="00503931"/>
    <w:rsid w:val="00505ACA"/>
    <w:rsid w:val="00506D69"/>
    <w:rsid w:val="00511F84"/>
    <w:rsid w:val="005120AF"/>
    <w:rsid w:val="00513B2B"/>
    <w:rsid w:val="00513E70"/>
    <w:rsid w:val="00513FB2"/>
    <w:rsid w:val="005144A4"/>
    <w:rsid w:val="00515BEF"/>
    <w:rsid w:val="00517C64"/>
    <w:rsid w:val="0052020F"/>
    <w:rsid w:val="005211C3"/>
    <w:rsid w:val="00522445"/>
    <w:rsid w:val="00523055"/>
    <w:rsid w:val="005263AE"/>
    <w:rsid w:val="005309F2"/>
    <w:rsid w:val="00532BF8"/>
    <w:rsid w:val="00533C68"/>
    <w:rsid w:val="00534201"/>
    <w:rsid w:val="00534AB1"/>
    <w:rsid w:val="00534B3E"/>
    <w:rsid w:val="00537049"/>
    <w:rsid w:val="005375A2"/>
    <w:rsid w:val="0054086E"/>
    <w:rsid w:val="00542E89"/>
    <w:rsid w:val="00544C76"/>
    <w:rsid w:val="005469AF"/>
    <w:rsid w:val="0054748C"/>
    <w:rsid w:val="005476BB"/>
    <w:rsid w:val="00547E35"/>
    <w:rsid w:val="0055022D"/>
    <w:rsid w:val="00550DD7"/>
    <w:rsid w:val="00551376"/>
    <w:rsid w:val="00552343"/>
    <w:rsid w:val="0055279E"/>
    <w:rsid w:val="00553260"/>
    <w:rsid w:val="00553A15"/>
    <w:rsid w:val="00553B11"/>
    <w:rsid w:val="00553C67"/>
    <w:rsid w:val="00554503"/>
    <w:rsid w:val="005554F3"/>
    <w:rsid w:val="005601DA"/>
    <w:rsid w:val="005603AE"/>
    <w:rsid w:val="00560781"/>
    <w:rsid w:val="005608BE"/>
    <w:rsid w:val="00562480"/>
    <w:rsid w:val="00562BB4"/>
    <w:rsid w:val="0056428F"/>
    <w:rsid w:val="005646CE"/>
    <w:rsid w:val="005658D5"/>
    <w:rsid w:val="005666FB"/>
    <w:rsid w:val="005670AC"/>
    <w:rsid w:val="00567106"/>
    <w:rsid w:val="00571CA7"/>
    <w:rsid w:val="00571E28"/>
    <w:rsid w:val="0057290F"/>
    <w:rsid w:val="00573692"/>
    <w:rsid w:val="00573B26"/>
    <w:rsid w:val="00574696"/>
    <w:rsid w:val="005826F6"/>
    <w:rsid w:val="00583359"/>
    <w:rsid w:val="0058419B"/>
    <w:rsid w:val="00584F0D"/>
    <w:rsid w:val="00586C74"/>
    <w:rsid w:val="005876F3"/>
    <w:rsid w:val="0058792D"/>
    <w:rsid w:val="00593EE0"/>
    <w:rsid w:val="005957CB"/>
    <w:rsid w:val="00595E37"/>
    <w:rsid w:val="005973C7"/>
    <w:rsid w:val="005A256F"/>
    <w:rsid w:val="005A27D0"/>
    <w:rsid w:val="005A404C"/>
    <w:rsid w:val="005A4D8D"/>
    <w:rsid w:val="005A52F4"/>
    <w:rsid w:val="005A6C09"/>
    <w:rsid w:val="005B15A1"/>
    <w:rsid w:val="005B268F"/>
    <w:rsid w:val="005B29B8"/>
    <w:rsid w:val="005B4F80"/>
    <w:rsid w:val="005B5DF3"/>
    <w:rsid w:val="005B6981"/>
    <w:rsid w:val="005C0395"/>
    <w:rsid w:val="005C4537"/>
    <w:rsid w:val="005C4709"/>
    <w:rsid w:val="005D00A9"/>
    <w:rsid w:val="005D2C10"/>
    <w:rsid w:val="005D3BF0"/>
    <w:rsid w:val="005D44B0"/>
    <w:rsid w:val="005D57F2"/>
    <w:rsid w:val="005D6811"/>
    <w:rsid w:val="005D6F63"/>
    <w:rsid w:val="005E2D65"/>
    <w:rsid w:val="005E2ED7"/>
    <w:rsid w:val="005E4B0B"/>
    <w:rsid w:val="005E4E37"/>
    <w:rsid w:val="005E4FF2"/>
    <w:rsid w:val="005E5B8A"/>
    <w:rsid w:val="005E74AD"/>
    <w:rsid w:val="005F1181"/>
    <w:rsid w:val="005F1E33"/>
    <w:rsid w:val="005F4950"/>
    <w:rsid w:val="005F706C"/>
    <w:rsid w:val="006006A6"/>
    <w:rsid w:val="006007B1"/>
    <w:rsid w:val="00600BCC"/>
    <w:rsid w:val="00601D94"/>
    <w:rsid w:val="00604212"/>
    <w:rsid w:val="00604E4C"/>
    <w:rsid w:val="00604FE9"/>
    <w:rsid w:val="00605AA1"/>
    <w:rsid w:val="00606442"/>
    <w:rsid w:val="006078DF"/>
    <w:rsid w:val="00611DAB"/>
    <w:rsid w:val="006138B2"/>
    <w:rsid w:val="006154EA"/>
    <w:rsid w:val="00615756"/>
    <w:rsid w:val="00616E2B"/>
    <w:rsid w:val="00617F4A"/>
    <w:rsid w:val="0062343C"/>
    <w:rsid w:val="006246F1"/>
    <w:rsid w:val="00624D1C"/>
    <w:rsid w:val="006256AA"/>
    <w:rsid w:val="00626738"/>
    <w:rsid w:val="00630848"/>
    <w:rsid w:val="00630864"/>
    <w:rsid w:val="0063100B"/>
    <w:rsid w:val="0063148D"/>
    <w:rsid w:val="00632435"/>
    <w:rsid w:val="00633AC1"/>
    <w:rsid w:val="006349C0"/>
    <w:rsid w:val="006358B2"/>
    <w:rsid w:val="00635E0B"/>
    <w:rsid w:val="0063641D"/>
    <w:rsid w:val="006369D0"/>
    <w:rsid w:val="0064017F"/>
    <w:rsid w:val="00641663"/>
    <w:rsid w:val="006418C3"/>
    <w:rsid w:val="00642588"/>
    <w:rsid w:val="006432FF"/>
    <w:rsid w:val="0064363C"/>
    <w:rsid w:val="00646975"/>
    <w:rsid w:val="00646FCC"/>
    <w:rsid w:val="006479D7"/>
    <w:rsid w:val="006516BE"/>
    <w:rsid w:val="0065237F"/>
    <w:rsid w:val="006547B8"/>
    <w:rsid w:val="006557AC"/>
    <w:rsid w:val="006573C5"/>
    <w:rsid w:val="00657B82"/>
    <w:rsid w:val="006608FD"/>
    <w:rsid w:val="00660A20"/>
    <w:rsid w:val="0066241C"/>
    <w:rsid w:val="00662491"/>
    <w:rsid w:val="00663D74"/>
    <w:rsid w:val="00664278"/>
    <w:rsid w:val="00665FD7"/>
    <w:rsid w:val="00666983"/>
    <w:rsid w:val="006719B9"/>
    <w:rsid w:val="0067453E"/>
    <w:rsid w:val="00675488"/>
    <w:rsid w:val="0067658B"/>
    <w:rsid w:val="00677F9E"/>
    <w:rsid w:val="006807F4"/>
    <w:rsid w:val="00681452"/>
    <w:rsid w:val="006818C2"/>
    <w:rsid w:val="0068420E"/>
    <w:rsid w:val="00684457"/>
    <w:rsid w:val="00685ACA"/>
    <w:rsid w:val="00686575"/>
    <w:rsid w:val="00690799"/>
    <w:rsid w:val="00694CC4"/>
    <w:rsid w:val="00696468"/>
    <w:rsid w:val="00696FF2"/>
    <w:rsid w:val="006A0A5E"/>
    <w:rsid w:val="006A0FF4"/>
    <w:rsid w:val="006A17F7"/>
    <w:rsid w:val="006A2440"/>
    <w:rsid w:val="006A2D5D"/>
    <w:rsid w:val="006A4896"/>
    <w:rsid w:val="006A4FFB"/>
    <w:rsid w:val="006A53CE"/>
    <w:rsid w:val="006A6645"/>
    <w:rsid w:val="006A688C"/>
    <w:rsid w:val="006B048E"/>
    <w:rsid w:val="006B0C3A"/>
    <w:rsid w:val="006B161B"/>
    <w:rsid w:val="006B4CA1"/>
    <w:rsid w:val="006C351C"/>
    <w:rsid w:val="006C3A45"/>
    <w:rsid w:val="006C47CE"/>
    <w:rsid w:val="006C4E0C"/>
    <w:rsid w:val="006C5054"/>
    <w:rsid w:val="006C5711"/>
    <w:rsid w:val="006C5DF9"/>
    <w:rsid w:val="006D1775"/>
    <w:rsid w:val="006D1FD0"/>
    <w:rsid w:val="006D2826"/>
    <w:rsid w:val="006D6E88"/>
    <w:rsid w:val="006D739F"/>
    <w:rsid w:val="006D7821"/>
    <w:rsid w:val="006E0A31"/>
    <w:rsid w:val="006E4E8C"/>
    <w:rsid w:val="006E53CA"/>
    <w:rsid w:val="006E721C"/>
    <w:rsid w:val="006F06B2"/>
    <w:rsid w:val="006F1BCF"/>
    <w:rsid w:val="006F1C9F"/>
    <w:rsid w:val="006F244B"/>
    <w:rsid w:val="006F2524"/>
    <w:rsid w:val="006F2D8B"/>
    <w:rsid w:val="006F2E0F"/>
    <w:rsid w:val="006F61E8"/>
    <w:rsid w:val="00700176"/>
    <w:rsid w:val="0070145E"/>
    <w:rsid w:val="00701B4E"/>
    <w:rsid w:val="0070556B"/>
    <w:rsid w:val="00706D5E"/>
    <w:rsid w:val="00707B3B"/>
    <w:rsid w:val="007116B7"/>
    <w:rsid w:val="0071233D"/>
    <w:rsid w:val="00712DE9"/>
    <w:rsid w:val="00713F66"/>
    <w:rsid w:val="0071467B"/>
    <w:rsid w:val="00717DD4"/>
    <w:rsid w:val="00721A8E"/>
    <w:rsid w:val="0072256A"/>
    <w:rsid w:val="00722965"/>
    <w:rsid w:val="00724E24"/>
    <w:rsid w:val="00725BA8"/>
    <w:rsid w:val="007275E4"/>
    <w:rsid w:val="00727E5C"/>
    <w:rsid w:val="00730DA5"/>
    <w:rsid w:val="00735143"/>
    <w:rsid w:val="007359D4"/>
    <w:rsid w:val="00737861"/>
    <w:rsid w:val="007429BD"/>
    <w:rsid w:val="00742E76"/>
    <w:rsid w:val="00743F5D"/>
    <w:rsid w:val="00744795"/>
    <w:rsid w:val="0075010A"/>
    <w:rsid w:val="007515E8"/>
    <w:rsid w:val="00751EB2"/>
    <w:rsid w:val="007546FC"/>
    <w:rsid w:val="007549F5"/>
    <w:rsid w:val="00754AFF"/>
    <w:rsid w:val="007553BF"/>
    <w:rsid w:val="0075658E"/>
    <w:rsid w:val="00756BB4"/>
    <w:rsid w:val="00756D04"/>
    <w:rsid w:val="00757041"/>
    <w:rsid w:val="00761047"/>
    <w:rsid w:val="00761849"/>
    <w:rsid w:val="007666CD"/>
    <w:rsid w:val="0076677A"/>
    <w:rsid w:val="0077043E"/>
    <w:rsid w:val="007714AC"/>
    <w:rsid w:val="007759E9"/>
    <w:rsid w:val="00775EF1"/>
    <w:rsid w:val="007760FB"/>
    <w:rsid w:val="0077626B"/>
    <w:rsid w:val="00777661"/>
    <w:rsid w:val="007779F5"/>
    <w:rsid w:val="007810D0"/>
    <w:rsid w:val="00781F62"/>
    <w:rsid w:val="00785851"/>
    <w:rsid w:val="007870AE"/>
    <w:rsid w:val="00787A79"/>
    <w:rsid w:val="0079257C"/>
    <w:rsid w:val="00792AD4"/>
    <w:rsid w:val="00792F0E"/>
    <w:rsid w:val="0079378D"/>
    <w:rsid w:val="0079586B"/>
    <w:rsid w:val="00796F9C"/>
    <w:rsid w:val="00797AF6"/>
    <w:rsid w:val="007A0434"/>
    <w:rsid w:val="007A19DB"/>
    <w:rsid w:val="007A2B0A"/>
    <w:rsid w:val="007A4BA9"/>
    <w:rsid w:val="007B13A2"/>
    <w:rsid w:val="007B1730"/>
    <w:rsid w:val="007B297B"/>
    <w:rsid w:val="007B2ACE"/>
    <w:rsid w:val="007B4343"/>
    <w:rsid w:val="007B4BF0"/>
    <w:rsid w:val="007B5973"/>
    <w:rsid w:val="007B6C06"/>
    <w:rsid w:val="007C166F"/>
    <w:rsid w:val="007C2B81"/>
    <w:rsid w:val="007C6B0C"/>
    <w:rsid w:val="007C6B7B"/>
    <w:rsid w:val="007C6CF7"/>
    <w:rsid w:val="007D0C0D"/>
    <w:rsid w:val="007D178D"/>
    <w:rsid w:val="007D21D5"/>
    <w:rsid w:val="007D3945"/>
    <w:rsid w:val="007D45E1"/>
    <w:rsid w:val="007D47BE"/>
    <w:rsid w:val="007D6F42"/>
    <w:rsid w:val="007D714A"/>
    <w:rsid w:val="007E1AC5"/>
    <w:rsid w:val="007E2F40"/>
    <w:rsid w:val="007E4845"/>
    <w:rsid w:val="007E5781"/>
    <w:rsid w:val="007E7052"/>
    <w:rsid w:val="007F16FC"/>
    <w:rsid w:val="007F413F"/>
    <w:rsid w:val="007F4C02"/>
    <w:rsid w:val="007F576B"/>
    <w:rsid w:val="007F5B4F"/>
    <w:rsid w:val="007F6B89"/>
    <w:rsid w:val="0080198C"/>
    <w:rsid w:val="0080253A"/>
    <w:rsid w:val="008048E8"/>
    <w:rsid w:val="00814019"/>
    <w:rsid w:val="00814230"/>
    <w:rsid w:val="00815559"/>
    <w:rsid w:val="0081560D"/>
    <w:rsid w:val="00815630"/>
    <w:rsid w:val="00816548"/>
    <w:rsid w:val="00816732"/>
    <w:rsid w:val="00817254"/>
    <w:rsid w:val="00817615"/>
    <w:rsid w:val="00820570"/>
    <w:rsid w:val="00821A6B"/>
    <w:rsid w:val="0082262F"/>
    <w:rsid w:val="0082300F"/>
    <w:rsid w:val="00823DFB"/>
    <w:rsid w:val="00824144"/>
    <w:rsid w:val="008249D3"/>
    <w:rsid w:val="008252A8"/>
    <w:rsid w:val="00826037"/>
    <w:rsid w:val="00826A33"/>
    <w:rsid w:val="0083202A"/>
    <w:rsid w:val="0083246E"/>
    <w:rsid w:val="00832A36"/>
    <w:rsid w:val="00833FB8"/>
    <w:rsid w:val="0083553E"/>
    <w:rsid w:val="00840399"/>
    <w:rsid w:val="008405E5"/>
    <w:rsid w:val="00842612"/>
    <w:rsid w:val="0084333D"/>
    <w:rsid w:val="008436CD"/>
    <w:rsid w:val="008438C2"/>
    <w:rsid w:val="00843B7D"/>
    <w:rsid w:val="00843C2B"/>
    <w:rsid w:val="00844412"/>
    <w:rsid w:val="00844BBF"/>
    <w:rsid w:val="00845803"/>
    <w:rsid w:val="00847EEA"/>
    <w:rsid w:val="00851C2B"/>
    <w:rsid w:val="00851D26"/>
    <w:rsid w:val="00852085"/>
    <w:rsid w:val="00852DC7"/>
    <w:rsid w:val="00855235"/>
    <w:rsid w:val="00857ADF"/>
    <w:rsid w:val="008613C1"/>
    <w:rsid w:val="0086350D"/>
    <w:rsid w:val="00865B8E"/>
    <w:rsid w:val="00866D98"/>
    <w:rsid w:val="008722E6"/>
    <w:rsid w:val="00873329"/>
    <w:rsid w:val="00873E34"/>
    <w:rsid w:val="00876057"/>
    <w:rsid w:val="008843AE"/>
    <w:rsid w:val="00884BB4"/>
    <w:rsid w:val="00885185"/>
    <w:rsid w:val="00885580"/>
    <w:rsid w:val="008878B6"/>
    <w:rsid w:val="0089043F"/>
    <w:rsid w:val="008941CB"/>
    <w:rsid w:val="00894ECA"/>
    <w:rsid w:val="00895853"/>
    <w:rsid w:val="00895BBB"/>
    <w:rsid w:val="0089783C"/>
    <w:rsid w:val="00897895"/>
    <w:rsid w:val="00897B54"/>
    <w:rsid w:val="00897B60"/>
    <w:rsid w:val="00897C02"/>
    <w:rsid w:val="00897D6A"/>
    <w:rsid w:val="008A01A0"/>
    <w:rsid w:val="008A0E9A"/>
    <w:rsid w:val="008A0FCA"/>
    <w:rsid w:val="008A25BF"/>
    <w:rsid w:val="008A2B12"/>
    <w:rsid w:val="008A2E24"/>
    <w:rsid w:val="008A4221"/>
    <w:rsid w:val="008A5333"/>
    <w:rsid w:val="008A5601"/>
    <w:rsid w:val="008A5C5A"/>
    <w:rsid w:val="008A66E9"/>
    <w:rsid w:val="008A722D"/>
    <w:rsid w:val="008B3EBF"/>
    <w:rsid w:val="008B7087"/>
    <w:rsid w:val="008B7E91"/>
    <w:rsid w:val="008C07B5"/>
    <w:rsid w:val="008C2D70"/>
    <w:rsid w:val="008C3BAC"/>
    <w:rsid w:val="008C61B3"/>
    <w:rsid w:val="008D0086"/>
    <w:rsid w:val="008D072D"/>
    <w:rsid w:val="008D0D6E"/>
    <w:rsid w:val="008D1001"/>
    <w:rsid w:val="008D3243"/>
    <w:rsid w:val="008D3827"/>
    <w:rsid w:val="008D440E"/>
    <w:rsid w:val="008D55FF"/>
    <w:rsid w:val="008D645C"/>
    <w:rsid w:val="008E20A6"/>
    <w:rsid w:val="008E24CB"/>
    <w:rsid w:val="008E278C"/>
    <w:rsid w:val="008E2FB6"/>
    <w:rsid w:val="008E3230"/>
    <w:rsid w:val="008E4647"/>
    <w:rsid w:val="008E4D43"/>
    <w:rsid w:val="008E587C"/>
    <w:rsid w:val="008E68A0"/>
    <w:rsid w:val="008E7D6E"/>
    <w:rsid w:val="008F0715"/>
    <w:rsid w:val="008F0BDC"/>
    <w:rsid w:val="008F1000"/>
    <w:rsid w:val="008F1052"/>
    <w:rsid w:val="008F1434"/>
    <w:rsid w:val="008F1B95"/>
    <w:rsid w:val="008F1DE7"/>
    <w:rsid w:val="008F2C4D"/>
    <w:rsid w:val="008F6498"/>
    <w:rsid w:val="00900B23"/>
    <w:rsid w:val="009010C4"/>
    <w:rsid w:val="0090215F"/>
    <w:rsid w:val="00903D5A"/>
    <w:rsid w:val="0090472B"/>
    <w:rsid w:val="0090511A"/>
    <w:rsid w:val="0090566C"/>
    <w:rsid w:val="00907D93"/>
    <w:rsid w:val="009100E6"/>
    <w:rsid w:val="009114F0"/>
    <w:rsid w:val="009125B6"/>
    <w:rsid w:val="00914C18"/>
    <w:rsid w:val="0091533A"/>
    <w:rsid w:val="009165A6"/>
    <w:rsid w:val="00917A71"/>
    <w:rsid w:val="00917CA4"/>
    <w:rsid w:val="00920D74"/>
    <w:rsid w:val="00920F1A"/>
    <w:rsid w:val="00923267"/>
    <w:rsid w:val="00924493"/>
    <w:rsid w:val="00926C97"/>
    <w:rsid w:val="00926D97"/>
    <w:rsid w:val="0093296F"/>
    <w:rsid w:val="009334D0"/>
    <w:rsid w:val="00935843"/>
    <w:rsid w:val="00941020"/>
    <w:rsid w:val="00944C87"/>
    <w:rsid w:val="009454DF"/>
    <w:rsid w:val="00945A29"/>
    <w:rsid w:val="00946142"/>
    <w:rsid w:val="00946435"/>
    <w:rsid w:val="009464F7"/>
    <w:rsid w:val="009473BF"/>
    <w:rsid w:val="009477A5"/>
    <w:rsid w:val="00953CEC"/>
    <w:rsid w:val="00955378"/>
    <w:rsid w:val="00955E4C"/>
    <w:rsid w:val="00956246"/>
    <w:rsid w:val="009568BE"/>
    <w:rsid w:val="00957417"/>
    <w:rsid w:val="00960F3C"/>
    <w:rsid w:val="00961E95"/>
    <w:rsid w:val="00963E20"/>
    <w:rsid w:val="0096422B"/>
    <w:rsid w:val="00965752"/>
    <w:rsid w:val="0096660E"/>
    <w:rsid w:val="00966E87"/>
    <w:rsid w:val="0096774C"/>
    <w:rsid w:val="0097179A"/>
    <w:rsid w:val="009728A5"/>
    <w:rsid w:val="00973E93"/>
    <w:rsid w:val="00974B4C"/>
    <w:rsid w:val="00974D94"/>
    <w:rsid w:val="00974F90"/>
    <w:rsid w:val="00976DA5"/>
    <w:rsid w:val="0097724F"/>
    <w:rsid w:val="009774A0"/>
    <w:rsid w:val="0098095E"/>
    <w:rsid w:val="0098215A"/>
    <w:rsid w:val="009824CB"/>
    <w:rsid w:val="00982A1E"/>
    <w:rsid w:val="00982C63"/>
    <w:rsid w:val="00984405"/>
    <w:rsid w:val="009860B5"/>
    <w:rsid w:val="009861FB"/>
    <w:rsid w:val="0098732E"/>
    <w:rsid w:val="00990854"/>
    <w:rsid w:val="00994AF8"/>
    <w:rsid w:val="00995056"/>
    <w:rsid w:val="009959E2"/>
    <w:rsid w:val="009967CA"/>
    <w:rsid w:val="00996E09"/>
    <w:rsid w:val="00997CEC"/>
    <w:rsid w:val="009A0D2D"/>
    <w:rsid w:val="009A22E8"/>
    <w:rsid w:val="009A271D"/>
    <w:rsid w:val="009A319A"/>
    <w:rsid w:val="009A4689"/>
    <w:rsid w:val="009A698A"/>
    <w:rsid w:val="009A74F1"/>
    <w:rsid w:val="009B0788"/>
    <w:rsid w:val="009B2F0D"/>
    <w:rsid w:val="009B4366"/>
    <w:rsid w:val="009B43E6"/>
    <w:rsid w:val="009B5BE8"/>
    <w:rsid w:val="009B6264"/>
    <w:rsid w:val="009B6505"/>
    <w:rsid w:val="009C187E"/>
    <w:rsid w:val="009C1C1B"/>
    <w:rsid w:val="009C1E4E"/>
    <w:rsid w:val="009C2BEA"/>
    <w:rsid w:val="009C3D99"/>
    <w:rsid w:val="009C5E37"/>
    <w:rsid w:val="009C604B"/>
    <w:rsid w:val="009D11AE"/>
    <w:rsid w:val="009D6F59"/>
    <w:rsid w:val="009D7DBB"/>
    <w:rsid w:val="009D7EA2"/>
    <w:rsid w:val="009E01CA"/>
    <w:rsid w:val="009E02B5"/>
    <w:rsid w:val="009E0F3F"/>
    <w:rsid w:val="009E22E2"/>
    <w:rsid w:val="009E2ED8"/>
    <w:rsid w:val="009E2EE4"/>
    <w:rsid w:val="009E535C"/>
    <w:rsid w:val="009E63EE"/>
    <w:rsid w:val="009F0947"/>
    <w:rsid w:val="009F0CCE"/>
    <w:rsid w:val="009F1A78"/>
    <w:rsid w:val="009F2255"/>
    <w:rsid w:val="009F4EFC"/>
    <w:rsid w:val="009F6495"/>
    <w:rsid w:val="009F6AC9"/>
    <w:rsid w:val="00A00B6C"/>
    <w:rsid w:val="00A011C6"/>
    <w:rsid w:val="00A01B6F"/>
    <w:rsid w:val="00A07F0A"/>
    <w:rsid w:val="00A07FEA"/>
    <w:rsid w:val="00A10C7C"/>
    <w:rsid w:val="00A11397"/>
    <w:rsid w:val="00A118DA"/>
    <w:rsid w:val="00A132AC"/>
    <w:rsid w:val="00A14C65"/>
    <w:rsid w:val="00A15982"/>
    <w:rsid w:val="00A207AC"/>
    <w:rsid w:val="00A20A53"/>
    <w:rsid w:val="00A20FA0"/>
    <w:rsid w:val="00A21A44"/>
    <w:rsid w:val="00A225B1"/>
    <w:rsid w:val="00A22A17"/>
    <w:rsid w:val="00A259E4"/>
    <w:rsid w:val="00A26D96"/>
    <w:rsid w:val="00A273BA"/>
    <w:rsid w:val="00A274B2"/>
    <w:rsid w:val="00A321F4"/>
    <w:rsid w:val="00A32C4C"/>
    <w:rsid w:val="00A3571A"/>
    <w:rsid w:val="00A36647"/>
    <w:rsid w:val="00A37CF7"/>
    <w:rsid w:val="00A40879"/>
    <w:rsid w:val="00A40A25"/>
    <w:rsid w:val="00A42430"/>
    <w:rsid w:val="00A43019"/>
    <w:rsid w:val="00A44386"/>
    <w:rsid w:val="00A4461A"/>
    <w:rsid w:val="00A552BC"/>
    <w:rsid w:val="00A5555F"/>
    <w:rsid w:val="00A558B7"/>
    <w:rsid w:val="00A55FEF"/>
    <w:rsid w:val="00A56F0E"/>
    <w:rsid w:val="00A6058C"/>
    <w:rsid w:val="00A61BB4"/>
    <w:rsid w:val="00A61F3B"/>
    <w:rsid w:val="00A6423E"/>
    <w:rsid w:val="00A64966"/>
    <w:rsid w:val="00A64C79"/>
    <w:rsid w:val="00A64F6C"/>
    <w:rsid w:val="00A66F25"/>
    <w:rsid w:val="00A704B0"/>
    <w:rsid w:val="00A71050"/>
    <w:rsid w:val="00A717F9"/>
    <w:rsid w:val="00A73B05"/>
    <w:rsid w:val="00A74012"/>
    <w:rsid w:val="00A7671F"/>
    <w:rsid w:val="00A81351"/>
    <w:rsid w:val="00A839FD"/>
    <w:rsid w:val="00A83B91"/>
    <w:rsid w:val="00A862CE"/>
    <w:rsid w:val="00A904B9"/>
    <w:rsid w:val="00A90C82"/>
    <w:rsid w:val="00A93EA4"/>
    <w:rsid w:val="00A9452C"/>
    <w:rsid w:val="00A95FDC"/>
    <w:rsid w:val="00AA2E87"/>
    <w:rsid w:val="00AA3521"/>
    <w:rsid w:val="00AA4334"/>
    <w:rsid w:val="00AA4815"/>
    <w:rsid w:val="00AA4E12"/>
    <w:rsid w:val="00AA60D2"/>
    <w:rsid w:val="00AA75C9"/>
    <w:rsid w:val="00AB01C5"/>
    <w:rsid w:val="00AB13F2"/>
    <w:rsid w:val="00AB17F8"/>
    <w:rsid w:val="00AB1ADD"/>
    <w:rsid w:val="00AB2673"/>
    <w:rsid w:val="00AB26F3"/>
    <w:rsid w:val="00AB2996"/>
    <w:rsid w:val="00AB2C81"/>
    <w:rsid w:val="00AB371F"/>
    <w:rsid w:val="00AB6003"/>
    <w:rsid w:val="00AB704A"/>
    <w:rsid w:val="00AB738C"/>
    <w:rsid w:val="00AB7D2B"/>
    <w:rsid w:val="00AB7DC6"/>
    <w:rsid w:val="00AC0CAA"/>
    <w:rsid w:val="00AC37D6"/>
    <w:rsid w:val="00AC3AF4"/>
    <w:rsid w:val="00AC611D"/>
    <w:rsid w:val="00AD0F83"/>
    <w:rsid w:val="00AD277A"/>
    <w:rsid w:val="00AD2F98"/>
    <w:rsid w:val="00AD32B5"/>
    <w:rsid w:val="00AD37DC"/>
    <w:rsid w:val="00AD3D8F"/>
    <w:rsid w:val="00AD4529"/>
    <w:rsid w:val="00AD517C"/>
    <w:rsid w:val="00AD5BB6"/>
    <w:rsid w:val="00AD66A8"/>
    <w:rsid w:val="00AD69EB"/>
    <w:rsid w:val="00AD7D9A"/>
    <w:rsid w:val="00AE0497"/>
    <w:rsid w:val="00AE0C16"/>
    <w:rsid w:val="00AE1717"/>
    <w:rsid w:val="00AE1D53"/>
    <w:rsid w:val="00AE2740"/>
    <w:rsid w:val="00AE27BD"/>
    <w:rsid w:val="00AE347E"/>
    <w:rsid w:val="00AE4FDE"/>
    <w:rsid w:val="00AE50CB"/>
    <w:rsid w:val="00AE77B9"/>
    <w:rsid w:val="00AE7828"/>
    <w:rsid w:val="00AF3E72"/>
    <w:rsid w:val="00AF4C95"/>
    <w:rsid w:val="00AF7B15"/>
    <w:rsid w:val="00B014A0"/>
    <w:rsid w:val="00B033A3"/>
    <w:rsid w:val="00B036ED"/>
    <w:rsid w:val="00B04380"/>
    <w:rsid w:val="00B050BD"/>
    <w:rsid w:val="00B06014"/>
    <w:rsid w:val="00B0670F"/>
    <w:rsid w:val="00B07ECF"/>
    <w:rsid w:val="00B10725"/>
    <w:rsid w:val="00B12562"/>
    <w:rsid w:val="00B13330"/>
    <w:rsid w:val="00B14349"/>
    <w:rsid w:val="00B14FD8"/>
    <w:rsid w:val="00B17C13"/>
    <w:rsid w:val="00B3253F"/>
    <w:rsid w:val="00B33BA2"/>
    <w:rsid w:val="00B34C60"/>
    <w:rsid w:val="00B34C6C"/>
    <w:rsid w:val="00B35CE7"/>
    <w:rsid w:val="00B3694D"/>
    <w:rsid w:val="00B37763"/>
    <w:rsid w:val="00B4250A"/>
    <w:rsid w:val="00B42737"/>
    <w:rsid w:val="00B4278E"/>
    <w:rsid w:val="00B4433D"/>
    <w:rsid w:val="00B4776E"/>
    <w:rsid w:val="00B5047C"/>
    <w:rsid w:val="00B5077A"/>
    <w:rsid w:val="00B52B50"/>
    <w:rsid w:val="00B55454"/>
    <w:rsid w:val="00B5790A"/>
    <w:rsid w:val="00B6078A"/>
    <w:rsid w:val="00B61D9E"/>
    <w:rsid w:val="00B62415"/>
    <w:rsid w:val="00B62966"/>
    <w:rsid w:val="00B633EA"/>
    <w:rsid w:val="00B66062"/>
    <w:rsid w:val="00B67ECF"/>
    <w:rsid w:val="00B715CE"/>
    <w:rsid w:val="00B72D65"/>
    <w:rsid w:val="00B73EC5"/>
    <w:rsid w:val="00B76691"/>
    <w:rsid w:val="00B8094A"/>
    <w:rsid w:val="00B860D6"/>
    <w:rsid w:val="00B87D41"/>
    <w:rsid w:val="00B904F0"/>
    <w:rsid w:val="00B90886"/>
    <w:rsid w:val="00B93D4C"/>
    <w:rsid w:val="00B94925"/>
    <w:rsid w:val="00B95B6D"/>
    <w:rsid w:val="00B95BA1"/>
    <w:rsid w:val="00B97556"/>
    <w:rsid w:val="00BA2413"/>
    <w:rsid w:val="00BA4173"/>
    <w:rsid w:val="00BA5DBD"/>
    <w:rsid w:val="00BA6CDD"/>
    <w:rsid w:val="00BB10C8"/>
    <w:rsid w:val="00BB1C62"/>
    <w:rsid w:val="00BB1C7F"/>
    <w:rsid w:val="00BB3CA2"/>
    <w:rsid w:val="00BB5E4E"/>
    <w:rsid w:val="00BB6A38"/>
    <w:rsid w:val="00BB7192"/>
    <w:rsid w:val="00BB7963"/>
    <w:rsid w:val="00BB7BE5"/>
    <w:rsid w:val="00BB7FA2"/>
    <w:rsid w:val="00BC1294"/>
    <w:rsid w:val="00BC3FE5"/>
    <w:rsid w:val="00BC571D"/>
    <w:rsid w:val="00BC59FE"/>
    <w:rsid w:val="00BC6288"/>
    <w:rsid w:val="00BC6899"/>
    <w:rsid w:val="00BC6DDA"/>
    <w:rsid w:val="00BC72AC"/>
    <w:rsid w:val="00BC7344"/>
    <w:rsid w:val="00BD44D3"/>
    <w:rsid w:val="00BD56B5"/>
    <w:rsid w:val="00BE047B"/>
    <w:rsid w:val="00BE0ED6"/>
    <w:rsid w:val="00BE2ACA"/>
    <w:rsid w:val="00BE2C30"/>
    <w:rsid w:val="00BE694A"/>
    <w:rsid w:val="00BF01ED"/>
    <w:rsid w:val="00BF063D"/>
    <w:rsid w:val="00BF075A"/>
    <w:rsid w:val="00BF082D"/>
    <w:rsid w:val="00BF1A27"/>
    <w:rsid w:val="00BF1CFB"/>
    <w:rsid w:val="00BF3AAA"/>
    <w:rsid w:val="00C0074B"/>
    <w:rsid w:val="00C008E0"/>
    <w:rsid w:val="00C0169B"/>
    <w:rsid w:val="00C025FA"/>
    <w:rsid w:val="00C03DD2"/>
    <w:rsid w:val="00C0443F"/>
    <w:rsid w:val="00C049A4"/>
    <w:rsid w:val="00C059C3"/>
    <w:rsid w:val="00C061BB"/>
    <w:rsid w:val="00C06612"/>
    <w:rsid w:val="00C0721F"/>
    <w:rsid w:val="00C07595"/>
    <w:rsid w:val="00C07597"/>
    <w:rsid w:val="00C13B82"/>
    <w:rsid w:val="00C15039"/>
    <w:rsid w:val="00C150A1"/>
    <w:rsid w:val="00C16EFD"/>
    <w:rsid w:val="00C17974"/>
    <w:rsid w:val="00C20486"/>
    <w:rsid w:val="00C23D91"/>
    <w:rsid w:val="00C25F23"/>
    <w:rsid w:val="00C266EF"/>
    <w:rsid w:val="00C30781"/>
    <w:rsid w:val="00C3078F"/>
    <w:rsid w:val="00C33FA8"/>
    <w:rsid w:val="00C3709A"/>
    <w:rsid w:val="00C3759B"/>
    <w:rsid w:val="00C422FC"/>
    <w:rsid w:val="00C42508"/>
    <w:rsid w:val="00C42777"/>
    <w:rsid w:val="00C43B6A"/>
    <w:rsid w:val="00C45229"/>
    <w:rsid w:val="00C45998"/>
    <w:rsid w:val="00C463B8"/>
    <w:rsid w:val="00C46963"/>
    <w:rsid w:val="00C506F5"/>
    <w:rsid w:val="00C518B1"/>
    <w:rsid w:val="00C52F27"/>
    <w:rsid w:val="00C5362D"/>
    <w:rsid w:val="00C54321"/>
    <w:rsid w:val="00C558FD"/>
    <w:rsid w:val="00C562AF"/>
    <w:rsid w:val="00C57C5A"/>
    <w:rsid w:val="00C57CB6"/>
    <w:rsid w:val="00C60C78"/>
    <w:rsid w:val="00C61354"/>
    <w:rsid w:val="00C628F3"/>
    <w:rsid w:val="00C63CBE"/>
    <w:rsid w:val="00C6484A"/>
    <w:rsid w:val="00C677CB"/>
    <w:rsid w:val="00C6794F"/>
    <w:rsid w:val="00C67B86"/>
    <w:rsid w:val="00C718E1"/>
    <w:rsid w:val="00C71C5B"/>
    <w:rsid w:val="00C74912"/>
    <w:rsid w:val="00C80393"/>
    <w:rsid w:val="00C80594"/>
    <w:rsid w:val="00C8094D"/>
    <w:rsid w:val="00C8179E"/>
    <w:rsid w:val="00C867E4"/>
    <w:rsid w:val="00C868F8"/>
    <w:rsid w:val="00C86A11"/>
    <w:rsid w:val="00C86B5C"/>
    <w:rsid w:val="00C870AF"/>
    <w:rsid w:val="00C879E5"/>
    <w:rsid w:val="00C87F4F"/>
    <w:rsid w:val="00C91A0F"/>
    <w:rsid w:val="00CA0518"/>
    <w:rsid w:val="00CA0D64"/>
    <w:rsid w:val="00CA16F7"/>
    <w:rsid w:val="00CA2AE7"/>
    <w:rsid w:val="00CA2FE0"/>
    <w:rsid w:val="00CA4EA7"/>
    <w:rsid w:val="00CA53D9"/>
    <w:rsid w:val="00CA605B"/>
    <w:rsid w:val="00CB02B8"/>
    <w:rsid w:val="00CB1CEF"/>
    <w:rsid w:val="00CB34A2"/>
    <w:rsid w:val="00CB378A"/>
    <w:rsid w:val="00CB4704"/>
    <w:rsid w:val="00CB6152"/>
    <w:rsid w:val="00CB687F"/>
    <w:rsid w:val="00CB6FB5"/>
    <w:rsid w:val="00CB7ACD"/>
    <w:rsid w:val="00CB7D27"/>
    <w:rsid w:val="00CB7F09"/>
    <w:rsid w:val="00CC0F6B"/>
    <w:rsid w:val="00CC1E58"/>
    <w:rsid w:val="00CC22EC"/>
    <w:rsid w:val="00CC2669"/>
    <w:rsid w:val="00CC4E31"/>
    <w:rsid w:val="00CD285B"/>
    <w:rsid w:val="00CD2BFF"/>
    <w:rsid w:val="00CD41DB"/>
    <w:rsid w:val="00CD58DF"/>
    <w:rsid w:val="00CD60FA"/>
    <w:rsid w:val="00CD63BE"/>
    <w:rsid w:val="00CE3E39"/>
    <w:rsid w:val="00CE40E6"/>
    <w:rsid w:val="00CE47BC"/>
    <w:rsid w:val="00CE7328"/>
    <w:rsid w:val="00CE7738"/>
    <w:rsid w:val="00CF0FC2"/>
    <w:rsid w:val="00CF1C4D"/>
    <w:rsid w:val="00CF5A83"/>
    <w:rsid w:val="00CF612E"/>
    <w:rsid w:val="00D00C91"/>
    <w:rsid w:val="00D0123E"/>
    <w:rsid w:val="00D01298"/>
    <w:rsid w:val="00D02CBC"/>
    <w:rsid w:val="00D02DA3"/>
    <w:rsid w:val="00D05838"/>
    <w:rsid w:val="00D05E42"/>
    <w:rsid w:val="00D11920"/>
    <w:rsid w:val="00D13809"/>
    <w:rsid w:val="00D14FF0"/>
    <w:rsid w:val="00D155C4"/>
    <w:rsid w:val="00D158B6"/>
    <w:rsid w:val="00D17EF4"/>
    <w:rsid w:val="00D20526"/>
    <w:rsid w:val="00D2065E"/>
    <w:rsid w:val="00D21FB7"/>
    <w:rsid w:val="00D2450D"/>
    <w:rsid w:val="00D24E3B"/>
    <w:rsid w:val="00D279AF"/>
    <w:rsid w:val="00D3061F"/>
    <w:rsid w:val="00D31F24"/>
    <w:rsid w:val="00D31FD1"/>
    <w:rsid w:val="00D3322D"/>
    <w:rsid w:val="00D34850"/>
    <w:rsid w:val="00D34C3E"/>
    <w:rsid w:val="00D363DC"/>
    <w:rsid w:val="00D416F0"/>
    <w:rsid w:val="00D41A02"/>
    <w:rsid w:val="00D41F1A"/>
    <w:rsid w:val="00D4287E"/>
    <w:rsid w:val="00D42E30"/>
    <w:rsid w:val="00D470F5"/>
    <w:rsid w:val="00D504E5"/>
    <w:rsid w:val="00D546ED"/>
    <w:rsid w:val="00D56A46"/>
    <w:rsid w:val="00D624FB"/>
    <w:rsid w:val="00D63669"/>
    <w:rsid w:val="00D64007"/>
    <w:rsid w:val="00D65EFA"/>
    <w:rsid w:val="00D678B4"/>
    <w:rsid w:val="00D701DD"/>
    <w:rsid w:val="00D705D7"/>
    <w:rsid w:val="00D71D77"/>
    <w:rsid w:val="00D71EAF"/>
    <w:rsid w:val="00D77792"/>
    <w:rsid w:val="00D807A8"/>
    <w:rsid w:val="00D815E6"/>
    <w:rsid w:val="00D81C95"/>
    <w:rsid w:val="00D81D48"/>
    <w:rsid w:val="00D82030"/>
    <w:rsid w:val="00D8243B"/>
    <w:rsid w:val="00D83169"/>
    <w:rsid w:val="00D837CB"/>
    <w:rsid w:val="00D84DAF"/>
    <w:rsid w:val="00D858D8"/>
    <w:rsid w:val="00D86A79"/>
    <w:rsid w:val="00D86E21"/>
    <w:rsid w:val="00D87411"/>
    <w:rsid w:val="00D87B35"/>
    <w:rsid w:val="00D907F8"/>
    <w:rsid w:val="00D92F80"/>
    <w:rsid w:val="00D93358"/>
    <w:rsid w:val="00D95EE9"/>
    <w:rsid w:val="00D97C37"/>
    <w:rsid w:val="00DA20C0"/>
    <w:rsid w:val="00DA25FA"/>
    <w:rsid w:val="00DA2BA4"/>
    <w:rsid w:val="00DA397B"/>
    <w:rsid w:val="00DA46AB"/>
    <w:rsid w:val="00DA50DF"/>
    <w:rsid w:val="00DA5A29"/>
    <w:rsid w:val="00DA6B7B"/>
    <w:rsid w:val="00DA798E"/>
    <w:rsid w:val="00DA7BE6"/>
    <w:rsid w:val="00DB0F3D"/>
    <w:rsid w:val="00DB19A8"/>
    <w:rsid w:val="00DB31ED"/>
    <w:rsid w:val="00DB5107"/>
    <w:rsid w:val="00DB5586"/>
    <w:rsid w:val="00DB6245"/>
    <w:rsid w:val="00DB6B78"/>
    <w:rsid w:val="00DB7EC4"/>
    <w:rsid w:val="00DC53CB"/>
    <w:rsid w:val="00DC74EB"/>
    <w:rsid w:val="00DD0702"/>
    <w:rsid w:val="00DD2344"/>
    <w:rsid w:val="00DD3889"/>
    <w:rsid w:val="00DD3B18"/>
    <w:rsid w:val="00DD65EC"/>
    <w:rsid w:val="00DD685A"/>
    <w:rsid w:val="00DE0129"/>
    <w:rsid w:val="00DE0467"/>
    <w:rsid w:val="00DE06FD"/>
    <w:rsid w:val="00DE0C34"/>
    <w:rsid w:val="00DE1895"/>
    <w:rsid w:val="00DE3E7D"/>
    <w:rsid w:val="00DE5EB9"/>
    <w:rsid w:val="00DF0A2E"/>
    <w:rsid w:val="00DF2378"/>
    <w:rsid w:val="00DF48E5"/>
    <w:rsid w:val="00DF5F19"/>
    <w:rsid w:val="00DF6377"/>
    <w:rsid w:val="00DF6E03"/>
    <w:rsid w:val="00DF7665"/>
    <w:rsid w:val="00E009E7"/>
    <w:rsid w:val="00E02C7A"/>
    <w:rsid w:val="00E053E2"/>
    <w:rsid w:val="00E05FAE"/>
    <w:rsid w:val="00E0682B"/>
    <w:rsid w:val="00E10704"/>
    <w:rsid w:val="00E115D1"/>
    <w:rsid w:val="00E12260"/>
    <w:rsid w:val="00E12560"/>
    <w:rsid w:val="00E12835"/>
    <w:rsid w:val="00E14B4C"/>
    <w:rsid w:val="00E14C30"/>
    <w:rsid w:val="00E1535E"/>
    <w:rsid w:val="00E15986"/>
    <w:rsid w:val="00E16575"/>
    <w:rsid w:val="00E167CA"/>
    <w:rsid w:val="00E1736A"/>
    <w:rsid w:val="00E26BBB"/>
    <w:rsid w:val="00E26FFE"/>
    <w:rsid w:val="00E326D4"/>
    <w:rsid w:val="00E332D6"/>
    <w:rsid w:val="00E3435D"/>
    <w:rsid w:val="00E40287"/>
    <w:rsid w:val="00E41B06"/>
    <w:rsid w:val="00E42981"/>
    <w:rsid w:val="00E43B23"/>
    <w:rsid w:val="00E43E0B"/>
    <w:rsid w:val="00E43F40"/>
    <w:rsid w:val="00E44E8B"/>
    <w:rsid w:val="00E4533F"/>
    <w:rsid w:val="00E464A8"/>
    <w:rsid w:val="00E4683E"/>
    <w:rsid w:val="00E46A2E"/>
    <w:rsid w:val="00E47035"/>
    <w:rsid w:val="00E47B6B"/>
    <w:rsid w:val="00E50199"/>
    <w:rsid w:val="00E507BA"/>
    <w:rsid w:val="00E507BC"/>
    <w:rsid w:val="00E50BF9"/>
    <w:rsid w:val="00E50E67"/>
    <w:rsid w:val="00E53F66"/>
    <w:rsid w:val="00E54BB9"/>
    <w:rsid w:val="00E54BEE"/>
    <w:rsid w:val="00E57510"/>
    <w:rsid w:val="00E57A80"/>
    <w:rsid w:val="00E60F37"/>
    <w:rsid w:val="00E62672"/>
    <w:rsid w:val="00E64752"/>
    <w:rsid w:val="00E67805"/>
    <w:rsid w:val="00E7161D"/>
    <w:rsid w:val="00E7177E"/>
    <w:rsid w:val="00E72868"/>
    <w:rsid w:val="00E7410F"/>
    <w:rsid w:val="00E7480E"/>
    <w:rsid w:val="00E75BAE"/>
    <w:rsid w:val="00E76D2F"/>
    <w:rsid w:val="00E7758E"/>
    <w:rsid w:val="00E83947"/>
    <w:rsid w:val="00E83CF4"/>
    <w:rsid w:val="00E83E1D"/>
    <w:rsid w:val="00E843C8"/>
    <w:rsid w:val="00E849D5"/>
    <w:rsid w:val="00E8650B"/>
    <w:rsid w:val="00E87424"/>
    <w:rsid w:val="00E92F24"/>
    <w:rsid w:val="00E94046"/>
    <w:rsid w:val="00E95787"/>
    <w:rsid w:val="00E95B19"/>
    <w:rsid w:val="00E96EB4"/>
    <w:rsid w:val="00E97924"/>
    <w:rsid w:val="00EA0E21"/>
    <w:rsid w:val="00EA3C79"/>
    <w:rsid w:val="00EA6694"/>
    <w:rsid w:val="00EA75CD"/>
    <w:rsid w:val="00EB1A73"/>
    <w:rsid w:val="00EB1D9F"/>
    <w:rsid w:val="00EB6DDC"/>
    <w:rsid w:val="00EB7D52"/>
    <w:rsid w:val="00EC2FC4"/>
    <w:rsid w:val="00EC36F8"/>
    <w:rsid w:val="00EC3BC4"/>
    <w:rsid w:val="00EC6999"/>
    <w:rsid w:val="00EC6EA7"/>
    <w:rsid w:val="00EC6FC1"/>
    <w:rsid w:val="00EC7017"/>
    <w:rsid w:val="00EC7184"/>
    <w:rsid w:val="00EC7808"/>
    <w:rsid w:val="00EC7EA6"/>
    <w:rsid w:val="00ED185B"/>
    <w:rsid w:val="00ED3EE6"/>
    <w:rsid w:val="00ED53D2"/>
    <w:rsid w:val="00EE42D0"/>
    <w:rsid w:val="00EE49C2"/>
    <w:rsid w:val="00EE49DB"/>
    <w:rsid w:val="00EE5A0F"/>
    <w:rsid w:val="00EE7C15"/>
    <w:rsid w:val="00EF0D23"/>
    <w:rsid w:val="00EF104E"/>
    <w:rsid w:val="00EF1152"/>
    <w:rsid w:val="00EF401D"/>
    <w:rsid w:val="00EF4261"/>
    <w:rsid w:val="00EF63D1"/>
    <w:rsid w:val="00EF7F14"/>
    <w:rsid w:val="00F00524"/>
    <w:rsid w:val="00F0084D"/>
    <w:rsid w:val="00F01676"/>
    <w:rsid w:val="00F0182F"/>
    <w:rsid w:val="00F06723"/>
    <w:rsid w:val="00F06E83"/>
    <w:rsid w:val="00F0712B"/>
    <w:rsid w:val="00F101AA"/>
    <w:rsid w:val="00F102BB"/>
    <w:rsid w:val="00F117B7"/>
    <w:rsid w:val="00F1260E"/>
    <w:rsid w:val="00F1278A"/>
    <w:rsid w:val="00F13565"/>
    <w:rsid w:val="00F13D42"/>
    <w:rsid w:val="00F1656B"/>
    <w:rsid w:val="00F17E81"/>
    <w:rsid w:val="00F206A3"/>
    <w:rsid w:val="00F207EF"/>
    <w:rsid w:val="00F20F26"/>
    <w:rsid w:val="00F20FEB"/>
    <w:rsid w:val="00F243B7"/>
    <w:rsid w:val="00F2498B"/>
    <w:rsid w:val="00F25D35"/>
    <w:rsid w:val="00F26058"/>
    <w:rsid w:val="00F27CD6"/>
    <w:rsid w:val="00F30A4A"/>
    <w:rsid w:val="00F3193E"/>
    <w:rsid w:val="00F3410A"/>
    <w:rsid w:val="00F34DB3"/>
    <w:rsid w:val="00F35BA9"/>
    <w:rsid w:val="00F41962"/>
    <w:rsid w:val="00F46CF4"/>
    <w:rsid w:val="00F47A73"/>
    <w:rsid w:val="00F51F67"/>
    <w:rsid w:val="00F55769"/>
    <w:rsid w:val="00F55E97"/>
    <w:rsid w:val="00F57774"/>
    <w:rsid w:val="00F625B5"/>
    <w:rsid w:val="00F66811"/>
    <w:rsid w:val="00F66D5C"/>
    <w:rsid w:val="00F67A0C"/>
    <w:rsid w:val="00F71724"/>
    <w:rsid w:val="00F71940"/>
    <w:rsid w:val="00F7325B"/>
    <w:rsid w:val="00F733BA"/>
    <w:rsid w:val="00F74973"/>
    <w:rsid w:val="00F76C96"/>
    <w:rsid w:val="00F76E37"/>
    <w:rsid w:val="00F77131"/>
    <w:rsid w:val="00F7728C"/>
    <w:rsid w:val="00F80488"/>
    <w:rsid w:val="00F8066A"/>
    <w:rsid w:val="00F80BDB"/>
    <w:rsid w:val="00F81161"/>
    <w:rsid w:val="00F820C3"/>
    <w:rsid w:val="00F82CFD"/>
    <w:rsid w:val="00F83F6E"/>
    <w:rsid w:val="00F87000"/>
    <w:rsid w:val="00F8759B"/>
    <w:rsid w:val="00F90C0F"/>
    <w:rsid w:val="00F91D7D"/>
    <w:rsid w:val="00F938DF"/>
    <w:rsid w:val="00F940F3"/>
    <w:rsid w:val="00F95621"/>
    <w:rsid w:val="00F95D56"/>
    <w:rsid w:val="00F960F5"/>
    <w:rsid w:val="00F973A1"/>
    <w:rsid w:val="00F9780A"/>
    <w:rsid w:val="00FA0BDE"/>
    <w:rsid w:val="00FA0D59"/>
    <w:rsid w:val="00FA1D60"/>
    <w:rsid w:val="00FA2F00"/>
    <w:rsid w:val="00FA4E7E"/>
    <w:rsid w:val="00FA6AC0"/>
    <w:rsid w:val="00FB0251"/>
    <w:rsid w:val="00FB095A"/>
    <w:rsid w:val="00FB13C0"/>
    <w:rsid w:val="00FB170C"/>
    <w:rsid w:val="00FB49CE"/>
    <w:rsid w:val="00FB565F"/>
    <w:rsid w:val="00FB65A0"/>
    <w:rsid w:val="00FC0540"/>
    <w:rsid w:val="00FC0ABC"/>
    <w:rsid w:val="00FC1F33"/>
    <w:rsid w:val="00FC27C9"/>
    <w:rsid w:val="00FC2F6D"/>
    <w:rsid w:val="00FC3954"/>
    <w:rsid w:val="00FC5576"/>
    <w:rsid w:val="00FC5E80"/>
    <w:rsid w:val="00FC71A7"/>
    <w:rsid w:val="00FC73E0"/>
    <w:rsid w:val="00FC751D"/>
    <w:rsid w:val="00FD04E2"/>
    <w:rsid w:val="00FD10E9"/>
    <w:rsid w:val="00FD1670"/>
    <w:rsid w:val="00FD2F17"/>
    <w:rsid w:val="00FD57C2"/>
    <w:rsid w:val="00FD6728"/>
    <w:rsid w:val="00FD6FE8"/>
    <w:rsid w:val="00FE2711"/>
    <w:rsid w:val="00FE3FC4"/>
    <w:rsid w:val="00FE49D6"/>
    <w:rsid w:val="00FE63B9"/>
    <w:rsid w:val="00FE6A4D"/>
    <w:rsid w:val="00FF1631"/>
    <w:rsid w:val="00FF1BDE"/>
    <w:rsid w:val="00FF3C84"/>
    <w:rsid w:val="00FF43A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3246">
      <w:bodyDiv w:val="1"/>
      <w:marLeft w:val="0"/>
      <w:marRight w:val="0"/>
      <w:marTop w:val="0"/>
      <w:marBottom w:val="0"/>
      <w:divBdr>
        <w:top w:val="none" w:sz="0" w:space="0" w:color="auto"/>
        <w:left w:val="none" w:sz="0" w:space="0" w:color="auto"/>
        <w:bottom w:val="none" w:sz="0" w:space="0" w:color="auto"/>
        <w:right w:val="none" w:sz="0" w:space="0" w:color="auto"/>
      </w:divBdr>
    </w:div>
    <w:div w:id="662470581">
      <w:bodyDiv w:val="1"/>
      <w:marLeft w:val="0"/>
      <w:marRight w:val="0"/>
      <w:marTop w:val="0"/>
      <w:marBottom w:val="0"/>
      <w:divBdr>
        <w:top w:val="none" w:sz="0" w:space="0" w:color="auto"/>
        <w:left w:val="none" w:sz="0" w:space="0" w:color="auto"/>
        <w:bottom w:val="none" w:sz="0" w:space="0" w:color="auto"/>
        <w:right w:val="none" w:sz="0" w:space="0" w:color="auto"/>
      </w:divBdr>
    </w:div>
    <w:div w:id="11622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568B-0ADD-45D2-B682-0083D4C8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2013-01-17T19:36:00Z</cp:lastPrinted>
  <dcterms:created xsi:type="dcterms:W3CDTF">2013-01-18T14:14:00Z</dcterms:created>
  <dcterms:modified xsi:type="dcterms:W3CDTF">2013-01-18T14:15:00Z</dcterms:modified>
</cp:coreProperties>
</file>