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1D" w:rsidRPr="00A01330" w:rsidRDefault="00D22A1D" w:rsidP="00D22A1D">
      <w:pPr>
        <w:jc w:val="center"/>
        <w:rPr>
          <w:b/>
          <w:sz w:val="24"/>
        </w:rPr>
      </w:pPr>
      <w:r w:rsidRPr="00A01330">
        <w:rPr>
          <w:b/>
          <w:sz w:val="24"/>
        </w:rPr>
        <w:t>BEFORE THE</w:t>
      </w:r>
    </w:p>
    <w:p w:rsidR="00D22A1D" w:rsidRPr="00A01330" w:rsidRDefault="00D22A1D" w:rsidP="00D22A1D">
      <w:pPr>
        <w:jc w:val="center"/>
        <w:rPr>
          <w:b/>
          <w:sz w:val="24"/>
        </w:rPr>
      </w:pPr>
      <w:r w:rsidRPr="00A01330">
        <w:rPr>
          <w:b/>
          <w:sz w:val="24"/>
        </w:rPr>
        <w:t>PENNSYLVANIA PUBLIC UTILITY COMMISSION</w:t>
      </w:r>
    </w:p>
    <w:p w:rsidR="00D22A1D" w:rsidRPr="00A01330" w:rsidRDefault="00D22A1D" w:rsidP="00D22A1D">
      <w:pPr>
        <w:jc w:val="center"/>
        <w:rPr>
          <w:sz w:val="24"/>
        </w:rPr>
      </w:pPr>
    </w:p>
    <w:p w:rsidR="00D22A1D" w:rsidRPr="00A01330" w:rsidRDefault="00D22A1D" w:rsidP="00D22A1D">
      <w:pPr>
        <w:jc w:val="center"/>
        <w:rPr>
          <w:sz w:val="24"/>
        </w:rPr>
      </w:pPr>
    </w:p>
    <w:p w:rsidR="00D22A1D" w:rsidRPr="00A01330" w:rsidRDefault="00D22A1D" w:rsidP="00D22A1D">
      <w:pPr>
        <w:jc w:val="center"/>
        <w:rPr>
          <w:sz w:val="24"/>
        </w:rPr>
      </w:pPr>
    </w:p>
    <w:p w:rsidR="00D22A1D" w:rsidRPr="004B306D" w:rsidRDefault="00D22A1D" w:rsidP="00D22A1D">
      <w:pPr>
        <w:rPr>
          <w:sz w:val="24"/>
        </w:rPr>
      </w:pPr>
      <w:r w:rsidRPr="004B306D">
        <w:rPr>
          <w:sz w:val="24"/>
        </w:rPr>
        <w:t>Petition of P</w:t>
      </w:r>
      <w:r>
        <w:rPr>
          <w:sz w:val="24"/>
        </w:rPr>
        <w:t>PL</w:t>
      </w:r>
      <w:r w:rsidRPr="004B306D">
        <w:rPr>
          <w:sz w:val="24"/>
        </w:rPr>
        <w:t xml:space="preserve"> E</w:t>
      </w:r>
      <w:r>
        <w:rPr>
          <w:sz w:val="24"/>
        </w:rPr>
        <w:t>lectric</w:t>
      </w:r>
      <w:r w:rsidRPr="004B306D">
        <w:rPr>
          <w:sz w:val="24"/>
        </w:rPr>
        <w:t xml:space="preserve"> </w:t>
      </w:r>
      <w:r>
        <w:rPr>
          <w:sz w:val="24"/>
        </w:rPr>
        <w:t>Utilities Corporation</w:t>
      </w:r>
      <w:r>
        <w:rPr>
          <w:sz w:val="24"/>
        </w:rPr>
        <w:tab/>
      </w:r>
      <w:r w:rsidRPr="004B306D">
        <w:rPr>
          <w:sz w:val="24"/>
        </w:rPr>
        <w:t>:</w:t>
      </w:r>
    </w:p>
    <w:p w:rsidR="00D22A1D" w:rsidRDefault="00D22A1D" w:rsidP="00D22A1D">
      <w:pPr>
        <w:rPr>
          <w:sz w:val="24"/>
        </w:rPr>
      </w:pPr>
      <w:proofErr w:type="gramStart"/>
      <w:r w:rsidRPr="004B306D">
        <w:rPr>
          <w:sz w:val="24"/>
        </w:rPr>
        <w:t>for</w:t>
      </w:r>
      <w:proofErr w:type="gramEnd"/>
      <w:r w:rsidRPr="004B306D">
        <w:rPr>
          <w:sz w:val="24"/>
        </w:rPr>
        <w:t xml:space="preserve"> Approval of its Act 129 </w:t>
      </w:r>
      <w:r>
        <w:rPr>
          <w:sz w:val="24"/>
        </w:rPr>
        <w:t>Phase II</w:t>
      </w:r>
      <w:r>
        <w:rPr>
          <w:sz w:val="24"/>
        </w:rPr>
        <w:tab/>
      </w:r>
      <w:r>
        <w:rPr>
          <w:sz w:val="24"/>
        </w:rPr>
        <w:tab/>
      </w:r>
      <w:r>
        <w:rPr>
          <w:sz w:val="24"/>
        </w:rPr>
        <w:tab/>
        <w:t>:</w:t>
      </w:r>
      <w:r>
        <w:rPr>
          <w:sz w:val="24"/>
        </w:rPr>
        <w:tab/>
      </w:r>
      <w:r w:rsidRPr="004E2873">
        <w:rPr>
          <w:sz w:val="24"/>
        </w:rPr>
        <w:t>M-2012-233</w:t>
      </w:r>
      <w:r>
        <w:rPr>
          <w:sz w:val="24"/>
        </w:rPr>
        <w:t>4388</w:t>
      </w:r>
    </w:p>
    <w:p w:rsidR="00D22A1D" w:rsidRDefault="00D22A1D" w:rsidP="00D22A1D">
      <w:pPr>
        <w:rPr>
          <w:sz w:val="24"/>
        </w:rPr>
      </w:pPr>
      <w:r w:rsidRPr="004B306D">
        <w:rPr>
          <w:sz w:val="24"/>
        </w:rPr>
        <w:t>Energy Efficiency</w:t>
      </w:r>
      <w:r>
        <w:rPr>
          <w:sz w:val="24"/>
        </w:rPr>
        <w:t xml:space="preserve"> </w:t>
      </w:r>
      <w:r w:rsidRPr="004B306D">
        <w:rPr>
          <w:sz w:val="24"/>
        </w:rPr>
        <w:t>and Conservation Plan</w:t>
      </w:r>
      <w:r>
        <w:rPr>
          <w:sz w:val="24"/>
        </w:rPr>
        <w:tab/>
      </w:r>
      <w:r>
        <w:rPr>
          <w:sz w:val="24"/>
        </w:rPr>
        <w:tab/>
        <w:t>:</w:t>
      </w:r>
    </w:p>
    <w:p w:rsidR="00D22A1D" w:rsidRDefault="00D22A1D" w:rsidP="00D22A1D">
      <w:pPr>
        <w:rPr>
          <w:sz w:val="24"/>
        </w:rPr>
      </w:pPr>
    </w:p>
    <w:p w:rsidR="00D22A1D" w:rsidRPr="00A01330" w:rsidRDefault="00D22A1D" w:rsidP="00D22A1D">
      <w:pPr>
        <w:rPr>
          <w:sz w:val="24"/>
        </w:rPr>
      </w:pPr>
    </w:p>
    <w:p w:rsidR="00D22A1D" w:rsidRPr="003B55B7" w:rsidRDefault="00F62C5A" w:rsidP="00D22A1D">
      <w:pPr>
        <w:tabs>
          <w:tab w:val="center" w:pos="4680"/>
        </w:tabs>
        <w:suppressAutoHyphens/>
        <w:autoSpaceDE/>
        <w:autoSpaceDN/>
        <w:jc w:val="center"/>
        <w:rPr>
          <w:b/>
          <w:bCs/>
          <w:spacing w:val="-3"/>
          <w:sz w:val="24"/>
          <w:szCs w:val="24"/>
          <w:u w:val="single"/>
        </w:rPr>
      </w:pPr>
      <w:r>
        <w:rPr>
          <w:b/>
          <w:bCs/>
          <w:spacing w:val="-3"/>
          <w:sz w:val="24"/>
          <w:szCs w:val="24"/>
          <w:u w:val="single"/>
        </w:rPr>
        <w:t xml:space="preserve">FIFTH </w:t>
      </w:r>
      <w:r w:rsidR="00D22A1D" w:rsidRPr="003B55B7">
        <w:rPr>
          <w:b/>
          <w:bCs/>
          <w:spacing w:val="-3"/>
          <w:sz w:val="24"/>
          <w:szCs w:val="24"/>
          <w:u w:val="single"/>
        </w:rPr>
        <w:t>PREHEARING ORDER</w:t>
      </w:r>
    </w:p>
    <w:p w:rsidR="00D22A1D" w:rsidRPr="00D22A1D" w:rsidRDefault="00D22A1D" w:rsidP="00592EEC">
      <w:pPr>
        <w:pStyle w:val="NoSpacing"/>
        <w:spacing w:line="360" w:lineRule="auto"/>
        <w:rPr>
          <w:rFonts w:ascii="Times New Roman" w:hAnsi="Times New Roman" w:cs="Times New Roman"/>
          <w:sz w:val="24"/>
          <w:szCs w:val="24"/>
        </w:rPr>
      </w:pPr>
    </w:p>
    <w:p w:rsidR="00D22A1D" w:rsidRDefault="00D22A1D"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Prehearing Order </w:t>
      </w:r>
      <w:r w:rsidR="00F62C5A">
        <w:rPr>
          <w:rFonts w:ascii="Times New Roman" w:hAnsi="Times New Roman" w:cs="Times New Roman"/>
          <w:sz w:val="24"/>
          <w:szCs w:val="24"/>
        </w:rPr>
        <w:t xml:space="preserve">addresses the January 14, 2013 Petition of </w:t>
      </w:r>
      <w:r>
        <w:rPr>
          <w:rFonts w:ascii="Times New Roman" w:hAnsi="Times New Roman" w:cs="Times New Roman"/>
          <w:sz w:val="24"/>
          <w:szCs w:val="24"/>
        </w:rPr>
        <w:t>Comverge, Inc. (</w:t>
      </w:r>
      <w:proofErr w:type="spellStart"/>
      <w:r>
        <w:rPr>
          <w:rFonts w:ascii="Times New Roman" w:hAnsi="Times New Roman" w:cs="Times New Roman"/>
          <w:sz w:val="24"/>
          <w:szCs w:val="24"/>
        </w:rPr>
        <w:t>Comverge</w:t>
      </w:r>
      <w:proofErr w:type="spellEnd"/>
      <w:r>
        <w:rPr>
          <w:rFonts w:ascii="Times New Roman" w:hAnsi="Times New Roman" w:cs="Times New Roman"/>
          <w:sz w:val="24"/>
          <w:szCs w:val="24"/>
        </w:rPr>
        <w:t xml:space="preserve">) </w:t>
      </w:r>
      <w:r w:rsidR="00F62C5A">
        <w:rPr>
          <w:rFonts w:ascii="Times New Roman" w:hAnsi="Times New Roman" w:cs="Times New Roman"/>
          <w:sz w:val="24"/>
          <w:szCs w:val="24"/>
        </w:rPr>
        <w:t xml:space="preserve">for Admission </w:t>
      </w:r>
      <w:proofErr w:type="spellStart"/>
      <w:r w:rsidR="00F62C5A" w:rsidRPr="00F62C5A">
        <w:rPr>
          <w:rFonts w:ascii="Times New Roman" w:hAnsi="Times New Roman" w:cs="Times New Roman"/>
          <w:i/>
          <w:sz w:val="24"/>
          <w:szCs w:val="24"/>
        </w:rPr>
        <w:t>Nunc</w:t>
      </w:r>
      <w:proofErr w:type="spellEnd"/>
      <w:r w:rsidR="00F62C5A" w:rsidRPr="00F62C5A">
        <w:rPr>
          <w:rFonts w:ascii="Times New Roman" w:hAnsi="Times New Roman" w:cs="Times New Roman"/>
          <w:i/>
          <w:sz w:val="24"/>
          <w:szCs w:val="24"/>
        </w:rPr>
        <w:t xml:space="preserve"> Pro </w:t>
      </w:r>
      <w:proofErr w:type="spellStart"/>
      <w:r w:rsidR="00F62C5A" w:rsidRPr="00F62C5A">
        <w:rPr>
          <w:rFonts w:ascii="Times New Roman" w:hAnsi="Times New Roman" w:cs="Times New Roman"/>
          <w:i/>
          <w:sz w:val="24"/>
          <w:szCs w:val="24"/>
        </w:rPr>
        <w:t>Tunc</w:t>
      </w:r>
      <w:proofErr w:type="spellEnd"/>
      <w:r w:rsidR="00F62C5A">
        <w:rPr>
          <w:rFonts w:ascii="Times New Roman" w:hAnsi="Times New Roman" w:cs="Times New Roman"/>
          <w:sz w:val="24"/>
          <w:szCs w:val="24"/>
        </w:rPr>
        <w:t xml:space="preserve"> of the Direct Testimony of Raymond G. Berkebile.  That Petition was objected to by PPL Electric Utilities Corporation</w:t>
      </w:r>
      <w:r w:rsidR="00920AC6">
        <w:rPr>
          <w:rFonts w:ascii="Times New Roman" w:hAnsi="Times New Roman" w:cs="Times New Roman"/>
          <w:sz w:val="24"/>
          <w:szCs w:val="24"/>
        </w:rPr>
        <w:t xml:space="preserve"> (PPL)</w:t>
      </w:r>
      <w:r w:rsidR="00F62C5A">
        <w:rPr>
          <w:rFonts w:ascii="Times New Roman" w:hAnsi="Times New Roman" w:cs="Times New Roman"/>
          <w:sz w:val="24"/>
          <w:szCs w:val="24"/>
        </w:rPr>
        <w:t xml:space="preserve"> on January 15, 2013.</w:t>
      </w:r>
      <w:r w:rsidR="000A092D">
        <w:rPr>
          <w:rStyle w:val="FootnoteReference"/>
          <w:rFonts w:ascii="Times New Roman" w:hAnsi="Times New Roman" w:cs="Times New Roman"/>
          <w:sz w:val="24"/>
          <w:szCs w:val="24"/>
        </w:rPr>
        <w:footnoteReference w:id="1"/>
      </w:r>
    </w:p>
    <w:p w:rsidR="00F62C5A" w:rsidRDefault="00F62C5A" w:rsidP="00592EEC">
      <w:pPr>
        <w:pStyle w:val="NoSpacing"/>
        <w:spacing w:line="360" w:lineRule="auto"/>
        <w:rPr>
          <w:rFonts w:ascii="Times New Roman" w:hAnsi="Times New Roman" w:cs="Times New Roman"/>
          <w:sz w:val="24"/>
          <w:szCs w:val="24"/>
        </w:rPr>
      </w:pPr>
    </w:p>
    <w:p w:rsidR="00F62C5A" w:rsidRDefault="00F62C5A"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Because of the expedited schedule in this case, it is not possible to </w:t>
      </w:r>
      <w:r w:rsidR="00E05E80">
        <w:rPr>
          <w:rFonts w:ascii="Times New Roman" w:hAnsi="Times New Roman" w:cs="Times New Roman"/>
          <w:sz w:val="24"/>
          <w:szCs w:val="24"/>
        </w:rPr>
        <w:t xml:space="preserve">resolve this issue by continuing </w:t>
      </w:r>
      <w:r>
        <w:rPr>
          <w:rFonts w:ascii="Times New Roman" w:hAnsi="Times New Roman" w:cs="Times New Roman"/>
          <w:sz w:val="24"/>
          <w:szCs w:val="24"/>
        </w:rPr>
        <w:t xml:space="preserve">the hearing scheduled for </w:t>
      </w:r>
      <w:r w:rsidR="00E05E80">
        <w:rPr>
          <w:rFonts w:ascii="Times New Roman" w:hAnsi="Times New Roman" w:cs="Times New Roman"/>
          <w:sz w:val="24"/>
          <w:szCs w:val="24"/>
        </w:rPr>
        <w:t xml:space="preserve">today, </w:t>
      </w:r>
      <w:r>
        <w:rPr>
          <w:rFonts w:ascii="Times New Roman" w:hAnsi="Times New Roman" w:cs="Times New Roman"/>
          <w:sz w:val="24"/>
          <w:szCs w:val="24"/>
        </w:rPr>
        <w:t xml:space="preserve">January 16, 2013, without violating the directive in the Commission’s </w:t>
      </w:r>
      <w:r w:rsidRPr="00F62C5A">
        <w:rPr>
          <w:rFonts w:ascii="Times New Roman" w:hAnsi="Times New Roman" w:cs="Times New Roman"/>
          <w:sz w:val="24"/>
          <w:szCs w:val="24"/>
        </w:rPr>
        <w:t xml:space="preserve">Implementation Order of August 3, 2012, at </w:t>
      </w:r>
      <w:r w:rsidRPr="00F62C5A">
        <w:rPr>
          <w:rFonts w:ascii="Times New Roman" w:hAnsi="Times New Roman" w:cs="Times New Roman"/>
          <w:i/>
          <w:sz w:val="24"/>
          <w:szCs w:val="24"/>
        </w:rPr>
        <w:t>Energy Efficiency and Conservation Program</w:t>
      </w:r>
      <w:r w:rsidRPr="00F62C5A">
        <w:rPr>
          <w:rFonts w:ascii="Times New Roman" w:hAnsi="Times New Roman" w:cs="Times New Roman"/>
          <w:sz w:val="24"/>
          <w:szCs w:val="24"/>
        </w:rPr>
        <w:t>, Docket No. M-2012-2289411 (Order entered August 3, 2012) (</w:t>
      </w:r>
      <w:r w:rsidRPr="00F62C5A">
        <w:rPr>
          <w:rFonts w:ascii="Times New Roman" w:hAnsi="Times New Roman" w:cs="Times New Roman"/>
          <w:i/>
          <w:sz w:val="24"/>
          <w:szCs w:val="24"/>
        </w:rPr>
        <w:t>Implementation Order</w:t>
      </w:r>
      <w:r w:rsidRPr="00F62C5A">
        <w:rPr>
          <w:rFonts w:ascii="Times New Roman" w:hAnsi="Times New Roman" w:cs="Times New Roman"/>
          <w:sz w:val="24"/>
          <w:szCs w:val="24"/>
        </w:rPr>
        <w:t>)</w:t>
      </w:r>
      <w:r>
        <w:rPr>
          <w:rFonts w:ascii="Times New Roman" w:hAnsi="Times New Roman" w:cs="Times New Roman"/>
          <w:sz w:val="24"/>
          <w:szCs w:val="24"/>
        </w:rPr>
        <w:t xml:space="preserve">.  Therefore, oral argument </w:t>
      </w:r>
      <w:r w:rsidR="00E05E80">
        <w:rPr>
          <w:rFonts w:ascii="Times New Roman" w:hAnsi="Times New Roman" w:cs="Times New Roman"/>
          <w:sz w:val="24"/>
          <w:szCs w:val="24"/>
        </w:rPr>
        <w:t xml:space="preserve">has been </w:t>
      </w:r>
      <w:r>
        <w:rPr>
          <w:rFonts w:ascii="Times New Roman" w:hAnsi="Times New Roman" w:cs="Times New Roman"/>
          <w:sz w:val="24"/>
          <w:szCs w:val="24"/>
        </w:rPr>
        <w:t xml:space="preserve">held on January 16, 2013, immediately before the start of the evidentiary hearing in this case.  </w:t>
      </w:r>
      <w:r w:rsidR="00E05E80">
        <w:rPr>
          <w:rFonts w:ascii="Times New Roman" w:hAnsi="Times New Roman" w:cs="Times New Roman"/>
          <w:sz w:val="24"/>
          <w:szCs w:val="24"/>
        </w:rPr>
        <w:t xml:space="preserve">For the reasons set forth in this Order, </w:t>
      </w:r>
      <w:proofErr w:type="spellStart"/>
      <w:r w:rsidR="00E05E80">
        <w:rPr>
          <w:rFonts w:ascii="Times New Roman" w:hAnsi="Times New Roman" w:cs="Times New Roman"/>
          <w:sz w:val="24"/>
          <w:szCs w:val="24"/>
        </w:rPr>
        <w:t>Comverge’s</w:t>
      </w:r>
      <w:proofErr w:type="spellEnd"/>
      <w:r w:rsidR="00E05E80">
        <w:rPr>
          <w:rFonts w:ascii="Times New Roman" w:hAnsi="Times New Roman" w:cs="Times New Roman"/>
          <w:sz w:val="24"/>
          <w:szCs w:val="24"/>
        </w:rPr>
        <w:t xml:space="preserve"> Petition is</w:t>
      </w:r>
      <w:r w:rsidR="00D103CF">
        <w:rPr>
          <w:rFonts w:ascii="Times New Roman" w:hAnsi="Times New Roman" w:cs="Times New Roman"/>
          <w:sz w:val="24"/>
          <w:szCs w:val="24"/>
        </w:rPr>
        <w:t xml:space="preserve"> denied.</w:t>
      </w:r>
    </w:p>
    <w:p w:rsidR="00E05E80" w:rsidRDefault="00E05E80" w:rsidP="00592EEC">
      <w:pPr>
        <w:pStyle w:val="NoSpacing"/>
        <w:spacing w:line="360" w:lineRule="auto"/>
        <w:rPr>
          <w:rFonts w:ascii="Times New Roman" w:hAnsi="Times New Roman" w:cs="Times New Roman"/>
          <w:sz w:val="24"/>
          <w:szCs w:val="24"/>
        </w:rPr>
      </w:pPr>
    </w:p>
    <w:p w:rsidR="00E05E80" w:rsidRPr="00C610D9" w:rsidRDefault="00C610D9" w:rsidP="00592EEC">
      <w:pPr>
        <w:pStyle w:val="NoSpacing"/>
        <w:spacing w:line="360" w:lineRule="auto"/>
        <w:rPr>
          <w:rFonts w:ascii="Times New Roman" w:hAnsi="Times New Roman" w:cs="Times New Roman"/>
          <w:b/>
          <w:sz w:val="24"/>
          <w:szCs w:val="24"/>
        </w:rPr>
      </w:pPr>
      <w:r w:rsidRPr="00C610D9">
        <w:rPr>
          <w:rFonts w:ascii="Times New Roman" w:hAnsi="Times New Roman" w:cs="Times New Roman"/>
          <w:b/>
          <w:sz w:val="24"/>
          <w:szCs w:val="24"/>
        </w:rPr>
        <w:t>I.</w:t>
      </w:r>
      <w:r w:rsidRPr="00C610D9">
        <w:rPr>
          <w:rFonts w:ascii="Times New Roman" w:hAnsi="Times New Roman" w:cs="Times New Roman"/>
          <w:b/>
          <w:sz w:val="24"/>
          <w:szCs w:val="24"/>
        </w:rPr>
        <w:tab/>
        <w:t>HISTORY</w:t>
      </w:r>
      <w:r w:rsidR="00920AC6">
        <w:rPr>
          <w:rFonts w:ascii="Times New Roman" w:hAnsi="Times New Roman" w:cs="Times New Roman"/>
          <w:b/>
          <w:sz w:val="24"/>
          <w:szCs w:val="24"/>
        </w:rPr>
        <w:t xml:space="preserve"> AND POSITION OF THE PARTIES</w:t>
      </w:r>
    </w:p>
    <w:p w:rsidR="00F62C5A" w:rsidRDefault="00F62C5A" w:rsidP="00592EEC">
      <w:pPr>
        <w:pStyle w:val="NoSpacing"/>
        <w:spacing w:line="360" w:lineRule="auto"/>
        <w:rPr>
          <w:rFonts w:ascii="Times New Roman" w:hAnsi="Times New Roman" w:cs="Times New Roman"/>
          <w:sz w:val="24"/>
          <w:szCs w:val="24"/>
        </w:rPr>
      </w:pPr>
    </w:p>
    <w:p w:rsidR="00F62C5A" w:rsidRDefault="00F62C5A"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Comverge timely filed a Petition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in this proceeding on December 19, 2012.  That Petition to Intervene was granted in the Third Prehearing Order in this case, issued December 27, 2012.</w:t>
      </w:r>
      <w:r w:rsidR="00AC693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However, because of the expedited time-frame for this case</w:t>
      </w:r>
      <w:r w:rsidR="000A092D">
        <w:rPr>
          <w:rFonts w:ascii="Times New Roman" w:hAnsi="Times New Roman" w:cs="Times New Roman"/>
          <w:sz w:val="24"/>
          <w:szCs w:val="24"/>
        </w:rPr>
        <w:t xml:space="preserve"> directed by the </w:t>
      </w:r>
      <w:r w:rsidR="000A092D" w:rsidRPr="000A092D">
        <w:rPr>
          <w:rFonts w:ascii="Times New Roman" w:hAnsi="Times New Roman" w:cs="Times New Roman"/>
          <w:i/>
          <w:sz w:val="24"/>
          <w:szCs w:val="24"/>
        </w:rPr>
        <w:lastRenderedPageBreak/>
        <w:t>Implementation Order</w:t>
      </w:r>
      <w:r>
        <w:rPr>
          <w:rFonts w:ascii="Times New Roman" w:hAnsi="Times New Roman" w:cs="Times New Roman"/>
          <w:sz w:val="24"/>
          <w:szCs w:val="24"/>
        </w:rPr>
        <w:t xml:space="preserve">, a Prehearing Conference had already been held on December 10, 2012.  At that hearing, December 28, 2012 was established as the date for filing of </w:t>
      </w:r>
      <w:r w:rsidR="00AC6931">
        <w:rPr>
          <w:rFonts w:ascii="Times New Roman" w:hAnsi="Times New Roman" w:cs="Times New Roman"/>
          <w:sz w:val="24"/>
          <w:szCs w:val="24"/>
        </w:rPr>
        <w:t>“</w:t>
      </w:r>
      <w:r>
        <w:rPr>
          <w:rFonts w:ascii="Times New Roman" w:hAnsi="Times New Roman" w:cs="Times New Roman"/>
          <w:sz w:val="24"/>
          <w:szCs w:val="24"/>
        </w:rPr>
        <w:t>Other Parties Comments/Direct Testimony</w:t>
      </w:r>
      <w:r w:rsidR="00AC6931">
        <w:rPr>
          <w:rFonts w:ascii="Times New Roman" w:hAnsi="Times New Roman" w:cs="Times New Roman"/>
          <w:sz w:val="24"/>
          <w:szCs w:val="24"/>
        </w:rPr>
        <w:t>”</w:t>
      </w:r>
      <w:r w:rsidR="00AC693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this case.  </w:t>
      </w:r>
    </w:p>
    <w:p w:rsidR="00F62C5A" w:rsidRDefault="00F62C5A" w:rsidP="00F62C5A">
      <w:pPr>
        <w:pStyle w:val="NoSpacing"/>
        <w:spacing w:line="360" w:lineRule="auto"/>
        <w:rPr>
          <w:rFonts w:ascii="Times New Roman" w:hAnsi="Times New Roman" w:cs="Times New Roman"/>
          <w:sz w:val="24"/>
          <w:szCs w:val="24"/>
        </w:rPr>
      </w:pPr>
    </w:p>
    <w:p w:rsidR="00F62C5A" w:rsidRDefault="00F62C5A"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December 12, 2012, I issued the Second Prehearing Order confirming the December 28, 2012 </w:t>
      </w:r>
      <w:r w:rsidR="00916EA8">
        <w:rPr>
          <w:rFonts w:ascii="Times New Roman" w:hAnsi="Times New Roman" w:cs="Times New Roman"/>
          <w:sz w:val="24"/>
          <w:szCs w:val="24"/>
        </w:rPr>
        <w:t>direct testimony f</w:t>
      </w:r>
      <w:r>
        <w:rPr>
          <w:rFonts w:ascii="Times New Roman" w:hAnsi="Times New Roman" w:cs="Times New Roman"/>
          <w:sz w:val="24"/>
          <w:szCs w:val="24"/>
        </w:rPr>
        <w:t>iling date</w:t>
      </w:r>
      <w:r w:rsidR="00375B66">
        <w:rPr>
          <w:rFonts w:ascii="Times New Roman" w:hAnsi="Times New Roman" w:cs="Times New Roman"/>
          <w:sz w:val="24"/>
          <w:szCs w:val="24"/>
        </w:rPr>
        <w:t>,</w:t>
      </w:r>
      <w:r>
        <w:rPr>
          <w:rFonts w:ascii="Times New Roman" w:hAnsi="Times New Roman" w:cs="Times New Roman"/>
          <w:sz w:val="24"/>
          <w:szCs w:val="24"/>
        </w:rPr>
        <w:t xml:space="preserve"> but also not</w:t>
      </w:r>
      <w:r w:rsidR="003005AD">
        <w:rPr>
          <w:rFonts w:ascii="Times New Roman" w:hAnsi="Times New Roman" w:cs="Times New Roman"/>
          <w:sz w:val="24"/>
          <w:szCs w:val="24"/>
        </w:rPr>
        <w:t>ed</w:t>
      </w:r>
      <w:r>
        <w:rPr>
          <w:rFonts w:ascii="Times New Roman" w:hAnsi="Times New Roman" w:cs="Times New Roman"/>
          <w:sz w:val="24"/>
          <w:szCs w:val="24"/>
        </w:rPr>
        <w:t xml:space="preserve"> that </w:t>
      </w:r>
      <w:r w:rsidRPr="008F1A9F">
        <w:rPr>
          <w:rFonts w:ascii="Times New Roman" w:hAnsi="Times New Roman" w:cs="Times New Roman"/>
          <w:sz w:val="24"/>
          <w:szCs w:val="24"/>
        </w:rPr>
        <w:t xml:space="preserve">the necessity of holding an evidentiary hearing by </w:t>
      </w:r>
      <w:r w:rsidR="00AC6931">
        <w:rPr>
          <w:rFonts w:ascii="Times New Roman" w:hAnsi="Times New Roman" w:cs="Times New Roman"/>
          <w:sz w:val="24"/>
          <w:szCs w:val="24"/>
        </w:rPr>
        <w:t xml:space="preserve">no later than </w:t>
      </w:r>
      <w:r w:rsidRPr="008F1A9F">
        <w:rPr>
          <w:rFonts w:ascii="Times New Roman" w:hAnsi="Times New Roman" w:cs="Times New Roman"/>
          <w:sz w:val="24"/>
          <w:szCs w:val="24"/>
        </w:rPr>
        <w:t>January 18, 2013</w:t>
      </w:r>
      <w:r>
        <w:rPr>
          <w:rFonts w:ascii="Times New Roman" w:hAnsi="Times New Roman" w:cs="Times New Roman"/>
          <w:sz w:val="24"/>
          <w:szCs w:val="24"/>
        </w:rPr>
        <w:t xml:space="preserve"> </w:t>
      </w:r>
      <w:r w:rsidR="00AC6931">
        <w:rPr>
          <w:rFonts w:ascii="Times New Roman" w:hAnsi="Times New Roman" w:cs="Times New Roman"/>
          <w:sz w:val="24"/>
          <w:szCs w:val="24"/>
        </w:rPr>
        <w:t>(</w:t>
      </w:r>
      <w:r w:rsidR="000A092D">
        <w:rPr>
          <w:rFonts w:ascii="Times New Roman" w:hAnsi="Times New Roman" w:cs="Times New Roman"/>
          <w:sz w:val="24"/>
          <w:szCs w:val="24"/>
        </w:rPr>
        <w:t xml:space="preserve">again </w:t>
      </w:r>
      <w:r>
        <w:rPr>
          <w:rFonts w:ascii="Times New Roman" w:hAnsi="Times New Roman" w:cs="Times New Roman"/>
          <w:sz w:val="24"/>
          <w:szCs w:val="24"/>
        </w:rPr>
        <w:t xml:space="preserve">in conformity with the </w:t>
      </w:r>
      <w:r w:rsidRPr="00F62C5A">
        <w:rPr>
          <w:rFonts w:ascii="Times New Roman" w:hAnsi="Times New Roman" w:cs="Times New Roman"/>
          <w:i/>
          <w:sz w:val="24"/>
          <w:szCs w:val="24"/>
        </w:rPr>
        <w:t>Implementation Order</w:t>
      </w:r>
      <w:r w:rsidR="00AC6931">
        <w:rPr>
          <w:rFonts w:ascii="Times New Roman" w:hAnsi="Times New Roman" w:cs="Times New Roman"/>
          <w:sz w:val="24"/>
          <w:szCs w:val="24"/>
        </w:rPr>
        <w:t>)</w:t>
      </w:r>
      <w:r w:rsidRPr="008F1A9F">
        <w:rPr>
          <w:rFonts w:ascii="Times New Roman" w:hAnsi="Times New Roman" w:cs="Times New Roman"/>
          <w:sz w:val="24"/>
          <w:szCs w:val="24"/>
        </w:rPr>
        <w:t xml:space="preserve"> ha</w:t>
      </w:r>
      <w:r>
        <w:rPr>
          <w:rFonts w:ascii="Times New Roman" w:hAnsi="Times New Roman" w:cs="Times New Roman"/>
          <w:sz w:val="24"/>
          <w:szCs w:val="24"/>
        </w:rPr>
        <w:t>d</w:t>
      </w:r>
      <w:r w:rsidRPr="008F1A9F">
        <w:rPr>
          <w:rFonts w:ascii="Times New Roman" w:hAnsi="Times New Roman" w:cs="Times New Roman"/>
          <w:sz w:val="24"/>
          <w:szCs w:val="24"/>
        </w:rPr>
        <w:t xml:space="preserve"> the potential of placing future intervenors at a disadvantage.  I stated that flexibility w</w:t>
      </w:r>
      <w:r>
        <w:rPr>
          <w:rFonts w:ascii="Times New Roman" w:hAnsi="Times New Roman" w:cs="Times New Roman"/>
          <w:sz w:val="24"/>
          <w:szCs w:val="24"/>
        </w:rPr>
        <w:t xml:space="preserve">ould </w:t>
      </w:r>
      <w:r w:rsidRPr="008F1A9F">
        <w:rPr>
          <w:rFonts w:ascii="Times New Roman" w:hAnsi="Times New Roman" w:cs="Times New Roman"/>
          <w:sz w:val="24"/>
          <w:szCs w:val="24"/>
        </w:rPr>
        <w:t>be afforded to such intervenors</w:t>
      </w:r>
      <w:r>
        <w:rPr>
          <w:rFonts w:ascii="Times New Roman" w:hAnsi="Times New Roman" w:cs="Times New Roman"/>
          <w:sz w:val="24"/>
          <w:szCs w:val="24"/>
        </w:rPr>
        <w:t xml:space="preserve"> and noted </w:t>
      </w:r>
      <w:r w:rsidRPr="008F1A9F">
        <w:rPr>
          <w:rFonts w:ascii="Times New Roman" w:hAnsi="Times New Roman" w:cs="Times New Roman"/>
          <w:sz w:val="24"/>
          <w:szCs w:val="24"/>
        </w:rPr>
        <w:t>PPL</w:t>
      </w:r>
      <w:r>
        <w:rPr>
          <w:rFonts w:ascii="Times New Roman" w:hAnsi="Times New Roman" w:cs="Times New Roman"/>
          <w:sz w:val="24"/>
          <w:szCs w:val="24"/>
        </w:rPr>
        <w:t>’s</w:t>
      </w:r>
      <w:r w:rsidRPr="008F1A9F">
        <w:rPr>
          <w:rFonts w:ascii="Times New Roman" w:hAnsi="Times New Roman" w:cs="Times New Roman"/>
          <w:sz w:val="24"/>
          <w:szCs w:val="24"/>
        </w:rPr>
        <w:t xml:space="preserve"> willingness to work with any such intervenors.</w:t>
      </w:r>
      <w:r>
        <w:rPr>
          <w:rFonts w:ascii="Times New Roman" w:hAnsi="Times New Roman" w:cs="Times New Roman"/>
          <w:sz w:val="24"/>
          <w:szCs w:val="24"/>
        </w:rPr>
        <w:t xml:space="preserve">  However, </w:t>
      </w:r>
      <w:r w:rsidR="00C1681A">
        <w:rPr>
          <w:rFonts w:ascii="Times New Roman" w:hAnsi="Times New Roman" w:cs="Times New Roman"/>
          <w:sz w:val="24"/>
          <w:szCs w:val="24"/>
        </w:rPr>
        <w:t xml:space="preserve">flexibility has its limits, and </w:t>
      </w:r>
      <w:r>
        <w:rPr>
          <w:rFonts w:ascii="Times New Roman" w:hAnsi="Times New Roman" w:cs="Times New Roman"/>
          <w:sz w:val="24"/>
          <w:szCs w:val="24"/>
        </w:rPr>
        <w:t xml:space="preserve">at the Prehearing Conference I also made </w:t>
      </w:r>
      <w:r w:rsidR="006A2191">
        <w:rPr>
          <w:rFonts w:ascii="Times New Roman" w:hAnsi="Times New Roman" w:cs="Times New Roman"/>
          <w:sz w:val="24"/>
          <w:szCs w:val="24"/>
        </w:rPr>
        <w:t xml:space="preserve">it </w:t>
      </w:r>
      <w:r>
        <w:rPr>
          <w:rFonts w:ascii="Times New Roman" w:hAnsi="Times New Roman" w:cs="Times New Roman"/>
          <w:sz w:val="24"/>
          <w:szCs w:val="24"/>
        </w:rPr>
        <w:t xml:space="preserve">clear </w:t>
      </w:r>
      <w:r w:rsidRPr="008F1A9F">
        <w:rPr>
          <w:rFonts w:ascii="Times New Roman" w:hAnsi="Times New Roman" w:cs="Times New Roman"/>
          <w:sz w:val="24"/>
          <w:szCs w:val="24"/>
        </w:rPr>
        <w:t>I w</w:t>
      </w:r>
      <w:r>
        <w:rPr>
          <w:rFonts w:ascii="Times New Roman" w:hAnsi="Times New Roman" w:cs="Times New Roman"/>
          <w:sz w:val="24"/>
          <w:szCs w:val="24"/>
        </w:rPr>
        <w:t>ould</w:t>
      </w:r>
      <w:r w:rsidRPr="008F1A9F">
        <w:rPr>
          <w:rFonts w:ascii="Times New Roman" w:hAnsi="Times New Roman" w:cs="Times New Roman"/>
          <w:sz w:val="24"/>
          <w:szCs w:val="24"/>
        </w:rPr>
        <w:t xml:space="preserve"> not acce</w:t>
      </w:r>
      <w:r>
        <w:rPr>
          <w:rFonts w:ascii="Times New Roman" w:hAnsi="Times New Roman" w:cs="Times New Roman"/>
          <w:sz w:val="24"/>
          <w:szCs w:val="24"/>
        </w:rPr>
        <w:t xml:space="preserve">pt “comments” into the record, a ruling that I memorialized in a Fourth Prehearing Order issued in this case on January 9, 2013, after Comverge attempted to introduce the Comments of Raymond G. Berkebile into the record in the case of </w:t>
      </w:r>
      <w:r w:rsidRPr="00D22A1D">
        <w:rPr>
          <w:rFonts w:ascii="Times New Roman" w:hAnsi="Times New Roman" w:cs="Times New Roman"/>
          <w:i/>
          <w:sz w:val="24"/>
          <w:szCs w:val="24"/>
        </w:rPr>
        <w:t>Petition of PECO Energy Company for Approval of its Act 129 Phase II Energy Efficiency and Conservation Plan</w:t>
      </w:r>
      <w:r>
        <w:rPr>
          <w:rFonts w:ascii="Times New Roman" w:hAnsi="Times New Roman" w:cs="Times New Roman"/>
          <w:sz w:val="24"/>
          <w:szCs w:val="24"/>
        </w:rPr>
        <w:t xml:space="preserve">, Docket No. </w:t>
      </w:r>
      <w:proofErr w:type="gramStart"/>
      <w:r w:rsidRPr="00D22A1D">
        <w:rPr>
          <w:rFonts w:ascii="Times New Roman" w:hAnsi="Times New Roman" w:cs="Times New Roman"/>
          <w:sz w:val="24"/>
          <w:szCs w:val="24"/>
        </w:rPr>
        <w:t>M-2012-2333992</w:t>
      </w:r>
      <w:r>
        <w:rPr>
          <w:rFonts w:ascii="Times New Roman" w:hAnsi="Times New Roman" w:cs="Times New Roman"/>
          <w:sz w:val="24"/>
          <w:szCs w:val="24"/>
        </w:rPr>
        <w:t>, that same day.</w:t>
      </w:r>
      <w:proofErr w:type="gramEnd"/>
      <w:r>
        <w:rPr>
          <w:rStyle w:val="FootnoteReference"/>
          <w:rFonts w:ascii="Times New Roman" w:hAnsi="Times New Roman" w:cs="Times New Roman"/>
          <w:sz w:val="24"/>
          <w:szCs w:val="24"/>
        </w:rPr>
        <w:footnoteReference w:id="4"/>
      </w:r>
    </w:p>
    <w:p w:rsidR="00F62C5A" w:rsidRDefault="00F62C5A" w:rsidP="00F62C5A">
      <w:pPr>
        <w:pStyle w:val="NoSpacing"/>
        <w:spacing w:line="360" w:lineRule="auto"/>
        <w:rPr>
          <w:rFonts w:ascii="Times New Roman" w:hAnsi="Times New Roman" w:cs="Times New Roman"/>
          <w:sz w:val="24"/>
          <w:szCs w:val="24"/>
        </w:rPr>
      </w:pPr>
    </w:p>
    <w:p w:rsidR="00F62C5A" w:rsidRPr="00592EEC" w:rsidRDefault="006731F3"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its Petition, Comverge argues that the Commission’s regulation at 52 Pa. Code § 1.2(a) permits a Presiding Officer to “</w:t>
      </w:r>
      <w:r w:rsidRPr="006731F3">
        <w:rPr>
          <w:rFonts w:ascii="Times New Roman" w:hAnsi="Times New Roman" w:cs="Times New Roman"/>
          <w:sz w:val="24"/>
          <w:szCs w:val="24"/>
        </w:rPr>
        <w:t>disregard an error or defect of procedure which does not affect the substantive rights of the parties.</w:t>
      </w:r>
      <w:r>
        <w:rPr>
          <w:rFonts w:ascii="Times New Roman" w:hAnsi="Times New Roman" w:cs="Times New Roman"/>
          <w:sz w:val="24"/>
          <w:szCs w:val="24"/>
        </w:rPr>
        <w:t xml:space="preserve">”  Similarly, </w:t>
      </w:r>
      <w:r w:rsidRPr="006731F3">
        <w:rPr>
          <w:rFonts w:ascii="Times New Roman" w:hAnsi="Times New Roman" w:cs="Times New Roman"/>
          <w:sz w:val="24"/>
          <w:szCs w:val="24"/>
        </w:rPr>
        <w:t>the Commission’s regulation at 52 Pa. Code § 1.2(</w:t>
      </w:r>
      <w:r>
        <w:rPr>
          <w:rFonts w:ascii="Times New Roman" w:hAnsi="Times New Roman" w:cs="Times New Roman"/>
          <w:sz w:val="24"/>
          <w:szCs w:val="24"/>
        </w:rPr>
        <w:t>c</w:t>
      </w:r>
      <w:r w:rsidRPr="006731F3">
        <w:rPr>
          <w:rFonts w:ascii="Times New Roman" w:hAnsi="Times New Roman" w:cs="Times New Roman"/>
          <w:sz w:val="24"/>
          <w:szCs w:val="24"/>
        </w:rPr>
        <w:t>) permits a Presiding Officer to</w:t>
      </w:r>
      <w:r>
        <w:rPr>
          <w:rFonts w:ascii="Times New Roman" w:hAnsi="Times New Roman" w:cs="Times New Roman"/>
          <w:sz w:val="24"/>
          <w:szCs w:val="24"/>
        </w:rPr>
        <w:t xml:space="preserve"> “</w:t>
      </w:r>
      <w:r w:rsidRPr="006731F3">
        <w:rPr>
          <w:rFonts w:ascii="Times New Roman" w:hAnsi="Times New Roman" w:cs="Times New Roman"/>
          <w:sz w:val="24"/>
          <w:szCs w:val="24"/>
        </w:rPr>
        <w:t>waive a requirement of this subpart when necessary or appropriate, if the waiver does not adversely affect a substantive right of a party.</w:t>
      </w:r>
      <w:r>
        <w:rPr>
          <w:rFonts w:ascii="Times New Roman" w:hAnsi="Times New Roman" w:cs="Times New Roman"/>
          <w:sz w:val="24"/>
          <w:szCs w:val="24"/>
        </w:rPr>
        <w:t>”  Petition at 2, ¶¶ 8-9.  Comverge notes the expected time schedule of this proceeding, its late (though not untimely) intervention, its timely filing of comments to PPL’s Phase II Plan, and asserts that it was only informed by Order one day before the filing deadline that comments would not be accepted into the record</w:t>
      </w:r>
      <w:r w:rsidR="002C3061">
        <w:rPr>
          <w:rFonts w:ascii="Times New Roman" w:hAnsi="Times New Roman" w:cs="Times New Roman"/>
          <w:sz w:val="24"/>
          <w:szCs w:val="24"/>
        </w:rPr>
        <w:t xml:space="preserve"> as justification for granting its Petition.  </w:t>
      </w:r>
      <w:proofErr w:type="gramStart"/>
      <w:r w:rsidR="002C3061">
        <w:rPr>
          <w:rFonts w:ascii="Times New Roman" w:hAnsi="Times New Roman" w:cs="Times New Roman"/>
          <w:sz w:val="24"/>
          <w:szCs w:val="24"/>
        </w:rPr>
        <w:t>Petition at 2-3, ¶ 10.</w:t>
      </w:r>
      <w:proofErr w:type="gramEnd"/>
      <w:r w:rsidR="002C3061">
        <w:rPr>
          <w:rFonts w:ascii="Times New Roman" w:hAnsi="Times New Roman" w:cs="Times New Roman"/>
          <w:sz w:val="24"/>
          <w:szCs w:val="24"/>
        </w:rPr>
        <w:t xml:space="preserve">  Comverge </w:t>
      </w:r>
      <w:r w:rsidR="002C3061">
        <w:rPr>
          <w:rFonts w:ascii="Times New Roman" w:hAnsi="Times New Roman" w:cs="Times New Roman"/>
          <w:sz w:val="24"/>
          <w:szCs w:val="24"/>
        </w:rPr>
        <w:lastRenderedPageBreak/>
        <w:t xml:space="preserve">argues that its direct testimony does not differ in substance from its comments, which were timely filed.  </w:t>
      </w:r>
      <w:proofErr w:type="gramStart"/>
      <w:r w:rsidR="002C3061">
        <w:rPr>
          <w:rFonts w:ascii="Times New Roman" w:hAnsi="Times New Roman" w:cs="Times New Roman"/>
          <w:sz w:val="24"/>
          <w:szCs w:val="24"/>
        </w:rPr>
        <w:t>Petition at 3, ¶ 11.</w:t>
      </w:r>
      <w:proofErr w:type="gramEnd"/>
      <w:r w:rsidR="002C3061">
        <w:rPr>
          <w:rFonts w:ascii="Times New Roman" w:hAnsi="Times New Roman" w:cs="Times New Roman"/>
          <w:sz w:val="24"/>
          <w:szCs w:val="24"/>
        </w:rPr>
        <w:t xml:space="preserve">  Comverge states that it is willing to agree to whatever extension of time is reasonable to allow other parties to address </w:t>
      </w:r>
      <w:proofErr w:type="spellStart"/>
      <w:r w:rsidR="002C3061">
        <w:rPr>
          <w:rFonts w:ascii="Times New Roman" w:hAnsi="Times New Roman" w:cs="Times New Roman"/>
          <w:sz w:val="24"/>
          <w:szCs w:val="24"/>
        </w:rPr>
        <w:t>Comverge’s</w:t>
      </w:r>
      <w:proofErr w:type="spellEnd"/>
      <w:r w:rsidR="002C3061">
        <w:rPr>
          <w:rFonts w:ascii="Times New Roman" w:hAnsi="Times New Roman" w:cs="Times New Roman"/>
          <w:sz w:val="24"/>
          <w:szCs w:val="24"/>
        </w:rPr>
        <w:t xml:space="preserve"> testimony.  </w:t>
      </w:r>
      <w:proofErr w:type="gramStart"/>
      <w:r w:rsidR="002C3061">
        <w:rPr>
          <w:rFonts w:ascii="Times New Roman" w:hAnsi="Times New Roman" w:cs="Times New Roman"/>
          <w:sz w:val="24"/>
          <w:szCs w:val="24"/>
        </w:rPr>
        <w:t>Petition at 3, ¶ 12.</w:t>
      </w:r>
      <w:proofErr w:type="gramEnd"/>
      <w:r w:rsidR="002C3061">
        <w:rPr>
          <w:rFonts w:ascii="Times New Roman" w:hAnsi="Times New Roman" w:cs="Times New Roman"/>
          <w:sz w:val="24"/>
          <w:szCs w:val="24"/>
        </w:rPr>
        <w:t xml:space="preserve">  Given that statement, Comverge argues that admission of its direct testimony </w:t>
      </w:r>
      <w:proofErr w:type="spellStart"/>
      <w:r w:rsidR="002C3061" w:rsidRPr="002C3061">
        <w:rPr>
          <w:rFonts w:ascii="Times New Roman" w:hAnsi="Times New Roman" w:cs="Times New Roman"/>
          <w:i/>
          <w:sz w:val="24"/>
          <w:szCs w:val="24"/>
        </w:rPr>
        <w:t>nunc</w:t>
      </w:r>
      <w:proofErr w:type="spellEnd"/>
      <w:r w:rsidR="002C3061" w:rsidRPr="002C3061">
        <w:rPr>
          <w:rFonts w:ascii="Times New Roman" w:hAnsi="Times New Roman" w:cs="Times New Roman"/>
          <w:i/>
          <w:sz w:val="24"/>
          <w:szCs w:val="24"/>
        </w:rPr>
        <w:t xml:space="preserve"> pro </w:t>
      </w:r>
      <w:proofErr w:type="spellStart"/>
      <w:r w:rsidR="002C3061" w:rsidRPr="002C3061">
        <w:rPr>
          <w:rFonts w:ascii="Times New Roman" w:hAnsi="Times New Roman" w:cs="Times New Roman"/>
          <w:i/>
          <w:sz w:val="24"/>
          <w:szCs w:val="24"/>
        </w:rPr>
        <w:t>tunc</w:t>
      </w:r>
      <w:proofErr w:type="spellEnd"/>
      <w:r w:rsidR="002C3061">
        <w:rPr>
          <w:rFonts w:ascii="Times New Roman" w:hAnsi="Times New Roman" w:cs="Times New Roman"/>
          <w:sz w:val="24"/>
          <w:szCs w:val="24"/>
        </w:rPr>
        <w:t xml:space="preserve"> will not prejudice other parties in this proceeding.  </w:t>
      </w:r>
      <w:proofErr w:type="gramStart"/>
      <w:r w:rsidR="002C3061">
        <w:rPr>
          <w:rFonts w:ascii="Times New Roman" w:hAnsi="Times New Roman" w:cs="Times New Roman"/>
          <w:sz w:val="24"/>
          <w:szCs w:val="24"/>
        </w:rPr>
        <w:t>Petition at 3, ¶ 13.</w:t>
      </w:r>
      <w:proofErr w:type="gramEnd"/>
      <w:r>
        <w:rPr>
          <w:rFonts w:ascii="Times New Roman" w:hAnsi="Times New Roman" w:cs="Times New Roman"/>
          <w:sz w:val="24"/>
          <w:szCs w:val="24"/>
        </w:rPr>
        <w:t xml:space="preserve"> </w:t>
      </w:r>
      <w:r w:rsidR="002C3061">
        <w:rPr>
          <w:rFonts w:ascii="Times New Roman" w:hAnsi="Times New Roman" w:cs="Times New Roman"/>
          <w:sz w:val="24"/>
          <w:szCs w:val="24"/>
        </w:rPr>
        <w:t xml:space="preserve"> </w:t>
      </w:r>
      <w:proofErr w:type="spellStart"/>
      <w:r w:rsidR="002C3061">
        <w:rPr>
          <w:rFonts w:ascii="Times New Roman" w:hAnsi="Times New Roman" w:cs="Times New Roman"/>
          <w:sz w:val="24"/>
          <w:szCs w:val="24"/>
        </w:rPr>
        <w:t>Comverege</w:t>
      </w:r>
      <w:proofErr w:type="spellEnd"/>
      <w:r w:rsidR="002C3061">
        <w:rPr>
          <w:rFonts w:ascii="Times New Roman" w:hAnsi="Times New Roman" w:cs="Times New Roman"/>
          <w:sz w:val="24"/>
          <w:szCs w:val="24"/>
        </w:rPr>
        <w:t xml:space="preserve"> points out that the record in this case has not yet closed.  </w:t>
      </w:r>
      <w:proofErr w:type="gramStart"/>
      <w:r w:rsidR="002C3061">
        <w:rPr>
          <w:rFonts w:ascii="Times New Roman" w:hAnsi="Times New Roman" w:cs="Times New Roman"/>
          <w:sz w:val="24"/>
          <w:szCs w:val="24"/>
        </w:rPr>
        <w:t>Petition at 3, ¶ 15.</w:t>
      </w:r>
      <w:proofErr w:type="gramEnd"/>
      <w:r w:rsidR="002C3061">
        <w:rPr>
          <w:rFonts w:ascii="Times New Roman" w:hAnsi="Times New Roman" w:cs="Times New Roman"/>
          <w:sz w:val="24"/>
          <w:szCs w:val="24"/>
        </w:rPr>
        <w:t xml:space="preserve">  Comverge argues that admitting </w:t>
      </w:r>
      <w:proofErr w:type="spellStart"/>
      <w:r w:rsidR="002C3061">
        <w:rPr>
          <w:rFonts w:ascii="Times New Roman" w:hAnsi="Times New Roman" w:cs="Times New Roman"/>
          <w:sz w:val="24"/>
          <w:szCs w:val="24"/>
        </w:rPr>
        <w:t>Comverge’s</w:t>
      </w:r>
      <w:proofErr w:type="spellEnd"/>
      <w:r w:rsidR="002C3061">
        <w:rPr>
          <w:rFonts w:ascii="Times New Roman" w:hAnsi="Times New Roman" w:cs="Times New Roman"/>
          <w:sz w:val="24"/>
          <w:szCs w:val="24"/>
        </w:rPr>
        <w:t xml:space="preserve"> testimony is in the public intere</w:t>
      </w:r>
      <w:bookmarkStart w:id="0" w:name="_GoBack"/>
      <w:bookmarkEnd w:id="0"/>
      <w:r w:rsidR="002C3061">
        <w:rPr>
          <w:rFonts w:ascii="Times New Roman" w:hAnsi="Times New Roman" w:cs="Times New Roman"/>
          <w:sz w:val="24"/>
          <w:szCs w:val="24"/>
        </w:rPr>
        <w:t xml:space="preserve">st and will ensure that the record is complete.  </w:t>
      </w:r>
      <w:proofErr w:type="gramStart"/>
      <w:r w:rsidR="002C3061">
        <w:rPr>
          <w:rFonts w:ascii="Times New Roman" w:hAnsi="Times New Roman" w:cs="Times New Roman"/>
          <w:sz w:val="24"/>
          <w:szCs w:val="24"/>
        </w:rPr>
        <w:t>Petition at 3, ¶ 16.</w:t>
      </w:r>
      <w:proofErr w:type="gramEnd"/>
      <w:r w:rsidR="0023183B">
        <w:rPr>
          <w:rFonts w:ascii="Times New Roman" w:hAnsi="Times New Roman" w:cs="Times New Roman"/>
          <w:sz w:val="24"/>
          <w:szCs w:val="24"/>
        </w:rPr>
        <w:t xml:space="preserve">  At oral argument, Comverge essentially repeated these contentions, adding</w:t>
      </w:r>
      <w:r w:rsidR="007E6185">
        <w:rPr>
          <w:rFonts w:ascii="Times New Roman" w:hAnsi="Times New Roman" w:cs="Times New Roman"/>
          <w:sz w:val="24"/>
          <w:szCs w:val="24"/>
        </w:rPr>
        <w:t xml:space="preserve"> that this is merely a “legal debate.”</w:t>
      </w:r>
    </w:p>
    <w:p w:rsidR="00F62C5A" w:rsidRDefault="00F62C5A" w:rsidP="00F62C5A"/>
    <w:p w:rsidR="00F62C5A" w:rsidRDefault="00F62C5A" w:rsidP="00F62C5A"/>
    <w:p w:rsidR="00F62C5A" w:rsidRDefault="0023183B"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objecting to the Petition, </w:t>
      </w:r>
      <w:r w:rsidR="00920AC6">
        <w:rPr>
          <w:rFonts w:ascii="Times New Roman" w:hAnsi="Times New Roman" w:cs="Times New Roman"/>
          <w:sz w:val="24"/>
          <w:szCs w:val="24"/>
        </w:rPr>
        <w:t>PPL</w:t>
      </w:r>
      <w:r>
        <w:rPr>
          <w:rFonts w:ascii="Times New Roman" w:hAnsi="Times New Roman" w:cs="Times New Roman"/>
          <w:sz w:val="24"/>
          <w:szCs w:val="24"/>
        </w:rPr>
        <w:t xml:space="preserve"> argue</w:t>
      </w:r>
      <w:r w:rsidR="00D103CF">
        <w:rPr>
          <w:rFonts w:ascii="Times New Roman" w:hAnsi="Times New Roman" w:cs="Times New Roman"/>
          <w:sz w:val="24"/>
          <w:szCs w:val="24"/>
        </w:rPr>
        <w:t>d</w:t>
      </w:r>
      <w:r>
        <w:rPr>
          <w:rFonts w:ascii="Times New Roman" w:hAnsi="Times New Roman" w:cs="Times New Roman"/>
          <w:sz w:val="24"/>
          <w:szCs w:val="24"/>
        </w:rPr>
        <w:t xml:space="preserve"> that</w:t>
      </w:r>
      <w:r w:rsidR="00D103CF">
        <w:rPr>
          <w:rFonts w:ascii="Times New Roman" w:hAnsi="Times New Roman" w:cs="Times New Roman"/>
          <w:sz w:val="24"/>
          <w:szCs w:val="24"/>
        </w:rPr>
        <w:t xml:space="preserve"> it would be prejudiced by allowing the introduction of testimony at this point in the proceeding.  </w:t>
      </w:r>
      <w:r w:rsidR="00524C89">
        <w:rPr>
          <w:rFonts w:ascii="Times New Roman" w:hAnsi="Times New Roman" w:cs="Times New Roman"/>
          <w:sz w:val="24"/>
          <w:szCs w:val="24"/>
        </w:rPr>
        <w:t>PPL argued that w</w:t>
      </w:r>
      <w:r w:rsidR="00D103CF">
        <w:rPr>
          <w:rFonts w:ascii="Times New Roman" w:hAnsi="Times New Roman" w:cs="Times New Roman"/>
          <w:sz w:val="24"/>
          <w:szCs w:val="24"/>
        </w:rPr>
        <w:t xml:space="preserve">hat Comverge is asking for would require a substantial expansion of PPL’s Plan, and PPL has had no time to consider </w:t>
      </w:r>
      <w:proofErr w:type="spellStart"/>
      <w:r w:rsidR="00D103CF">
        <w:rPr>
          <w:rFonts w:ascii="Times New Roman" w:hAnsi="Times New Roman" w:cs="Times New Roman"/>
          <w:sz w:val="24"/>
          <w:szCs w:val="24"/>
        </w:rPr>
        <w:t>Comverge’s</w:t>
      </w:r>
      <w:proofErr w:type="spellEnd"/>
      <w:r w:rsidR="00D103CF">
        <w:rPr>
          <w:rFonts w:ascii="Times New Roman" w:hAnsi="Times New Roman" w:cs="Times New Roman"/>
          <w:sz w:val="24"/>
          <w:szCs w:val="24"/>
        </w:rPr>
        <w:t xml:space="preserve"> position</w:t>
      </w:r>
      <w:r w:rsidR="00524C89">
        <w:rPr>
          <w:rFonts w:ascii="Times New Roman" w:hAnsi="Times New Roman" w:cs="Times New Roman"/>
          <w:sz w:val="24"/>
          <w:szCs w:val="24"/>
        </w:rPr>
        <w:t xml:space="preserve"> or to </w:t>
      </w:r>
      <w:r w:rsidR="00D103CF">
        <w:rPr>
          <w:rFonts w:ascii="Times New Roman" w:hAnsi="Times New Roman" w:cs="Times New Roman"/>
          <w:sz w:val="24"/>
          <w:szCs w:val="24"/>
        </w:rPr>
        <w:t>conduct discovery</w:t>
      </w:r>
      <w:r w:rsidR="00524C89">
        <w:rPr>
          <w:rFonts w:ascii="Times New Roman" w:hAnsi="Times New Roman" w:cs="Times New Roman"/>
          <w:sz w:val="24"/>
          <w:szCs w:val="24"/>
        </w:rPr>
        <w:t xml:space="preserve"> to learn the details of that </w:t>
      </w:r>
      <w:r w:rsidR="003E7497">
        <w:rPr>
          <w:rFonts w:ascii="Times New Roman" w:hAnsi="Times New Roman" w:cs="Times New Roman"/>
          <w:sz w:val="24"/>
          <w:szCs w:val="24"/>
        </w:rPr>
        <w:t>expansion</w:t>
      </w:r>
      <w:r w:rsidR="00D103CF">
        <w:rPr>
          <w:rFonts w:ascii="Times New Roman" w:hAnsi="Times New Roman" w:cs="Times New Roman"/>
          <w:sz w:val="24"/>
          <w:szCs w:val="24"/>
        </w:rPr>
        <w:t xml:space="preserve">.  PPL </w:t>
      </w:r>
      <w:r w:rsidR="003E7497">
        <w:rPr>
          <w:rFonts w:ascii="Times New Roman" w:hAnsi="Times New Roman" w:cs="Times New Roman"/>
          <w:sz w:val="24"/>
          <w:szCs w:val="24"/>
        </w:rPr>
        <w:t xml:space="preserve">referred to </w:t>
      </w:r>
      <w:r w:rsidR="00524C89">
        <w:rPr>
          <w:rFonts w:ascii="Times New Roman" w:hAnsi="Times New Roman" w:cs="Times New Roman"/>
          <w:sz w:val="24"/>
          <w:szCs w:val="24"/>
        </w:rPr>
        <w:t>the history of this proceeding</w:t>
      </w:r>
      <w:r w:rsidR="003E7497">
        <w:rPr>
          <w:rFonts w:ascii="Times New Roman" w:hAnsi="Times New Roman" w:cs="Times New Roman"/>
          <w:sz w:val="24"/>
          <w:szCs w:val="24"/>
        </w:rPr>
        <w:t xml:space="preserve">, </w:t>
      </w:r>
      <w:r w:rsidR="00524C89">
        <w:rPr>
          <w:rFonts w:ascii="Times New Roman" w:hAnsi="Times New Roman" w:cs="Times New Roman"/>
          <w:sz w:val="24"/>
          <w:szCs w:val="24"/>
        </w:rPr>
        <w:t xml:space="preserve">the underlying Orders and </w:t>
      </w:r>
      <w:r w:rsidR="003E7497">
        <w:rPr>
          <w:rFonts w:ascii="Times New Roman" w:hAnsi="Times New Roman" w:cs="Times New Roman"/>
          <w:sz w:val="24"/>
          <w:szCs w:val="24"/>
        </w:rPr>
        <w:t xml:space="preserve">the </w:t>
      </w:r>
      <w:r w:rsidR="00524C89">
        <w:rPr>
          <w:rFonts w:ascii="Times New Roman" w:hAnsi="Times New Roman" w:cs="Times New Roman"/>
          <w:sz w:val="24"/>
          <w:szCs w:val="24"/>
        </w:rPr>
        <w:t xml:space="preserve">discussion at the Prehearing Conference of December 10, 2012 relative to the offer of comments into the evidentiary record.  PPL pointed out that </w:t>
      </w:r>
      <w:r w:rsidR="00D103CF">
        <w:rPr>
          <w:rFonts w:ascii="Times New Roman" w:hAnsi="Times New Roman" w:cs="Times New Roman"/>
          <w:sz w:val="24"/>
          <w:szCs w:val="24"/>
        </w:rPr>
        <w:t>Comverge did not file it</w:t>
      </w:r>
      <w:r w:rsidR="00524C89">
        <w:rPr>
          <w:rFonts w:ascii="Times New Roman" w:hAnsi="Times New Roman" w:cs="Times New Roman"/>
          <w:sz w:val="24"/>
          <w:szCs w:val="24"/>
        </w:rPr>
        <w:t>s</w:t>
      </w:r>
      <w:r w:rsidR="00D103CF">
        <w:rPr>
          <w:rFonts w:ascii="Times New Roman" w:hAnsi="Times New Roman" w:cs="Times New Roman"/>
          <w:sz w:val="24"/>
          <w:szCs w:val="24"/>
        </w:rPr>
        <w:t xml:space="preserve"> Petition until after the January 11, 2013 filing of rebuttal testimony by PPL.  PPL also pointed out the several opportunities that Comverge had to file </w:t>
      </w:r>
      <w:proofErr w:type="spellStart"/>
      <w:r w:rsidR="00D103CF" w:rsidRPr="00D103CF">
        <w:rPr>
          <w:rFonts w:ascii="Times New Roman" w:hAnsi="Times New Roman" w:cs="Times New Roman"/>
          <w:i/>
          <w:sz w:val="24"/>
          <w:szCs w:val="24"/>
        </w:rPr>
        <w:t>nunc</w:t>
      </w:r>
      <w:proofErr w:type="spellEnd"/>
      <w:r w:rsidR="00D103CF" w:rsidRPr="00D103CF">
        <w:rPr>
          <w:rFonts w:ascii="Times New Roman" w:hAnsi="Times New Roman" w:cs="Times New Roman"/>
          <w:i/>
          <w:sz w:val="24"/>
          <w:szCs w:val="24"/>
        </w:rPr>
        <w:t xml:space="preserve"> pro </w:t>
      </w:r>
      <w:proofErr w:type="spellStart"/>
      <w:r w:rsidR="00D103CF" w:rsidRPr="00D103CF">
        <w:rPr>
          <w:rFonts w:ascii="Times New Roman" w:hAnsi="Times New Roman" w:cs="Times New Roman"/>
          <w:i/>
          <w:sz w:val="24"/>
          <w:szCs w:val="24"/>
        </w:rPr>
        <w:t>tunc</w:t>
      </w:r>
      <w:proofErr w:type="spellEnd"/>
      <w:r w:rsidR="00D103CF">
        <w:rPr>
          <w:rFonts w:ascii="Times New Roman" w:hAnsi="Times New Roman" w:cs="Times New Roman"/>
          <w:sz w:val="24"/>
          <w:szCs w:val="24"/>
        </w:rPr>
        <w:t xml:space="preserve"> which Comverge did not take advantage of.</w:t>
      </w:r>
    </w:p>
    <w:p w:rsidR="00D22A1D" w:rsidRDefault="00D22A1D" w:rsidP="00592EEC">
      <w:pPr>
        <w:pStyle w:val="NoSpacing"/>
        <w:spacing w:line="360" w:lineRule="auto"/>
        <w:rPr>
          <w:rFonts w:ascii="Times New Roman" w:hAnsi="Times New Roman" w:cs="Times New Roman"/>
          <w:sz w:val="24"/>
          <w:szCs w:val="24"/>
        </w:rPr>
      </w:pPr>
    </w:p>
    <w:p w:rsidR="00D22A1D" w:rsidRPr="00C610D9" w:rsidRDefault="00C610D9" w:rsidP="00592EEC">
      <w:pPr>
        <w:pStyle w:val="NoSpacing"/>
        <w:spacing w:line="360" w:lineRule="auto"/>
        <w:rPr>
          <w:rFonts w:ascii="Times New Roman" w:hAnsi="Times New Roman" w:cs="Times New Roman"/>
          <w:b/>
          <w:sz w:val="24"/>
          <w:szCs w:val="24"/>
        </w:rPr>
      </w:pPr>
      <w:r w:rsidRPr="00C610D9">
        <w:rPr>
          <w:rFonts w:ascii="Times New Roman" w:hAnsi="Times New Roman" w:cs="Times New Roman"/>
          <w:b/>
          <w:sz w:val="24"/>
          <w:szCs w:val="24"/>
        </w:rPr>
        <w:t>II.</w:t>
      </w:r>
      <w:r w:rsidRPr="00C610D9">
        <w:rPr>
          <w:rFonts w:ascii="Times New Roman" w:hAnsi="Times New Roman" w:cs="Times New Roman"/>
          <w:b/>
          <w:sz w:val="24"/>
          <w:szCs w:val="24"/>
        </w:rPr>
        <w:tab/>
        <w:t>LEGAL STANDARD</w:t>
      </w:r>
    </w:p>
    <w:p w:rsidR="00C610D9" w:rsidRDefault="00C610D9" w:rsidP="00592EEC">
      <w:pPr>
        <w:pStyle w:val="NoSpacing"/>
        <w:spacing w:line="360" w:lineRule="auto"/>
        <w:rPr>
          <w:rFonts w:ascii="Times New Roman" w:hAnsi="Times New Roman" w:cs="Times New Roman"/>
          <w:sz w:val="24"/>
          <w:szCs w:val="24"/>
        </w:rPr>
      </w:pPr>
    </w:p>
    <w:p w:rsidR="0069027E" w:rsidRDefault="0023183B"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Before proceeding to a consideration of the merits of the arguments on this issue, it is necessary to consider the standard that Comverge must meet.  </w:t>
      </w:r>
      <w:proofErr w:type="spellStart"/>
      <w:r w:rsidR="00AF757D" w:rsidRPr="00592EEC">
        <w:rPr>
          <w:rFonts w:ascii="Times New Roman" w:hAnsi="Times New Roman" w:cs="Times New Roman"/>
          <w:i/>
          <w:sz w:val="24"/>
          <w:szCs w:val="24"/>
        </w:rPr>
        <w:t>Nunc</w:t>
      </w:r>
      <w:proofErr w:type="spellEnd"/>
      <w:r w:rsidR="00AF757D" w:rsidRPr="00592EEC">
        <w:rPr>
          <w:rFonts w:ascii="Times New Roman" w:hAnsi="Times New Roman" w:cs="Times New Roman"/>
          <w:i/>
          <w:sz w:val="24"/>
          <w:szCs w:val="24"/>
        </w:rPr>
        <w:t xml:space="preserve"> pro </w:t>
      </w:r>
      <w:proofErr w:type="spellStart"/>
      <w:r w:rsidR="00AF757D" w:rsidRPr="00592EEC">
        <w:rPr>
          <w:rFonts w:ascii="Times New Roman" w:hAnsi="Times New Roman" w:cs="Times New Roman"/>
          <w:i/>
          <w:sz w:val="24"/>
          <w:szCs w:val="24"/>
        </w:rPr>
        <w:t>tunc</w:t>
      </w:r>
      <w:proofErr w:type="spellEnd"/>
      <w:r w:rsidR="00AF757D" w:rsidRPr="00592EEC">
        <w:rPr>
          <w:rFonts w:ascii="Times New Roman" w:hAnsi="Times New Roman" w:cs="Times New Roman"/>
          <w:sz w:val="24"/>
          <w:szCs w:val="24"/>
        </w:rPr>
        <w:t xml:space="preserve"> is "[a] phrase applied to acts allowed to be done after the time when they should be done, with a retroactive effect, i.e., with the same effect as if regularly done." </w:t>
      </w:r>
      <w:proofErr w:type="gramStart"/>
      <w:r w:rsidR="00AF757D" w:rsidRPr="00592EEC">
        <w:rPr>
          <w:rFonts w:ascii="Times New Roman" w:hAnsi="Times New Roman" w:cs="Times New Roman"/>
          <w:sz w:val="24"/>
          <w:szCs w:val="24"/>
        </w:rPr>
        <w:t>Black's Law Dictionary 1218 (4th ed. 1968).</w:t>
      </w:r>
      <w:proofErr w:type="gramEnd"/>
    </w:p>
    <w:p w:rsidR="00592EEC" w:rsidRPr="00592EEC" w:rsidRDefault="00592EEC" w:rsidP="00592EEC">
      <w:pPr>
        <w:pStyle w:val="NoSpacing"/>
        <w:spacing w:line="360" w:lineRule="auto"/>
        <w:rPr>
          <w:rFonts w:ascii="Times New Roman" w:hAnsi="Times New Roman" w:cs="Times New Roman"/>
          <w:sz w:val="24"/>
          <w:szCs w:val="24"/>
        </w:rPr>
      </w:pPr>
    </w:p>
    <w:p w:rsidR="008009BD" w:rsidRDefault="00592EEC"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009BD" w:rsidRPr="00592EEC">
        <w:rPr>
          <w:rFonts w:ascii="Times New Roman" w:hAnsi="Times New Roman" w:cs="Times New Roman"/>
          <w:sz w:val="24"/>
          <w:szCs w:val="24"/>
        </w:rPr>
        <w:t xml:space="preserve">In the case of </w:t>
      </w:r>
      <w:proofErr w:type="spellStart"/>
      <w:r w:rsidR="008009BD" w:rsidRPr="00592EEC">
        <w:rPr>
          <w:rFonts w:ascii="Times New Roman" w:hAnsi="Times New Roman" w:cs="Times New Roman"/>
          <w:i/>
          <w:sz w:val="24"/>
          <w:szCs w:val="24"/>
        </w:rPr>
        <w:t>McClean</w:t>
      </w:r>
      <w:proofErr w:type="spellEnd"/>
      <w:r w:rsidR="008009BD" w:rsidRPr="00592EEC">
        <w:rPr>
          <w:rFonts w:ascii="Times New Roman" w:hAnsi="Times New Roman" w:cs="Times New Roman"/>
          <w:i/>
          <w:sz w:val="24"/>
          <w:szCs w:val="24"/>
        </w:rPr>
        <w:t xml:space="preserve"> v. Unemployment Compensation Board of Review</w:t>
      </w:r>
      <w:r w:rsidR="008009BD" w:rsidRPr="00592EEC">
        <w:rPr>
          <w:rFonts w:ascii="Times New Roman" w:hAnsi="Times New Roman" w:cs="Times New Roman"/>
          <w:sz w:val="24"/>
          <w:szCs w:val="24"/>
        </w:rPr>
        <w:t>, 908 A.2d 956 (2006)</w:t>
      </w:r>
      <w:r w:rsidR="00D4375C" w:rsidRPr="00592EEC">
        <w:rPr>
          <w:rFonts w:ascii="Times New Roman" w:hAnsi="Times New Roman" w:cs="Times New Roman"/>
          <w:sz w:val="24"/>
          <w:szCs w:val="24"/>
        </w:rPr>
        <w:t>, t</w:t>
      </w:r>
      <w:r w:rsidR="008009BD" w:rsidRPr="00592EEC">
        <w:rPr>
          <w:rFonts w:ascii="Times New Roman" w:hAnsi="Times New Roman" w:cs="Times New Roman"/>
          <w:sz w:val="24"/>
          <w:szCs w:val="24"/>
        </w:rPr>
        <w:t xml:space="preserve">he Commonwealth Court held that “[a] </w:t>
      </w:r>
      <w:proofErr w:type="spellStart"/>
      <w:r w:rsidR="008009BD" w:rsidRPr="00592EEC">
        <w:rPr>
          <w:rFonts w:ascii="Times New Roman" w:hAnsi="Times New Roman" w:cs="Times New Roman"/>
          <w:i/>
          <w:sz w:val="24"/>
          <w:szCs w:val="24"/>
        </w:rPr>
        <w:t>nunc</w:t>
      </w:r>
      <w:proofErr w:type="spellEnd"/>
      <w:r w:rsidR="008009BD" w:rsidRPr="00592EEC">
        <w:rPr>
          <w:rFonts w:ascii="Times New Roman" w:hAnsi="Times New Roman" w:cs="Times New Roman"/>
          <w:i/>
          <w:sz w:val="24"/>
          <w:szCs w:val="24"/>
        </w:rPr>
        <w:t xml:space="preserve"> pro </w:t>
      </w:r>
      <w:proofErr w:type="spellStart"/>
      <w:r w:rsidR="008009BD" w:rsidRPr="00592EEC">
        <w:rPr>
          <w:rFonts w:ascii="Times New Roman" w:hAnsi="Times New Roman" w:cs="Times New Roman"/>
          <w:i/>
          <w:sz w:val="24"/>
          <w:szCs w:val="24"/>
        </w:rPr>
        <w:t>tunc</w:t>
      </w:r>
      <w:proofErr w:type="spellEnd"/>
      <w:r w:rsidR="008009BD" w:rsidRPr="00592EEC">
        <w:rPr>
          <w:rFonts w:ascii="Times New Roman" w:hAnsi="Times New Roman" w:cs="Times New Roman"/>
          <w:sz w:val="24"/>
          <w:szCs w:val="24"/>
        </w:rPr>
        <w:t xml:space="preserve"> appeal may be allowed where extraordinary circumstances involving fraud or some breakdown in the administrative </w:t>
      </w:r>
      <w:r w:rsidR="008009BD" w:rsidRPr="00592EEC">
        <w:rPr>
          <w:rFonts w:ascii="Times New Roman" w:hAnsi="Times New Roman" w:cs="Times New Roman"/>
          <w:sz w:val="24"/>
          <w:szCs w:val="24"/>
        </w:rPr>
        <w:lastRenderedPageBreak/>
        <w:t xml:space="preserve">process caused the delay in filing or where non-negligent circumstances related to the appellant, his or her counsel or a third party caused the delay." </w:t>
      </w:r>
      <w:r w:rsidR="00D4375C" w:rsidRPr="00592EEC">
        <w:rPr>
          <w:rFonts w:ascii="Times New Roman" w:hAnsi="Times New Roman" w:cs="Times New Roman"/>
          <w:sz w:val="24"/>
          <w:szCs w:val="24"/>
        </w:rPr>
        <w:t xml:space="preserve">See </w:t>
      </w:r>
      <w:r w:rsidR="008009BD" w:rsidRPr="00592EEC">
        <w:rPr>
          <w:rFonts w:ascii="Times New Roman" w:hAnsi="Times New Roman" w:cs="Times New Roman"/>
          <w:i/>
          <w:sz w:val="24"/>
          <w:szCs w:val="24"/>
        </w:rPr>
        <w:t xml:space="preserve">J.A. v. Dep't of Pub. </w:t>
      </w:r>
      <w:proofErr w:type="gramStart"/>
      <w:r w:rsidR="008009BD" w:rsidRPr="00592EEC">
        <w:rPr>
          <w:rFonts w:ascii="Times New Roman" w:hAnsi="Times New Roman" w:cs="Times New Roman"/>
          <w:i/>
          <w:sz w:val="24"/>
          <w:szCs w:val="24"/>
        </w:rPr>
        <w:t>Welfare</w:t>
      </w:r>
      <w:r w:rsidR="008009BD" w:rsidRPr="00592EEC">
        <w:rPr>
          <w:rFonts w:ascii="Times New Roman" w:hAnsi="Times New Roman" w:cs="Times New Roman"/>
          <w:sz w:val="24"/>
          <w:szCs w:val="24"/>
        </w:rPr>
        <w:t xml:space="preserve">, 873 A.2d 782, 785 (Pa. Cmwlth. 2005) quoting </w:t>
      </w:r>
      <w:r w:rsidR="008009BD" w:rsidRPr="00592EEC">
        <w:rPr>
          <w:rFonts w:ascii="Times New Roman" w:hAnsi="Times New Roman" w:cs="Times New Roman"/>
          <w:i/>
          <w:sz w:val="24"/>
          <w:szCs w:val="24"/>
        </w:rPr>
        <w:t>Cook v. Unemployment Comp. Bd. of Review</w:t>
      </w:r>
      <w:r w:rsidR="008009BD" w:rsidRPr="00592EEC">
        <w:rPr>
          <w:rFonts w:ascii="Times New Roman" w:hAnsi="Times New Roman" w:cs="Times New Roman"/>
          <w:sz w:val="24"/>
          <w:szCs w:val="24"/>
        </w:rPr>
        <w:t>, 543 Pa. 381, 671 A.2d 1130 (1996).</w:t>
      </w:r>
      <w:proofErr w:type="gramEnd"/>
      <w:r w:rsidR="00D4375C" w:rsidRPr="00592EEC">
        <w:rPr>
          <w:rFonts w:ascii="Times New Roman" w:hAnsi="Times New Roman" w:cs="Times New Roman"/>
          <w:sz w:val="24"/>
          <w:szCs w:val="24"/>
        </w:rPr>
        <w:t xml:space="preserve">  However, that case involves an appeal from the final determination of an agency where the established deadline for the filing of an appeal is mandatory.</w:t>
      </w:r>
    </w:p>
    <w:p w:rsidR="00592EEC" w:rsidRPr="00592EEC" w:rsidRDefault="00592EEC" w:rsidP="00592EEC">
      <w:pPr>
        <w:pStyle w:val="NoSpacing"/>
        <w:spacing w:line="360" w:lineRule="auto"/>
        <w:rPr>
          <w:rFonts w:ascii="Times New Roman" w:hAnsi="Times New Roman" w:cs="Times New Roman"/>
          <w:sz w:val="24"/>
          <w:szCs w:val="24"/>
        </w:rPr>
      </w:pPr>
    </w:p>
    <w:p w:rsidR="005451AC" w:rsidRDefault="00592EEC"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451AC" w:rsidRPr="00592EEC">
        <w:rPr>
          <w:rFonts w:ascii="Times New Roman" w:hAnsi="Times New Roman" w:cs="Times New Roman"/>
          <w:sz w:val="24"/>
          <w:szCs w:val="24"/>
        </w:rPr>
        <w:t xml:space="preserve">In </w:t>
      </w:r>
      <w:r w:rsidR="005451AC" w:rsidRPr="00592EEC">
        <w:rPr>
          <w:rFonts w:ascii="Times New Roman" w:hAnsi="Times New Roman" w:cs="Times New Roman"/>
          <w:i/>
          <w:sz w:val="24"/>
          <w:szCs w:val="24"/>
        </w:rPr>
        <w:t xml:space="preserve">Re Rule-making Proceeding Concerning Standards and Billing Practices for Residential Telephone Service, </w:t>
      </w:r>
      <w:r w:rsidR="005451AC" w:rsidRPr="00592EEC">
        <w:rPr>
          <w:rFonts w:ascii="Times New Roman" w:hAnsi="Times New Roman" w:cs="Times New Roman"/>
          <w:sz w:val="24"/>
          <w:szCs w:val="24"/>
        </w:rPr>
        <w:t>Docket No.</w:t>
      </w:r>
      <w:proofErr w:type="gramEnd"/>
      <w:r w:rsidR="005451AC" w:rsidRPr="00592EEC">
        <w:rPr>
          <w:rFonts w:ascii="Times New Roman" w:hAnsi="Times New Roman" w:cs="Times New Roman"/>
          <w:sz w:val="24"/>
          <w:szCs w:val="24"/>
        </w:rPr>
        <w:t xml:space="preserve"> I-80090338, 59 Pa. PUC 10 (September 5, 1984) the Commission applied a “public interest” standard in denying the Letter-Petition filed by AT&amp;T Communications of Pennsylvania, Inc. requesting the Commission to allow it to file comments </w:t>
      </w:r>
      <w:proofErr w:type="spellStart"/>
      <w:r w:rsidR="005451AC" w:rsidRPr="00592EEC">
        <w:rPr>
          <w:rFonts w:ascii="Times New Roman" w:hAnsi="Times New Roman" w:cs="Times New Roman"/>
          <w:i/>
          <w:sz w:val="24"/>
          <w:szCs w:val="24"/>
        </w:rPr>
        <w:t>nunc</w:t>
      </w:r>
      <w:proofErr w:type="spellEnd"/>
      <w:r w:rsidR="005451AC" w:rsidRPr="00592EEC">
        <w:rPr>
          <w:rFonts w:ascii="Times New Roman" w:hAnsi="Times New Roman" w:cs="Times New Roman"/>
          <w:i/>
          <w:sz w:val="24"/>
          <w:szCs w:val="24"/>
        </w:rPr>
        <w:t xml:space="preserve"> pro </w:t>
      </w:r>
      <w:proofErr w:type="spellStart"/>
      <w:r w:rsidR="005451AC" w:rsidRPr="00592EEC">
        <w:rPr>
          <w:rFonts w:ascii="Times New Roman" w:hAnsi="Times New Roman" w:cs="Times New Roman"/>
          <w:i/>
          <w:sz w:val="24"/>
          <w:szCs w:val="24"/>
        </w:rPr>
        <w:t>tunc</w:t>
      </w:r>
      <w:proofErr w:type="spellEnd"/>
      <w:r w:rsidR="005451AC" w:rsidRPr="00592EEC">
        <w:rPr>
          <w:rFonts w:ascii="Times New Roman" w:hAnsi="Times New Roman" w:cs="Times New Roman"/>
          <w:sz w:val="24"/>
          <w:szCs w:val="24"/>
        </w:rPr>
        <w:t xml:space="preserve"> in that rule-making proceeding. </w:t>
      </w:r>
    </w:p>
    <w:p w:rsidR="00592EEC" w:rsidRPr="00592EEC" w:rsidRDefault="00592EEC" w:rsidP="00592EEC">
      <w:pPr>
        <w:pStyle w:val="NoSpacing"/>
        <w:spacing w:line="360" w:lineRule="auto"/>
        <w:rPr>
          <w:rFonts w:ascii="Times New Roman" w:hAnsi="Times New Roman" w:cs="Times New Roman"/>
          <w:sz w:val="24"/>
          <w:szCs w:val="24"/>
        </w:rPr>
      </w:pPr>
    </w:p>
    <w:p w:rsidR="00D4375C" w:rsidRDefault="00592EEC"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252E" w:rsidRPr="00592EEC">
        <w:rPr>
          <w:rFonts w:ascii="Times New Roman" w:hAnsi="Times New Roman" w:cs="Times New Roman"/>
          <w:sz w:val="24"/>
          <w:szCs w:val="24"/>
        </w:rPr>
        <w:t>In proceedings before Commission administrative law judges</w:t>
      </w:r>
      <w:r>
        <w:rPr>
          <w:rFonts w:ascii="Times New Roman" w:hAnsi="Times New Roman" w:cs="Times New Roman"/>
          <w:sz w:val="24"/>
          <w:szCs w:val="24"/>
        </w:rPr>
        <w:t xml:space="preserve"> (ALJ)</w:t>
      </w:r>
      <w:r w:rsidR="00CB252E" w:rsidRPr="00592EEC">
        <w:rPr>
          <w:rFonts w:ascii="Times New Roman" w:hAnsi="Times New Roman" w:cs="Times New Roman"/>
          <w:sz w:val="24"/>
          <w:szCs w:val="24"/>
        </w:rPr>
        <w:t xml:space="preserve">, </w:t>
      </w:r>
      <w:r w:rsidR="00AF757D" w:rsidRPr="00592EEC">
        <w:rPr>
          <w:rFonts w:ascii="Times New Roman" w:hAnsi="Times New Roman" w:cs="Times New Roman"/>
          <w:sz w:val="24"/>
          <w:szCs w:val="24"/>
        </w:rPr>
        <w:t>Petitioner</w:t>
      </w:r>
      <w:r w:rsidR="00CB252E" w:rsidRPr="00592EEC">
        <w:rPr>
          <w:rFonts w:ascii="Times New Roman" w:hAnsi="Times New Roman" w:cs="Times New Roman"/>
          <w:sz w:val="24"/>
          <w:szCs w:val="24"/>
        </w:rPr>
        <w:t>s</w:t>
      </w:r>
      <w:r w:rsidR="00AF757D" w:rsidRPr="00592EEC">
        <w:rPr>
          <w:rFonts w:ascii="Times New Roman" w:hAnsi="Times New Roman" w:cs="Times New Roman"/>
          <w:sz w:val="24"/>
          <w:szCs w:val="24"/>
        </w:rPr>
        <w:t xml:space="preserve"> must set forth a reason to justify the allowance of a </w:t>
      </w:r>
      <w:proofErr w:type="spellStart"/>
      <w:r w:rsidR="00AF757D" w:rsidRPr="00592EEC">
        <w:rPr>
          <w:rFonts w:ascii="Times New Roman" w:hAnsi="Times New Roman" w:cs="Times New Roman"/>
          <w:i/>
          <w:sz w:val="24"/>
          <w:szCs w:val="24"/>
        </w:rPr>
        <w:t>nunc</w:t>
      </w:r>
      <w:proofErr w:type="spellEnd"/>
      <w:r w:rsidR="00AF757D" w:rsidRPr="00592EEC">
        <w:rPr>
          <w:rFonts w:ascii="Times New Roman" w:hAnsi="Times New Roman" w:cs="Times New Roman"/>
          <w:i/>
          <w:sz w:val="24"/>
          <w:szCs w:val="24"/>
        </w:rPr>
        <w:t xml:space="preserve"> pro </w:t>
      </w:r>
      <w:proofErr w:type="spellStart"/>
      <w:r w:rsidR="00AF757D" w:rsidRPr="00592EEC">
        <w:rPr>
          <w:rFonts w:ascii="Times New Roman" w:hAnsi="Times New Roman" w:cs="Times New Roman"/>
          <w:i/>
          <w:sz w:val="24"/>
          <w:szCs w:val="24"/>
        </w:rPr>
        <w:t>tunc</w:t>
      </w:r>
      <w:proofErr w:type="spellEnd"/>
      <w:r w:rsidR="00AF757D" w:rsidRPr="00592EEC">
        <w:rPr>
          <w:rFonts w:ascii="Times New Roman" w:hAnsi="Times New Roman" w:cs="Times New Roman"/>
          <w:sz w:val="24"/>
          <w:szCs w:val="24"/>
        </w:rPr>
        <w:t xml:space="preserve"> filing.</w:t>
      </w:r>
      <w:r w:rsidR="00CB252E" w:rsidRPr="00592EEC">
        <w:rPr>
          <w:rFonts w:ascii="Times New Roman" w:hAnsi="Times New Roman" w:cs="Times New Roman"/>
          <w:sz w:val="24"/>
          <w:szCs w:val="24"/>
        </w:rPr>
        <w:t xml:space="preserve">  </w:t>
      </w:r>
      <w:proofErr w:type="gramStart"/>
      <w:r w:rsidR="00CB252E" w:rsidRPr="00592EEC">
        <w:rPr>
          <w:rFonts w:ascii="Times New Roman" w:hAnsi="Times New Roman" w:cs="Times New Roman"/>
          <w:sz w:val="24"/>
          <w:szCs w:val="24"/>
        </w:rPr>
        <w:t>See</w:t>
      </w:r>
      <w:r w:rsidR="00AF757D" w:rsidRPr="00592EEC">
        <w:rPr>
          <w:rFonts w:ascii="Times New Roman" w:hAnsi="Times New Roman" w:cs="Times New Roman"/>
          <w:sz w:val="24"/>
          <w:szCs w:val="24"/>
        </w:rPr>
        <w:t xml:space="preserve"> </w:t>
      </w:r>
      <w:r w:rsidR="00AF757D" w:rsidRPr="00592EEC">
        <w:rPr>
          <w:rFonts w:ascii="Times New Roman" w:hAnsi="Times New Roman" w:cs="Times New Roman"/>
          <w:i/>
          <w:sz w:val="24"/>
          <w:szCs w:val="24"/>
        </w:rPr>
        <w:t xml:space="preserve">Re </w:t>
      </w:r>
      <w:proofErr w:type="spellStart"/>
      <w:r w:rsidR="00AF757D" w:rsidRPr="00592EEC">
        <w:rPr>
          <w:rFonts w:ascii="Times New Roman" w:hAnsi="Times New Roman" w:cs="Times New Roman"/>
          <w:i/>
          <w:sz w:val="24"/>
          <w:szCs w:val="24"/>
        </w:rPr>
        <w:t>Dela</w:t>
      </w:r>
      <w:proofErr w:type="spellEnd"/>
      <w:r w:rsidR="00AF757D" w:rsidRPr="00592EEC">
        <w:rPr>
          <w:rFonts w:ascii="Times New Roman" w:hAnsi="Times New Roman" w:cs="Times New Roman"/>
          <w:i/>
          <w:sz w:val="24"/>
          <w:szCs w:val="24"/>
        </w:rPr>
        <w:t xml:space="preserve"> Cab Company</w:t>
      </w:r>
      <w:r w:rsidR="00AF757D" w:rsidRPr="00592EEC">
        <w:rPr>
          <w:rFonts w:ascii="Times New Roman" w:hAnsi="Times New Roman" w:cs="Times New Roman"/>
          <w:sz w:val="24"/>
          <w:szCs w:val="24"/>
        </w:rPr>
        <w:t>, Docket No.</w:t>
      </w:r>
      <w:proofErr w:type="gramEnd"/>
      <w:r w:rsidR="00AF757D" w:rsidRPr="00592EEC">
        <w:rPr>
          <w:rFonts w:ascii="Times New Roman" w:hAnsi="Times New Roman" w:cs="Times New Roman"/>
          <w:sz w:val="24"/>
          <w:szCs w:val="24"/>
        </w:rPr>
        <w:t xml:space="preserve"> A- 99875F.1, 50 Pa. PUC 451 (December 9, 1976)</w:t>
      </w:r>
      <w:r w:rsidR="005451AC" w:rsidRPr="00592EEC">
        <w:rPr>
          <w:rFonts w:ascii="Times New Roman" w:hAnsi="Times New Roman" w:cs="Times New Roman"/>
          <w:sz w:val="24"/>
          <w:szCs w:val="24"/>
        </w:rPr>
        <w:t xml:space="preserve">.  For example, I note that in the </w:t>
      </w:r>
      <w:r w:rsidR="00D10369">
        <w:rPr>
          <w:rFonts w:ascii="Times New Roman" w:hAnsi="Times New Roman" w:cs="Times New Roman"/>
          <w:sz w:val="24"/>
          <w:szCs w:val="24"/>
        </w:rPr>
        <w:t>relatively</w:t>
      </w:r>
      <w:r w:rsidR="005451AC" w:rsidRPr="00592EEC">
        <w:rPr>
          <w:rFonts w:ascii="Times New Roman" w:hAnsi="Times New Roman" w:cs="Times New Roman"/>
          <w:sz w:val="24"/>
          <w:szCs w:val="24"/>
        </w:rPr>
        <w:t xml:space="preserve"> recent case of </w:t>
      </w:r>
      <w:r w:rsidR="005451AC" w:rsidRPr="00592EEC">
        <w:rPr>
          <w:rFonts w:ascii="Times New Roman" w:hAnsi="Times New Roman" w:cs="Times New Roman"/>
          <w:i/>
          <w:sz w:val="24"/>
          <w:szCs w:val="24"/>
        </w:rPr>
        <w:t>Joan Dumas v. PECO Energy Company</w:t>
      </w:r>
      <w:r w:rsidR="005451AC" w:rsidRPr="00592EEC">
        <w:rPr>
          <w:rFonts w:ascii="Times New Roman" w:hAnsi="Times New Roman" w:cs="Times New Roman"/>
          <w:sz w:val="24"/>
          <w:szCs w:val="24"/>
        </w:rPr>
        <w:t xml:space="preserve">, Docket No. C-2010-2175472 (May 19, 2011), Judge </w:t>
      </w:r>
      <w:r w:rsidR="00D10369">
        <w:rPr>
          <w:rFonts w:ascii="Times New Roman" w:hAnsi="Times New Roman" w:cs="Times New Roman"/>
          <w:sz w:val="24"/>
          <w:szCs w:val="24"/>
        </w:rPr>
        <w:t xml:space="preserve">Susan </w:t>
      </w:r>
      <w:r w:rsidR="005451AC" w:rsidRPr="00592EEC">
        <w:rPr>
          <w:rFonts w:ascii="Times New Roman" w:hAnsi="Times New Roman" w:cs="Times New Roman"/>
          <w:sz w:val="24"/>
          <w:szCs w:val="24"/>
        </w:rPr>
        <w:t xml:space="preserve">Colwell allowed PECO to file an Answer to </w:t>
      </w:r>
      <w:r w:rsidR="00CB252E" w:rsidRPr="00592EEC">
        <w:rPr>
          <w:rFonts w:ascii="Times New Roman" w:hAnsi="Times New Roman" w:cs="Times New Roman"/>
          <w:sz w:val="24"/>
          <w:szCs w:val="24"/>
        </w:rPr>
        <w:t>a</w:t>
      </w:r>
      <w:r w:rsidR="005451AC" w:rsidRPr="00592EEC">
        <w:rPr>
          <w:rFonts w:ascii="Times New Roman" w:hAnsi="Times New Roman" w:cs="Times New Roman"/>
          <w:sz w:val="24"/>
          <w:szCs w:val="24"/>
        </w:rPr>
        <w:t xml:space="preserve"> complaint </w:t>
      </w:r>
      <w:proofErr w:type="spellStart"/>
      <w:r w:rsidR="005451AC" w:rsidRPr="00592EEC">
        <w:rPr>
          <w:rFonts w:ascii="Times New Roman" w:hAnsi="Times New Roman" w:cs="Times New Roman"/>
          <w:i/>
          <w:sz w:val="24"/>
          <w:szCs w:val="24"/>
        </w:rPr>
        <w:t>nunc</w:t>
      </w:r>
      <w:proofErr w:type="spellEnd"/>
      <w:r w:rsidR="005451AC" w:rsidRPr="00592EEC">
        <w:rPr>
          <w:rFonts w:ascii="Times New Roman" w:hAnsi="Times New Roman" w:cs="Times New Roman"/>
          <w:i/>
          <w:sz w:val="24"/>
          <w:szCs w:val="24"/>
        </w:rPr>
        <w:t xml:space="preserve"> pro </w:t>
      </w:r>
      <w:proofErr w:type="spellStart"/>
      <w:r w:rsidR="005451AC" w:rsidRPr="00592EEC">
        <w:rPr>
          <w:rFonts w:ascii="Times New Roman" w:hAnsi="Times New Roman" w:cs="Times New Roman"/>
          <w:i/>
          <w:sz w:val="24"/>
          <w:szCs w:val="24"/>
        </w:rPr>
        <w:t>tunc</w:t>
      </w:r>
      <w:proofErr w:type="spellEnd"/>
      <w:r w:rsidR="005451AC" w:rsidRPr="00592EEC">
        <w:rPr>
          <w:rFonts w:ascii="Times New Roman" w:hAnsi="Times New Roman" w:cs="Times New Roman"/>
          <w:sz w:val="24"/>
          <w:szCs w:val="24"/>
        </w:rPr>
        <w:t xml:space="preserve"> where PECO argued that its computer tracking system showed the Answer as filed when, in fact, the Answer had not been filed.</w:t>
      </w:r>
      <w:r w:rsidR="00D4375C" w:rsidRPr="00592EEC">
        <w:rPr>
          <w:rFonts w:ascii="Times New Roman" w:hAnsi="Times New Roman" w:cs="Times New Roman"/>
          <w:sz w:val="24"/>
          <w:szCs w:val="24"/>
        </w:rPr>
        <w:t xml:space="preserve">  In </w:t>
      </w:r>
      <w:proofErr w:type="spellStart"/>
      <w:r w:rsidR="00D4375C" w:rsidRPr="00592EEC">
        <w:rPr>
          <w:rFonts w:ascii="Times New Roman" w:hAnsi="Times New Roman" w:cs="Times New Roman"/>
          <w:i/>
          <w:sz w:val="24"/>
          <w:szCs w:val="24"/>
        </w:rPr>
        <w:t>Adamthwaite</w:t>
      </w:r>
      <w:proofErr w:type="spellEnd"/>
      <w:r w:rsidR="00D4375C" w:rsidRPr="00592EEC">
        <w:rPr>
          <w:rFonts w:ascii="Times New Roman" w:hAnsi="Times New Roman" w:cs="Times New Roman"/>
          <w:i/>
          <w:sz w:val="24"/>
          <w:szCs w:val="24"/>
        </w:rPr>
        <w:t xml:space="preserve"> v. PECO Energy Company</w:t>
      </w:r>
      <w:r w:rsidR="00D4375C" w:rsidRPr="00592EEC">
        <w:rPr>
          <w:rFonts w:ascii="Times New Roman" w:hAnsi="Times New Roman" w:cs="Times New Roman"/>
          <w:sz w:val="24"/>
          <w:szCs w:val="24"/>
        </w:rPr>
        <w:t>, Docket No. C-2008-2029752 (January 23, 2009)</w:t>
      </w:r>
      <w:r w:rsidR="0023183B">
        <w:rPr>
          <w:rFonts w:ascii="Times New Roman" w:hAnsi="Times New Roman" w:cs="Times New Roman"/>
          <w:sz w:val="24"/>
          <w:szCs w:val="24"/>
        </w:rPr>
        <w:t xml:space="preserve">, </w:t>
      </w:r>
      <w:r w:rsidR="00D10369">
        <w:rPr>
          <w:rFonts w:ascii="Times New Roman" w:hAnsi="Times New Roman" w:cs="Times New Roman"/>
          <w:sz w:val="24"/>
          <w:szCs w:val="24"/>
        </w:rPr>
        <w:t xml:space="preserve">then </w:t>
      </w:r>
      <w:r w:rsidR="00D4375C" w:rsidRPr="00592EEC">
        <w:rPr>
          <w:rFonts w:ascii="Times New Roman" w:hAnsi="Times New Roman" w:cs="Times New Roman"/>
          <w:sz w:val="24"/>
          <w:szCs w:val="24"/>
        </w:rPr>
        <w:t xml:space="preserve">Chief ALJ Veronica Smith treated an attorney’s statement of a medical illness as a Motion </w:t>
      </w:r>
      <w:proofErr w:type="spellStart"/>
      <w:r w:rsidR="00D4375C" w:rsidRPr="00592EEC">
        <w:rPr>
          <w:rFonts w:ascii="Times New Roman" w:hAnsi="Times New Roman" w:cs="Times New Roman"/>
          <w:i/>
          <w:sz w:val="24"/>
          <w:szCs w:val="24"/>
        </w:rPr>
        <w:t>nunc</w:t>
      </w:r>
      <w:proofErr w:type="spellEnd"/>
      <w:r w:rsidR="00D4375C" w:rsidRPr="00592EEC">
        <w:rPr>
          <w:rFonts w:ascii="Times New Roman" w:hAnsi="Times New Roman" w:cs="Times New Roman"/>
          <w:i/>
          <w:sz w:val="24"/>
          <w:szCs w:val="24"/>
        </w:rPr>
        <w:t xml:space="preserve"> pro </w:t>
      </w:r>
      <w:proofErr w:type="spellStart"/>
      <w:r w:rsidR="00D4375C" w:rsidRPr="00592EEC">
        <w:rPr>
          <w:rFonts w:ascii="Times New Roman" w:hAnsi="Times New Roman" w:cs="Times New Roman"/>
          <w:i/>
          <w:sz w:val="24"/>
          <w:szCs w:val="24"/>
        </w:rPr>
        <w:t>tunc</w:t>
      </w:r>
      <w:proofErr w:type="spellEnd"/>
      <w:r w:rsidR="00D4375C" w:rsidRPr="00592EEC">
        <w:rPr>
          <w:rFonts w:ascii="Times New Roman" w:hAnsi="Times New Roman" w:cs="Times New Roman"/>
          <w:sz w:val="24"/>
          <w:szCs w:val="24"/>
        </w:rPr>
        <w:t xml:space="preserve"> and grant</w:t>
      </w:r>
      <w:r w:rsidR="00CB252E" w:rsidRPr="00592EEC">
        <w:rPr>
          <w:rFonts w:ascii="Times New Roman" w:hAnsi="Times New Roman" w:cs="Times New Roman"/>
          <w:sz w:val="24"/>
          <w:szCs w:val="24"/>
        </w:rPr>
        <w:t>ed</w:t>
      </w:r>
      <w:r w:rsidR="00D4375C" w:rsidRPr="00592EEC">
        <w:rPr>
          <w:rFonts w:ascii="Times New Roman" w:hAnsi="Times New Roman" w:cs="Times New Roman"/>
          <w:sz w:val="24"/>
          <w:szCs w:val="24"/>
        </w:rPr>
        <w:t xml:space="preserve"> the late filing of </w:t>
      </w:r>
      <w:r w:rsidR="00CB252E" w:rsidRPr="00592EEC">
        <w:rPr>
          <w:rFonts w:ascii="Times New Roman" w:hAnsi="Times New Roman" w:cs="Times New Roman"/>
          <w:sz w:val="24"/>
          <w:szCs w:val="24"/>
        </w:rPr>
        <w:t xml:space="preserve">an </w:t>
      </w:r>
      <w:r w:rsidR="00D4375C" w:rsidRPr="00592EEC">
        <w:rPr>
          <w:rFonts w:ascii="Times New Roman" w:hAnsi="Times New Roman" w:cs="Times New Roman"/>
          <w:sz w:val="24"/>
          <w:szCs w:val="24"/>
        </w:rPr>
        <w:t>Answer and New Matter and Preliminary Objection</w:t>
      </w:r>
      <w:r w:rsidR="00CB252E" w:rsidRPr="00592EEC">
        <w:rPr>
          <w:rFonts w:ascii="Times New Roman" w:hAnsi="Times New Roman" w:cs="Times New Roman"/>
          <w:sz w:val="24"/>
          <w:szCs w:val="24"/>
        </w:rPr>
        <w:t>.</w:t>
      </w:r>
    </w:p>
    <w:p w:rsidR="00592EEC" w:rsidRPr="00592EEC" w:rsidRDefault="00592EEC" w:rsidP="00592EEC">
      <w:pPr>
        <w:pStyle w:val="NoSpacing"/>
        <w:spacing w:line="360" w:lineRule="auto"/>
        <w:rPr>
          <w:rFonts w:ascii="Times New Roman" w:hAnsi="Times New Roman" w:cs="Times New Roman"/>
          <w:sz w:val="24"/>
          <w:szCs w:val="24"/>
        </w:rPr>
      </w:pPr>
    </w:p>
    <w:p w:rsidR="00D4375C" w:rsidRDefault="00592EEC" w:rsidP="00592EE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252E" w:rsidRPr="00592EEC">
        <w:rPr>
          <w:rFonts w:ascii="Times New Roman" w:hAnsi="Times New Roman" w:cs="Times New Roman"/>
          <w:sz w:val="24"/>
          <w:szCs w:val="24"/>
        </w:rPr>
        <w:t xml:space="preserve">Thus, at least at the trial level, it seems that discretion as to whether to accept a filing as </w:t>
      </w:r>
      <w:proofErr w:type="spellStart"/>
      <w:r w:rsidR="00CB252E" w:rsidRPr="00592EEC">
        <w:rPr>
          <w:rFonts w:ascii="Times New Roman" w:hAnsi="Times New Roman" w:cs="Times New Roman"/>
          <w:i/>
          <w:sz w:val="24"/>
          <w:szCs w:val="24"/>
        </w:rPr>
        <w:t>nunc</w:t>
      </w:r>
      <w:proofErr w:type="spellEnd"/>
      <w:r w:rsidR="00CB252E" w:rsidRPr="00592EEC">
        <w:rPr>
          <w:rFonts w:ascii="Times New Roman" w:hAnsi="Times New Roman" w:cs="Times New Roman"/>
          <w:i/>
          <w:sz w:val="24"/>
          <w:szCs w:val="24"/>
        </w:rPr>
        <w:t xml:space="preserve"> pro </w:t>
      </w:r>
      <w:proofErr w:type="spellStart"/>
      <w:r w:rsidR="00CB252E" w:rsidRPr="00592EEC">
        <w:rPr>
          <w:rFonts w:ascii="Times New Roman" w:hAnsi="Times New Roman" w:cs="Times New Roman"/>
          <w:i/>
          <w:sz w:val="24"/>
          <w:szCs w:val="24"/>
        </w:rPr>
        <w:t>tunc</w:t>
      </w:r>
      <w:proofErr w:type="spellEnd"/>
      <w:r w:rsidR="00CB252E" w:rsidRPr="00592EEC">
        <w:rPr>
          <w:rFonts w:ascii="Times New Roman" w:hAnsi="Times New Roman" w:cs="Times New Roman"/>
          <w:sz w:val="24"/>
          <w:szCs w:val="24"/>
        </w:rPr>
        <w:t xml:space="preserve"> rests within the broad discretion of the individual ALJ</w:t>
      </w:r>
      <w:r w:rsidR="000E7B2C">
        <w:rPr>
          <w:rFonts w:ascii="Times New Roman" w:hAnsi="Times New Roman" w:cs="Times New Roman"/>
          <w:sz w:val="24"/>
          <w:szCs w:val="24"/>
        </w:rPr>
        <w:t xml:space="preserve"> based on the </w:t>
      </w:r>
      <w:r w:rsidR="00D10369">
        <w:rPr>
          <w:rFonts w:ascii="Times New Roman" w:hAnsi="Times New Roman" w:cs="Times New Roman"/>
          <w:sz w:val="24"/>
          <w:szCs w:val="24"/>
        </w:rPr>
        <w:t xml:space="preserve">facts of the case and a </w:t>
      </w:r>
      <w:r w:rsidR="000E7B2C">
        <w:rPr>
          <w:rFonts w:ascii="Times New Roman" w:hAnsi="Times New Roman" w:cs="Times New Roman"/>
          <w:sz w:val="24"/>
          <w:szCs w:val="24"/>
        </w:rPr>
        <w:t>showing of a reason that warrants accepting such a filing</w:t>
      </w:r>
      <w:r w:rsidR="00D10369">
        <w:rPr>
          <w:rFonts w:ascii="Times New Roman" w:hAnsi="Times New Roman" w:cs="Times New Roman"/>
          <w:sz w:val="24"/>
          <w:szCs w:val="24"/>
        </w:rPr>
        <w:t xml:space="preserve"> as balanced against prejudice to other parties</w:t>
      </w:r>
      <w:r w:rsidR="00CB252E" w:rsidRPr="00592EEC">
        <w:rPr>
          <w:rFonts w:ascii="Times New Roman" w:hAnsi="Times New Roman" w:cs="Times New Roman"/>
          <w:sz w:val="24"/>
          <w:szCs w:val="24"/>
        </w:rPr>
        <w:t xml:space="preserve">.  </w:t>
      </w:r>
      <w:proofErr w:type="gramStart"/>
      <w:r w:rsidR="00D10369">
        <w:rPr>
          <w:rFonts w:ascii="Times New Roman" w:hAnsi="Times New Roman" w:cs="Times New Roman"/>
          <w:sz w:val="24"/>
          <w:szCs w:val="24"/>
        </w:rPr>
        <w:t>52 Pa. Code §1.2.</w:t>
      </w:r>
      <w:proofErr w:type="gramEnd"/>
      <w:r w:rsidR="00D10369">
        <w:rPr>
          <w:rFonts w:ascii="Times New Roman" w:hAnsi="Times New Roman" w:cs="Times New Roman"/>
          <w:sz w:val="24"/>
          <w:szCs w:val="24"/>
        </w:rPr>
        <w:t xml:space="preserve">  </w:t>
      </w:r>
      <w:r w:rsidRPr="00592EEC">
        <w:rPr>
          <w:rFonts w:ascii="Times New Roman" w:hAnsi="Times New Roman" w:cs="Times New Roman"/>
          <w:sz w:val="24"/>
          <w:szCs w:val="24"/>
        </w:rPr>
        <w:t xml:space="preserve">In addition to the provision at 52 Pa. Code § 5.483 which </w:t>
      </w:r>
      <w:proofErr w:type="gramStart"/>
      <w:r w:rsidRPr="00592EEC">
        <w:rPr>
          <w:rFonts w:ascii="Times New Roman" w:hAnsi="Times New Roman" w:cs="Times New Roman"/>
          <w:sz w:val="24"/>
          <w:szCs w:val="24"/>
        </w:rPr>
        <w:t>gives</w:t>
      </w:r>
      <w:proofErr w:type="gramEnd"/>
      <w:r w:rsidRPr="00592EEC">
        <w:rPr>
          <w:rFonts w:ascii="Times New Roman" w:hAnsi="Times New Roman" w:cs="Times New Roman"/>
          <w:sz w:val="24"/>
          <w:szCs w:val="24"/>
        </w:rPr>
        <w:t xml:space="preserve"> an ALJ authority to regulate the course of a proceeding, I note also the Commission’s procedural regulations with respect to control of the receipt of evidence and the use of written testimony:</w:t>
      </w:r>
    </w:p>
    <w:p w:rsidR="00524C89" w:rsidRDefault="00524C89" w:rsidP="00592EEC">
      <w:pPr>
        <w:pStyle w:val="NoSpacing"/>
        <w:spacing w:line="360" w:lineRule="auto"/>
        <w:rPr>
          <w:rFonts w:ascii="Times New Roman" w:hAnsi="Times New Roman" w:cs="Times New Roman"/>
          <w:sz w:val="24"/>
          <w:szCs w:val="24"/>
        </w:rPr>
      </w:pPr>
    </w:p>
    <w:p w:rsidR="00592EEC" w:rsidRPr="00592EEC" w:rsidRDefault="00592EEC" w:rsidP="00592EEC">
      <w:pPr>
        <w:pStyle w:val="NoSpacing"/>
        <w:spacing w:line="360" w:lineRule="auto"/>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bCs/>
          <w:sz w:val="24"/>
          <w:szCs w:val="24"/>
        </w:rPr>
      </w:pPr>
      <w:bookmarkStart w:id="1" w:name="5.403."/>
      <w:r w:rsidRPr="00592EEC">
        <w:rPr>
          <w:rFonts w:ascii="Times New Roman" w:hAnsi="Times New Roman" w:cs="Times New Roman"/>
          <w:b/>
          <w:bCs/>
          <w:sz w:val="24"/>
          <w:szCs w:val="24"/>
        </w:rPr>
        <w:t>§ 5.403. </w:t>
      </w:r>
      <w:proofErr w:type="gramStart"/>
      <w:r w:rsidRPr="00592EEC">
        <w:rPr>
          <w:rFonts w:ascii="Times New Roman" w:hAnsi="Times New Roman" w:cs="Times New Roman"/>
          <w:b/>
          <w:bCs/>
          <w:sz w:val="24"/>
          <w:szCs w:val="24"/>
        </w:rPr>
        <w:t>Control of receipt of evidence.</w:t>
      </w:r>
      <w:proofErr w:type="gramEnd"/>
    </w:p>
    <w:p w:rsidR="00592EEC" w:rsidRPr="00592EEC" w:rsidRDefault="00592EEC" w:rsidP="00592EEC">
      <w:pPr>
        <w:pStyle w:val="NoSpacing"/>
        <w:ind w:left="1440" w:right="1440"/>
        <w:rPr>
          <w:rFonts w:ascii="Times New Roman" w:hAnsi="Times New Roman" w:cs="Times New Roman"/>
          <w:bCs/>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xml:space="preserve"> (a)  The presiding officer shall have all necessary authority to control the receipt of evidence, including the following: </w:t>
      </w:r>
    </w:p>
    <w:p w:rsidR="00C901E4" w:rsidRPr="00592EEC" w:rsidRDefault="00C901E4" w:rsidP="00592EEC">
      <w:pPr>
        <w:pStyle w:val="NoSpacing"/>
        <w:ind w:left="1440" w:right="1440"/>
        <w:rPr>
          <w:rFonts w:ascii="Times New Roman" w:hAnsi="Times New Roman" w:cs="Times New Roman"/>
          <w:sz w:val="24"/>
          <w:szCs w:val="24"/>
        </w:rPr>
      </w:pPr>
    </w:p>
    <w:p w:rsidR="005371BC" w:rsidRPr="00592EE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w:t>
      </w:r>
      <w:r w:rsidR="0023183B">
        <w:rPr>
          <w:rFonts w:ascii="Times New Roman" w:hAnsi="Times New Roman" w:cs="Times New Roman"/>
          <w:sz w:val="24"/>
          <w:szCs w:val="24"/>
        </w:rPr>
        <w:tab/>
      </w:r>
      <w:r w:rsidRPr="00592EEC">
        <w:rPr>
          <w:rFonts w:ascii="Times New Roman" w:hAnsi="Times New Roman" w:cs="Times New Roman"/>
          <w:sz w:val="24"/>
          <w:szCs w:val="24"/>
        </w:rPr>
        <w:t xml:space="preserve">(1)  Ruling on the admissibility of evidence. </w:t>
      </w:r>
    </w:p>
    <w:p w:rsidR="005371BC" w:rsidRPr="00592EE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w:t>
      </w:r>
      <w:r w:rsidR="0023183B">
        <w:rPr>
          <w:rFonts w:ascii="Times New Roman" w:hAnsi="Times New Roman" w:cs="Times New Roman"/>
          <w:sz w:val="24"/>
          <w:szCs w:val="24"/>
        </w:rPr>
        <w:tab/>
      </w:r>
      <w:r w:rsidRPr="00592EEC">
        <w:rPr>
          <w:rFonts w:ascii="Times New Roman" w:hAnsi="Times New Roman" w:cs="Times New Roman"/>
          <w:sz w:val="24"/>
          <w:szCs w:val="24"/>
        </w:rPr>
        <w:t xml:space="preserve">(2)  Confining the evidence to the issues in the proceeding </w:t>
      </w:r>
      <w:r w:rsidR="0023183B">
        <w:rPr>
          <w:rFonts w:ascii="Times New Roman" w:hAnsi="Times New Roman" w:cs="Times New Roman"/>
          <w:sz w:val="24"/>
          <w:szCs w:val="24"/>
        </w:rPr>
        <w:tab/>
      </w:r>
      <w:r w:rsidR="0023183B">
        <w:rPr>
          <w:rFonts w:ascii="Times New Roman" w:hAnsi="Times New Roman" w:cs="Times New Roman"/>
          <w:sz w:val="24"/>
          <w:szCs w:val="24"/>
        </w:rPr>
        <w:tab/>
      </w:r>
      <w:r w:rsidRPr="00592EEC">
        <w:rPr>
          <w:rFonts w:ascii="Times New Roman" w:hAnsi="Times New Roman" w:cs="Times New Roman"/>
          <w:sz w:val="24"/>
          <w:szCs w:val="24"/>
        </w:rPr>
        <w:t xml:space="preserve">and impose, where appropriate: </w:t>
      </w:r>
    </w:p>
    <w:p w:rsidR="005371BC" w:rsidRPr="00592EE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w:t>
      </w:r>
      <w:r w:rsidR="00C901E4">
        <w:rPr>
          <w:rFonts w:ascii="Times New Roman" w:hAnsi="Times New Roman" w:cs="Times New Roman"/>
          <w:sz w:val="24"/>
          <w:szCs w:val="24"/>
        </w:rPr>
        <w:tab/>
        <w:t xml:space="preserve">   </w:t>
      </w:r>
      <w:r w:rsidRPr="00592EEC">
        <w:rPr>
          <w:rFonts w:ascii="Times New Roman" w:hAnsi="Times New Roman" w:cs="Times New Roman"/>
          <w:sz w:val="24"/>
          <w:szCs w:val="24"/>
        </w:rPr>
        <w:t>(i)   </w:t>
      </w:r>
      <w:r w:rsidR="00375B66">
        <w:rPr>
          <w:rFonts w:ascii="Times New Roman" w:hAnsi="Times New Roman" w:cs="Times New Roman"/>
          <w:sz w:val="24"/>
          <w:szCs w:val="24"/>
        </w:rPr>
        <w:t xml:space="preserve"> </w:t>
      </w:r>
      <w:r w:rsidRPr="00592EEC">
        <w:rPr>
          <w:rFonts w:ascii="Times New Roman" w:hAnsi="Times New Roman" w:cs="Times New Roman"/>
          <w:sz w:val="24"/>
          <w:szCs w:val="24"/>
        </w:rPr>
        <w:t xml:space="preserve">Limitations on the number of witnesses to be </w:t>
      </w:r>
      <w:r w:rsidR="0023183B">
        <w:rPr>
          <w:rFonts w:ascii="Times New Roman" w:hAnsi="Times New Roman" w:cs="Times New Roman"/>
          <w:sz w:val="24"/>
          <w:szCs w:val="24"/>
        </w:rPr>
        <w:tab/>
      </w:r>
      <w:r w:rsidR="0023183B">
        <w:rPr>
          <w:rFonts w:ascii="Times New Roman" w:hAnsi="Times New Roman" w:cs="Times New Roman"/>
          <w:sz w:val="24"/>
          <w:szCs w:val="24"/>
        </w:rPr>
        <w:tab/>
      </w:r>
      <w:r w:rsidR="0023183B">
        <w:rPr>
          <w:rFonts w:ascii="Times New Roman" w:hAnsi="Times New Roman" w:cs="Times New Roman"/>
          <w:sz w:val="24"/>
          <w:szCs w:val="24"/>
        </w:rPr>
        <w:tab/>
      </w:r>
      <w:r w:rsidR="00375B66">
        <w:rPr>
          <w:rFonts w:ascii="Times New Roman" w:hAnsi="Times New Roman" w:cs="Times New Roman"/>
          <w:sz w:val="24"/>
          <w:szCs w:val="24"/>
        </w:rPr>
        <w:t xml:space="preserve">           </w:t>
      </w:r>
      <w:r w:rsidRPr="00592EEC">
        <w:rPr>
          <w:rFonts w:ascii="Times New Roman" w:hAnsi="Times New Roman" w:cs="Times New Roman"/>
          <w:sz w:val="24"/>
          <w:szCs w:val="24"/>
        </w:rPr>
        <w:t xml:space="preserve">heard. </w:t>
      </w:r>
    </w:p>
    <w:p w:rsidR="005371BC" w:rsidRPr="00592EE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w:t>
      </w:r>
      <w:r w:rsidR="0023183B">
        <w:rPr>
          <w:rFonts w:ascii="Times New Roman" w:hAnsi="Times New Roman" w:cs="Times New Roman"/>
          <w:sz w:val="24"/>
          <w:szCs w:val="24"/>
        </w:rPr>
        <w:tab/>
      </w:r>
      <w:r w:rsidR="00C901E4">
        <w:rPr>
          <w:rFonts w:ascii="Times New Roman" w:hAnsi="Times New Roman" w:cs="Times New Roman"/>
          <w:sz w:val="24"/>
          <w:szCs w:val="24"/>
        </w:rPr>
        <w:t xml:space="preserve">  </w:t>
      </w:r>
      <w:r w:rsidRPr="00592EEC">
        <w:rPr>
          <w:rFonts w:ascii="Times New Roman" w:hAnsi="Times New Roman" w:cs="Times New Roman"/>
          <w:sz w:val="24"/>
          <w:szCs w:val="24"/>
        </w:rPr>
        <w:t xml:space="preserve"> (ii)   Limitations of time and scope for direct and </w:t>
      </w:r>
      <w:r w:rsidR="0023183B">
        <w:rPr>
          <w:rFonts w:ascii="Times New Roman" w:hAnsi="Times New Roman" w:cs="Times New Roman"/>
          <w:sz w:val="24"/>
          <w:szCs w:val="24"/>
        </w:rPr>
        <w:tab/>
      </w:r>
      <w:r w:rsidR="0023183B">
        <w:rPr>
          <w:rFonts w:ascii="Times New Roman" w:hAnsi="Times New Roman" w:cs="Times New Roman"/>
          <w:sz w:val="24"/>
          <w:szCs w:val="24"/>
        </w:rPr>
        <w:tab/>
      </w:r>
      <w:r w:rsidR="0023183B">
        <w:rPr>
          <w:rFonts w:ascii="Times New Roman" w:hAnsi="Times New Roman" w:cs="Times New Roman"/>
          <w:sz w:val="24"/>
          <w:szCs w:val="24"/>
        </w:rPr>
        <w:tab/>
      </w:r>
      <w:r w:rsidR="00375B66">
        <w:rPr>
          <w:rFonts w:ascii="Times New Roman" w:hAnsi="Times New Roman" w:cs="Times New Roman"/>
          <w:sz w:val="24"/>
          <w:szCs w:val="24"/>
        </w:rPr>
        <w:t xml:space="preserve">           </w:t>
      </w:r>
      <w:r w:rsidRPr="00592EEC">
        <w:rPr>
          <w:rFonts w:ascii="Times New Roman" w:hAnsi="Times New Roman" w:cs="Times New Roman"/>
          <w:sz w:val="24"/>
          <w:szCs w:val="24"/>
        </w:rPr>
        <w:t xml:space="preserve">cross examinations. </w:t>
      </w:r>
    </w:p>
    <w:p w:rsidR="005371BC" w:rsidRPr="00592EE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w:t>
      </w:r>
      <w:r w:rsidR="0023183B">
        <w:rPr>
          <w:rFonts w:ascii="Times New Roman" w:hAnsi="Times New Roman" w:cs="Times New Roman"/>
          <w:sz w:val="24"/>
          <w:szCs w:val="24"/>
        </w:rPr>
        <w:tab/>
      </w:r>
      <w:r w:rsidR="00C901E4">
        <w:rPr>
          <w:rFonts w:ascii="Times New Roman" w:hAnsi="Times New Roman" w:cs="Times New Roman"/>
          <w:sz w:val="24"/>
          <w:szCs w:val="24"/>
        </w:rPr>
        <w:t xml:space="preserve">   </w:t>
      </w:r>
      <w:r w:rsidRPr="00592EEC">
        <w:rPr>
          <w:rFonts w:ascii="Times New Roman" w:hAnsi="Times New Roman" w:cs="Times New Roman"/>
          <w:sz w:val="24"/>
          <w:szCs w:val="24"/>
        </w:rPr>
        <w:t xml:space="preserve">(iii)   Limitations on the production of further </w:t>
      </w:r>
      <w:r w:rsidR="0023183B">
        <w:rPr>
          <w:rFonts w:ascii="Times New Roman" w:hAnsi="Times New Roman" w:cs="Times New Roman"/>
          <w:sz w:val="24"/>
          <w:szCs w:val="24"/>
        </w:rPr>
        <w:tab/>
      </w:r>
      <w:r w:rsidR="0023183B">
        <w:rPr>
          <w:rFonts w:ascii="Times New Roman" w:hAnsi="Times New Roman" w:cs="Times New Roman"/>
          <w:sz w:val="24"/>
          <w:szCs w:val="24"/>
        </w:rPr>
        <w:tab/>
      </w:r>
      <w:r w:rsidR="0023183B">
        <w:rPr>
          <w:rFonts w:ascii="Times New Roman" w:hAnsi="Times New Roman" w:cs="Times New Roman"/>
          <w:sz w:val="24"/>
          <w:szCs w:val="24"/>
        </w:rPr>
        <w:tab/>
      </w:r>
      <w:r w:rsidR="00375B66">
        <w:rPr>
          <w:rFonts w:ascii="Times New Roman" w:hAnsi="Times New Roman" w:cs="Times New Roman"/>
          <w:sz w:val="24"/>
          <w:szCs w:val="24"/>
        </w:rPr>
        <w:t xml:space="preserve">            </w:t>
      </w:r>
      <w:r w:rsidRPr="00592EEC">
        <w:rPr>
          <w:rFonts w:ascii="Times New Roman" w:hAnsi="Times New Roman" w:cs="Times New Roman"/>
          <w:sz w:val="24"/>
          <w:szCs w:val="24"/>
        </w:rPr>
        <w:t xml:space="preserve">evidence. </w:t>
      </w:r>
    </w:p>
    <w:p w:rsidR="00C901E4"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w:t>
      </w:r>
      <w:r w:rsidR="0023183B">
        <w:rPr>
          <w:rFonts w:ascii="Times New Roman" w:hAnsi="Times New Roman" w:cs="Times New Roman"/>
          <w:sz w:val="24"/>
          <w:szCs w:val="24"/>
        </w:rPr>
        <w:tab/>
      </w:r>
      <w:r w:rsidR="00C901E4">
        <w:rPr>
          <w:rFonts w:ascii="Times New Roman" w:hAnsi="Times New Roman" w:cs="Times New Roman"/>
          <w:sz w:val="24"/>
          <w:szCs w:val="24"/>
        </w:rPr>
        <w:t xml:space="preserve">   </w:t>
      </w:r>
      <w:proofErr w:type="gramStart"/>
      <w:r w:rsidRPr="00592EEC">
        <w:rPr>
          <w:rFonts w:ascii="Times New Roman" w:hAnsi="Times New Roman" w:cs="Times New Roman"/>
          <w:sz w:val="24"/>
          <w:szCs w:val="24"/>
        </w:rPr>
        <w:t>(iv)   Other</w:t>
      </w:r>
      <w:proofErr w:type="gramEnd"/>
      <w:r w:rsidRPr="00592EEC">
        <w:rPr>
          <w:rFonts w:ascii="Times New Roman" w:hAnsi="Times New Roman" w:cs="Times New Roman"/>
          <w:sz w:val="24"/>
          <w:szCs w:val="24"/>
        </w:rPr>
        <w:t xml:space="preserve"> necessary limitations.</w:t>
      </w:r>
    </w:p>
    <w:p w:rsidR="005371BC" w:rsidRPr="00592EE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xml:space="preserve"> </w:t>
      </w: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xml:space="preserve"> (b)  The presiding officer will actively employ these powers to direct and focus the proceedings consistent with due process. </w:t>
      </w:r>
    </w:p>
    <w:p w:rsidR="00592EEC" w:rsidRPr="00592EEC" w:rsidRDefault="00592EEC" w:rsidP="00592EEC">
      <w:pPr>
        <w:pStyle w:val="NoSpacing"/>
        <w:spacing w:line="360" w:lineRule="auto"/>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bCs/>
          <w:sz w:val="24"/>
          <w:szCs w:val="24"/>
        </w:rPr>
      </w:pPr>
      <w:bookmarkStart w:id="2" w:name="5.412."/>
      <w:bookmarkEnd w:id="1"/>
      <w:r w:rsidRPr="00592EEC">
        <w:rPr>
          <w:rFonts w:ascii="Times New Roman" w:hAnsi="Times New Roman" w:cs="Times New Roman"/>
          <w:b/>
          <w:bCs/>
          <w:sz w:val="24"/>
          <w:szCs w:val="24"/>
        </w:rPr>
        <w:t>§ 5.412. </w:t>
      </w:r>
      <w:proofErr w:type="gramStart"/>
      <w:r w:rsidRPr="00592EEC">
        <w:rPr>
          <w:rFonts w:ascii="Times New Roman" w:hAnsi="Times New Roman" w:cs="Times New Roman"/>
          <w:b/>
          <w:bCs/>
          <w:sz w:val="24"/>
          <w:szCs w:val="24"/>
        </w:rPr>
        <w:t>Written testimony.</w:t>
      </w:r>
      <w:proofErr w:type="gramEnd"/>
    </w:p>
    <w:p w:rsidR="00592EEC" w:rsidRPr="00592EEC" w:rsidRDefault="00592EEC" w:rsidP="00592EEC">
      <w:pPr>
        <w:pStyle w:val="NoSpacing"/>
        <w:ind w:left="1440" w:right="1440"/>
        <w:rPr>
          <w:rFonts w:ascii="Times New Roman" w:hAnsi="Times New Roman" w:cs="Times New Roman"/>
          <w:bCs/>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(a)  </w:t>
      </w:r>
      <w:r w:rsidRPr="00592EEC">
        <w:rPr>
          <w:rFonts w:ascii="Times New Roman" w:hAnsi="Times New Roman" w:cs="Times New Roman"/>
          <w:i/>
          <w:iCs/>
          <w:sz w:val="24"/>
          <w:szCs w:val="24"/>
        </w:rPr>
        <w:t>General</w:t>
      </w:r>
      <w:r w:rsidRPr="00592EEC">
        <w:rPr>
          <w:rFonts w:ascii="Times New Roman" w:hAnsi="Times New Roman" w:cs="Times New Roman"/>
          <w:sz w:val="24"/>
          <w:szCs w:val="24"/>
        </w:rPr>
        <w:t xml:space="preserve">. Use of written testimony in Commission proceedings is encouraged, especially in connection with the testimony of expert witnesses. Written direct testimony is required of expert witnesses testifying in rate cases. </w:t>
      </w:r>
    </w:p>
    <w:p w:rsidR="00C901E4" w:rsidRPr="00592EEC" w:rsidRDefault="00C901E4" w:rsidP="00592EEC">
      <w:pPr>
        <w:pStyle w:val="NoSpacing"/>
        <w:ind w:left="1440" w:right="1440"/>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(b)  </w:t>
      </w:r>
      <w:r w:rsidRPr="00592EEC">
        <w:rPr>
          <w:rFonts w:ascii="Times New Roman" w:hAnsi="Times New Roman" w:cs="Times New Roman"/>
          <w:i/>
          <w:iCs/>
          <w:sz w:val="24"/>
          <w:szCs w:val="24"/>
        </w:rPr>
        <w:t>Use</w:t>
      </w:r>
      <w:r w:rsidRPr="00592EEC">
        <w:rPr>
          <w:rFonts w:ascii="Times New Roman" w:hAnsi="Times New Roman" w:cs="Times New Roman"/>
          <w:sz w:val="24"/>
          <w:szCs w:val="24"/>
        </w:rPr>
        <w:t xml:space="preserve">. The presiding officer may direct that expert testimony to be given upon direct examination be submitted as prepared written testimony. A reasonable period of time will be allowed to prepare written testimony. </w:t>
      </w:r>
    </w:p>
    <w:p w:rsidR="00C901E4" w:rsidRPr="00592EEC" w:rsidRDefault="00C901E4" w:rsidP="00592EEC">
      <w:pPr>
        <w:pStyle w:val="NoSpacing"/>
        <w:ind w:left="1440" w:right="1440"/>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(c)  </w:t>
      </w:r>
      <w:r w:rsidRPr="00592EEC">
        <w:rPr>
          <w:rFonts w:ascii="Times New Roman" w:hAnsi="Times New Roman" w:cs="Times New Roman"/>
          <w:i/>
          <w:iCs/>
          <w:sz w:val="24"/>
          <w:szCs w:val="24"/>
        </w:rPr>
        <w:t>Rules regarding use</w:t>
      </w:r>
      <w:r w:rsidRPr="00592EEC">
        <w:rPr>
          <w:rFonts w:ascii="Times New Roman" w:hAnsi="Times New Roman" w:cs="Times New Roman"/>
          <w:sz w:val="24"/>
          <w:szCs w:val="24"/>
        </w:rPr>
        <w:t xml:space="preserve">. Written testimony is subject to the same rules of admissibility and cross-examination of the sponsoring witness as if it were presented orally in the usual manner. </w:t>
      </w:r>
    </w:p>
    <w:p w:rsidR="00C901E4" w:rsidRPr="00592EEC" w:rsidRDefault="00C901E4" w:rsidP="00592EEC">
      <w:pPr>
        <w:pStyle w:val="NoSpacing"/>
        <w:ind w:left="1440" w:right="1440"/>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(d)  </w:t>
      </w:r>
      <w:r w:rsidRPr="00592EEC">
        <w:rPr>
          <w:rFonts w:ascii="Times New Roman" w:hAnsi="Times New Roman" w:cs="Times New Roman"/>
          <w:i/>
          <w:iCs/>
          <w:sz w:val="24"/>
          <w:szCs w:val="24"/>
        </w:rPr>
        <w:t>Cross-examination</w:t>
      </w:r>
      <w:r w:rsidRPr="00592EEC">
        <w:rPr>
          <w:rFonts w:ascii="Times New Roman" w:hAnsi="Times New Roman" w:cs="Times New Roman"/>
          <w:sz w:val="24"/>
          <w:szCs w:val="24"/>
        </w:rPr>
        <w:t xml:space="preserve">. Cross-examination of the witness presenting written testimony shall proceed at the hearing at which testimony is authenticated if service of the written testimony is made upon each party of record at least 20 days prior to the hearing, unless the presiding officer for good cause otherwise directs. In a rate proceeding, the presiding officer or the Commission will establish the schedule for the filing and authentication of written testimony, and for cross-examination by other parties. </w:t>
      </w:r>
    </w:p>
    <w:p w:rsidR="00C901E4" w:rsidRPr="00592EEC" w:rsidRDefault="00C901E4" w:rsidP="00592EEC">
      <w:pPr>
        <w:pStyle w:val="NoSpacing"/>
        <w:ind w:left="1440" w:right="1440"/>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(e)  </w:t>
      </w:r>
      <w:r w:rsidRPr="00592EEC">
        <w:rPr>
          <w:rFonts w:ascii="Times New Roman" w:hAnsi="Times New Roman" w:cs="Times New Roman"/>
          <w:i/>
          <w:iCs/>
          <w:sz w:val="24"/>
          <w:szCs w:val="24"/>
        </w:rPr>
        <w:t>Form</w:t>
      </w:r>
      <w:r w:rsidRPr="00592EEC">
        <w:rPr>
          <w:rFonts w:ascii="Times New Roman" w:hAnsi="Times New Roman" w:cs="Times New Roman"/>
          <w:sz w:val="24"/>
          <w:szCs w:val="24"/>
        </w:rPr>
        <w:t xml:space="preserve">. Written testimony must normally be prepared in question and answer form, include a statement of the qualifications of the witness and be accompanied by exhibits to which it relates. A party offering prepared written testimony shall insert line numbers in the left-hand margin on each page. A party should also use a logical and sequential numbering system to identify the written testimony of individual witnesses. </w:t>
      </w:r>
    </w:p>
    <w:p w:rsidR="00C901E4" w:rsidRPr="00592EEC" w:rsidRDefault="00C901E4" w:rsidP="00592EEC">
      <w:pPr>
        <w:pStyle w:val="NoSpacing"/>
        <w:ind w:left="1440" w:right="1440"/>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(f)  </w:t>
      </w:r>
      <w:r w:rsidRPr="00592EEC">
        <w:rPr>
          <w:rFonts w:ascii="Times New Roman" w:hAnsi="Times New Roman" w:cs="Times New Roman"/>
          <w:i/>
          <w:iCs/>
          <w:sz w:val="24"/>
          <w:szCs w:val="24"/>
        </w:rPr>
        <w:t>Service</w:t>
      </w:r>
      <w:r w:rsidRPr="00592EEC">
        <w:rPr>
          <w:rFonts w:ascii="Times New Roman" w:hAnsi="Times New Roman" w:cs="Times New Roman"/>
          <w:sz w:val="24"/>
          <w:szCs w:val="24"/>
        </w:rPr>
        <w:t xml:space="preserve">. Written testimony shall be served upon the presiding officer and parties in the proceeding in accordance with the schedule established by this chapter. At the same time the testimony is served, a certificate of service for the testimony shall be filed with the Secretary. </w:t>
      </w:r>
    </w:p>
    <w:p w:rsidR="00C901E4" w:rsidRPr="00592EEC" w:rsidRDefault="00C901E4" w:rsidP="00592EEC">
      <w:pPr>
        <w:pStyle w:val="NoSpacing"/>
        <w:ind w:left="1440" w:right="1440"/>
        <w:rPr>
          <w:rFonts w:ascii="Times New Roman" w:hAnsi="Times New Roman" w:cs="Times New Roman"/>
          <w:sz w:val="24"/>
          <w:szCs w:val="24"/>
        </w:rPr>
      </w:pPr>
    </w:p>
    <w:p w:rsidR="005371BC" w:rsidRDefault="005371BC" w:rsidP="00592EEC">
      <w:pPr>
        <w:pStyle w:val="NoSpacing"/>
        <w:ind w:left="1440" w:right="1440"/>
        <w:rPr>
          <w:rFonts w:ascii="Times New Roman" w:hAnsi="Times New Roman" w:cs="Times New Roman"/>
          <w:sz w:val="24"/>
          <w:szCs w:val="24"/>
        </w:rPr>
      </w:pPr>
      <w:r w:rsidRPr="00592EEC">
        <w:rPr>
          <w:rFonts w:ascii="Times New Roman" w:hAnsi="Times New Roman" w:cs="Times New Roman"/>
          <w:sz w:val="24"/>
          <w:szCs w:val="24"/>
        </w:rPr>
        <w:t> (g)  </w:t>
      </w:r>
      <w:r w:rsidRPr="00592EEC">
        <w:rPr>
          <w:rFonts w:ascii="Times New Roman" w:hAnsi="Times New Roman" w:cs="Times New Roman"/>
          <w:i/>
          <w:iCs/>
          <w:sz w:val="24"/>
          <w:szCs w:val="24"/>
        </w:rPr>
        <w:t>Copies</w:t>
      </w:r>
      <w:r w:rsidRPr="00592EEC">
        <w:rPr>
          <w:rFonts w:ascii="Times New Roman" w:hAnsi="Times New Roman" w:cs="Times New Roman"/>
          <w:sz w:val="24"/>
          <w:szCs w:val="24"/>
        </w:rPr>
        <w:t>. At the hearing at which the testimony is authenticated, counsel for the witness shall provide two copies of the testimony</w:t>
      </w:r>
      <w:r w:rsidR="00592EEC">
        <w:rPr>
          <w:rFonts w:ascii="Times New Roman" w:hAnsi="Times New Roman" w:cs="Times New Roman"/>
          <w:sz w:val="24"/>
          <w:szCs w:val="24"/>
        </w:rPr>
        <w:t>.</w:t>
      </w:r>
      <w:r w:rsidRPr="00592EEC">
        <w:rPr>
          <w:rFonts w:ascii="Times New Roman" w:hAnsi="Times New Roman" w:cs="Times New Roman"/>
          <w:sz w:val="24"/>
          <w:szCs w:val="24"/>
        </w:rPr>
        <w:t xml:space="preserve"> </w:t>
      </w:r>
    </w:p>
    <w:bookmarkEnd w:id="2"/>
    <w:p w:rsidR="00C610D9" w:rsidRDefault="00C610D9" w:rsidP="00623635">
      <w:pPr>
        <w:pStyle w:val="NoSpacing"/>
        <w:spacing w:line="360" w:lineRule="auto"/>
        <w:rPr>
          <w:rFonts w:ascii="Times New Roman" w:hAnsi="Times New Roman" w:cs="Times New Roman"/>
          <w:sz w:val="24"/>
          <w:szCs w:val="24"/>
        </w:rPr>
      </w:pPr>
    </w:p>
    <w:p w:rsidR="00C610D9" w:rsidRPr="00C610D9" w:rsidRDefault="00C610D9" w:rsidP="00623635">
      <w:pPr>
        <w:pStyle w:val="NoSpacing"/>
        <w:spacing w:line="360" w:lineRule="auto"/>
        <w:rPr>
          <w:rFonts w:ascii="Times New Roman" w:hAnsi="Times New Roman" w:cs="Times New Roman"/>
          <w:b/>
          <w:sz w:val="24"/>
          <w:szCs w:val="24"/>
        </w:rPr>
      </w:pPr>
      <w:r w:rsidRPr="00C610D9">
        <w:rPr>
          <w:rFonts w:ascii="Times New Roman" w:hAnsi="Times New Roman" w:cs="Times New Roman"/>
          <w:b/>
          <w:sz w:val="24"/>
          <w:szCs w:val="24"/>
        </w:rPr>
        <w:t>III.</w:t>
      </w:r>
      <w:r w:rsidRPr="00C610D9">
        <w:rPr>
          <w:rFonts w:ascii="Times New Roman" w:hAnsi="Times New Roman" w:cs="Times New Roman"/>
          <w:b/>
          <w:sz w:val="24"/>
          <w:szCs w:val="24"/>
        </w:rPr>
        <w:tab/>
        <w:t>DISCUSSION</w:t>
      </w:r>
    </w:p>
    <w:p w:rsidR="00D10369" w:rsidRDefault="00C901E4" w:rsidP="0062363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0369" w:rsidRDefault="00D10369" w:rsidP="0062363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4992" w:rsidRPr="00CF4992">
        <w:rPr>
          <w:rFonts w:ascii="Times New Roman" w:hAnsi="Times New Roman" w:cs="Times New Roman"/>
          <w:sz w:val="24"/>
          <w:szCs w:val="24"/>
        </w:rPr>
        <w:t xml:space="preserve">In resolving this controversy, I am not insensible to </w:t>
      </w:r>
      <w:proofErr w:type="spellStart"/>
      <w:r w:rsidR="00CF4992" w:rsidRPr="00CF4992">
        <w:rPr>
          <w:rFonts w:ascii="Times New Roman" w:hAnsi="Times New Roman" w:cs="Times New Roman"/>
          <w:sz w:val="24"/>
          <w:szCs w:val="24"/>
        </w:rPr>
        <w:t>Comverge’s</w:t>
      </w:r>
      <w:proofErr w:type="spellEnd"/>
      <w:r w:rsidR="00CF4992" w:rsidRPr="00CF4992">
        <w:rPr>
          <w:rFonts w:ascii="Times New Roman" w:hAnsi="Times New Roman" w:cs="Times New Roman"/>
          <w:sz w:val="24"/>
          <w:szCs w:val="24"/>
        </w:rPr>
        <w:t xml:space="preserve"> arguments as set forth in its Petition and as repeated at oral argument</w:t>
      </w:r>
      <w:r w:rsidR="00CF4992">
        <w:rPr>
          <w:rFonts w:ascii="Times New Roman" w:hAnsi="Times New Roman" w:cs="Times New Roman"/>
          <w:sz w:val="24"/>
          <w:szCs w:val="24"/>
        </w:rPr>
        <w:t xml:space="preserve"> with respect to the </w:t>
      </w:r>
      <w:r w:rsidR="00E53A47">
        <w:rPr>
          <w:rFonts w:ascii="Times New Roman" w:hAnsi="Times New Roman" w:cs="Times New Roman"/>
          <w:sz w:val="24"/>
          <w:szCs w:val="24"/>
        </w:rPr>
        <w:t xml:space="preserve">fact that the record in this case is still open and that the </w:t>
      </w:r>
      <w:r w:rsidR="00CF4992">
        <w:rPr>
          <w:rFonts w:ascii="Times New Roman" w:hAnsi="Times New Roman" w:cs="Times New Roman"/>
          <w:sz w:val="24"/>
          <w:szCs w:val="24"/>
        </w:rPr>
        <w:t>expedited procedural schedule</w:t>
      </w:r>
      <w:r w:rsidR="00E53A47">
        <w:rPr>
          <w:rFonts w:ascii="Times New Roman" w:hAnsi="Times New Roman" w:cs="Times New Roman"/>
          <w:sz w:val="24"/>
          <w:szCs w:val="24"/>
        </w:rPr>
        <w:t xml:space="preserve"> worked somewhat to </w:t>
      </w:r>
      <w:proofErr w:type="spellStart"/>
      <w:r w:rsidR="00E53A47">
        <w:rPr>
          <w:rFonts w:ascii="Times New Roman" w:hAnsi="Times New Roman" w:cs="Times New Roman"/>
          <w:sz w:val="24"/>
          <w:szCs w:val="24"/>
        </w:rPr>
        <w:t>Comverge’s</w:t>
      </w:r>
      <w:proofErr w:type="spellEnd"/>
      <w:r w:rsidR="00E53A47">
        <w:rPr>
          <w:rFonts w:ascii="Times New Roman" w:hAnsi="Times New Roman" w:cs="Times New Roman"/>
          <w:sz w:val="24"/>
          <w:szCs w:val="24"/>
        </w:rPr>
        <w:t xml:space="preserve"> disadvantage</w:t>
      </w:r>
      <w:r w:rsidR="00CF4992" w:rsidRPr="00CF4992">
        <w:rPr>
          <w:rFonts w:ascii="Times New Roman" w:hAnsi="Times New Roman" w:cs="Times New Roman"/>
          <w:sz w:val="24"/>
          <w:szCs w:val="24"/>
        </w:rPr>
        <w:t xml:space="preserve">.  </w:t>
      </w:r>
      <w:r>
        <w:rPr>
          <w:rFonts w:ascii="Times New Roman" w:hAnsi="Times New Roman" w:cs="Times New Roman"/>
          <w:sz w:val="24"/>
          <w:szCs w:val="24"/>
        </w:rPr>
        <w:t xml:space="preserve">I also agree that an evidentiary record should be as complete as possible, </w:t>
      </w:r>
      <w:r w:rsidR="00B225FC">
        <w:rPr>
          <w:rFonts w:ascii="Times New Roman" w:hAnsi="Times New Roman" w:cs="Times New Roman"/>
          <w:sz w:val="24"/>
          <w:szCs w:val="24"/>
        </w:rPr>
        <w:t xml:space="preserve">but </w:t>
      </w:r>
      <w:r w:rsidR="00524C89">
        <w:rPr>
          <w:rFonts w:ascii="Times New Roman" w:hAnsi="Times New Roman" w:cs="Times New Roman"/>
          <w:sz w:val="24"/>
          <w:szCs w:val="24"/>
        </w:rPr>
        <w:t xml:space="preserve">that must be done </w:t>
      </w:r>
      <w:r>
        <w:rPr>
          <w:rFonts w:ascii="Times New Roman" w:hAnsi="Times New Roman" w:cs="Times New Roman"/>
          <w:sz w:val="24"/>
          <w:szCs w:val="24"/>
        </w:rPr>
        <w:t>in conformity with the orderly conduct of the proceeding and the dictates of due process</w:t>
      </w:r>
      <w:r w:rsidR="00920AC6">
        <w:rPr>
          <w:rFonts w:ascii="Times New Roman" w:hAnsi="Times New Roman" w:cs="Times New Roman"/>
          <w:sz w:val="24"/>
          <w:szCs w:val="24"/>
        </w:rPr>
        <w:t xml:space="preserve"> and the Commission’s procedural rules</w:t>
      </w:r>
      <w:r>
        <w:rPr>
          <w:rFonts w:ascii="Times New Roman" w:hAnsi="Times New Roman" w:cs="Times New Roman"/>
          <w:sz w:val="24"/>
          <w:szCs w:val="24"/>
        </w:rPr>
        <w:t>.</w:t>
      </w:r>
    </w:p>
    <w:p w:rsidR="00D10369" w:rsidRDefault="00D10369" w:rsidP="00623635">
      <w:pPr>
        <w:pStyle w:val="NoSpacing"/>
        <w:spacing w:line="360" w:lineRule="auto"/>
        <w:rPr>
          <w:rFonts w:ascii="Times New Roman" w:hAnsi="Times New Roman" w:cs="Times New Roman"/>
          <w:sz w:val="24"/>
          <w:szCs w:val="24"/>
        </w:rPr>
      </w:pPr>
    </w:p>
    <w:p w:rsidR="00CF4992" w:rsidRDefault="00D10369" w:rsidP="0062363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01E4">
        <w:rPr>
          <w:rFonts w:ascii="Times New Roman" w:hAnsi="Times New Roman" w:cs="Times New Roman"/>
          <w:sz w:val="24"/>
          <w:szCs w:val="24"/>
        </w:rPr>
        <w:t xml:space="preserve">I disagree with </w:t>
      </w:r>
      <w:proofErr w:type="spellStart"/>
      <w:r w:rsidR="00C901E4">
        <w:rPr>
          <w:rFonts w:ascii="Times New Roman" w:hAnsi="Times New Roman" w:cs="Times New Roman"/>
          <w:sz w:val="24"/>
          <w:szCs w:val="24"/>
        </w:rPr>
        <w:t>Comverge’s</w:t>
      </w:r>
      <w:proofErr w:type="spellEnd"/>
      <w:r w:rsidR="00C901E4">
        <w:rPr>
          <w:rFonts w:ascii="Times New Roman" w:hAnsi="Times New Roman" w:cs="Times New Roman"/>
          <w:sz w:val="24"/>
          <w:szCs w:val="24"/>
        </w:rPr>
        <w:t xml:space="preserve"> </w:t>
      </w:r>
      <w:r w:rsidR="00E44AD6">
        <w:rPr>
          <w:rFonts w:ascii="Times New Roman" w:hAnsi="Times New Roman" w:cs="Times New Roman"/>
          <w:sz w:val="24"/>
          <w:szCs w:val="24"/>
        </w:rPr>
        <w:t xml:space="preserve">primary reason for </w:t>
      </w:r>
      <w:r w:rsidR="00B225FC">
        <w:rPr>
          <w:rFonts w:ascii="Times New Roman" w:hAnsi="Times New Roman" w:cs="Times New Roman"/>
          <w:sz w:val="24"/>
          <w:szCs w:val="24"/>
        </w:rPr>
        <w:t xml:space="preserve">requesting approval of </w:t>
      </w:r>
      <w:r w:rsidR="00E44AD6">
        <w:rPr>
          <w:rFonts w:ascii="Times New Roman" w:hAnsi="Times New Roman" w:cs="Times New Roman"/>
          <w:sz w:val="24"/>
          <w:szCs w:val="24"/>
        </w:rPr>
        <w:t xml:space="preserve">a </w:t>
      </w:r>
      <w:proofErr w:type="spellStart"/>
      <w:r w:rsidR="00E44AD6" w:rsidRPr="00E44AD6">
        <w:rPr>
          <w:rFonts w:ascii="Times New Roman" w:hAnsi="Times New Roman" w:cs="Times New Roman"/>
          <w:i/>
          <w:sz w:val="24"/>
          <w:szCs w:val="24"/>
        </w:rPr>
        <w:t>nunc</w:t>
      </w:r>
      <w:proofErr w:type="spellEnd"/>
      <w:r w:rsidR="00E44AD6" w:rsidRPr="00E44AD6">
        <w:rPr>
          <w:rFonts w:ascii="Times New Roman" w:hAnsi="Times New Roman" w:cs="Times New Roman"/>
          <w:i/>
          <w:sz w:val="24"/>
          <w:szCs w:val="24"/>
        </w:rPr>
        <w:t xml:space="preserve"> pro </w:t>
      </w:r>
      <w:proofErr w:type="spellStart"/>
      <w:r w:rsidR="00E44AD6" w:rsidRPr="00E44AD6">
        <w:rPr>
          <w:rFonts w:ascii="Times New Roman" w:hAnsi="Times New Roman" w:cs="Times New Roman"/>
          <w:i/>
          <w:sz w:val="24"/>
          <w:szCs w:val="24"/>
        </w:rPr>
        <w:t>tunc</w:t>
      </w:r>
      <w:proofErr w:type="spellEnd"/>
      <w:r w:rsidR="00E44AD6">
        <w:rPr>
          <w:rFonts w:ascii="Times New Roman" w:hAnsi="Times New Roman" w:cs="Times New Roman"/>
          <w:sz w:val="24"/>
          <w:szCs w:val="24"/>
        </w:rPr>
        <w:t xml:space="preserve"> filing:</w:t>
      </w:r>
      <w:r w:rsidR="00C901E4">
        <w:rPr>
          <w:rFonts w:ascii="Times New Roman" w:hAnsi="Times New Roman" w:cs="Times New Roman"/>
          <w:sz w:val="24"/>
          <w:szCs w:val="24"/>
        </w:rPr>
        <w:t xml:space="preserve"> that</w:t>
      </w:r>
      <w:r w:rsidR="00E44AD6">
        <w:rPr>
          <w:rFonts w:ascii="Times New Roman" w:hAnsi="Times New Roman" w:cs="Times New Roman"/>
          <w:sz w:val="24"/>
          <w:szCs w:val="24"/>
        </w:rPr>
        <w:t xml:space="preserve"> Comverge</w:t>
      </w:r>
      <w:r w:rsidR="00C901E4">
        <w:rPr>
          <w:rFonts w:ascii="Times New Roman" w:hAnsi="Times New Roman" w:cs="Times New Roman"/>
          <w:sz w:val="24"/>
          <w:szCs w:val="24"/>
        </w:rPr>
        <w:t xml:space="preserve"> had only one day’s notice that comments would not be included as part of the evidentiary record.  </w:t>
      </w:r>
      <w:r w:rsidR="00623635">
        <w:rPr>
          <w:rFonts w:ascii="Times New Roman" w:hAnsi="Times New Roman" w:cs="Times New Roman"/>
          <w:sz w:val="24"/>
          <w:szCs w:val="24"/>
        </w:rPr>
        <w:t>The transcript of the Prehearing Conference of December 10, 2012, was readily available to Comverge, and my concern with respect to the treatment of comments was set forth at pages 22-23.  I</w:t>
      </w:r>
      <w:r w:rsidR="000E7B2C">
        <w:rPr>
          <w:rFonts w:ascii="Times New Roman" w:hAnsi="Times New Roman" w:cs="Times New Roman"/>
          <w:sz w:val="24"/>
          <w:szCs w:val="24"/>
        </w:rPr>
        <w:t>n fact, I</w:t>
      </w:r>
      <w:r w:rsidR="00623635">
        <w:rPr>
          <w:rFonts w:ascii="Times New Roman" w:hAnsi="Times New Roman" w:cs="Times New Roman"/>
          <w:sz w:val="24"/>
          <w:szCs w:val="24"/>
        </w:rPr>
        <w:t xml:space="preserve"> made similar comments in the PECO case which had an even earlier Prehearing Conference on November 30, 2012</w:t>
      </w:r>
      <w:r w:rsidR="0075417B">
        <w:rPr>
          <w:rFonts w:ascii="Times New Roman" w:hAnsi="Times New Roman" w:cs="Times New Roman"/>
          <w:sz w:val="24"/>
          <w:szCs w:val="24"/>
        </w:rPr>
        <w:t xml:space="preserve">, and where my </w:t>
      </w:r>
      <w:r w:rsidR="00E44AD6">
        <w:rPr>
          <w:rFonts w:ascii="Times New Roman" w:hAnsi="Times New Roman" w:cs="Times New Roman"/>
          <w:sz w:val="24"/>
          <w:szCs w:val="24"/>
        </w:rPr>
        <w:t>direction</w:t>
      </w:r>
      <w:r w:rsidR="0075417B">
        <w:rPr>
          <w:rFonts w:ascii="Times New Roman" w:hAnsi="Times New Roman" w:cs="Times New Roman"/>
          <w:sz w:val="24"/>
          <w:szCs w:val="24"/>
        </w:rPr>
        <w:t xml:space="preserve"> with respect to the treatment of comments was pointedly made</w:t>
      </w:r>
      <w:r w:rsidR="00623635">
        <w:rPr>
          <w:rFonts w:ascii="Times New Roman" w:hAnsi="Times New Roman" w:cs="Times New Roman"/>
          <w:sz w:val="24"/>
          <w:szCs w:val="24"/>
        </w:rPr>
        <w:t>.</w:t>
      </w:r>
      <w:r w:rsidR="000E7B2C">
        <w:rPr>
          <w:rFonts w:ascii="Times New Roman" w:hAnsi="Times New Roman" w:cs="Times New Roman"/>
          <w:sz w:val="24"/>
          <w:szCs w:val="24"/>
        </w:rPr>
        <w:t xml:space="preserve">  </w:t>
      </w:r>
      <w:r w:rsidR="00375B66">
        <w:rPr>
          <w:rFonts w:ascii="Times New Roman" w:hAnsi="Times New Roman" w:cs="Times New Roman"/>
          <w:sz w:val="24"/>
          <w:szCs w:val="24"/>
        </w:rPr>
        <w:t xml:space="preserve">As an intervenor in </w:t>
      </w:r>
      <w:r w:rsidR="00375B66" w:rsidRPr="00E53A47">
        <w:rPr>
          <w:rFonts w:ascii="Times New Roman" w:hAnsi="Times New Roman" w:cs="Times New Roman"/>
          <w:i/>
          <w:sz w:val="24"/>
          <w:szCs w:val="24"/>
        </w:rPr>
        <w:t>both</w:t>
      </w:r>
      <w:r w:rsidR="00375B66">
        <w:rPr>
          <w:rFonts w:ascii="Times New Roman" w:hAnsi="Times New Roman" w:cs="Times New Roman"/>
          <w:sz w:val="24"/>
          <w:szCs w:val="24"/>
        </w:rPr>
        <w:t xml:space="preserve"> the PECO and PPL cases, </w:t>
      </w:r>
      <w:r w:rsidR="000E7B2C">
        <w:rPr>
          <w:rFonts w:ascii="Times New Roman" w:hAnsi="Times New Roman" w:cs="Times New Roman"/>
          <w:sz w:val="24"/>
          <w:szCs w:val="24"/>
        </w:rPr>
        <w:t xml:space="preserve">Comverge had to know that it was a “latecomer” to these proceedings (through no fault of </w:t>
      </w:r>
      <w:proofErr w:type="spellStart"/>
      <w:r w:rsidR="000E7B2C">
        <w:rPr>
          <w:rFonts w:ascii="Times New Roman" w:hAnsi="Times New Roman" w:cs="Times New Roman"/>
          <w:sz w:val="24"/>
          <w:szCs w:val="24"/>
        </w:rPr>
        <w:t>Comverge’s</w:t>
      </w:r>
      <w:proofErr w:type="spellEnd"/>
      <w:r w:rsidR="000E7B2C">
        <w:rPr>
          <w:rFonts w:ascii="Times New Roman" w:hAnsi="Times New Roman" w:cs="Times New Roman"/>
          <w:sz w:val="24"/>
          <w:szCs w:val="24"/>
        </w:rPr>
        <w:t xml:space="preserve">), and that diligence would be necessary to come current with </w:t>
      </w:r>
      <w:r w:rsidR="00E53A47">
        <w:rPr>
          <w:rFonts w:ascii="Times New Roman" w:hAnsi="Times New Roman" w:cs="Times New Roman"/>
          <w:sz w:val="24"/>
          <w:szCs w:val="24"/>
        </w:rPr>
        <w:t>each</w:t>
      </w:r>
      <w:r w:rsidR="000E7B2C">
        <w:rPr>
          <w:rFonts w:ascii="Times New Roman" w:hAnsi="Times New Roman" w:cs="Times New Roman"/>
          <w:sz w:val="24"/>
          <w:szCs w:val="24"/>
        </w:rPr>
        <w:t xml:space="preserve"> case.  This is one reason why Orders granting intervention state that the </w:t>
      </w:r>
      <w:r w:rsidR="000E7B2C">
        <w:rPr>
          <w:rFonts w:ascii="Times New Roman" w:hAnsi="Times New Roman" w:cs="Times New Roman"/>
          <w:sz w:val="24"/>
          <w:szCs w:val="24"/>
        </w:rPr>
        <w:lastRenderedPageBreak/>
        <w:t xml:space="preserve">intervention is granted subject to the intervenor accepting the record and underlying Orders as they stand, and it is incumbent upon an intervenor to acquaint itself with the </w:t>
      </w:r>
      <w:r>
        <w:rPr>
          <w:rFonts w:ascii="Times New Roman" w:hAnsi="Times New Roman" w:cs="Times New Roman"/>
          <w:sz w:val="24"/>
          <w:szCs w:val="24"/>
        </w:rPr>
        <w:t xml:space="preserve">established </w:t>
      </w:r>
      <w:r w:rsidR="000E7B2C">
        <w:rPr>
          <w:rFonts w:ascii="Times New Roman" w:hAnsi="Times New Roman" w:cs="Times New Roman"/>
          <w:sz w:val="24"/>
          <w:szCs w:val="24"/>
        </w:rPr>
        <w:t>record.</w:t>
      </w:r>
      <w:r w:rsidR="00623635">
        <w:rPr>
          <w:rFonts w:ascii="Times New Roman" w:hAnsi="Times New Roman" w:cs="Times New Roman"/>
          <w:sz w:val="24"/>
          <w:szCs w:val="24"/>
        </w:rPr>
        <w:t xml:space="preserve">  </w:t>
      </w:r>
    </w:p>
    <w:p w:rsidR="00CF4992" w:rsidRDefault="00CF4992" w:rsidP="00623635">
      <w:pPr>
        <w:pStyle w:val="NoSpacing"/>
        <w:spacing w:line="360" w:lineRule="auto"/>
        <w:rPr>
          <w:rFonts w:ascii="Times New Roman" w:hAnsi="Times New Roman" w:cs="Times New Roman"/>
          <w:sz w:val="24"/>
          <w:szCs w:val="24"/>
        </w:rPr>
      </w:pPr>
    </w:p>
    <w:p w:rsidR="000E7B2C" w:rsidRDefault="00CF4992" w:rsidP="0062363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4AD6">
        <w:rPr>
          <w:rFonts w:ascii="Times New Roman" w:hAnsi="Times New Roman" w:cs="Times New Roman"/>
          <w:sz w:val="24"/>
          <w:szCs w:val="24"/>
        </w:rPr>
        <w:t xml:space="preserve">A review of the transcript of either the November 30, 2012 Prehearing Conference in the PECO case, or the December 10, 2012 Prehearing Conference in the PPL case would put any potential intervenor on notice of the status of comments in these cases.  </w:t>
      </w:r>
      <w:r w:rsidRPr="00CF4992">
        <w:rPr>
          <w:rFonts w:ascii="Times New Roman" w:hAnsi="Times New Roman" w:cs="Times New Roman"/>
          <w:sz w:val="24"/>
          <w:szCs w:val="24"/>
        </w:rPr>
        <w:t>Certainly by January 9, 2013, Comverge was well aware that comments would not be accepted into the evidentiary record, yet Comverge delayed until January 14, 2013, to file testimony in this case</w:t>
      </w:r>
      <w:r w:rsidR="00E53A47">
        <w:rPr>
          <w:rFonts w:ascii="Times New Roman" w:hAnsi="Times New Roman" w:cs="Times New Roman"/>
          <w:sz w:val="24"/>
          <w:szCs w:val="24"/>
        </w:rPr>
        <w:t>: testimony</w:t>
      </w:r>
      <w:r w:rsidRPr="00CF4992">
        <w:rPr>
          <w:rFonts w:ascii="Times New Roman" w:hAnsi="Times New Roman" w:cs="Times New Roman"/>
          <w:sz w:val="24"/>
          <w:szCs w:val="24"/>
        </w:rPr>
        <w:t xml:space="preserve"> that could have </w:t>
      </w:r>
      <w:r w:rsidR="00E44AD6">
        <w:rPr>
          <w:rFonts w:ascii="Times New Roman" w:hAnsi="Times New Roman" w:cs="Times New Roman"/>
          <w:sz w:val="24"/>
          <w:szCs w:val="24"/>
        </w:rPr>
        <w:t xml:space="preserve">unquestionably </w:t>
      </w:r>
      <w:r w:rsidRPr="00CF4992">
        <w:rPr>
          <w:rFonts w:ascii="Times New Roman" w:hAnsi="Times New Roman" w:cs="Times New Roman"/>
          <w:sz w:val="24"/>
          <w:szCs w:val="24"/>
        </w:rPr>
        <w:t xml:space="preserve">been filed at any time on or </w:t>
      </w:r>
      <w:r w:rsidR="00920AC6">
        <w:rPr>
          <w:rFonts w:ascii="Times New Roman" w:hAnsi="Times New Roman" w:cs="Times New Roman"/>
          <w:sz w:val="24"/>
          <w:szCs w:val="24"/>
        </w:rPr>
        <w:t xml:space="preserve">immediately </w:t>
      </w:r>
      <w:r w:rsidRPr="00CF4992">
        <w:rPr>
          <w:rFonts w:ascii="Times New Roman" w:hAnsi="Times New Roman" w:cs="Times New Roman"/>
          <w:sz w:val="24"/>
          <w:szCs w:val="24"/>
        </w:rPr>
        <w:t xml:space="preserve">after January 9, 2013, particularly given that the testimony </w:t>
      </w:r>
      <w:r w:rsidR="00920AC6">
        <w:rPr>
          <w:rFonts w:ascii="Times New Roman" w:hAnsi="Times New Roman" w:cs="Times New Roman"/>
          <w:sz w:val="24"/>
          <w:szCs w:val="24"/>
        </w:rPr>
        <w:t>consists of</w:t>
      </w:r>
      <w:r w:rsidRPr="00CF4992">
        <w:rPr>
          <w:rFonts w:ascii="Times New Roman" w:hAnsi="Times New Roman" w:cs="Times New Roman"/>
          <w:sz w:val="24"/>
          <w:szCs w:val="24"/>
        </w:rPr>
        <w:t xml:space="preserve"> Mr. Berkebile’s comments reformatted.</w:t>
      </w:r>
      <w:r w:rsidRPr="00CF4992">
        <w:rPr>
          <w:rFonts w:ascii="Times New Roman" w:hAnsi="Times New Roman" w:cs="Times New Roman"/>
          <w:sz w:val="24"/>
          <w:szCs w:val="24"/>
          <w:vertAlign w:val="superscript"/>
        </w:rPr>
        <w:footnoteReference w:id="5"/>
      </w:r>
      <w:r w:rsidRPr="00CF4992">
        <w:rPr>
          <w:rFonts w:ascii="Times New Roman" w:hAnsi="Times New Roman" w:cs="Times New Roman"/>
          <w:sz w:val="24"/>
          <w:szCs w:val="24"/>
        </w:rPr>
        <w:t xml:space="preserve">  While I sympathize with Comverge to a point</w:t>
      </w:r>
      <w:r>
        <w:rPr>
          <w:rFonts w:ascii="Times New Roman" w:hAnsi="Times New Roman" w:cs="Times New Roman"/>
          <w:sz w:val="24"/>
          <w:szCs w:val="24"/>
        </w:rPr>
        <w:t xml:space="preserve"> (</w:t>
      </w:r>
      <w:r w:rsidRPr="00CF4992">
        <w:rPr>
          <w:rFonts w:ascii="Times New Roman" w:hAnsi="Times New Roman" w:cs="Times New Roman"/>
          <w:sz w:val="24"/>
          <w:szCs w:val="24"/>
        </w:rPr>
        <w:t>given the disjunction between the intervention deadline and the procedural schedule in this case</w:t>
      </w:r>
      <w:r>
        <w:rPr>
          <w:rFonts w:ascii="Times New Roman" w:hAnsi="Times New Roman" w:cs="Times New Roman"/>
          <w:sz w:val="24"/>
          <w:szCs w:val="24"/>
        </w:rPr>
        <w:t>)</w:t>
      </w:r>
      <w:r w:rsidRPr="00CF4992">
        <w:rPr>
          <w:rFonts w:ascii="Times New Roman" w:hAnsi="Times New Roman" w:cs="Times New Roman"/>
          <w:sz w:val="24"/>
          <w:szCs w:val="24"/>
        </w:rPr>
        <w:t>, that sympathy is tempered by the fact that Comverge</w:t>
      </w:r>
      <w:r w:rsidR="00593B77">
        <w:rPr>
          <w:rFonts w:ascii="Times New Roman" w:hAnsi="Times New Roman" w:cs="Times New Roman"/>
          <w:sz w:val="24"/>
          <w:szCs w:val="24"/>
        </w:rPr>
        <w:t xml:space="preserve"> waited until January 14, 2013 to submit direct testimony</w:t>
      </w:r>
      <w:r w:rsidRPr="00CF4992">
        <w:rPr>
          <w:rFonts w:ascii="Times New Roman" w:hAnsi="Times New Roman" w:cs="Times New Roman"/>
          <w:sz w:val="24"/>
          <w:szCs w:val="24"/>
        </w:rPr>
        <w:t>.</w:t>
      </w:r>
    </w:p>
    <w:p w:rsidR="000E7B2C" w:rsidRDefault="000E7B2C" w:rsidP="00623635">
      <w:pPr>
        <w:pStyle w:val="NoSpacing"/>
        <w:spacing w:line="360" w:lineRule="auto"/>
        <w:rPr>
          <w:rFonts w:ascii="Times New Roman" w:hAnsi="Times New Roman" w:cs="Times New Roman"/>
          <w:sz w:val="24"/>
          <w:szCs w:val="24"/>
        </w:rPr>
      </w:pPr>
    </w:p>
    <w:p w:rsidR="00C901E4" w:rsidRPr="00C901E4" w:rsidRDefault="000E7B2C" w:rsidP="00623635">
      <w:pPr>
        <w:pStyle w:val="NoSpacing"/>
        <w:spacing w:line="360" w:lineRule="auto"/>
        <w:rPr>
          <w:rFonts w:ascii="Calibri" w:eastAsia="Calibri" w:hAnsi="Calibri"/>
          <w:szCs w:val="21"/>
        </w:rPr>
      </w:pPr>
      <w:r>
        <w:rPr>
          <w:rFonts w:ascii="Times New Roman" w:hAnsi="Times New Roman" w:cs="Times New Roman"/>
          <w:sz w:val="24"/>
          <w:szCs w:val="24"/>
        </w:rPr>
        <w:tab/>
      </w:r>
      <w:r>
        <w:rPr>
          <w:rFonts w:ascii="Times New Roman" w:hAnsi="Times New Roman" w:cs="Times New Roman"/>
          <w:sz w:val="24"/>
          <w:szCs w:val="24"/>
        </w:rPr>
        <w:tab/>
        <w:t xml:space="preserve">The other weakness in </w:t>
      </w:r>
      <w:proofErr w:type="spellStart"/>
      <w:r>
        <w:rPr>
          <w:rFonts w:ascii="Times New Roman" w:hAnsi="Times New Roman" w:cs="Times New Roman"/>
          <w:sz w:val="24"/>
          <w:szCs w:val="24"/>
        </w:rPr>
        <w:t>Comverge’s</w:t>
      </w:r>
      <w:proofErr w:type="spellEnd"/>
      <w:r>
        <w:rPr>
          <w:rFonts w:ascii="Times New Roman" w:hAnsi="Times New Roman" w:cs="Times New Roman"/>
          <w:sz w:val="24"/>
          <w:szCs w:val="24"/>
        </w:rPr>
        <w:t xml:space="preserve"> </w:t>
      </w:r>
      <w:r w:rsidR="00920AC6">
        <w:rPr>
          <w:rFonts w:ascii="Times New Roman" w:hAnsi="Times New Roman" w:cs="Times New Roman"/>
          <w:sz w:val="24"/>
          <w:szCs w:val="24"/>
        </w:rPr>
        <w:t>justification</w:t>
      </w:r>
      <w:r>
        <w:rPr>
          <w:rFonts w:ascii="Times New Roman" w:hAnsi="Times New Roman" w:cs="Times New Roman"/>
          <w:sz w:val="24"/>
          <w:szCs w:val="24"/>
        </w:rPr>
        <w:t xml:space="preserve"> is the assertion that </w:t>
      </w:r>
      <w:r w:rsidRPr="000E7B2C">
        <w:rPr>
          <w:rFonts w:ascii="Times New Roman" w:hAnsi="Times New Roman" w:cs="Times New Roman"/>
          <w:sz w:val="24"/>
          <w:szCs w:val="24"/>
        </w:rPr>
        <w:t xml:space="preserve">admission of its direct testimony </w:t>
      </w:r>
      <w:proofErr w:type="spellStart"/>
      <w:r w:rsidRPr="000E7B2C">
        <w:rPr>
          <w:rFonts w:ascii="Times New Roman" w:hAnsi="Times New Roman" w:cs="Times New Roman"/>
          <w:i/>
          <w:sz w:val="24"/>
          <w:szCs w:val="24"/>
        </w:rPr>
        <w:t>nunc</w:t>
      </w:r>
      <w:proofErr w:type="spellEnd"/>
      <w:r w:rsidRPr="000E7B2C">
        <w:rPr>
          <w:rFonts w:ascii="Times New Roman" w:hAnsi="Times New Roman" w:cs="Times New Roman"/>
          <w:i/>
          <w:sz w:val="24"/>
          <w:szCs w:val="24"/>
        </w:rPr>
        <w:t xml:space="preserve"> pro </w:t>
      </w:r>
      <w:proofErr w:type="spellStart"/>
      <w:r w:rsidRPr="000E7B2C">
        <w:rPr>
          <w:rFonts w:ascii="Times New Roman" w:hAnsi="Times New Roman" w:cs="Times New Roman"/>
          <w:i/>
          <w:sz w:val="24"/>
          <w:szCs w:val="24"/>
        </w:rPr>
        <w:t>tunc</w:t>
      </w:r>
      <w:proofErr w:type="spellEnd"/>
      <w:r w:rsidRPr="000E7B2C">
        <w:rPr>
          <w:rFonts w:ascii="Times New Roman" w:hAnsi="Times New Roman" w:cs="Times New Roman"/>
          <w:sz w:val="24"/>
          <w:szCs w:val="24"/>
        </w:rPr>
        <w:t xml:space="preserve"> will not prejudice other parties in this proceeding</w:t>
      </w:r>
      <w:r w:rsidR="00920AC6">
        <w:rPr>
          <w:rFonts w:ascii="Times New Roman" w:hAnsi="Times New Roman" w:cs="Times New Roman"/>
          <w:sz w:val="24"/>
          <w:szCs w:val="24"/>
        </w:rPr>
        <w:t xml:space="preserve">, an assertion that PPL </w:t>
      </w:r>
      <w:r w:rsidR="00B87E43">
        <w:rPr>
          <w:rFonts w:ascii="Times New Roman" w:hAnsi="Times New Roman" w:cs="Times New Roman"/>
          <w:sz w:val="24"/>
          <w:szCs w:val="24"/>
        </w:rPr>
        <w:t xml:space="preserve">understandably </w:t>
      </w:r>
      <w:r>
        <w:rPr>
          <w:rFonts w:ascii="Times New Roman" w:hAnsi="Times New Roman" w:cs="Times New Roman"/>
          <w:sz w:val="24"/>
          <w:szCs w:val="24"/>
        </w:rPr>
        <w:t>t</w:t>
      </w:r>
      <w:r w:rsidR="003E7497">
        <w:rPr>
          <w:rFonts w:ascii="Times New Roman" w:hAnsi="Times New Roman" w:cs="Times New Roman"/>
          <w:sz w:val="24"/>
          <w:szCs w:val="24"/>
        </w:rPr>
        <w:t>ook</w:t>
      </w:r>
      <w:r>
        <w:rPr>
          <w:rFonts w:ascii="Times New Roman" w:hAnsi="Times New Roman" w:cs="Times New Roman"/>
          <w:sz w:val="24"/>
          <w:szCs w:val="24"/>
        </w:rPr>
        <w:t xml:space="preserve"> vigorous exception to.</w:t>
      </w:r>
    </w:p>
    <w:p w:rsidR="00C901E4" w:rsidRPr="00C901E4" w:rsidRDefault="00C901E4" w:rsidP="00C901E4">
      <w:pPr>
        <w:autoSpaceDE/>
        <w:autoSpaceDN/>
        <w:rPr>
          <w:rFonts w:ascii="Calibri" w:eastAsia="Calibri" w:hAnsi="Calibri"/>
          <w:sz w:val="22"/>
          <w:szCs w:val="21"/>
        </w:rPr>
      </w:pPr>
    </w:p>
    <w:p w:rsidR="00C901E4" w:rsidRDefault="0075417B"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24C89" w:rsidRPr="00524C89">
        <w:rPr>
          <w:rFonts w:ascii="Times New Roman" w:hAnsi="Times New Roman" w:cs="Times New Roman"/>
          <w:sz w:val="24"/>
          <w:szCs w:val="24"/>
        </w:rPr>
        <w:t>PPL argued</w:t>
      </w:r>
      <w:r w:rsidR="00EB6B07">
        <w:rPr>
          <w:rFonts w:ascii="Times New Roman" w:hAnsi="Times New Roman" w:cs="Times New Roman"/>
          <w:sz w:val="24"/>
          <w:szCs w:val="24"/>
        </w:rPr>
        <w:t xml:space="preserve"> persuasively </w:t>
      </w:r>
      <w:r w:rsidR="00524C89" w:rsidRPr="00524C89">
        <w:rPr>
          <w:rFonts w:ascii="Times New Roman" w:hAnsi="Times New Roman" w:cs="Times New Roman"/>
          <w:sz w:val="24"/>
          <w:szCs w:val="24"/>
        </w:rPr>
        <w:t xml:space="preserve">that it would be prejudiced by allowing the introduction of testimony at this point in the proceeding, and I agree.  What Comverge is asking for would require a substantial expansion of PPL’s </w:t>
      </w:r>
      <w:r w:rsidR="00EB6B07">
        <w:rPr>
          <w:rFonts w:ascii="Times New Roman" w:hAnsi="Times New Roman" w:cs="Times New Roman"/>
          <w:sz w:val="24"/>
          <w:szCs w:val="24"/>
        </w:rPr>
        <w:t xml:space="preserve">Phase II </w:t>
      </w:r>
      <w:proofErr w:type="gramStart"/>
      <w:r w:rsidR="00524C89" w:rsidRPr="00524C89">
        <w:rPr>
          <w:rFonts w:ascii="Times New Roman" w:hAnsi="Times New Roman" w:cs="Times New Roman"/>
          <w:sz w:val="24"/>
          <w:szCs w:val="24"/>
        </w:rPr>
        <w:t>Plan,</w:t>
      </w:r>
      <w:proofErr w:type="gramEnd"/>
      <w:r w:rsidR="00524C89" w:rsidRPr="00524C89">
        <w:rPr>
          <w:rFonts w:ascii="Times New Roman" w:hAnsi="Times New Roman" w:cs="Times New Roman"/>
          <w:sz w:val="24"/>
          <w:szCs w:val="24"/>
        </w:rPr>
        <w:t xml:space="preserve"> and PPL has had no time to consider </w:t>
      </w:r>
      <w:proofErr w:type="spellStart"/>
      <w:r w:rsidR="00524C89" w:rsidRPr="00524C89">
        <w:rPr>
          <w:rFonts w:ascii="Times New Roman" w:hAnsi="Times New Roman" w:cs="Times New Roman"/>
          <w:sz w:val="24"/>
          <w:szCs w:val="24"/>
        </w:rPr>
        <w:t>Comverge’s</w:t>
      </w:r>
      <w:proofErr w:type="spellEnd"/>
      <w:r w:rsidR="00524C89" w:rsidRPr="00524C89">
        <w:rPr>
          <w:rFonts w:ascii="Times New Roman" w:hAnsi="Times New Roman" w:cs="Times New Roman"/>
          <w:sz w:val="24"/>
          <w:szCs w:val="24"/>
        </w:rPr>
        <w:t xml:space="preserve"> position, to conduct discovery, to hold discussions or to ascertain how such an expansion would impact Plan funding</w:t>
      </w:r>
      <w:r w:rsidR="00EB6B07">
        <w:rPr>
          <w:rFonts w:ascii="Times New Roman" w:hAnsi="Times New Roman" w:cs="Times New Roman"/>
          <w:sz w:val="24"/>
          <w:szCs w:val="24"/>
        </w:rPr>
        <w:t xml:space="preserve"> plans and recovery</w:t>
      </w:r>
      <w:r w:rsidR="00524C89" w:rsidRPr="00524C89">
        <w:rPr>
          <w:rFonts w:ascii="Times New Roman" w:hAnsi="Times New Roman" w:cs="Times New Roman"/>
          <w:sz w:val="24"/>
          <w:szCs w:val="24"/>
        </w:rPr>
        <w:t xml:space="preserve">.  PPL’s citation to the history of this case is more accurate than that of Comverge.  PPL pointed out the several </w:t>
      </w:r>
      <w:r w:rsidR="00EB6B07">
        <w:rPr>
          <w:rFonts w:ascii="Times New Roman" w:hAnsi="Times New Roman" w:cs="Times New Roman"/>
          <w:sz w:val="24"/>
          <w:szCs w:val="24"/>
        </w:rPr>
        <w:t xml:space="preserve">earlier </w:t>
      </w:r>
      <w:r w:rsidR="00524C89" w:rsidRPr="00524C89">
        <w:rPr>
          <w:rFonts w:ascii="Times New Roman" w:hAnsi="Times New Roman" w:cs="Times New Roman"/>
          <w:sz w:val="24"/>
          <w:szCs w:val="24"/>
        </w:rPr>
        <w:t xml:space="preserve">opportunities that Comverge had to file </w:t>
      </w:r>
      <w:proofErr w:type="spellStart"/>
      <w:r w:rsidR="00524C89" w:rsidRPr="00C400F7">
        <w:rPr>
          <w:rFonts w:ascii="Times New Roman" w:hAnsi="Times New Roman" w:cs="Times New Roman"/>
          <w:i/>
          <w:sz w:val="24"/>
          <w:szCs w:val="24"/>
        </w:rPr>
        <w:t>nunc</w:t>
      </w:r>
      <w:proofErr w:type="spellEnd"/>
      <w:r w:rsidR="00524C89" w:rsidRPr="00C400F7">
        <w:rPr>
          <w:rFonts w:ascii="Times New Roman" w:hAnsi="Times New Roman" w:cs="Times New Roman"/>
          <w:i/>
          <w:sz w:val="24"/>
          <w:szCs w:val="24"/>
        </w:rPr>
        <w:t xml:space="preserve"> pro </w:t>
      </w:r>
      <w:proofErr w:type="spellStart"/>
      <w:r w:rsidR="00524C89" w:rsidRPr="00C400F7">
        <w:rPr>
          <w:rFonts w:ascii="Times New Roman" w:hAnsi="Times New Roman" w:cs="Times New Roman"/>
          <w:i/>
          <w:sz w:val="24"/>
          <w:szCs w:val="24"/>
        </w:rPr>
        <w:t>tunc</w:t>
      </w:r>
      <w:proofErr w:type="spellEnd"/>
      <w:r w:rsidR="00524C89" w:rsidRPr="00524C89">
        <w:rPr>
          <w:rFonts w:ascii="Times New Roman" w:hAnsi="Times New Roman" w:cs="Times New Roman"/>
          <w:sz w:val="24"/>
          <w:szCs w:val="24"/>
        </w:rPr>
        <w:t xml:space="preserve"> which Comverge did not take advantage of.  </w:t>
      </w:r>
      <w:r w:rsidR="00EB6B07">
        <w:rPr>
          <w:rFonts w:ascii="Times New Roman" w:hAnsi="Times New Roman" w:cs="Times New Roman"/>
          <w:sz w:val="24"/>
          <w:szCs w:val="24"/>
        </w:rPr>
        <w:t xml:space="preserve"> For example, </w:t>
      </w:r>
      <w:r w:rsidR="00EB6B07" w:rsidRPr="00EB6B07">
        <w:rPr>
          <w:rFonts w:ascii="Times New Roman" w:hAnsi="Times New Roman" w:cs="Times New Roman"/>
          <w:sz w:val="24"/>
          <w:szCs w:val="24"/>
        </w:rPr>
        <w:t xml:space="preserve">PPL is </w:t>
      </w:r>
      <w:r w:rsidR="00EB6B07">
        <w:rPr>
          <w:rFonts w:ascii="Times New Roman" w:hAnsi="Times New Roman" w:cs="Times New Roman"/>
          <w:sz w:val="24"/>
          <w:szCs w:val="24"/>
        </w:rPr>
        <w:t>c</w:t>
      </w:r>
      <w:r w:rsidR="00EB6B07" w:rsidRPr="00EB6B07">
        <w:rPr>
          <w:rFonts w:ascii="Times New Roman" w:hAnsi="Times New Roman" w:cs="Times New Roman"/>
          <w:sz w:val="24"/>
          <w:szCs w:val="24"/>
        </w:rPr>
        <w:t xml:space="preserve">orrect that despite the ability to do so earlier, Comverge did not file its Petition until after the January 11, 2013 filing of rebuttal testimony by PPL.  </w:t>
      </w:r>
    </w:p>
    <w:p w:rsidR="007E6185" w:rsidRDefault="007E6185" w:rsidP="00F62C5A">
      <w:pPr>
        <w:pStyle w:val="NoSpacing"/>
        <w:spacing w:line="360" w:lineRule="auto"/>
        <w:rPr>
          <w:rFonts w:ascii="Times New Roman" w:hAnsi="Times New Roman" w:cs="Times New Roman"/>
          <w:sz w:val="24"/>
          <w:szCs w:val="24"/>
        </w:rPr>
      </w:pPr>
    </w:p>
    <w:p w:rsidR="00C901E4" w:rsidRDefault="00A859ED"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the final analysis, what must be considered </w:t>
      </w:r>
      <w:r w:rsidR="003E7497">
        <w:rPr>
          <w:rFonts w:ascii="Times New Roman" w:hAnsi="Times New Roman" w:cs="Times New Roman"/>
          <w:sz w:val="24"/>
          <w:szCs w:val="24"/>
        </w:rPr>
        <w:t xml:space="preserve">in deciding this issue </w:t>
      </w:r>
      <w:r>
        <w:rPr>
          <w:rFonts w:ascii="Times New Roman" w:hAnsi="Times New Roman" w:cs="Times New Roman"/>
          <w:sz w:val="24"/>
          <w:szCs w:val="24"/>
        </w:rPr>
        <w:t xml:space="preserve">is the reason for the requested filing </w:t>
      </w:r>
      <w:proofErr w:type="spellStart"/>
      <w:r w:rsidRPr="00A859ED">
        <w:rPr>
          <w:rFonts w:ascii="Times New Roman" w:hAnsi="Times New Roman" w:cs="Times New Roman"/>
          <w:i/>
          <w:sz w:val="24"/>
          <w:szCs w:val="24"/>
        </w:rPr>
        <w:t>nunc</w:t>
      </w:r>
      <w:proofErr w:type="spellEnd"/>
      <w:r w:rsidRPr="00A859ED">
        <w:rPr>
          <w:rFonts w:ascii="Times New Roman" w:hAnsi="Times New Roman" w:cs="Times New Roman"/>
          <w:i/>
          <w:sz w:val="24"/>
          <w:szCs w:val="24"/>
        </w:rPr>
        <w:t xml:space="preserve"> pro </w:t>
      </w:r>
      <w:proofErr w:type="spellStart"/>
      <w:r w:rsidRPr="00A859ED">
        <w:rPr>
          <w:rFonts w:ascii="Times New Roman" w:hAnsi="Times New Roman" w:cs="Times New Roman"/>
          <w:i/>
          <w:sz w:val="24"/>
          <w:szCs w:val="24"/>
        </w:rPr>
        <w:t>tunc</w:t>
      </w:r>
      <w:proofErr w:type="spellEnd"/>
      <w:r>
        <w:rPr>
          <w:rFonts w:ascii="Times New Roman" w:hAnsi="Times New Roman" w:cs="Times New Roman"/>
          <w:sz w:val="24"/>
          <w:szCs w:val="24"/>
        </w:rPr>
        <w:t xml:space="preserve"> against the prejudice to PPL.</w:t>
      </w:r>
      <w:r w:rsidR="007E6185">
        <w:rPr>
          <w:rFonts w:ascii="Times New Roman" w:hAnsi="Times New Roman" w:cs="Times New Roman"/>
          <w:sz w:val="24"/>
          <w:szCs w:val="24"/>
        </w:rPr>
        <w:t xml:space="preserve">  This is more than a legal </w:t>
      </w:r>
      <w:r w:rsidR="007E6185">
        <w:rPr>
          <w:rFonts w:ascii="Times New Roman" w:hAnsi="Times New Roman" w:cs="Times New Roman"/>
          <w:sz w:val="24"/>
          <w:szCs w:val="24"/>
        </w:rPr>
        <w:lastRenderedPageBreak/>
        <w:t>debate.</w:t>
      </w:r>
      <w:r>
        <w:rPr>
          <w:rFonts w:ascii="Times New Roman" w:hAnsi="Times New Roman" w:cs="Times New Roman"/>
          <w:sz w:val="24"/>
          <w:szCs w:val="24"/>
        </w:rPr>
        <w:t xml:space="preserve">  Comverge is belatedly asking to introduce testimony with respect to combined heat and power technology (CHP) and </w:t>
      </w:r>
      <w:r w:rsidR="00EB6B07">
        <w:rPr>
          <w:rFonts w:ascii="Times New Roman" w:hAnsi="Times New Roman" w:cs="Times New Roman"/>
          <w:sz w:val="24"/>
          <w:szCs w:val="24"/>
        </w:rPr>
        <w:t xml:space="preserve">to make </w:t>
      </w:r>
      <w:r>
        <w:rPr>
          <w:rFonts w:ascii="Times New Roman" w:hAnsi="Times New Roman" w:cs="Times New Roman"/>
          <w:sz w:val="24"/>
          <w:szCs w:val="24"/>
        </w:rPr>
        <w:t>a critique of PPL’s Smart On-site Program as compared to PECO’s Phase II Plan.</w:t>
      </w:r>
      <w:r w:rsidR="00B87E4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Comverge wants to “help” PPL in revising PPL’s </w:t>
      </w:r>
      <w:r w:rsidR="003E7497">
        <w:rPr>
          <w:rFonts w:ascii="Times New Roman" w:hAnsi="Times New Roman" w:cs="Times New Roman"/>
          <w:sz w:val="24"/>
          <w:szCs w:val="24"/>
        </w:rPr>
        <w:t xml:space="preserve">Phase II </w:t>
      </w:r>
      <w:r>
        <w:rPr>
          <w:rFonts w:ascii="Times New Roman" w:hAnsi="Times New Roman" w:cs="Times New Roman"/>
          <w:sz w:val="24"/>
          <w:szCs w:val="24"/>
        </w:rPr>
        <w:t xml:space="preserve">Plan to track with PECO’s in the use of CHP.  This would </w:t>
      </w:r>
      <w:r w:rsidR="00EB6B07">
        <w:rPr>
          <w:rFonts w:ascii="Times New Roman" w:hAnsi="Times New Roman" w:cs="Times New Roman"/>
          <w:sz w:val="24"/>
          <w:szCs w:val="24"/>
        </w:rPr>
        <w:t xml:space="preserve">involve </w:t>
      </w:r>
      <w:r>
        <w:rPr>
          <w:rFonts w:ascii="Times New Roman" w:hAnsi="Times New Roman" w:cs="Times New Roman"/>
          <w:sz w:val="24"/>
          <w:szCs w:val="24"/>
        </w:rPr>
        <w:t xml:space="preserve">a significant </w:t>
      </w:r>
      <w:r w:rsidR="00B87E43">
        <w:rPr>
          <w:rFonts w:ascii="Times New Roman" w:hAnsi="Times New Roman" w:cs="Times New Roman"/>
          <w:sz w:val="24"/>
          <w:szCs w:val="24"/>
        </w:rPr>
        <w:t>revision of</w:t>
      </w:r>
      <w:r>
        <w:rPr>
          <w:rFonts w:ascii="Times New Roman" w:hAnsi="Times New Roman" w:cs="Times New Roman"/>
          <w:sz w:val="24"/>
          <w:szCs w:val="24"/>
        </w:rPr>
        <w:t xml:space="preserve"> PPL’s </w:t>
      </w:r>
      <w:r w:rsidR="003E7497">
        <w:rPr>
          <w:rFonts w:ascii="Times New Roman" w:hAnsi="Times New Roman" w:cs="Times New Roman"/>
          <w:sz w:val="24"/>
          <w:szCs w:val="24"/>
        </w:rPr>
        <w:t xml:space="preserve">Phase II </w:t>
      </w:r>
      <w:r>
        <w:rPr>
          <w:rFonts w:ascii="Times New Roman" w:hAnsi="Times New Roman" w:cs="Times New Roman"/>
          <w:sz w:val="24"/>
          <w:szCs w:val="24"/>
        </w:rPr>
        <w:t>Plan</w:t>
      </w:r>
      <w:r w:rsidR="00EB6B07">
        <w:rPr>
          <w:rFonts w:ascii="Times New Roman" w:hAnsi="Times New Roman" w:cs="Times New Roman"/>
          <w:sz w:val="24"/>
          <w:szCs w:val="24"/>
        </w:rPr>
        <w:t xml:space="preserve"> well past “the eleventh hour</w:t>
      </w:r>
      <w:r>
        <w:rPr>
          <w:rFonts w:ascii="Times New Roman" w:hAnsi="Times New Roman" w:cs="Times New Roman"/>
          <w:sz w:val="24"/>
          <w:szCs w:val="24"/>
        </w:rPr>
        <w:t>.</w:t>
      </w:r>
      <w:r w:rsidR="00EB6B07">
        <w:rPr>
          <w:rFonts w:ascii="Times New Roman" w:hAnsi="Times New Roman" w:cs="Times New Roman"/>
          <w:sz w:val="24"/>
          <w:szCs w:val="24"/>
        </w:rPr>
        <w:t>”</w:t>
      </w:r>
      <w:r>
        <w:rPr>
          <w:rFonts w:ascii="Times New Roman" w:hAnsi="Times New Roman" w:cs="Times New Roman"/>
          <w:sz w:val="24"/>
          <w:szCs w:val="24"/>
        </w:rPr>
        <w:t xml:space="preserve">  PPL has had no time to </w:t>
      </w:r>
      <w:r w:rsidR="00EB6B07">
        <w:rPr>
          <w:rFonts w:ascii="Times New Roman" w:hAnsi="Times New Roman" w:cs="Times New Roman"/>
          <w:sz w:val="24"/>
          <w:szCs w:val="24"/>
        </w:rPr>
        <w:t>evaluate</w:t>
      </w:r>
      <w:r>
        <w:rPr>
          <w:rFonts w:ascii="Times New Roman" w:hAnsi="Times New Roman" w:cs="Times New Roman"/>
          <w:sz w:val="24"/>
          <w:szCs w:val="24"/>
        </w:rPr>
        <w:t xml:space="preserve"> this new proposal, and to require PPL to address the proposal without allowing adequate time for discovery and discussion is contrary both to the orderly conduct of this proceeding and </w:t>
      </w:r>
      <w:r w:rsidR="00EB6B07">
        <w:rPr>
          <w:rFonts w:ascii="Times New Roman" w:hAnsi="Times New Roman" w:cs="Times New Roman"/>
          <w:sz w:val="24"/>
          <w:szCs w:val="24"/>
        </w:rPr>
        <w:t xml:space="preserve">to </w:t>
      </w:r>
      <w:r>
        <w:rPr>
          <w:rFonts w:ascii="Times New Roman" w:hAnsi="Times New Roman" w:cs="Times New Roman"/>
          <w:sz w:val="24"/>
          <w:szCs w:val="24"/>
        </w:rPr>
        <w:t xml:space="preserve">PPL’s due process rights.  Comverge has not shown a good reason why a </w:t>
      </w:r>
      <w:proofErr w:type="spellStart"/>
      <w:r w:rsidRPr="00A859ED">
        <w:rPr>
          <w:rFonts w:ascii="Times New Roman" w:hAnsi="Times New Roman" w:cs="Times New Roman"/>
          <w:i/>
          <w:sz w:val="24"/>
          <w:szCs w:val="24"/>
        </w:rPr>
        <w:t>nunc</w:t>
      </w:r>
      <w:proofErr w:type="spellEnd"/>
      <w:r w:rsidRPr="00A859ED">
        <w:rPr>
          <w:rFonts w:ascii="Times New Roman" w:hAnsi="Times New Roman" w:cs="Times New Roman"/>
          <w:i/>
          <w:sz w:val="24"/>
          <w:szCs w:val="24"/>
        </w:rPr>
        <w:t xml:space="preserve"> pro </w:t>
      </w:r>
      <w:proofErr w:type="spellStart"/>
      <w:r w:rsidRPr="00A859ED">
        <w:rPr>
          <w:rFonts w:ascii="Times New Roman" w:hAnsi="Times New Roman" w:cs="Times New Roman"/>
          <w:i/>
          <w:sz w:val="24"/>
          <w:szCs w:val="24"/>
        </w:rPr>
        <w:t>tunc</w:t>
      </w:r>
      <w:proofErr w:type="spellEnd"/>
      <w:r>
        <w:rPr>
          <w:rFonts w:ascii="Times New Roman" w:hAnsi="Times New Roman" w:cs="Times New Roman"/>
          <w:sz w:val="24"/>
          <w:szCs w:val="24"/>
        </w:rPr>
        <w:t xml:space="preserve"> filing of late filed testimony should be allowed.  </w:t>
      </w:r>
      <w:proofErr w:type="gramStart"/>
      <w:r w:rsidR="007E6185" w:rsidRPr="007E6185">
        <w:rPr>
          <w:rFonts w:ascii="Times New Roman" w:hAnsi="Times New Roman" w:cs="Times New Roman"/>
          <w:sz w:val="24"/>
          <w:szCs w:val="24"/>
        </w:rPr>
        <w:t xml:space="preserve">Finally, the admission </w:t>
      </w:r>
      <w:r w:rsidR="003E7497">
        <w:rPr>
          <w:rFonts w:ascii="Times New Roman" w:hAnsi="Times New Roman" w:cs="Times New Roman"/>
          <w:sz w:val="24"/>
          <w:szCs w:val="24"/>
        </w:rPr>
        <w:t xml:space="preserve">at hearing </w:t>
      </w:r>
      <w:r w:rsidR="007E6185" w:rsidRPr="007E6185">
        <w:rPr>
          <w:rFonts w:ascii="Times New Roman" w:hAnsi="Times New Roman" w:cs="Times New Roman"/>
          <w:sz w:val="24"/>
          <w:szCs w:val="24"/>
        </w:rPr>
        <w:t>by Comverge that it did not have Mr. Berkebile present for cross-examination by PPL effectively eliminated any discretion that I could bring to bear on this issue</w:t>
      </w:r>
      <w:r w:rsidR="003E7497">
        <w:rPr>
          <w:rFonts w:ascii="Times New Roman" w:hAnsi="Times New Roman" w:cs="Times New Roman"/>
          <w:sz w:val="24"/>
          <w:szCs w:val="24"/>
        </w:rPr>
        <w:t>.</w:t>
      </w:r>
      <w:proofErr w:type="gramEnd"/>
      <w:r w:rsidR="003E7497">
        <w:rPr>
          <w:rFonts w:ascii="Times New Roman" w:hAnsi="Times New Roman" w:cs="Times New Roman"/>
          <w:sz w:val="24"/>
          <w:szCs w:val="24"/>
        </w:rPr>
        <w:t xml:space="preserve">  The absence of Mr. Berkebile </w:t>
      </w:r>
      <w:r w:rsidR="00EB6B07">
        <w:rPr>
          <w:rFonts w:ascii="Times New Roman" w:hAnsi="Times New Roman" w:cs="Times New Roman"/>
          <w:sz w:val="24"/>
          <w:szCs w:val="24"/>
        </w:rPr>
        <w:t>underscor</w:t>
      </w:r>
      <w:r w:rsidR="003E7497">
        <w:rPr>
          <w:rFonts w:ascii="Times New Roman" w:hAnsi="Times New Roman" w:cs="Times New Roman"/>
          <w:sz w:val="24"/>
          <w:szCs w:val="24"/>
        </w:rPr>
        <w:t xml:space="preserve">ed </w:t>
      </w:r>
      <w:r w:rsidR="00EB6B07">
        <w:rPr>
          <w:rFonts w:ascii="Times New Roman" w:hAnsi="Times New Roman" w:cs="Times New Roman"/>
          <w:sz w:val="24"/>
          <w:szCs w:val="24"/>
        </w:rPr>
        <w:t>the prejudice to PPL inherent in granting the Petition</w:t>
      </w:r>
      <w:r w:rsidR="007E6185" w:rsidRPr="007E6185">
        <w:rPr>
          <w:rFonts w:ascii="Times New Roman" w:hAnsi="Times New Roman" w:cs="Times New Roman"/>
          <w:sz w:val="24"/>
          <w:szCs w:val="24"/>
        </w:rPr>
        <w:t>.</w:t>
      </w:r>
      <w:r w:rsidR="00EB6B07">
        <w:rPr>
          <w:rFonts w:ascii="Times New Roman" w:hAnsi="Times New Roman" w:cs="Times New Roman"/>
          <w:sz w:val="24"/>
          <w:szCs w:val="24"/>
        </w:rPr>
        <w:t xml:space="preserve"> </w:t>
      </w:r>
      <w:r w:rsidR="007E6185" w:rsidRPr="007E6185">
        <w:rPr>
          <w:rFonts w:ascii="Times New Roman" w:hAnsi="Times New Roman" w:cs="Times New Roman"/>
          <w:sz w:val="24"/>
          <w:szCs w:val="24"/>
        </w:rPr>
        <w:t xml:space="preserve"> It would be a flagrant violation of PPL’s right to due process to allow the filing of direct testimony by </w:t>
      </w:r>
      <w:proofErr w:type="spellStart"/>
      <w:r w:rsidR="007E6185" w:rsidRPr="007E6185">
        <w:rPr>
          <w:rFonts w:ascii="Times New Roman" w:hAnsi="Times New Roman" w:cs="Times New Roman"/>
          <w:sz w:val="24"/>
          <w:szCs w:val="24"/>
        </w:rPr>
        <w:t>Comverge</w:t>
      </w:r>
      <w:proofErr w:type="spellEnd"/>
      <w:r w:rsidR="007E6185" w:rsidRPr="007E6185">
        <w:rPr>
          <w:rFonts w:ascii="Times New Roman" w:hAnsi="Times New Roman" w:cs="Times New Roman"/>
          <w:sz w:val="24"/>
          <w:szCs w:val="24"/>
        </w:rPr>
        <w:t xml:space="preserve"> </w:t>
      </w:r>
      <w:proofErr w:type="spellStart"/>
      <w:r w:rsidR="007E6185" w:rsidRPr="007E6185">
        <w:rPr>
          <w:rFonts w:ascii="Times New Roman" w:hAnsi="Times New Roman" w:cs="Times New Roman"/>
          <w:i/>
          <w:sz w:val="24"/>
          <w:szCs w:val="24"/>
        </w:rPr>
        <w:t>nunc</w:t>
      </w:r>
      <w:proofErr w:type="spellEnd"/>
      <w:r w:rsidR="007E6185" w:rsidRPr="007E6185">
        <w:rPr>
          <w:rFonts w:ascii="Times New Roman" w:hAnsi="Times New Roman" w:cs="Times New Roman"/>
          <w:i/>
          <w:sz w:val="24"/>
          <w:szCs w:val="24"/>
        </w:rPr>
        <w:t xml:space="preserve"> pro </w:t>
      </w:r>
      <w:proofErr w:type="spellStart"/>
      <w:r w:rsidR="007E6185" w:rsidRPr="007E6185">
        <w:rPr>
          <w:rFonts w:ascii="Times New Roman" w:hAnsi="Times New Roman" w:cs="Times New Roman"/>
          <w:i/>
          <w:sz w:val="24"/>
          <w:szCs w:val="24"/>
        </w:rPr>
        <w:t>tunc</w:t>
      </w:r>
      <w:proofErr w:type="spellEnd"/>
      <w:r w:rsidR="007E6185" w:rsidRPr="007E6185">
        <w:rPr>
          <w:rFonts w:ascii="Times New Roman" w:hAnsi="Times New Roman" w:cs="Times New Roman"/>
          <w:sz w:val="24"/>
          <w:szCs w:val="24"/>
        </w:rPr>
        <w:t xml:space="preserve"> while not </w:t>
      </w:r>
      <w:r w:rsidR="003E7497">
        <w:rPr>
          <w:rFonts w:ascii="Times New Roman" w:hAnsi="Times New Roman" w:cs="Times New Roman"/>
          <w:sz w:val="24"/>
          <w:szCs w:val="24"/>
        </w:rPr>
        <w:t xml:space="preserve">even </w:t>
      </w:r>
      <w:r w:rsidR="007E6185" w:rsidRPr="007E6185">
        <w:rPr>
          <w:rFonts w:ascii="Times New Roman" w:hAnsi="Times New Roman" w:cs="Times New Roman"/>
          <w:sz w:val="24"/>
          <w:szCs w:val="24"/>
        </w:rPr>
        <w:t xml:space="preserve">affording PPL the opportunity to cross-examine </w:t>
      </w:r>
      <w:proofErr w:type="spellStart"/>
      <w:r w:rsidR="007E6185" w:rsidRPr="007E6185">
        <w:rPr>
          <w:rFonts w:ascii="Times New Roman" w:hAnsi="Times New Roman" w:cs="Times New Roman"/>
          <w:sz w:val="24"/>
          <w:szCs w:val="24"/>
        </w:rPr>
        <w:t>Comverge’s</w:t>
      </w:r>
      <w:proofErr w:type="spellEnd"/>
      <w:r w:rsidR="007E6185" w:rsidRPr="007E6185">
        <w:rPr>
          <w:rFonts w:ascii="Times New Roman" w:hAnsi="Times New Roman" w:cs="Times New Roman"/>
          <w:sz w:val="24"/>
          <w:szCs w:val="24"/>
        </w:rPr>
        <w:t xml:space="preserve"> </w:t>
      </w:r>
      <w:r w:rsidR="00EB6B07">
        <w:rPr>
          <w:rFonts w:ascii="Times New Roman" w:hAnsi="Times New Roman" w:cs="Times New Roman"/>
          <w:sz w:val="24"/>
          <w:szCs w:val="24"/>
        </w:rPr>
        <w:t xml:space="preserve">sponsoring </w:t>
      </w:r>
      <w:r w:rsidR="007E6185" w:rsidRPr="007E6185">
        <w:rPr>
          <w:rFonts w:ascii="Times New Roman" w:hAnsi="Times New Roman" w:cs="Times New Roman"/>
          <w:sz w:val="24"/>
          <w:szCs w:val="24"/>
        </w:rPr>
        <w:t>witness.</w:t>
      </w:r>
    </w:p>
    <w:p w:rsidR="00A859ED" w:rsidRDefault="00A859ED" w:rsidP="00F62C5A">
      <w:pPr>
        <w:pStyle w:val="NoSpacing"/>
        <w:spacing w:line="360" w:lineRule="auto"/>
        <w:rPr>
          <w:rFonts w:ascii="Times New Roman" w:hAnsi="Times New Roman" w:cs="Times New Roman"/>
          <w:sz w:val="24"/>
          <w:szCs w:val="24"/>
        </w:rPr>
      </w:pPr>
    </w:p>
    <w:p w:rsidR="00A859ED" w:rsidRDefault="00A859ED"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THEREFORE</w:t>
      </w:r>
      <w:r w:rsidR="003B658F">
        <w:rPr>
          <w:rFonts w:ascii="Times New Roman" w:hAnsi="Times New Roman" w:cs="Times New Roman"/>
          <w:sz w:val="24"/>
          <w:szCs w:val="24"/>
        </w:rPr>
        <w:t>,</w:t>
      </w:r>
    </w:p>
    <w:p w:rsidR="003B658F" w:rsidRDefault="003B658F" w:rsidP="00F62C5A">
      <w:pPr>
        <w:pStyle w:val="NoSpacing"/>
        <w:spacing w:line="360" w:lineRule="auto"/>
        <w:rPr>
          <w:rFonts w:ascii="Times New Roman" w:hAnsi="Times New Roman" w:cs="Times New Roman"/>
          <w:sz w:val="24"/>
          <w:szCs w:val="24"/>
        </w:rPr>
      </w:pPr>
    </w:p>
    <w:p w:rsidR="003B658F" w:rsidRDefault="003B658F"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ORDERED:</w:t>
      </w:r>
    </w:p>
    <w:p w:rsidR="003B658F" w:rsidRDefault="003B658F" w:rsidP="00F62C5A">
      <w:pPr>
        <w:pStyle w:val="NoSpacing"/>
        <w:spacing w:line="360" w:lineRule="auto"/>
        <w:rPr>
          <w:rFonts w:ascii="Times New Roman" w:hAnsi="Times New Roman" w:cs="Times New Roman"/>
          <w:sz w:val="24"/>
          <w:szCs w:val="24"/>
        </w:rPr>
      </w:pPr>
    </w:p>
    <w:p w:rsidR="003B658F" w:rsidRDefault="003B658F" w:rsidP="00F62C5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That the Petition </w:t>
      </w:r>
      <w:r w:rsidRPr="003B658F">
        <w:rPr>
          <w:rFonts w:ascii="Times New Roman" w:hAnsi="Times New Roman" w:cs="Times New Roman"/>
          <w:sz w:val="24"/>
          <w:szCs w:val="24"/>
        </w:rPr>
        <w:t xml:space="preserve">of Comverge, Inc. for Admission </w:t>
      </w:r>
      <w:proofErr w:type="spellStart"/>
      <w:r w:rsidRPr="003B658F">
        <w:rPr>
          <w:rFonts w:ascii="Times New Roman" w:hAnsi="Times New Roman" w:cs="Times New Roman"/>
          <w:i/>
          <w:sz w:val="24"/>
          <w:szCs w:val="24"/>
        </w:rPr>
        <w:t>Nunc</w:t>
      </w:r>
      <w:proofErr w:type="spellEnd"/>
      <w:r w:rsidRPr="003B658F">
        <w:rPr>
          <w:rFonts w:ascii="Times New Roman" w:hAnsi="Times New Roman" w:cs="Times New Roman"/>
          <w:i/>
          <w:sz w:val="24"/>
          <w:szCs w:val="24"/>
        </w:rPr>
        <w:t xml:space="preserve"> Pro </w:t>
      </w:r>
      <w:proofErr w:type="spellStart"/>
      <w:r w:rsidRPr="003B658F">
        <w:rPr>
          <w:rFonts w:ascii="Times New Roman" w:hAnsi="Times New Roman" w:cs="Times New Roman"/>
          <w:i/>
          <w:sz w:val="24"/>
          <w:szCs w:val="24"/>
        </w:rPr>
        <w:t>Tunc</w:t>
      </w:r>
      <w:proofErr w:type="spellEnd"/>
      <w:r w:rsidRPr="003B658F">
        <w:rPr>
          <w:rFonts w:ascii="Times New Roman" w:hAnsi="Times New Roman" w:cs="Times New Roman"/>
          <w:sz w:val="24"/>
          <w:szCs w:val="24"/>
        </w:rPr>
        <w:t xml:space="preserve"> of the Direct Testimony of Raymond G. Berkebile</w:t>
      </w:r>
      <w:r>
        <w:rPr>
          <w:rFonts w:ascii="Times New Roman" w:hAnsi="Times New Roman" w:cs="Times New Roman"/>
          <w:sz w:val="24"/>
          <w:szCs w:val="24"/>
        </w:rPr>
        <w:t xml:space="preserve"> is denied.</w:t>
      </w:r>
    </w:p>
    <w:p w:rsidR="001B6251" w:rsidRDefault="001B6251" w:rsidP="00F62C5A">
      <w:pPr>
        <w:pStyle w:val="NoSpacing"/>
        <w:spacing w:line="360" w:lineRule="auto"/>
        <w:rPr>
          <w:rFonts w:ascii="Times New Roman" w:hAnsi="Times New Roman" w:cs="Times New Roman"/>
          <w:sz w:val="24"/>
          <w:szCs w:val="24"/>
        </w:rPr>
      </w:pPr>
    </w:p>
    <w:p w:rsidR="003B658F" w:rsidRDefault="003B658F" w:rsidP="00F62C5A">
      <w:pPr>
        <w:pStyle w:val="NoSpacing"/>
        <w:spacing w:line="360" w:lineRule="auto"/>
        <w:rPr>
          <w:rFonts w:ascii="Times New Roman" w:hAnsi="Times New Roman" w:cs="Times New Roman"/>
          <w:sz w:val="24"/>
          <w:szCs w:val="24"/>
        </w:rPr>
      </w:pPr>
    </w:p>
    <w:p w:rsidR="003B658F" w:rsidRDefault="003B658F" w:rsidP="00524C89">
      <w:pPr>
        <w:pStyle w:val="NoSpacing"/>
        <w:rPr>
          <w:rFonts w:ascii="Times New Roman" w:hAnsi="Times New Roman" w:cs="Times New Roman"/>
          <w:sz w:val="24"/>
          <w:szCs w:val="24"/>
        </w:rPr>
      </w:pPr>
      <w:r w:rsidRPr="00E46CE8">
        <w:rPr>
          <w:rFonts w:ascii="Times New Roman" w:hAnsi="Times New Roman" w:cs="Times New Roman"/>
          <w:sz w:val="24"/>
          <w:szCs w:val="24"/>
          <w:u w:val="single"/>
        </w:rPr>
        <w:t>January 16,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C901E4" w:rsidRDefault="003B658F" w:rsidP="00524C89">
      <w:pPr>
        <w:pStyle w:val="NoSpacing"/>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Dennis J. Buckley</w:t>
      </w:r>
    </w:p>
    <w:p w:rsidR="00A02027" w:rsidRDefault="003B658F" w:rsidP="00524C89">
      <w:pPr>
        <w:pStyle w:val="NoSpacing"/>
        <w:rPr>
          <w:rFonts w:ascii="Times New Roman" w:hAnsi="Times New Roman" w:cs="Times New Roman"/>
          <w:sz w:val="24"/>
          <w:szCs w:val="24"/>
        </w:rPr>
        <w:sectPr w:rsidR="00A02027" w:rsidSect="00C803A3">
          <w:footerReference w:type="default" r:id="rId8"/>
          <w:pgSz w:w="12240" w:h="15840"/>
          <w:pgMar w:top="1440" w:right="1440" w:bottom="1440" w:left="1440" w:header="720" w:footer="720" w:gutter="0"/>
          <w:cols w:space="720"/>
          <w:titlePg/>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 Law Judge</w:t>
      </w:r>
    </w:p>
    <w:p w:rsidR="00A02027" w:rsidRDefault="00A02027" w:rsidP="00A02027">
      <w:pPr>
        <w:rPr>
          <w:rFonts w:ascii="Microsoft Sans Serif" w:hAnsi="Microsoft Sans Serif" w:cs="Microsoft Sans Serif"/>
          <w:szCs w:val="24"/>
        </w:rPr>
      </w:pPr>
      <w:r>
        <w:rPr>
          <w:rFonts w:ascii="Microsoft Sans Serif" w:hAnsi="Microsoft Sans Serif" w:cs="Microsoft Sans Serif"/>
          <w:b/>
          <w:szCs w:val="24"/>
          <w:u w:val="single"/>
        </w:rPr>
        <w:lastRenderedPageBreak/>
        <w:t xml:space="preserve">M-2012-2334388 – PETITION OF PPL ELECTRIC UTILITIES CORPORATION </w:t>
      </w:r>
      <w:r w:rsidRPr="007410E6">
        <w:rPr>
          <w:rFonts w:ascii="Microsoft Sans Serif" w:hAnsi="Microsoft Sans Serif" w:cs="Microsoft Sans Serif"/>
          <w:b/>
          <w:szCs w:val="24"/>
          <w:u w:val="single"/>
        </w:rPr>
        <w:t xml:space="preserve">FOR APPROVAL OF ITS </w:t>
      </w:r>
      <w:proofErr w:type="gramStart"/>
      <w:r w:rsidRPr="007410E6">
        <w:rPr>
          <w:rFonts w:ascii="Microsoft Sans Serif" w:hAnsi="Microsoft Sans Serif" w:cs="Microsoft Sans Serif"/>
          <w:b/>
          <w:szCs w:val="24"/>
          <w:u w:val="single"/>
        </w:rPr>
        <w:t>ACT 129 PHASE II ENERGY EFFICIENCY</w:t>
      </w:r>
      <w:proofErr w:type="gramEnd"/>
      <w:r w:rsidRPr="007410E6">
        <w:rPr>
          <w:rFonts w:ascii="Microsoft Sans Serif" w:hAnsi="Microsoft Sans Serif" w:cs="Microsoft Sans Serif"/>
          <w:b/>
          <w:szCs w:val="24"/>
          <w:u w:val="single"/>
        </w:rPr>
        <w:t xml:space="preserve"> AND CONSERVATION PLAN.</w:t>
      </w:r>
    </w:p>
    <w:p w:rsidR="00A02027" w:rsidRDefault="00A02027" w:rsidP="00A02027">
      <w:pPr>
        <w:rPr>
          <w:rFonts w:ascii="Microsoft Sans Serif" w:hAnsi="Microsoft Sans Serif" w:cs="Microsoft Sans Serif"/>
          <w:szCs w:val="24"/>
        </w:rPr>
      </w:pPr>
    </w:p>
    <w:p w:rsidR="00A02027" w:rsidRPr="00033453" w:rsidRDefault="00A02027" w:rsidP="00A02027">
      <w:pPr>
        <w:rPr>
          <w:rFonts w:ascii="Microsoft Sans Serif" w:hAnsi="Microsoft Sans Serif" w:cs="Microsoft Sans Serif"/>
          <w:b/>
          <w:i/>
          <w:szCs w:val="24"/>
          <w:u w:val="single"/>
        </w:rPr>
      </w:pPr>
      <w:r>
        <w:rPr>
          <w:rFonts w:ascii="Microsoft Sans Serif" w:hAnsi="Microsoft Sans Serif" w:cs="Microsoft Sans Serif"/>
          <w:b/>
          <w:i/>
          <w:szCs w:val="24"/>
          <w:u w:val="single"/>
        </w:rPr>
        <w:t>REVISED 12/28/12</w:t>
      </w:r>
    </w:p>
    <w:p w:rsidR="00A02027" w:rsidRDefault="00A02027" w:rsidP="00A02027">
      <w:pPr>
        <w:rPr>
          <w:rFonts w:ascii="Microsoft Sans Serif" w:hAnsi="Microsoft Sans Serif" w:cs="Microsoft Sans Serif"/>
          <w:szCs w:val="24"/>
        </w:rPr>
      </w:pPr>
    </w:p>
    <w:p w:rsidR="00A02027" w:rsidRDefault="00A02027" w:rsidP="00A02027">
      <w:pPr>
        <w:rPr>
          <w:rFonts w:ascii="Microsoft Sans Serif" w:hAnsi="Microsoft Sans Serif" w:cs="Microsoft Sans Serif"/>
          <w:szCs w:val="24"/>
        </w:rPr>
      </w:pPr>
    </w:p>
    <w:p w:rsidR="00A02027" w:rsidRDefault="00A02027" w:rsidP="00A02027">
      <w:pPr>
        <w:rPr>
          <w:rFonts w:ascii="Microsoft Sans Serif" w:hAnsi="Microsoft Sans Serif" w:cs="Microsoft Sans Serif"/>
          <w:szCs w:val="24"/>
        </w:rPr>
        <w:sectPr w:rsidR="00A02027" w:rsidSect="00890339">
          <w:footerReference w:type="default" r:id="rId9"/>
          <w:pgSz w:w="12240" w:h="15840"/>
          <w:pgMar w:top="1440" w:right="1440" w:bottom="1440" w:left="1440" w:header="720" w:footer="720" w:gutter="0"/>
          <w:cols w:space="720"/>
          <w:docGrid w:linePitch="360"/>
        </w:sectPr>
      </w:pP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lastRenderedPageBreak/>
        <w:t>PAUL E RUSSELL ESQUIRE</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PPL SERVICES CORPORATION</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TWO NORTH NINTH STREET GENTW3</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ALLENTOWN PA  18106</w:t>
      </w:r>
    </w:p>
    <w:p w:rsidR="00A02027" w:rsidRPr="00890370" w:rsidRDefault="00A02027" w:rsidP="00A02027">
      <w:pPr>
        <w:rPr>
          <w:rFonts w:ascii="Microsoft Sans Serif" w:hAnsi="Microsoft Sans Serif" w:cs="Microsoft Sans Serif"/>
          <w:b/>
          <w:szCs w:val="24"/>
        </w:rPr>
      </w:pPr>
      <w:r w:rsidRPr="00890370">
        <w:rPr>
          <w:rFonts w:ascii="Microsoft Sans Serif" w:eastAsiaTheme="minorEastAsia" w:hAnsiTheme="minorHAnsi" w:cstheme="minorBidi"/>
          <w:b/>
          <w:szCs w:val="22"/>
        </w:rPr>
        <w:t>610-774-4254</w:t>
      </w:r>
    </w:p>
    <w:p w:rsidR="00A02027" w:rsidRPr="00AD6897" w:rsidRDefault="00A02027" w:rsidP="00A02027">
      <w:pPr>
        <w:rPr>
          <w:rFonts w:ascii="Microsoft Sans Serif" w:hAnsi="Microsoft Sans Serif" w:cs="Microsoft Sans Serif"/>
          <w:b/>
          <w:i/>
          <w:szCs w:val="24"/>
          <w:u w:val="single"/>
        </w:rPr>
      </w:pPr>
      <w:proofErr w:type="spellStart"/>
      <w:proofErr w:type="gramStart"/>
      <w:r w:rsidRPr="00AD6897">
        <w:rPr>
          <w:rFonts w:ascii="Microsoft Sans Serif" w:hAnsi="Microsoft Sans Serif" w:cs="Microsoft Sans Serif"/>
          <w:b/>
          <w:i/>
          <w:szCs w:val="24"/>
          <w:u w:val="single"/>
        </w:rPr>
        <w:t>eServe</w:t>
      </w:r>
      <w:proofErr w:type="spellEnd"/>
      <w:proofErr w:type="gramEnd"/>
    </w:p>
    <w:p w:rsidR="00A02027" w:rsidRDefault="00A02027" w:rsidP="00A02027">
      <w:pPr>
        <w:rPr>
          <w:rFonts w:ascii="Microsoft Sans Serif" w:hAnsi="Microsoft Sans Serif" w:cs="Microsoft Sans Serif"/>
          <w:szCs w:val="24"/>
        </w:rPr>
      </w:pP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DAVID B MACGREGOR ESQUIRE</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POST &amp; SCHELL PC</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FOUR PENN CENTER</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1600 JFK BOULEVARD</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PHILADELPHIA PA  19103-2808</w:t>
      </w:r>
    </w:p>
    <w:p w:rsidR="00A02027" w:rsidRDefault="00A02027" w:rsidP="00A02027">
      <w:pPr>
        <w:rPr>
          <w:rFonts w:ascii="Microsoft Sans Serif" w:hAnsi="Microsoft Sans Serif" w:cs="Microsoft Sans Serif"/>
          <w:szCs w:val="24"/>
        </w:rPr>
      </w:pPr>
      <w:r w:rsidRPr="00890370">
        <w:rPr>
          <w:rFonts w:ascii="Microsoft Sans Serif" w:eastAsiaTheme="minorEastAsia" w:hAnsiTheme="minorHAnsi" w:cstheme="minorBidi"/>
          <w:b/>
          <w:szCs w:val="22"/>
        </w:rPr>
        <w:t>717-731-1970</w:t>
      </w:r>
      <w:r w:rsidRPr="00890370">
        <w:rPr>
          <w:rFonts w:ascii="Microsoft Sans Serif" w:eastAsiaTheme="minorEastAsia" w:hAnsiTheme="minorHAnsi" w:cstheme="minorBidi"/>
          <w:b/>
          <w:szCs w:val="22"/>
        </w:rPr>
        <w:cr/>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ANDREW S TUBBS ESQUIRE</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POST &amp; SCHELL PC</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 xml:space="preserve">17 NORTH SECOND </w:t>
      </w:r>
      <w:proofErr w:type="gramStart"/>
      <w:r>
        <w:rPr>
          <w:rFonts w:ascii="Microsoft Sans Serif" w:hAnsi="Microsoft Sans Serif" w:cs="Microsoft Sans Serif"/>
          <w:szCs w:val="24"/>
        </w:rPr>
        <w:t>STREET</w:t>
      </w:r>
      <w:proofErr w:type="gramEnd"/>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12</w:t>
      </w:r>
      <w:r w:rsidRPr="00883108">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rsidR="00A02027" w:rsidRDefault="00A02027" w:rsidP="00A02027">
      <w:pPr>
        <w:rPr>
          <w:rFonts w:ascii="Microsoft Sans Serif" w:hAnsi="Microsoft Sans Serif" w:cs="Microsoft Sans Serif"/>
          <w:szCs w:val="24"/>
        </w:rPr>
      </w:pPr>
      <w:r>
        <w:rPr>
          <w:rFonts w:ascii="Microsoft Sans Serif" w:hAnsi="Microsoft Sans Serif" w:cs="Microsoft Sans Serif"/>
          <w:szCs w:val="24"/>
        </w:rPr>
        <w:t>HARRISBURG PA  17101-1601</w:t>
      </w:r>
    </w:p>
    <w:p w:rsidR="00A02027" w:rsidRPr="00AD6897" w:rsidRDefault="00A02027" w:rsidP="00A02027">
      <w:pPr>
        <w:rPr>
          <w:rFonts w:ascii="Microsoft Sans Serif" w:hAnsi="Microsoft Sans Serif" w:cs="Microsoft Sans Serif"/>
          <w:b/>
          <w:i/>
          <w:szCs w:val="24"/>
          <w:u w:val="single"/>
        </w:rPr>
      </w:pPr>
      <w:r w:rsidRPr="00890370">
        <w:rPr>
          <w:rFonts w:ascii="Microsoft Sans Serif" w:eastAsiaTheme="minorEastAsia" w:hAnsiTheme="minorHAnsi" w:cstheme="minorBidi"/>
          <w:b/>
          <w:szCs w:val="22"/>
        </w:rPr>
        <w:t>717-612-6057</w:t>
      </w:r>
      <w:r w:rsidRPr="00890370">
        <w:rPr>
          <w:rFonts w:ascii="Microsoft Sans Serif" w:eastAsiaTheme="minorEastAsia" w:hAnsiTheme="minorHAnsi" w:cstheme="minorBidi"/>
          <w:b/>
          <w:szCs w:val="22"/>
        </w:rPr>
        <w:cr/>
      </w:r>
      <w:proofErr w:type="spellStart"/>
      <w:proofErr w:type="gramStart"/>
      <w:r w:rsidRPr="00AD6897">
        <w:rPr>
          <w:rFonts w:ascii="Microsoft Sans Serif" w:hAnsi="Microsoft Sans Serif" w:cs="Microsoft Sans Serif"/>
          <w:b/>
          <w:i/>
          <w:szCs w:val="24"/>
          <w:u w:val="single"/>
        </w:rPr>
        <w:t>eServe</w:t>
      </w:r>
      <w:proofErr w:type="spellEnd"/>
      <w:proofErr w:type="gramEnd"/>
    </w:p>
    <w:p w:rsidR="00A02027" w:rsidRDefault="00A02027" w:rsidP="00A02027">
      <w:pPr>
        <w:rPr>
          <w:rFonts w:ascii="Microsoft Sans Serif" w:hAnsi="Microsoft Sans Serif" w:cs="Microsoft Sans Serif"/>
          <w:szCs w:val="24"/>
        </w:rPr>
      </w:pPr>
    </w:p>
    <w:p w:rsidR="00A02027" w:rsidRDefault="00A02027" w:rsidP="00A02027">
      <w:pPr>
        <w:rPr>
          <w:rFonts w:ascii="Microsoft Sans Serif" w:hAnsi="Microsoft Sans Serif" w:cs="Microsoft Sans Serif"/>
          <w:b/>
          <w:i/>
          <w:szCs w:val="24"/>
          <w:u w:val="single"/>
        </w:rPr>
      </w:pPr>
      <w:r w:rsidRPr="00890370">
        <w:rPr>
          <w:rFonts w:ascii="Microsoft Sans Serif" w:eastAsiaTheme="minorEastAsia" w:hAnsiTheme="minorHAnsi" w:cstheme="minorBidi"/>
          <w:szCs w:val="22"/>
        </w:rPr>
        <w:t>DIANNE E DUSMAN ESQUIRE</w:t>
      </w:r>
      <w:r w:rsidRPr="00890370">
        <w:rPr>
          <w:rFonts w:ascii="Microsoft Sans Serif" w:eastAsiaTheme="minorEastAsia" w:hAnsiTheme="minorHAnsi" w:cstheme="minorBidi"/>
          <w:szCs w:val="22"/>
        </w:rPr>
        <w:cr/>
        <w:t>OFFICE OF CONSUMER ADVOCATE</w:t>
      </w:r>
      <w:r w:rsidRPr="00890370">
        <w:rPr>
          <w:rFonts w:ascii="Microsoft Sans Serif" w:eastAsiaTheme="minorEastAsia" w:hAnsiTheme="minorHAnsi" w:cstheme="minorBidi"/>
          <w:szCs w:val="22"/>
        </w:rPr>
        <w:cr/>
        <w:t>5</w:t>
      </w:r>
      <w:r w:rsidRPr="00890370">
        <w:rPr>
          <w:rFonts w:ascii="Microsoft Sans Serif" w:eastAsiaTheme="minorEastAsia" w:hAnsiTheme="minorHAnsi" w:cstheme="minorBidi"/>
          <w:szCs w:val="22"/>
          <w:vertAlign w:val="superscript"/>
        </w:rPr>
        <w:t>TH</w:t>
      </w:r>
      <w:r w:rsidRPr="00890370">
        <w:rPr>
          <w:rFonts w:ascii="Microsoft Sans Serif" w:eastAsiaTheme="minorEastAsia" w:hAnsiTheme="minorHAnsi" w:cstheme="minorBidi"/>
          <w:szCs w:val="22"/>
        </w:rPr>
        <w:t xml:space="preserve"> FLOOR FORUM PLACE</w:t>
      </w:r>
      <w:r w:rsidRPr="00890370">
        <w:rPr>
          <w:rFonts w:ascii="Microsoft Sans Serif" w:eastAsiaTheme="minorEastAsia" w:hAnsiTheme="minorHAnsi" w:cstheme="minorBidi"/>
          <w:szCs w:val="22"/>
        </w:rPr>
        <w:cr/>
        <w:t>555 WALNUT STREET</w:t>
      </w:r>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717-783-5048</w:t>
      </w:r>
      <w:r w:rsidRPr="00890370">
        <w:rPr>
          <w:rFonts w:ascii="Microsoft Sans Serif" w:eastAsiaTheme="minorEastAsia" w:hAnsiTheme="minorHAnsi" w:cstheme="minorBidi"/>
          <w:b/>
          <w:szCs w:val="22"/>
        </w:rPr>
        <w:cr/>
      </w:r>
      <w:proofErr w:type="spellStart"/>
      <w:proofErr w:type="gramStart"/>
      <w:r>
        <w:rPr>
          <w:rFonts w:ascii="Microsoft Sans Serif" w:hAnsi="Microsoft Sans Serif" w:cs="Microsoft Sans Serif"/>
          <w:b/>
          <w:i/>
          <w:szCs w:val="24"/>
          <w:u w:val="single"/>
        </w:rPr>
        <w:t>eServe</w:t>
      </w:r>
      <w:proofErr w:type="spellEnd"/>
      <w:proofErr w:type="gramEnd"/>
    </w:p>
    <w:p w:rsidR="00A02027" w:rsidRDefault="00A02027" w:rsidP="00A02027">
      <w:pPr>
        <w:rPr>
          <w:rFonts w:ascii="Microsoft Sans Serif" w:hAnsi="Microsoft Sans Serif" w:cs="Microsoft Sans Serif"/>
          <w:b/>
          <w:i/>
          <w:szCs w:val="24"/>
          <w:u w:val="single"/>
        </w:rPr>
      </w:pPr>
    </w:p>
    <w:p w:rsidR="00A02027" w:rsidRPr="00890370" w:rsidRDefault="00A02027" w:rsidP="00A02027">
      <w:pPr>
        <w:rPr>
          <w:rFonts w:ascii="Microsoft Sans Serif" w:eastAsiaTheme="minorEastAsia" w:hAnsiTheme="minorHAnsi" w:cstheme="minorBidi"/>
          <w:szCs w:val="22"/>
        </w:rPr>
      </w:pPr>
      <w:r w:rsidRPr="00890370">
        <w:rPr>
          <w:rFonts w:ascii="Microsoft Sans Serif" w:eastAsiaTheme="minorEastAsia" w:hAnsiTheme="minorHAnsi" w:cstheme="minorBidi"/>
          <w:szCs w:val="22"/>
        </w:rPr>
        <w:t>ELIZABETH ROSE TRISCARI ESQUIRE</w:t>
      </w:r>
    </w:p>
    <w:p w:rsidR="00A02027" w:rsidRDefault="00A02027" w:rsidP="00A02027">
      <w:pPr>
        <w:rPr>
          <w:rFonts w:ascii="Microsoft Sans Serif" w:eastAsiaTheme="minorEastAsia" w:hAnsiTheme="minorHAnsi" w:cstheme="minorBidi"/>
          <w:szCs w:val="22"/>
        </w:rPr>
      </w:pPr>
      <w:r w:rsidRPr="00890370">
        <w:rPr>
          <w:rFonts w:ascii="Microsoft Sans Serif" w:eastAsiaTheme="minorEastAsia" w:hAnsiTheme="minorHAnsi" w:cstheme="minorBidi"/>
          <w:szCs w:val="22"/>
        </w:rPr>
        <w:t>OFFICE OF SMALL BUSINESS ADVOCATE</w:t>
      </w:r>
      <w:r w:rsidRPr="00890370">
        <w:rPr>
          <w:rFonts w:ascii="Microsoft Sans Serif" w:eastAsiaTheme="minorEastAsia" w:hAnsiTheme="minorHAnsi" w:cstheme="minorBidi"/>
          <w:szCs w:val="22"/>
        </w:rPr>
        <w:cr/>
        <w:t>SUITE 1102</w:t>
      </w:r>
      <w:r w:rsidRPr="00890370">
        <w:rPr>
          <w:rFonts w:ascii="Microsoft Sans Serif" w:eastAsiaTheme="minorEastAsia" w:hAnsiTheme="minorHAnsi" w:cstheme="minorBidi"/>
          <w:szCs w:val="22"/>
        </w:rPr>
        <w:cr/>
        <w:t xml:space="preserve">300 NORTH SECOND </w:t>
      </w:r>
      <w:proofErr w:type="gramStart"/>
      <w:r w:rsidRPr="00890370">
        <w:rPr>
          <w:rFonts w:ascii="Microsoft Sans Serif" w:eastAsiaTheme="minorEastAsia" w:hAnsiTheme="minorHAnsi" w:cstheme="minorBidi"/>
          <w:szCs w:val="22"/>
        </w:rPr>
        <w:t>STREET</w:t>
      </w:r>
      <w:proofErr w:type="gramEnd"/>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717-783-2525</w:t>
      </w:r>
      <w:r w:rsidRPr="00890370">
        <w:rPr>
          <w:rFonts w:ascii="Microsoft Sans Serif" w:eastAsiaTheme="minorEastAsia" w:hAnsiTheme="minorHAnsi" w:cstheme="minorBidi"/>
          <w:b/>
          <w:szCs w:val="22"/>
        </w:rPr>
        <w:cr/>
      </w:r>
      <w:r>
        <w:rPr>
          <w:rFonts w:ascii="Microsoft Sans Serif" w:eastAsiaTheme="minorEastAsia" w:hAnsiTheme="minorHAnsi" w:cstheme="minorBidi"/>
          <w:szCs w:val="22"/>
        </w:rPr>
        <w:cr/>
        <w:t>JULIA A CONOVER ESQUIRE</w:t>
      </w:r>
    </w:p>
    <w:p w:rsidR="00A02027" w:rsidRDefault="00A02027" w:rsidP="00A02027">
      <w:pPr>
        <w:rPr>
          <w:rFonts w:ascii="Microsoft Sans Serif" w:eastAsiaTheme="minorEastAsia" w:hAnsiTheme="minorHAnsi" w:cstheme="minorBidi"/>
          <w:b/>
          <w:szCs w:val="22"/>
        </w:rPr>
      </w:pPr>
      <w:r w:rsidRPr="00890370">
        <w:rPr>
          <w:rFonts w:ascii="Microsoft Sans Serif" w:eastAsiaTheme="minorEastAsia" w:hAnsiTheme="minorHAnsi" w:cstheme="minorBidi"/>
          <w:szCs w:val="22"/>
        </w:rPr>
        <w:t>HAWKE MCKEON &amp; SNISCAK</w:t>
      </w:r>
      <w:r w:rsidRPr="00890370">
        <w:rPr>
          <w:rFonts w:ascii="Microsoft Sans Serif" w:eastAsiaTheme="minorEastAsia" w:hAnsiTheme="minorHAnsi" w:cstheme="minorBidi"/>
          <w:szCs w:val="22"/>
        </w:rPr>
        <w:cr/>
        <w:t>100 NORTH TENTH STREET</w:t>
      </w:r>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717-236-1300 EXT 223</w:t>
      </w:r>
      <w:r>
        <w:rPr>
          <w:rFonts w:ascii="Microsoft Sans Serif" w:eastAsiaTheme="minorEastAsia" w:hAnsiTheme="minorHAnsi" w:cstheme="minorBidi"/>
          <w:szCs w:val="22"/>
        </w:rPr>
        <w:cr/>
      </w:r>
    </w:p>
    <w:p w:rsidR="00A02027" w:rsidRDefault="00A02027" w:rsidP="00A02027">
      <w:pPr>
        <w:rPr>
          <w:rFonts w:ascii="Microsoft Sans Serif" w:eastAsiaTheme="minorEastAsia" w:hAnsiTheme="minorHAnsi" w:cstheme="minorBidi"/>
          <w:b/>
          <w:szCs w:val="22"/>
        </w:rPr>
      </w:pPr>
    </w:p>
    <w:p w:rsidR="00A02027" w:rsidRDefault="00A02027" w:rsidP="00A02027">
      <w:pPr>
        <w:rPr>
          <w:rFonts w:ascii="Microsoft Sans Serif" w:hAnsi="Microsoft Sans Serif" w:cs="Microsoft Sans Serif"/>
          <w:b/>
          <w:i/>
          <w:szCs w:val="24"/>
          <w:u w:val="single"/>
        </w:rPr>
      </w:pPr>
      <w:r w:rsidRPr="00890370">
        <w:rPr>
          <w:rFonts w:ascii="Microsoft Sans Serif" w:eastAsiaTheme="minorEastAsia" w:hAnsiTheme="minorHAnsi" w:cstheme="minorBidi"/>
          <w:szCs w:val="22"/>
        </w:rPr>
        <w:lastRenderedPageBreak/>
        <w:t>HEATHER M LANGELAND ESQUIRE</w:t>
      </w:r>
      <w:r w:rsidRPr="00890370">
        <w:rPr>
          <w:rFonts w:ascii="Microsoft Sans Serif" w:eastAsiaTheme="minorEastAsia" w:hAnsiTheme="minorHAnsi" w:cstheme="minorBidi"/>
          <w:szCs w:val="22"/>
        </w:rPr>
        <w:cr/>
        <w:t>PENNFUTURE</w:t>
      </w:r>
      <w:r w:rsidRPr="00890370">
        <w:rPr>
          <w:rFonts w:ascii="Microsoft Sans Serif" w:eastAsiaTheme="minorEastAsia" w:hAnsiTheme="minorHAnsi" w:cstheme="minorBidi"/>
          <w:szCs w:val="22"/>
        </w:rPr>
        <w:cr/>
        <w:t>200 FIRST STREET SUITE 200</w:t>
      </w:r>
      <w:r w:rsidRPr="00890370">
        <w:rPr>
          <w:rFonts w:ascii="Microsoft Sans Serif" w:eastAsiaTheme="minorEastAsia" w:hAnsiTheme="minorHAnsi" w:cstheme="minorBidi"/>
          <w:szCs w:val="22"/>
        </w:rPr>
        <w:cr/>
        <w:t>PITTSBURGH PA  15222</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412-258-6684</w:t>
      </w:r>
      <w:r>
        <w:rPr>
          <w:rFonts w:ascii="Microsoft Sans Serif" w:eastAsiaTheme="minorEastAsia" w:hAnsiTheme="minorHAnsi" w:cstheme="minorBidi"/>
          <w:szCs w:val="22"/>
        </w:rPr>
        <w:cr/>
      </w:r>
      <w:proofErr w:type="spellStart"/>
      <w:proofErr w:type="gramStart"/>
      <w:r>
        <w:rPr>
          <w:rFonts w:ascii="Microsoft Sans Serif" w:hAnsi="Microsoft Sans Serif" w:cs="Microsoft Sans Serif"/>
          <w:b/>
          <w:i/>
          <w:szCs w:val="24"/>
          <w:u w:val="single"/>
        </w:rPr>
        <w:t>eServe</w:t>
      </w:r>
      <w:proofErr w:type="spellEnd"/>
      <w:proofErr w:type="gramEnd"/>
    </w:p>
    <w:p w:rsidR="00A02027" w:rsidRDefault="00A02027" w:rsidP="00A02027">
      <w:pPr>
        <w:rPr>
          <w:rFonts w:ascii="Microsoft Sans Serif" w:hAnsi="Microsoft Sans Serif" w:cs="Microsoft Sans Serif"/>
          <w:b/>
          <w:i/>
          <w:szCs w:val="24"/>
          <w:u w:val="single"/>
        </w:rPr>
      </w:pPr>
    </w:p>
    <w:p w:rsidR="00A02027" w:rsidRPr="00890370" w:rsidRDefault="00A02027" w:rsidP="00A02027">
      <w:pPr>
        <w:rPr>
          <w:rFonts w:ascii="Microsoft Sans Serif" w:eastAsiaTheme="minorEastAsia" w:hAnsiTheme="minorHAnsi" w:cstheme="minorBidi"/>
          <w:szCs w:val="22"/>
        </w:rPr>
      </w:pPr>
      <w:r w:rsidRPr="00890370">
        <w:rPr>
          <w:rFonts w:ascii="Microsoft Sans Serif" w:eastAsiaTheme="minorEastAsia" w:hAnsiTheme="minorHAnsi" w:cstheme="minorBidi"/>
          <w:szCs w:val="22"/>
        </w:rPr>
        <w:t>PATRICK CICERO ESQUIRE</w:t>
      </w:r>
      <w:r w:rsidRPr="00890370">
        <w:rPr>
          <w:rFonts w:ascii="Microsoft Sans Serif" w:eastAsiaTheme="minorEastAsia" w:hAnsiTheme="minorHAnsi" w:cstheme="minorBidi"/>
          <w:szCs w:val="22"/>
        </w:rPr>
        <w:cr/>
        <w:t>PA UTILITY LAW PROJECT</w:t>
      </w:r>
      <w:r w:rsidRPr="00890370">
        <w:rPr>
          <w:rFonts w:ascii="Microsoft Sans Serif" w:eastAsiaTheme="minorEastAsia" w:hAnsiTheme="minorHAnsi" w:cstheme="minorBidi"/>
          <w:szCs w:val="22"/>
        </w:rPr>
        <w:cr/>
        <w:t>118 LOCUST STREET</w:t>
      </w:r>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717-236-9486</w:t>
      </w:r>
    </w:p>
    <w:p w:rsidR="00A02027" w:rsidRDefault="00A02027" w:rsidP="00A02027">
      <w:pPr>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A02027" w:rsidRDefault="00A02027" w:rsidP="00A02027">
      <w:pPr>
        <w:rPr>
          <w:rFonts w:ascii="Microsoft Sans Serif" w:eastAsiaTheme="minorEastAsia" w:hAnsiTheme="minorHAnsi" w:cstheme="minorBidi"/>
          <w:szCs w:val="22"/>
        </w:rPr>
      </w:pPr>
    </w:p>
    <w:p w:rsidR="00A02027" w:rsidRDefault="00A02027" w:rsidP="00A02027">
      <w:pPr>
        <w:rPr>
          <w:rFonts w:ascii="Microsoft Sans Serif" w:hAnsi="Microsoft Sans Serif" w:cs="Microsoft Sans Serif"/>
          <w:b/>
          <w:i/>
          <w:szCs w:val="24"/>
          <w:u w:val="single"/>
        </w:rPr>
      </w:pPr>
      <w:r w:rsidRPr="00890370">
        <w:rPr>
          <w:rFonts w:ascii="Microsoft Sans Serif" w:eastAsiaTheme="minorEastAsia" w:hAnsiTheme="minorHAnsi" w:cstheme="minorBidi"/>
          <w:szCs w:val="22"/>
        </w:rPr>
        <w:t>CRAIG R BURGRAFF ESQU</w:t>
      </w:r>
      <w:r>
        <w:rPr>
          <w:rFonts w:ascii="Microsoft Sans Serif" w:eastAsiaTheme="minorEastAsia" w:hAnsiTheme="minorHAnsi" w:cstheme="minorBidi"/>
          <w:szCs w:val="22"/>
        </w:rPr>
        <w:t>IRE</w:t>
      </w:r>
      <w:r>
        <w:rPr>
          <w:rFonts w:ascii="Microsoft Sans Serif" w:eastAsiaTheme="minorEastAsia" w:hAnsiTheme="minorHAnsi" w:cstheme="minorBidi"/>
          <w:szCs w:val="22"/>
        </w:rPr>
        <w:cr/>
        <w:t>HAWKE MCKEON &amp; SNISCAK LL</w:t>
      </w:r>
      <w:r>
        <w:rPr>
          <w:rFonts w:ascii="Microsoft Sans Serif" w:eastAsiaTheme="minorEastAsia" w:hAnsiTheme="minorHAnsi" w:cstheme="minorBidi"/>
          <w:szCs w:val="22"/>
        </w:rPr>
        <w:cr/>
        <w:t>P</w:t>
      </w:r>
      <w:r w:rsidRPr="00890370">
        <w:rPr>
          <w:rFonts w:ascii="Microsoft Sans Serif" w:eastAsiaTheme="minorEastAsia" w:hAnsiTheme="minorHAnsi" w:cstheme="minorBidi"/>
          <w:szCs w:val="22"/>
        </w:rPr>
        <w:t>O BOX 1778</w:t>
      </w:r>
      <w:r w:rsidRPr="00890370">
        <w:rPr>
          <w:rFonts w:ascii="Microsoft Sans Serif" w:eastAsiaTheme="minorEastAsia" w:hAnsiTheme="minorHAnsi" w:cstheme="minorBidi"/>
          <w:szCs w:val="22"/>
        </w:rPr>
        <w:cr/>
        <w:t>100 N TENTH STREET</w:t>
      </w:r>
      <w:r w:rsidRPr="00890370">
        <w:rPr>
          <w:rFonts w:ascii="Microsoft Sans Serif" w:eastAsiaTheme="minorEastAsia" w:hAnsiTheme="minorHAnsi" w:cstheme="minorBidi"/>
          <w:szCs w:val="22"/>
        </w:rPr>
        <w:cr/>
        <w:t>HARRISBURG PA  17105-1778</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717.236.1300</w:t>
      </w:r>
      <w:r w:rsidRPr="00890370">
        <w:rPr>
          <w:rFonts w:ascii="Microsoft Sans Serif" w:eastAsiaTheme="minorEastAsia" w:hAnsiTheme="minorHAnsi" w:cstheme="minorBidi"/>
          <w:b/>
          <w:szCs w:val="22"/>
        </w:rPr>
        <w:cr/>
      </w:r>
      <w:r w:rsidRPr="00890370">
        <w:rPr>
          <w:rFonts w:ascii="Microsoft Sans Serif" w:eastAsiaTheme="minorEastAsia" w:hAnsiTheme="minorHAnsi" w:cstheme="minorBidi"/>
          <w:szCs w:val="22"/>
        </w:rPr>
        <w:cr/>
        <w:t>JEFFERY J NORTON ESQUIRE</w:t>
      </w:r>
      <w:r w:rsidRPr="00890370">
        <w:rPr>
          <w:rFonts w:ascii="Microsoft Sans Serif" w:eastAsiaTheme="minorEastAsia" w:hAnsiTheme="minorHAnsi" w:cstheme="minorBidi"/>
          <w:szCs w:val="22"/>
        </w:rPr>
        <w:cr/>
        <w:t>ECKERT SEAMANS CHERIN &amp; MELLOTT</w:t>
      </w:r>
      <w:r w:rsidRPr="00890370">
        <w:rPr>
          <w:rFonts w:ascii="Microsoft Sans Serif" w:eastAsiaTheme="minorEastAsia" w:hAnsiTheme="minorHAnsi" w:cstheme="minorBidi"/>
          <w:szCs w:val="22"/>
        </w:rPr>
        <w:cr/>
        <w:t>213 MARKET STREET 8</w:t>
      </w:r>
      <w:r w:rsidRPr="00890370">
        <w:rPr>
          <w:rFonts w:ascii="Microsoft Sans Serif" w:eastAsiaTheme="minorEastAsia" w:hAnsiTheme="minorHAnsi" w:cstheme="minorBidi"/>
          <w:szCs w:val="22"/>
          <w:vertAlign w:val="superscript"/>
        </w:rPr>
        <w:t>TH</w:t>
      </w:r>
      <w:r w:rsidRPr="00890370">
        <w:rPr>
          <w:rFonts w:ascii="Microsoft Sans Serif" w:eastAsiaTheme="minorEastAsia" w:hAnsiTheme="minorHAnsi" w:cstheme="minorBidi"/>
          <w:szCs w:val="22"/>
        </w:rPr>
        <w:t xml:space="preserve"> </w:t>
      </w:r>
      <w:proofErr w:type="gramStart"/>
      <w:r w:rsidRPr="00890370">
        <w:rPr>
          <w:rFonts w:ascii="Microsoft Sans Serif" w:eastAsiaTheme="minorEastAsia" w:hAnsiTheme="minorHAnsi" w:cstheme="minorBidi"/>
          <w:szCs w:val="22"/>
        </w:rPr>
        <w:t>FLOOR</w:t>
      </w:r>
      <w:proofErr w:type="gramEnd"/>
      <w:r w:rsidRPr="00890370">
        <w:rPr>
          <w:rFonts w:ascii="Microsoft Sans Serif" w:eastAsiaTheme="minorEastAsia" w:hAnsiTheme="minorHAnsi" w:cstheme="minorBidi"/>
          <w:szCs w:val="22"/>
        </w:rPr>
        <w:cr/>
        <w:t>HARRISBURG PA  17101</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717-237-6000</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szCs w:val="22"/>
        </w:rPr>
        <w:cr/>
        <w:t>JOSEPH L VULLO ESQUIRE</w:t>
      </w:r>
      <w:r w:rsidRPr="00890370">
        <w:rPr>
          <w:rFonts w:ascii="Microsoft Sans Serif" w:eastAsiaTheme="minorEastAsia" w:hAnsiTheme="minorHAnsi" w:cstheme="minorBidi"/>
          <w:szCs w:val="22"/>
        </w:rPr>
        <w:cr/>
        <w:t>1460 WYOMING AVENUE</w:t>
      </w:r>
      <w:r w:rsidRPr="00890370">
        <w:rPr>
          <w:rFonts w:ascii="Microsoft Sans Serif" w:eastAsiaTheme="minorEastAsia" w:hAnsiTheme="minorHAnsi" w:cstheme="minorBidi"/>
          <w:szCs w:val="22"/>
        </w:rPr>
        <w:cr/>
        <w:t>FORTY FORT PA  18704</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570-288-6441</w:t>
      </w:r>
      <w:r w:rsidRPr="00890370">
        <w:rPr>
          <w:rFonts w:ascii="Microsoft Sans Serif" w:eastAsiaTheme="minorEastAsia" w:hAnsiTheme="minorHAnsi" w:cstheme="minorBidi"/>
          <w:b/>
          <w:szCs w:val="22"/>
        </w:rPr>
        <w:cr/>
      </w:r>
      <w:proofErr w:type="spellStart"/>
      <w:proofErr w:type="gramStart"/>
      <w:r>
        <w:rPr>
          <w:rFonts w:ascii="Microsoft Sans Serif" w:hAnsi="Microsoft Sans Serif" w:cs="Microsoft Sans Serif"/>
          <w:b/>
          <w:i/>
          <w:szCs w:val="24"/>
          <w:u w:val="single"/>
        </w:rPr>
        <w:t>eServe</w:t>
      </w:r>
      <w:proofErr w:type="spellEnd"/>
      <w:proofErr w:type="gramEnd"/>
    </w:p>
    <w:p w:rsidR="00A02027" w:rsidRDefault="00A02027" w:rsidP="00A02027">
      <w:pPr>
        <w:rPr>
          <w:rFonts w:ascii="Microsoft Sans Serif" w:hAnsi="Microsoft Sans Serif" w:cs="Microsoft Sans Serif"/>
          <w:b/>
          <w:i/>
          <w:szCs w:val="24"/>
          <w:u w:val="single"/>
        </w:rPr>
      </w:pPr>
    </w:p>
    <w:p w:rsidR="00A02027" w:rsidRDefault="00A02027" w:rsidP="00A02027">
      <w:pPr>
        <w:rPr>
          <w:rFonts w:ascii="Microsoft Sans Serif" w:eastAsiaTheme="minorEastAsia" w:hAnsiTheme="minorHAnsi" w:cstheme="minorBidi"/>
          <w:b/>
          <w:szCs w:val="22"/>
        </w:rPr>
      </w:pPr>
      <w:r w:rsidRPr="00890370">
        <w:rPr>
          <w:rFonts w:ascii="Microsoft Sans Serif" w:eastAsiaTheme="minorEastAsia" w:hAnsiTheme="minorHAnsi" w:cstheme="minorBidi"/>
          <w:szCs w:val="22"/>
        </w:rPr>
        <w:t>BARRY A NAUM ESQUIRE</w:t>
      </w:r>
      <w:r w:rsidRPr="00890370">
        <w:rPr>
          <w:rFonts w:ascii="Microsoft Sans Serif" w:eastAsiaTheme="minorEastAsia" w:hAnsiTheme="minorHAnsi" w:cstheme="minorBidi"/>
          <w:szCs w:val="22"/>
        </w:rPr>
        <w:cr/>
        <w:t>SPILMAN THOMAS &amp; BATTLE PLLC</w:t>
      </w:r>
      <w:r w:rsidRPr="00890370">
        <w:rPr>
          <w:rFonts w:ascii="Microsoft Sans Serif" w:eastAsiaTheme="minorEastAsia" w:hAnsiTheme="minorHAnsi" w:cstheme="minorBidi"/>
          <w:szCs w:val="22"/>
        </w:rPr>
        <w:cr/>
        <w:t>SUITE 101</w:t>
      </w:r>
      <w:r w:rsidRPr="00890370">
        <w:rPr>
          <w:rFonts w:ascii="Microsoft Sans Serif" w:eastAsiaTheme="minorEastAsia" w:hAnsiTheme="minorHAnsi" w:cstheme="minorBidi"/>
          <w:szCs w:val="22"/>
        </w:rPr>
        <w:cr/>
        <w:t>1100 BENT CREEK BLVD</w:t>
      </w:r>
      <w:r w:rsidRPr="00890370">
        <w:rPr>
          <w:rFonts w:ascii="Microsoft Sans Serif" w:eastAsiaTheme="minorEastAsia" w:hAnsiTheme="minorHAnsi" w:cstheme="minorBidi"/>
          <w:szCs w:val="22"/>
        </w:rPr>
        <w:cr/>
        <w:t>MECHANICSBURG PA  17050</w:t>
      </w:r>
      <w:r w:rsidRPr="00890370">
        <w:rPr>
          <w:rFonts w:ascii="Microsoft Sans Serif" w:eastAsiaTheme="minorEastAsia" w:hAnsiTheme="minorHAnsi" w:cstheme="minorBidi"/>
          <w:szCs w:val="22"/>
        </w:rPr>
        <w:cr/>
      </w:r>
      <w:r w:rsidRPr="00890370">
        <w:rPr>
          <w:rFonts w:ascii="Microsoft Sans Serif" w:eastAsiaTheme="minorEastAsia" w:hAnsiTheme="minorHAnsi" w:cstheme="minorBidi"/>
          <w:b/>
          <w:szCs w:val="22"/>
        </w:rPr>
        <w:t>717-795-2742</w:t>
      </w:r>
    </w:p>
    <w:p w:rsidR="00A02027" w:rsidRDefault="00A02027" w:rsidP="00A02027">
      <w:pPr>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A02027" w:rsidRPr="00033453" w:rsidRDefault="00A02027" w:rsidP="00A02027">
      <w:pPr>
        <w:rPr>
          <w:rFonts w:ascii="Microsoft Sans Serif" w:hAnsi="Microsoft Sans Serif" w:cs="Microsoft Sans Serif"/>
        </w:rPr>
      </w:pPr>
    </w:p>
    <w:p w:rsidR="003B658F" w:rsidRPr="003B658F" w:rsidRDefault="003B658F" w:rsidP="00524C89">
      <w:pPr>
        <w:pStyle w:val="NoSpacing"/>
        <w:rPr>
          <w:rFonts w:ascii="Times New Roman" w:hAnsi="Times New Roman" w:cs="Times New Roman"/>
          <w:sz w:val="24"/>
          <w:szCs w:val="24"/>
        </w:rPr>
      </w:pPr>
    </w:p>
    <w:p w:rsidR="00A02027" w:rsidRDefault="00A02027" w:rsidP="00AF757D">
      <w:pPr>
        <w:sectPr w:rsidR="00A02027" w:rsidSect="00A02027">
          <w:type w:val="continuous"/>
          <w:pgSz w:w="12240" w:h="15840"/>
          <w:pgMar w:top="1440" w:right="1440" w:bottom="1440" w:left="1440" w:header="720" w:footer="720" w:gutter="0"/>
          <w:cols w:num="2" w:space="720"/>
          <w:docGrid w:linePitch="360"/>
        </w:sectPr>
      </w:pPr>
    </w:p>
    <w:p w:rsidR="005451AC" w:rsidRDefault="005451AC" w:rsidP="00AF757D"/>
    <w:sectPr w:rsidR="005451AC" w:rsidSect="00A020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9A" w:rsidRDefault="00F14F9A" w:rsidP="00D22A1D">
      <w:r>
        <w:separator/>
      </w:r>
    </w:p>
  </w:endnote>
  <w:endnote w:type="continuationSeparator" w:id="0">
    <w:p w:rsidR="00F14F9A" w:rsidRDefault="00F14F9A" w:rsidP="00D2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098445"/>
      <w:docPartObj>
        <w:docPartGallery w:val="Page Numbers (Bottom of Page)"/>
        <w:docPartUnique/>
      </w:docPartObj>
    </w:sdtPr>
    <w:sdtEndPr>
      <w:rPr>
        <w:noProof/>
      </w:rPr>
    </w:sdtEndPr>
    <w:sdtContent>
      <w:p w:rsidR="00D10369" w:rsidRDefault="00D10369">
        <w:pPr>
          <w:pStyle w:val="Footer"/>
          <w:jc w:val="center"/>
        </w:pPr>
        <w:r>
          <w:fldChar w:fldCharType="begin"/>
        </w:r>
        <w:r>
          <w:instrText xml:space="preserve"> PAGE   \* MERGEFORMAT </w:instrText>
        </w:r>
        <w:r>
          <w:fldChar w:fldCharType="separate"/>
        </w:r>
        <w:r w:rsidR="00C803A3">
          <w:rPr>
            <w:noProof/>
          </w:rPr>
          <w:t>8</w:t>
        </w:r>
        <w:r>
          <w:rPr>
            <w:noProof/>
          </w:rPr>
          <w:fldChar w:fldCharType="end"/>
        </w:r>
      </w:p>
    </w:sdtContent>
  </w:sdt>
  <w:p w:rsidR="00D10369" w:rsidRDefault="00D10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27" w:rsidRDefault="00A02027">
    <w:pPr>
      <w:pStyle w:val="Footer"/>
      <w:jc w:val="center"/>
    </w:pPr>
  </w:p>
  <w:p w:rsidR="00A02027" w:rsidRDefault="00A02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9A" w:rsidRDefault="00F14F9A" w:rsidP="00D22A1D">
      <w:r>
        <w:separator/>
      </w:r>
    </w:p>
  </w:footnote>
  <w:footnote w:type="continuationSeparator" w:id="0">
    <w:p w:rsidR="00F14F9A" w:rsidRDefault="00F14F9A" w:rsidP="00D22A1D">
      <w:r>
        <w:continuationSeparator/>
      </w:r>
    </w:p>
  </w:footnote>
  <w:footnote w:id="1">
    <w:p w:rsidR="000A092D" w:rsidRDefault="000A092D">
      <w:pPr>
        <w:pStyle w:val="FootnoteText"/>
      </w:pPr>
      <w:r>
        <w:rPr>
          <w:rStyle w:val="FootnoteReference"/>
        </w:rPr>
        <w:footnoteRef/>
      </w:r>
      <w:r>
        <w:t xml:space="preserve"> </w:t>
      </w:r>
      <w:r>
        <w:tab/>
      </w:r>
      <w:proofErr w:type="spellStart"/>
      <w:r>
        <w:t>Comverge’s</w:t>
      </w:r>
      <w:proofErr w:type="spellEnd"/>
      <w:r>
        <w:t xml:space="preserve"> late filing of testimony has been a subject of controversy in this case and at least two other cases in which Comverge has intervened: </w:t>
      </w:r>
      <w:r w:rsidRPr="000A092D">
        <w:rPr>
          <w:i/>
        </w:rPr>
        <w:t>Petition of PECO Energy Company for Approval of its Act 129 Phase II Energy Efficiency and Conservation Plan</w:t>
      </w:r>
      <w:r w:rsidRPr="000A092D">
        <w:t xml:space="preserve">, Docket No. </w:t>
      </w:r>
      <w:proofErr w:type="gramStart"/>
      <w:r w:rsidRPr="000A092D">
        <w:t>M-2012-2333992</w:t>
      </w:r>
      <w:r>
        <w:t xml:space="preserve">, and in the consolidated </w:t>
      </w:r>
      <w:r w:rsidR="00916EA8">
        <w:t xml:space="preserve">FirstEnergy </w:t>
      </w:r>
      <w:r>
        <w:t>cases at Docket Nos.</w:t>
      </w:r>
      <w:proofErr w:type="gramEnd"/>
      <w:r>
        <w:t xml:space="preserve"> </w:t>
      </w:r>
      <w:proofErr w:type="gramStart"/>
      <w:r>
        <w:t>M-2012-2334392, M-2012-2334387, M-2012-2334395 and M-2012-2334398.</w:t>
      </w:r>
      <w:proofErr w:type="gramEnd"/>
    </w:p>
    <w:p w:rsidR="000A092D" w:rsidRDefault="000A092D">
      <w:pPr>
        <w:pStyle w:val="FootnoteText"/>
      </w:pPr>
    </w:p>
  </w:footnote>
  <w:footnote w:id="2">
    <w:p w:rsidR="00AC6931" w:rsidRDefault="00AC6931">
      <w:pPr>
        <w:pStyle w:val="FootnoteText"/>
      </w:pPr>
      <w:r>
        <w:rPr>
          <w:rStyle w:val="FootnoteReference"/>
        </w:rPr>
        <w:footnoteRef/>
      </w:r>
      <w:r>
        <w:t xml:space="preserve"> </w:t>
      </w:r>
      <w:r>
        <w:tab/>
        <w:t>The grant of intervention was necessarily delayed both because of the Christmas holiday and to provide the parties a meaningful opportunity to review the Petition to Intervene and to formulate and file any objection thereto.</w:t>
      </w:r>
      <w:r w:rsidR="006A2191">
        <w:t xml:space="preserve">  No objections were raised.</w:t>
      </w:r>
    </w:p>
    <w:p w:rsidR="00AC6931" w:rsidRDefault="00AC6931">
      <w:pPr>
        <w:pStyle w:val="FootnoteText"/>
      </w:pPr>
    </w:p>
  </w:footnote>
  <w:footnote w:id="3">
    <w:p w:rsidR="00AC6931" w:rsidRDefault="00AC6931">
      <w:pPr>
        <w:pStyle w:val="FootnoteText"/>
      </w:pPr>
      <w:r>
        <w:rPr>
          <w:rStyle w:val="FootnoteReference"/>
        </w:rPr>
        <w:footnoteRef/>
      </w:r>
      <w:r>
        <w:t xml:space="preserve"> </w:t>
      </w:r>
      <w:r>
        <w:tab/>
        <w:t xml:space="preserve">The reference to “Other Parties Comments” notwithstanding, </w:t>
      </w:r>
      <w:r w:rsidR="000A092D">
        <w:t xml:space="preserve">and as will be discussed herein, </w:t>
      </w:r>
      <w:r>
        <w:t xml:space="preserve">I made my concerns with respect to the </w:t>
      </w:r>
      <w:r w:rsidR="006A2191">
        <w:t>inclusion</w:t>
      </w:r>
      <w:r>
        <w:t xml:space="preserve"> of “comments” in the certified record of this and other Act 129 Phase II proceedings clear at the Prehearing Conference.</w:t>
      </w:r>
    </w:p>
    <w:p w:rsidR="00916EA8" w:rsidRDefault="00916EA8">
      <w:pPr>
        <w:pStyle w:val="FootnoteText"/>
      </w:pPr>
    </w:p>
  </w:footnote>
  <w:footnote w:id="4">
    <w:p w:rsidR="00F62C5A" w:rsidRPr="00D22A1D" w:rsidRDefault="00F62C5A" w:rsidP="00F62C5A">
      <w:pPr>
        <w:pStyle w:val="FootnoteText"/>
      </w:pPr>
      <w:r w:rsidRPr="00D22A1D">
        <w:rPr>
          <w:rStyle w:val="FootnoteReference"/>
        </w:rPr>
        <w:footnoteRef/>
      </w:r>
      <w:r w:rsidRPr="00D22A1D">
        <w:t xml:space="preserve"> </w:t>
      </w:r>
      <w:r w:rsidRPr="00D22A1D">
        <w:tab/>
      </w:r>
      <w:proofErr w:type="spellStart"/>
      <w:r w:rsidRPr="00D22A1D">
        <w:t>Comverge</w:t>
      </w:r>
      <w:r w:rsidR="00C1681A">
        <w:t>’s</w:t>
      </w:r>
      <w:proofErr w:type="spellEnd"/>
      <w:r w:rsidR="00C1681A">
        <w:t xml:space="preserve"> request to admit the comments was denied, and</w:t>
      </w:r>
      <w:r w:rsidRPr="00D22A1D">
        <w:t xml:space="preserve"> thereafter </w:t>
      </w:r>
      <w:r w:rsidR="00C1681A">
        <w:t xml:space="preserve">Comverge </w:t>
      </w:r>
      <w:r w:rsidRPr="00D22A1D">
        <w:t>filed Mr. Berkebile’s comments in the form of testimony, which testimony was admitted into the record in the PECO case without objection.</w:t>
      </w:r>
      <w:r>
        <w:t xml:space="preserve">  I note, however, that Mr. Berkebile’s testimony is </w:t>
      </w:r>
      <w:r w:rsidRPr="00843041">
        <w:rPr>
          <w:i/>
        </w:rPr>
        <w:t>supportive</w:t>
      </w:r>
      <w:r>
        <w:t xml:space="preserve"> of PECO’s plan, </w:t>
      </w:r>
      <w:r w:rsidR="00C1681A">
        <w:t>which is not the case</w:t>
      </w:r>
      <w:r w:rsidR="00843041">
        <w:t xml:space="preserve"> with respect to </w:t>
      </w:r>
      <w:r w:rsidR="00C1681A">
        <w:t xml:space="preserve">PPL’s </w:t>
      </w:r>
      <w:r w:rsidR="00843041">
        <w:t>Plan.  Further</w:t>
      </w:r>
      <w:r w:rsidR="00C1681A">
        <w:t xml:space="preserve">, </w:t>
      </w:r>
      <w:r>
        <w:t xml:space="preserve">the dates in the PECO proceeding are different </w:t>
      </w:r>
      <w:r w:rsidR="00C1681A">
        <w:t>from</w:t>
      </w:r>
      <w:r>
        <w:t xml:space="preserve"> those in this case.  In the PECO case, direct testimony from the Other Partie</w:t>
      </w:r>
      <w:r w:rsidR="006731F3">
        <w:t>s was due before Comverge could reasonably have been expected to file direct testimony</w:t>
      </w:r>
      <w:r w:rsidR="00843041">
        <w:t xml:space="preserve"> which is one reason why I afforded Comverge broad leniency in that case</w:t>
      </w:r>
      <w:r w:rsidR="006731F3">
        <w:t>.</w:t>
      </w:r>
    </w:p>
  </w:footnote>
  <w:footnote w:id="5">
    <w:p w:rsidR="00CF4992" w:rsidRDefault="00CF4992" w:rsidP="00CF4992">
      <w:pPr>
        <w:pStyle w:val="FootnoteText"/>
      </w:pPr>
      <w:r>
        <w:rPr>
          <w:rStyle w:val="FootnoteReference"/>
        </w:rPr>
        <w:footnoteRef/>
      </w:r>
      <w:r>
        <w:t xml:space="preserve"> </w:t>
      </w:r>
      <w:r>
        <w:tab/>
      </w:r>
      <w:r w:rsidR="00E44AD6">
        <w:t>I note that t</w:t>
      </w:r>
      <w:r>
        <w:t>hough somewhat differently situated than Comverge in terms of time of appearance, the OCA filed both comments and testimony in this case.</w:t>
      </w:r>
    </w:p>
  </w:footnote>
  <w:footnote w:id="6">
    <w:p w:rsidR="00B87E43" w:rsidRDefault="00B87E43">
      <w:pPr>
        <w:pStyle w:val="FootnoteText"/>
      </w:pPr>
      <w:r>
        <w:rPr>
          <w:rStyle w:val="FootnoteReference"/>
        </w:rPr>
        <w:footnoteRef/>
      </w:r>
      <w:r>
        <w:t xml:space="preserve"> </w:t>
      </w:r>
      <w:r>
        <w:tab/>
      </w:r>
      <w:r w:rsidRPr="00B87E43">
        <w:t>While I do not reach th</w:t>
      </w:r>
      <w:r w:rsidR="00EB6B07">
        <w:t xml:space="preserve">e </w:t>
      </w:r>
      <w:r w:rsidRPr="00B87E43">
        <w:t>issue</w:t>
      </w:r>
      <w:r w:rsidR="00EB6B07">
        <w:t xml:space="preserve"> of whether this is even a proper or viable comparison</w:t>
      </w:r>
      <w:r w:rsidRPr="00B87E43">
        <w:t xml:space="preserve">, I am troubled by the implication that Comverge may attempt to “bootstrap” from the PECO proceeding to this proceeding.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7D"/>
    <w:rsid w:val="00000B68"/>
    <w:rsid w:val="00001B6B"/>
    <w:rsid w:val="0000218E"/>
    <w:rsid w:val="00002BD9"/>
    <w:rsid w:val="00006FD0"/>
    <w:rsid w:val="0000764F"/>
    <w:rsid w:val="000172AC"/>
    <w:rsid w:val="00017703"/>
    <w:rsid w:val="00020ACF"/>
    <w:rsid w:val="00020F2D"/>
    <w:rsid w:val="000329F7"/>
    <w:rsid w:val="000361C6"/>
    <w:rsid w:val="00036690"/>
    <w:rsid w:val="00037713"/>
    <w:rsid w:val="000453F0"/>
    <w:rsid w:val="00051531"/>
    <w:rsid w:val="00051A42"/>
    <w:rsid w:val="00053381"/>
    <w:rsid w:val="00065E2A"/>
    <w:rsid w:val="00071466"/>
    <w:rsid w:val="0007305C"/>
    <w:rsid w:val="0008097E"/>
    <w:rsid w:val="00081C45"/>
    <w:rsid w:val="000820C4"/>
    <w:rsid w:val="00086142"/>
    <w:rsid w:val="000875CF"/>
    <w:rsid w:val="000875DA"/>
    <w:rsid w:val="0009315C"/>
    <w:rsid w:val="00093946"/>
    <w:rsid w:val="00095C05"/>
    <w:rsid w:val="000A092D"/>
    <w:rsid w:val="000A18E5"/>
    <w:rsid w:val="000A24C4"/>
    <w:rsid w:val="000A379F"/>
    <w:rsid w:val="000B28AF"/>
    <w:rsid w:val="000B615A"/>
    <w:rsid w:val="000B7C4C"/>
    <w:rsid w:val="000C2260"/>
    <w:rsid w:val="000C6FCE"/>
    <w:rsid w:val="000D0232"/>
    <w:rsid w:val="000D73DD"/>
    <w:rsid w:val="000E3437"/>
    <w:rsid w:val="000E3C33"/>
    <w:rsid w:val="000E4B75"/>
    <w:rsid w:val="000E7B2C"/>
    <w:rsid w:val="00100967"/>
    <w:rsid w:val="0010462E"/>
    <w:rsid w:val="00110162"/>
    <w:rsid w:val="001136BB"/>
    <w:rsid w:val="0011388A"/>
    <w:rsid w:val="00123515"/>
    <w:rsid w:val="0013260C"/>
    <w:rsid w:val="00132676"/>
    <w:rsid w:val="00132967"/>
    <w:rsid w:val="001362F6"/>
    <w:rsid w:val="00143F7B"/>
    <w:rsid w:val="00154571"/>
    <w:rsid w:val="00156549"/>
    <w:rsid w:val="00157A98"/>
    <w:rsid w:val="00170D92"/>
    <w:rsid w:val="00172799"/>
    <w:rsid w:val="00172CCF"/>
    <w:rsid w:val="00172EB1"/>
    <w:rsid w:val="00173345"/>
    <w:rsid w:val="00175A9B"/>
    <w:rsid w:val="0017609F"/>
    <w:rsid w:val="0017718A"/>
    <w:rsid w:val="0018450B"/>
    <w:rsid w:val="001955A7"/>
    <w:rsid w:val="001A2FF6"/>
    <w:rsid w:val="001A3B11"/>
    <w:rsid w:val="001A4593"/>
    <w:rsid w:val="001A7AE4"/>
    <w:rsid w:val="001B13A4"/>
    <w:rsid w:val="001B327A"/>
    <w:rsid w:val="001B35AF"/>
    <w:rsid w:val="001B6251"/>
    <w:rsid w:val="001C0993"/>
    <w:rsid w:val="001C28CD"/>
    <w:rsid w:val="001D1DBE"/>
    <w:rsid w:val="001E4F6B"/>
    <w:rsid w:val="001F141C"/>
    <w:rsid w:val="001F3B6B"/>
    <w:rsid w:val="001F3FEC"/>
    <w:rsid w:val="001F5B2A"/>
    <w:rsid w:val="001F7687"/>
    <w:rsid w:val="0020092F"/>
    <w:rsid w:val="00201B87"/>
    <w:rsid w:val="00203174"/>
    <w:rsid w:val="002036DB"/>
    <w:rsid w:val="00204263"/>
    <w:rsid w:val="00210967"/>
    <w:rsid w:val="0021560B"/>
    <w:rsid w:val="00216285"/>
    <w:rsid w:val="002226E1"/>
    <w:rsid w:val="00222CDF"/>
    <w:rsid w:val="00230D85"/>
    <w:rsid w:val="0023183B"/>
    <w:rsid w:val="002325DF"/>
    <w:rsid w:val="00232B56"/>
    <w:rsid w:val="002357D9"/>
    <w:rsid w:val="00235F06"/>
    <w:rsid w:val="00243B5A"/>
    <w:rsid w:val="00251461"/>
    <w:rsid w:val="002531EB"/>
    <w:rsid w:val="00253546"/>
    <w:rsid w:val="00257EEB"/>
    <w:rsid w:val="00262889"/>
    <w:rsid w:val="00284375"/>
    <w:rsid w:val="002870A9"/>
    <w:rsid w:val="00287328"/>
    <w:rsid w:val="00295CFD"/>
    <w:rsid w:val="002A3CF4"/>
    <w:rsid w:val="002B1C21"/>
    <w:rsid w:val="002B2EE6"/>
    <w:rsid w:val="002B42FA"/>
    <w:rsid w:val="002C3061"/>
    <w:rsid w:val="002C3600"/>
    <w:rsid w:val="002C3EC7"/>
    <w:rsid w:val="002C4FDE"/>
    <w:rsid w:val="002C70C0"/>
    <w:rsid w:val="002D12EC"/>
    <w:rsid w:val="002D6A4C"/>
    <w:rsid w:val="002D7E3D"/>
    <w:rsid w:val="002E2D72"/>
    <w:rsid w:val="002E32B5"/>
    <w:rsid w:val="002E4F07"/>
    <w:rsid w:val="002E6958"/>
    <w:rsid w:val="002F0D4E"/>
    <w:rsid w:val="002F40B1"/>
    <w:rsid w:val="002F52AF"/>
    <w:rsid w:val="003005AD"/>
    <w:rsid w:val="003009DE"/>
    <w:rsid w:val="00304F5E"/>
    <w:rsid w:val="00305BA7"/>
    <w:rsid w:val="00307DAE"/>
    <w:rsid w:val="00311384"/>
    <w:rsid w:val="00311460"/>
    <w:rsid w:val="00312033"/>
    <w:rsid w:val="00316CA0"/>
    <w:rsid w:val="00317B1C"/>
    <w:rsid w:val="00323C28"/>
    <w:rsid w:val="00323E8F"/>
    <w:rsid w:val="00324BBE"/>
    <w:rsid w:val="003251C7"/>
    <w:rsid w:val="003277DB"/>
    <w:rsid w:val="00331361"/>
    <w:rsid w:val="00336E1D"/>
    <w:rsid w:val="00337D02"/>
    <w:rsid w:val="003413DF"/>
    <w:rsid w:val="00342D95"/>
    <w:rsid w:val="00343410"/>
    <w:rsid w:val="003463C6"/>
    <w:rsid w:val="00350DE4"/>
    <w:rsid w:val="00351AD2"/>
    <w:rsid w:val="00352155"/>
    <w:rsid w:val="003568DB"/>
    <w:rsid w:val="0036195B"/>
    <w:rsid w:val="003627CB"/>
    <w:rsid w:val="003631F5"/>
    <w:rsid w:val="003632B4"/>
    <w:rsid w:val="0036359D"/>
    <w:rsid w:val="0036596E"/>
    <w:rsid w:val="00366A60"/>
    <w:rsid w:val="003673E4"/>
    <w:rsid w:val="00367C94"/>
    <w:rsid w:val="00370A7C"/>
    <w:rsid w:val="00375267"/>
    <w:rsid w:val="00375B66"/>
    <w:rsid w:val="0038241E"/>
    <w:rsid w:val="00384FE3"/>
    <w:rsid w:val="00390836"/>
    <w:rsid w:val="003909CC"/>
    <w:rsid w:val="003A024E"/>
    <w:rsid w:val="003A15DB"/>
    <w:rsid w:val="003A1937"/>
    <w:rsid w:val="003A251A"/>
    <w:rsid w:val="003A3EEB"/>
    <w:rsid w:val="003A495C"/>
    <w:rsid w:val="003A7E6A"/>
    <w:rsid w:val="003B1126"/>
    <w:rsid w:val="003B28F4"/>
    <w:rsid w:val="003B363D"/>
    <w:rsid w:val="003B48F6"/>
    <w:rsid w:val="003B5227"/>
    <w:rsid w:val="003B5F87"/>
    <w:rsid w:val="003B658F"/>
    <w:rsid w:val="003C69E1"/>
    <w:rsid w:val="003E12A9"/>
    <w:rsid w:val="003E7497"/>
    <w:rsid w:val="003E7B2E"/>
    <w:rsid w:val="003F0D0A"/>
    <w:rsid w:val="003F17AC"/>
    <w:rsid w:val="003F480E"/>
    <w:rsid w:val="003F5A53"/>
    <w:rsid w:val="00400003"/>
    <w:rsid w:val="00402FD8"/>
    <w:rsid w:val="00410BBB"/>
    <w:rsid w:val="004116D3"/>
    <w:rsid w:val="00412ACC"/>
    <w:rsid w:val="00413DFB"/>
    <w:rsid w:val="004161DA"/>
    <w:rsid w:val="00421719"/>
    <w:rsid w:val="00422403"/>
    <w:rsid w:val="0042367A"/>
    <w:rsid w:val="004337A3"/>
    <w:rsid w:val="004461BA"/>
    <w:rsid w:val="00452DC3"/>
    <w:rsid w:val="00456AD2"/>
    <w:rsid w:val="00461BE2"/>
    <w:rsid w:val="004629D8"/>
    <w:rsid w:val="00463ACD"/>
    <w:rsid w:val="0046613C"/>
    <w:rsid w:val="00466412"/>
    <w:rsid w:val="00467E80"/>
    <w:rsid w:val="0047207E"/>
    <w:rsid w:val="00472390"/>
    <w:rsid w:val="00475F34"/>
    <w:rsid w:val="00476AA5"/>
    <w:rsid w:val="00477308"/>
    <w:rsid w:val="0048225E"/>
    <w:rsid w:val="00484F4E"/>
    <w:rsid w:val="00487446"/>
    <w:rsid w:val="00490317"/>
    <w:rsid w:val="00494177"/>
    <w:rsid w:val="004A4A92"/>
    <w:rsid w:val="004A55D1"/>
    <w:rsid w:val="004A5D58"/>
    <w:rsid w:val="004A6152"/>
    <w:rsid w:val="004B0E1A"/>
    <w:rsid w:val="004B3B38"/>
    <w:rsid w:val="004C1871"/>
    <w:rsid w:val="004C2789"/>
    <w:rsid w:val="004C2794"/>
    <w:rsid w:val="004C7192"/>
    <w:rsid w:val="004D0C3C"/>
    <w:rsid w:val="004D4447"/>
    <w:rsid w:val="004D68ED"/>
    <w:rsid w:val="004E133C"/>
    <w:rsid w:val="004E1A8C"/>
    <w:rsid w:val="004E4202"/>
    <w:rsid w:val="004F51B0"/>
    <w:rsid w:val="004F6C8E"/>
    <w:rsid w:val="005028FF"/>
    <w:rsid w:val="00504287"/>
    <w:rsid w:val="005074C3"/>
    <w:rsid w:val="0051103C"/>
    <w:rsid w:val="0052256C"/>
    <w:rsid w:val="00523C09"/>
    <w:rsid w:val="0052448C"/>
    <w:rsid w:val="00524C89"/>
    <w:rsid w:val="005317F7"/>
    <w:rsid w:val="005352D3"/>
    <w:rsid w:val="00535505"/>
    <w:rsid w:val="005364B8"/>
    <w:rsid w:val="005371BC"/>
    <w:rsid w:val="00540ACE"/>
    <w:rsid w:val="005451AC"/>
    <w:rsid w:val="005475EC"/>
    <w:rsid w:val="005503E6"/>
    <w:rsid w:val="00552D9B"/>
    <w:rsid w:val="00560F4E"/>
    <w:rsid w:val="00564484"/>
    <w:rsid w:val="00567509"/>
    <w:rsid w:val="0057511A"/>
    <w:rsid w:val="00582557"/>
    <w:rsid w:val="00582CD8"/>
    <w:rsid w:val="0058784C"/>
    <w:rsid w:val="00590965"/>
    <w:rsid w:val="005913A8"/>
    <w:rsid w:val="00592EEC"/>
    <w:rsid w:val="00593B77"/>
    <w:rsid w:val="0059506A"/>
    <w:rsid w:val="00595DDB"/>
    <w:rsid w:val="005B34B9"/>
    <w:rsid w:val="005B4379"/>
    <w:rsid w:val="005B6B5D"/>
    <w:rsid w:val="005B7667"/>
    <w:rsid w:val="005C2040"/>
    <w:rsid w:val="005C2E38"/>
    <w:rsid w:val="005C319B"/>
    <w:rsid w:val="005D1CEB"/>
    <w:rsid w:val="005D2D39"/>
    <w:rsid w:val="005D3BA3"/>
    <w:rsid w:val="005E1DA5"/>
    <w:rsid w:val="005E24D9"/>
    <w:rsid w:val="005E6784"/>
    <w:rsid w:val="005F0C32"/>
    <w:rsid w:val="005F0C9E"/>
    <w:rsid w:val="005F53AB"/>
    <w:rsid w:val="005F627F"/>
    <w:rsid w:val="005F659B"/>
    <w:rsid w:val="005F6F2D"/>
    <w:rsid w:val="00610B4E"/>
    <w:rsid w:val="00617E46"/>
    <w:rsid w:val="00623635"/>
    <w:rsid w:val="00624D14"/>
    <w:rsid w:val="00630B12"/>
    <w:rsid w:val="00632F30"/>
    <w:rsid w:val="006346FB"/>
    <w:rsid w:val="006353BA"/>
    <w:rsid w:val="00641F63"/>
    <w:rsid w:val="00647365"/>
    <w:rsid w:val="0065428F"/>
    <w:rsid w:val="00655B19"/>
    <w:rsid w:val="00656CB5"/>
    <w:rsid w:val="00656EBB"/>
    <w:rsid w:val="0066186C"/>
    <w:rsid w:val="00672715"/>
    <w:rsid w:val="00672BA8"/>
    <w:rsid w:val="00672D17"/>
    <w:rsid w:val="006731F3"/>
    <w:rsid w:val="00676751"/>
    <w:rsid w:val="00676817"/>
    <w:rsid w:val="00676D90"/>
    <w:rsid w:val="006826C5"/>
    <w:rsid w:val="006843A8"/>
    <w:rsid w:val="006900D5"/>
    <w:rsid w:val="0069027E"/>
    <w:rsid w:val="00690843"/>
    <w:rsid w:val="00692368"/>
    <w:rsid w:val="00692CE6"/>
    <w:rsid w:val="006933E4"/>
    <w:rsid w:val="006A2191"/>
    <w:rsid w:val="006A4608"/>
    <w:rsid w:val="006A6F6C"/>
    <w:rsid w:val="006B1999"/>
    <w:rsid w:val="006B1A38"/>
    <w:rsid w:val="006B2215"/>
    <w:rsid w:val="006B4F76"/>
    <w:rsid w:val="006C110B"/>
    <w:rsid w:val="006C24A2"/>
    <w:rsid w:val="006D05F2"/>
    <w:rsid w:val="006D1DE7"/>
    <w:rsid w:val="006D3591"/>
    <w:rsid w:val="006D4B2A"/>
    <w:rsid w:val="006D5AB7"/>
    <w:rsid w:val="006D6151"/>
    <w:rsid w:val="006F79B1"/>
    <w:rsid w:val="006F7F52"/>
    <w:rsid w:val="00700A03"/>
    <w:rsid w:val="00701D3C"/>
    <w:rsid w:val="00703DE0"/>
    <w:rsid w:val="0070421D"/>
    <w:rsid w:val="007244D1"/>
    <w:rsid w:val="00725357"/>
    <w:rsid w:val="00727658"/>
    <w:rsid w:val="00730032"/>
    <w:rsid w:val="007314B7"/>
    <w:rsid w:val="00737842"/>
    <w:rsid w:val="007403C2"/>
    <w:rsid w:val="007403C8"/>
    <w:rsid w:val="007408D5"/>
    <w:rsid w:val="007452F3"/>
    <w:rsid w:val="00746E27"/>
    <w:rsid w:val="00750248"/>
    <w:rsid w:val="0075417B"/>
    <w:rsid w:val="007632E6"/>
    <w:rsid w:val="00772E0E"/>
    <w:rsid w:val="007774E5"/>
    <w:rsid w:val="00787F88"/>
    <w:rsid w:val="0079158C"/>
    <w:rsid w:val="00793DB4"/>
    <w:rsid w:val="007A094E"/>
    <w:rsid w:val="007B0837"/>
    <w:rsid w:val="007B0DBB"/>
    <w:rsid w:val="007B49D8"/>
    <w:rsid w:val="007B660B"/>
    <w:rsid w:val="007B69CE"/>
    <w:rsid w:val="007C25B6"/>
    <w:rsid w:val="007C2A51"/>
    <w:rsid w:val="007C5F5F"/>
    <w:rsid w:val="007C6B1F"/>
    <w:rsid w:val="007D31D0"/>
    <w:rsid w:val="007E1169"/>
    <w:rsid w:val="007E2D1F"/>
    <w:rsid w:val="007E6185"/>
    <w:rsid w:val="007F0C9F"/>
    <w:rsid w:val="007F1EAC"/>
    <w:rsid w:val="007F5384"/>
    <w:rsid w:val="007F5CA7"/>
    <w:rsid w:val="007F5EE7"/>
    <w:rsid w:val="007F6C3C"/>
    <w:rsid w:val="007F6F94"/>
    <w:rsid w:val="008009BD"/>
    <w:rsid w:val="00802919"/>
    <w:rsid w:val="0080458B"/>
    <w:rsid w:val="008215D0"/>
    <w:rsid w:val="00821A92"/>
    <w:rsid w:val="00830DD8"/>
    <w:rsid w:val="008424A6"/>
    <w:rsid w:val="00842CF0"/>
    <w:rsid w:val="00843041"/>
    <w:rsid w:val="00857CF1"/>
    <w:rsid w:val="008605CF"/>
    <w:rsid w:val="0086680E"/>
    <w:rsid w:val="00867164"/>
    <w:rsid w:val="00871A67"/>
    <w:rsid w:val="00876810"/>
    <w:rsid w:val="00880C89"/>
    <w:rsid w:val="00881023"/>
    <w:rsid w:val="00882CF9"/>
    <w:rsid w:val="00882E5F"/>
    <w:rsid w:val="00883BB5"/>
    <w:rsid w:val="00890339"/>
    <w:rsid w:val="0089738C"/>
    <w:rsid w:val="008A2208"/>
    <w:rsid w:val="008A291E"/>
    <w:rsid w:val="008B5D4A"/>
    <w:rsid w:val="008B6419"/>
    <w:rsid w:val="008B65EE"/>
    <w:rsid w:val="008C135B"/>
    <w:rsid w:val="008C22D3"/>
    <w:rsid w:val="008C258A"/>
    <w:rsid w:val="008C52E5"/>
    <w:rsid w:val="008C6F9E"/>
    <w:rsid w:val="008C74A6"/>
    <w:rsid w:val="008D041F"/>
    <w:rsid w:val="008D279C"/>
    <w:rsid w:val="008D410A"/>
    <w:rsid w:val="008E0524"/>
    <w:rsid w:val="008E0C61"/>
    <w:rsid w:val="008E20AB"/>
    <w:rsid w:val="008E5CEF"/>
    <w:rsid w:val="008F03F5"/>
    <w:rsid w:val="008F1A9F"/>
    <w:rsid w:val="008F4D7B"/>
    <w:rsid w:val="008F633F"/>
    <w:rsid w:val="008F7367"/>
    <w:rsid w:val="00905EA5"/>
    <w:rsid w:val="009062E7"/>
    <w:rsid w:val="00911F21"/>
    <w:rsid w:val="009167A8"/>
    <w:rsid w:val="00916EA8"/>
    <w:rsid w:val="00920354"/>
    <w:rsid w:val="00920AC6"/>
    <w:rsid w:val="00923042"/>
    <w:rsid w:val="0092798D"/>
    <w:rsid w:val="00930862"/>
    <w:rsid w:val="009356A3"/>
    <w:rsid w:val="00946E14"/>
    <w:rsid w:val="00947D3F"/>
    <w:rsid w:val="00955C2C"/>
    <w:rsid w:val="00957300"/>
    <w:rsid w:val="009621AB"/>
    <w:rsid w:val="0096711C"/>
    <w:rsid w:val="009712F9"/>
    <w:rsid w:val="00974409"/>
    <w:rsid w:val="00981120"/>
    <w:rsid w:val="00982D5E"/>
    <w:rsid w:val="009865D5"/>
    <w:rsid w:val="0099359B"/>
    <w:rsid w:val="009A3A50"/>
    <w:rsid w:val="009A3DCD"/>
    <w:rsid w:val="009A6E84"/>
    <w:rsid w:val="009B05E4"/>
    <w:rsid w:val="009B4744"/>
    <w:rsid w:val="009B56F5"/>
    <w:rsid w:val="009C13ED"/>
    <w:rsid w:val="009D5C76"/>
    <w:rsid w:val="009E434D"/>
    <w:rsid w:val="009E6AAE"/>
    <w:rsid w:val="009F0455"/>
    <w:rsid w:val="009F1830"/>
    <w:rsid w:val="009F1905"/>
    <w:rsid w:val="009F1C4B"/>
    <w:rsid w:val="009F55FC"/>
    <w:rsid w:val="009F72A1"/>
    <w:rsid w:val="00A00DC5"/>
    <w:rsid w:val="00A02027"/>
    <w:rsid w:val="00A07865"/>
    <w:rsid w:val="00A07B60"/>
    <w:rsid w:val="00A07DDD"/>
    <w:rsid w:val="00A10BD9"/>
    <w:rsid w:val="00A10E3B"/>
    <w:rsid w:val="00A12D79"/>
    <w:rsid w:val="00A14270"/>
    <w:rsid w:val="00A14AF3"/>
    <w:rsid w:val="00A1500A"/>
    <w:rsid w:val="00A216EF"/>
    <w:rsid w:val="00A23684"/>
    <w:rsid w:val="00A23A34"/>
    <w:rsid w:val="00A23F46"/>
    <w:rsid w:val="00A24A9F"/>
    <w:rsid w:val="00A261A7"/>
    <w:rsid w:val="00A36C62"/>
    <w:rsid w:val="00A373FC"/>
    <w:rsid w:val="00A37544"/>
    <w:rsid w:val="00A37E71"/>
    <w:rsid w:val="00A402ED"/>
    <w:rsid w:val="00A44D00"/>
    <w:rsid w:val="00A46561"/>
    <w:rsid w:val="00A51439"/>
    <w:rsid w:val="00A5460C"/>
    <w:rsid w:val="00A56232"/>
    <w:rsid w:val="00A573E3"/>
    <w:rsid w:val="00A64EC9"/>
    <w:rsid w:val="00A760BB"/>
    <w:rsid w:val="00A7652B"/>
    <w:rsid w:val="00A7719B"/>
    <w:rsid w:val="00A7758A"/>
    <w:rsid w:val="00A83E41"/>
    <w:rsid w:val="00A859ED"/>
    <w:rsid w:val="00A871FA"/>
    <w:rsid w:val="00A92073"/>
    <w:rsid w:val="00A93717"/>
    <w:rsid w:val="00A95C80"/>
    <w:rsid w:val="00AA19FC"/>
    <w:rsid w:val="00AA7F1F"/>
    <w:rsid w:val="00AB43D7"/>
    <w:rsid w:val="00AB49E4"/>
    <w:rsid w:val="00AB5CB4"/>
    <w:rsid w:val="00AB7826"/>
    <w:rsid w:val="00AC18A9"/>
    <w:rsid w:val="00AC5B63"/>
    <w:rsid w:val="00AC6931"/>
    <w:rsid w:val="00AC6E42"/>
    <w:rsid w:val="00AD3536"/>
    <w:rsid w:val="00AD3B56"/>
    <w:rsid w:val="00AD74B1"/>
    <w:rsid w:val="00AE253B"/>
    <w:rsid w:val="00AE3B14"/>
    <w:rsid w:val="00AF02F0"/>
    <w:rsid w:val="00AF757D"/>
    <w:rsid w:val="00B01089"/>
    <w:rsid w:val="00B07E83"/>
    <w:rsid w:val="00B126F5"/>
    <w:rsid w:val="00B15D02"/>
    <w:rsid w:val="00B207AC"/>
    <w:rsid w:val="00B21B02"/>
    <w:rsid w:val="00B225FC"/>
    <w:rsid w:val="00B227E5"/>
    <w:rsid w:val="00B228F1"/>
    <w:rsid w:val="00B231B1"/>
    <w:rsid w:val="00B236EA"/>
    <w:rsid w:val="00B2457C"/>
    <w:rsid w:val="00B25B93"/>
    <w:rsid w:val="00B25E50"/>
    <w:rsid w:val="00B321B4"/>
    <w:rsid w:val="00B33C72"/>
    <w:rsid w:val="00B35928"/>
    <w:rsid w:val="00B41587"/>
    <w:rsid w:val="00B434EF"/>
    <w:rsid w:val="00B43633"/>
    <w:rsid w:val="00B43B71"/>
    <w:rsid w:val="00B44496"/>
    <w:rsid w:val="00B50A65"/>
    <w:rsid w:val="00B50E38"/>
    <w:rsid w:val="00B510A7"/>
    <w:rsid w:val="00B56159"/>
    <w:rsid w:val="00B575FE"/>
    <w:rsid w:val="00B60B06"/>
    <w:rsid w:val="00B61ABD"/>
    <w:rsid w:val="00B64A18"/>
    <w:rsid w:val="00B7718F"/>
    <w:rsid w:val="00B80C4A"/>
    <w:rsid w:val="00B82999"/>
    <w:rsid w:val="00B83072"/>
    <w:rsid w:val="00B85D7E"/>
    <w:rsid w:val="00B85D95"/>
    <w:rsid w:val="00B86B55"/>
    <w:rsid w:val="00B87E43"/>
    <w:rsid w:val="00B9106B"/>
    <w:rsid w:val="00B92410"/>
    <w:rsid w:val="00B92D56"/>
    <w:rsid w:val="00B95844"/>
    <w:rsid w:val="00BA0462"/>
    <w:rsid w:val="00BA2207"/>
    <w:rsid w:val="00BA3AAF"/>
    <w:rsid w:val="00BA51EE"/>
    <w:rsid w:val="00BB0D68"/>
    <w:rsid w:val="00BB0E58"/>
    <w:rsid w:val="00BB2F82"/>
    <w:rsid w:val="00BC786D"/>
    <w:rsid w:val="00BD214E"/>
    <w:rsid w:val="00BD2318"/>
    <w:rsid w:val="00BD5038"/>
    <w:rsid w:val="00BD58D1"/>
    <w:rsid w:val="00BD7FB0"/>
    <w:rsid w:val="00BE0B88"/>
    <w:rsid w:val="00BE21F8"/>
    <w:rsid w:val="00BE2CA6"/>
    <w:rsid w:val="00BE63DD"/>
    <w:rsid w:val="00BF017E"/>
    <w:rsid w:val="00BF07E7"/>
    <w:rsid w:val="00BF44C3"/>
    <w:rsid w:val="00BF48D5"/>
    <w:rsid w:val="00C00211"/>
    <w:rsid w:val="00C034CC"/>
    <w:rsid w:val="00C0579B"/>
    <w:rsid w:val="00C07FAC"/>
    <w:rsid w:val="00C115DC"/>
    <w:rsid w:val="00C14F0F"/>
    <w:rsid w:val="00C1681A"/>
    <w:rsid w:val="00C20CC2"/>
    <w:rsid w:val="00C23FAC"/>
    <w:rsid w:val="00C27268"/>
    <w:rsid w:val="00C326FF"/>
    <w:rsid w:val="00C32F4E"/>
    <w:rsid w:val="00C372F6"/>
    <w:rsid w:val="00C400F7"/>
    <w:rsid w:val="00C513D1"/>
    <w:rsid w:val="00C60DBB"/>
    <w:rsid w:val="00C610D9"/>
    <w:rsid w:val="00C64AF9"/>
    <w:rsid w:val="00C65744"/>
    <w:rsid w:val="00C65E00"/>
    <w:rsid w:val="00C71BD5"/>
    <w:rsid w:val="00C72B24"/>
    <w:rsid w:val="00C803A3"/>
    <w:rsid w:val="00C809F4"/>
    <w:rsid w:val="00C80BB4"/>
    <w:rsid w:val="00C84822"/>
    <w:rsid w:val="00C901E4"/>
    <w:rsid w:val="00C97787"/>
    <w:rsid w:val="00CA0EFC"/>
    <w:rsid w:val="00CA2977"/>
    <w:rsid w:val="00CA6E2E"/>
    <w:rsid w:val="00CB17FD"/>
    <w:rsid w:val="00CB252E"/>
    <w:rsid w:val="00CB300C"/>
    <w:rsid w:val="00CB327A"/>
    <w:rsid w:val="00CB5471"/>
    <w:rsid w:val="00CB7129"/>
    <w:rsid w:val="00CC226C"/>
    <w:rsid w:val="00CC4531"/>
    <w:rsid w:val="00CC5044"/>
    <w:rsid w:val="00CC644F"/>
    <w:rsid w:val="00CC7044"/>
    <w:rsid w:val="00CD0CE5"/>
    <w:rsid w:val="00CE31FF"/>
    <w:rsid w:val="00CE348B"/>
    <w:rsid w:val="00CE3590"/>
    <w:rsid w:val="00CE4F5D"/>
    <w:rsid w:val="00CE7B57"/>
    <w:rsid w:val="00CF0344"/>
    <w:rsid w:val="00CF258C"/>
    <w:rsid w:val="00CF4992"/>
    <w:rsid w:val="00CF4F5C"/>
    <w:rsid w:val="00CF626D"/>
    <w:rsid w:val="00CF6853"/>
    <w:rsid w:val="00D022B4"/>
    <w:rsid w:val="00D022E5"/>
    <w:rsid w:val="00D0529F"/>
    <w:rsid w:val="00D05BF9"/>
    <w:rsid w:val="00D1033D"/>
    <w:rsid w:val="00D10369"/>
    <w:rsid w:val="00D103CF"/>
    <w:rsid w:val="00D12866"/>
    <w:rsid w:val="00D20E17"/>
    <w:rsid w:val="00D22A1D"/>
    <w:rsid w:val="00D22CE8"/>
    <w:rsid w:val="00D23841"/>
    <w:rsid w:val="00D26522"/>
    <w:rsid w:val="00D2744A"/>
    <w:rsid w:val="00D31662"/>
    <w:rsid w:val="00D41E69"/>
    <w:rsid w:val="00D4375C"/>
    <w:rsid w:val="00D466F1"/>
    <w:rsid w:val="00D469FE"/>
    <w:rsid w:val="00D52161"/>
    <w:rsid w:val="00D67BE6"/>
    <w:rsid w:val="00D67EFA"/>
    <w:rsid w:val="00D729E8"/>
    <w:rsid w:val="00D80C7F"/>
    <w:rsid w:val="00D820D0"/>
    <w:rsid w:val="00D823D4"/>
    <w:rsid w:val="00D876F7"/>
    <w:rsid w:val="00DA576C"/>
    <w:rsid w:val="00DA5932"/>
    <w:rsid w:val="00DB0E37"/>
    <w:rsid w:val="00DB2D57"/>
    <w:rsid w:val="00DB2ED4"/>
    <w:rsid w:val="00DB3A9D"/>
    <w:rsid w:val="00DB3CBF"/>
    <w:rsid w:val="00DB44A1"/>
    <w:rsid w:val="00DB61DB"/>
    <w:rsid w:val="00DB710E"/>
    <w:rsid w:val="00DB7570"/>
    <w:rsid w:val="00DC0209"/>
    <w:rsid w:val="00DC0B11"/>
    <w:rsid w:val="00DC1089"/>
    <w:rsid w:val="00DC4B57"/>
    <w:rsid w:val="00DD3D0B"/>
    <w:rsid w:val="00DE7AF5"/>
    <w:rsid w:val="00DF0959"/>
    <w:rsid w:val="00DF6BB7"/>
    <w:rsid w:val="00E03B65"/>
    <w:rsid w:val="00E04D6D"/>
    <w:rsid w:val="00E05E80"/>
    <w:rsid w:val="00E06722"/>
    <w:rsid w:val="00E13121"/>
    <w:rsid w:val="00E22B70"/>
    <w:rsid w:val="00E2645E"/>
    <w:rsid w:val="00E34F98"/>
    <w:rsid w:val="00E36C7D"/>
    <w:rsid w:val="00E42181"/>
    <w:rsid w:val="00E42B48"/>
    <w:rsid w:val="00E4372B"/>
    <w:rsid w:val="00E44AD6"/>
    <w:rsid w:val="00E46934"/>
    <w:rsid w:val="00E46CE8"/>
    <w:rsid w:val="00E51F3B"/>
    <w:rsid w:val="00E53A47"/>
    <w:rsid w:val="00E5493C"/>
    <w:rsid w:val="00E54F9C"/>
    <w:rsid w:val="00E60AD8"/>
    <w:rsid w:val="00E61AD9"/>
    <w:rsid w:val="00E678F8"/>
    <w:rsid w:val="00E80B4A"/>
    <w:rsid w:val="00E81240"/>
    <w:rsid w:val="00E82401"/>
    <w:rsid w:val="00E82D2D"/>
    <w:rsid w:val="00E87367"/>
    <w:rsid w:val="00E911D6"/>
    <w:rsid w:val="00E926E2"/>
    <w:rsid w:val="00E94B13"/>
    <w:rsid w:val="00E95C8A"/>
    <w:rsid w:val="00E97D61"/>
    <w:rsid w:val="00EA4BB6"/>
    <w:rsid w:val="00EA70CC"/>
    <w:rsid w:val="00EA7F7A"/>
    <w:rsid w:val="00EB2C1A"/>
    <w:rsid w:val="00EB6B07"/>
    <w:rsid w:val="00EC06CF"/>
    <w:rsid w:val="00ED46BC"/>
    <w:rsid w:val="00EE4152"/>
    <w:rsid w:val="00EE449D"/>
    <w:rsid w:val="00EE7AC4"/>
    <w:rsid w:val="00EF3627"/>
    <w:rsid w:val="00EF6D5D"/>
    <w:rsid w:val="00F009D8"/>
    <w:rsid w:val="00F06B35"/>
    <w:rsid w:val="00F06CFE"/>
    <w:rsid w:val="00F1060F"/>
    <w:rsid w:val="00F10C4C"/>
    <w:rsid w:val="00F11EC3"/>
    <w:rsid w:val="00F14F9A"/>
    <w:rsid w:val="00F1568B"/>
    <w:rsid w:val="00F1639E"/>
    <w:rsid w:val="00F20E7B"/>
    <w:rsid w:val="00F20F4E"/>
    <w:rsid w:val="00F25D5E"/>
    <w:rsid w:val="00F31EF0"/>
    <w:rsid w:val="00F3603B"/>
    <w:rsid w:val="00F36206"/>
    <w:rsid w:val="00F37196"/>
    <w:rsid w:val="00F37D54"/>
    <w:rsid w:val="00F46517"/>
    <w:rsid w:val="00F565C4"/>
    <w:rsid w:val="00F62C5A"/>
    <w:rsid w:val="00F7415B"/>
    <w:rsid w:val="00F77F48"/>
    <w:rsid w:val="00F80732"/>
    <w:rsid w:val="00F85B4D"/>
    <w:rsid w:val="00F85F87"/>
    <w:rsid w:val="00F907A2"/>
    <w:rsid w:val="00F91381"/>
    <w:rsid w:val="00F9221D"/>
    <w:rsid w:val="00F92A01"/>
    <w:rsid w:val="00F956D6"/>
    <w:rsid w:val="00F9579B"/>
    <w:rsid w:val="00F959F7"/>
    <w:rsid w:val="00F95A13"/>
    <w:rsid w:val="00FA03E2"/>
    <w:rsid w:val="00FA1B97"/>
    <w:rsid w:val="00FA2790"/>
    <w:rsid w:val="00FA5806"/>
    <w:rsid w:val="00FA6838"/>
    <w:rsid w:val="00FB1DBA"/>
    <w:rsid w:val="00FB27C5"/>
    <w:rsid w:val="00FB508C"/>
    <w:rsid w:val="00FC0817"/>
    <w:rsid w:val="00FC3AA9"/>
    <w:rsid w:val="00FC4372"/>
    <w:rsid w:val="00FD19AF"/>
    <w:rsid w:val="00FD247D"/>
    <w:rsid w:val="00FD32F7"/>
    <w:rsid w:val="00FE1A37"/>
    <w:rsid w:val="00FE2517"/>
    <w:rsid w:val="00FE2C9E"/>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1D"/>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EEC"/>
    <w:pPr>
      <w:spacing w:after="0" w:line="240" w:lineRule="auto"/>
    </w:pPr>
  </w:style>
  <w:style w:type="paragraph" w:styleId="FootnoteText">
    <w:name w:val="footnote text"/>
    <w:basedOn w:val="Normal"/>
    <w:link w:val="FootnoteTextChar"/>
    <w:uiPriority w:val="99"/>
    <w:semiHidden/>
    <w:unhideWhenUsed/>
    <w:rsid w:val="00D22A1D"/>
  </w:style>
  <w:style w:type="character" w:customStyle="1" w:styleId="FootnoteTextChar">
    <w:name w:val="Footnote Text Char"/>
    <w:basedOn w:val="DefaultParagraphFont"/>
    <w:link w:val="FootnoteText"/>
    <w:uiPriority w:val="99"/>
    <w:semiHidden/>
    <w:rsid w:val="00D22A1D"/>
    <w:rPr>
      <w:sz w:val="20"/>
      <w:szCs w:val="20"/>
    </w:rPr>
  </w:style>
  <w:style w:type="character" w:styleId="FootnoteReference">
    <w:name w:val="footnote reference"/>
    <w:basedOn w:val="DefaultParagraphFont"/>
    <w:uiPriority w:val="99"/>
    <w:semiHidden/>
    <w:unhideWhenUsed/>
    <w:rsid w:val="00D22A1D"/>
    <w:rPr>
      <w:vertAlign w:val="superscript"/>
    </w:rPr>
  </w:style>
  <w:style w:type="paragraph" w:styleId="Header">
    <w:name w:val="header"/>
    <w:basedOn w:val="Normal"/>
    <w:link w:val="HeaderChar"/>
    <w:uiPriority w:val="99"/>
    <w:unhideWhenUsed/>
    <w:rsid w:val="00D10369"/>
    <w:pPr>
      <w:tabs>
        <w:tab w:val="center" w:pos="4680"/>
        <w:tab w:val="right" w:pos="9360"/>
      </w:tabs>
    </w:pPr>
  </w:style>
  <w:style w:type="character" w:customStyle="1" w:styleId="HeaderChar">
    <w:name w:val="Header Char"/>
    <w:basedOn w:val="DefaultParagraphFont"/>
    <w:link w:val="Header"/>
    <w:uiPriority w:val="99"/>
    <w:rsid w:val="00D103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0369"/>
    <w:pPr>
      <w:tabs>
        <w:tab w:val="center" w:pos="4680"/>
        <w:tab w:val="right" w:pos="9360"/>
      </w:tabs>
    </w:pPr>
  </w:style>
  <w:style w:type="character" w:customStyle="1" w:styleId="FooterChar">
    <w:name w:val="Footer Char"/>
    <w:basedOn w:val="DefaultParagraphFont"/>
    <w:link w:val="Footer"/>
    <w:uiPriority w:val="99"/>
    <w:rsid w:val="00D103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3A3"/>
    <w:rPr>
      <w:rFonts w:ascii="Tahoma" w:hAnsi="Tahoma" w:cs="Tahoma"/>
      <w:sz w:val="16"/>
      <w:szCs w:val="16"/>
    </w:rPr>
  </w:style>
  <w:style w:type="character" w:customStyle="1" w:styleId="BalloonTextChar">
    <w:name w:val="Balloon Text Char"/>
    <w:basedOn w:val="DefaultParagraphFont"/>
    <w:link w:val="BalloonText"/>
    <w:uiPriority w:val="99"/>
    <w:semiHidden/>
    <w:rsid w:val="00C803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1D"/>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EEC"/>
    <w:pPr>
      <w:spacing w:after="0" w:line="240" w:lineRule="auto"/>
    </w:pPr>
  </w:style>
  <w:style w:type="paragraph" w:styleId="FootnoteText">
    <w:name w:val="footnote text"/>
    <w:basedOn w:val="Normal"/>
    <w:link w:val="FootnoteTextChar"/>
    <w:uiPriority w:val="99"/>
    <w:semiHidden/>
    <w:unhideWhenUsed/>
    <w:rsid w:val="00D22A1D"/>
  </w:style>
  <w:style w:type="character" w:customStyle="1" w:styleId="FootnoteTextChar">
    <w:name w:val="Footnote Text Char"/>
    <w:basedOn w:val="DefaultParagraphFont"/>
    <w:link w:val="FootnoteText"/>
    <w:uiPriority w:val="99"/>
    <w:semiHidden/>
    <w:rsid w:val="00D22A1D"/>
    <w:rPr>
      <w:sz w:val="20"/>
      <w:szCs w:val="20"/>
    </w:rPr>
  </w:style>
  <w:style w:type="character" w:styleId="FootnoteReference">
    <w:name w:val="footnote reference"/>
    <w:basedOn w:val="DefaultParagraphFont"/>
    <w:uiPriority w:val="99"/>
    <w:semiHidden/>
    <w:unhideWhenUsed/>
    <w:rsid w:val="00D22A1D"/>
    <w:rPr>
      <w:vertAlign w:val="superscript"/>
    </w:rPr>
  </w:style>
  <w:style w:type="paragraph" w:styleId="Header">
    <w:name w:val="header"/>
    <w:basedOn w:val="Normal"/>
    <w:link w:val="HeaderChar"/>
    <w:uiPriority w:val="99"/>
    <w:unhideWhenUsed/>
    <w:rsid w:val="00D10369"/>
    <w:pPr>
      <w:tabs>
        <w:tab w:val="center" w:pos="4680"/>
        <w:tab w:val="right" w:pos="9360"/>
      </w:tabs>
    </w:pPr>
  </w:style>
  <w:style w:type="character" w:customStyle="1" w:styleId="HeaderChar">
    <w:name w:val="Header Char"/>
    <w:basedOn w:val="DefaultParagraphFont"/>
    <w:link w:val="Header"/>
    <w:uiPriority w:val="99"/>
    <w:rsid w:val="00D103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0369"/>
    <w:pPr>
      <w:tabs>
        <w:tab w:val="center" w:pos="4680"/>
        <w:tab w:val="right" w:pos="9360"/>
      </w:tabs>
    </w:pPr>
  </w:style>
  <w:style w:type="character" w:customStyle="1" w:styleId="FooterChar">
    <w:name w:val="Footer Char"/>
    <w:basedOn w:val="DefaultParagraphFont"/>
    <w:link w:val="Footer"/>
    <w:uiPriority w:val="99"/>
    <w:rsid w:val="00D103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3A3"/>
    <w:rPr>
      <w:rFonts w:ascii="Tahoma" w:hAnsi="Tahoma" w:cs="Tahoma"/>
      <w:sz w:val="16"/>
      <w:szCs w:val="16"/>
    </w:rPr>
  </w:style>
  <w:style w:type="character" w:customStyle="1" w:styleId="BalloonTextChar">
    <w:name w:val="Balloon Text Char"/>
    <w:basedOn w:val="DefaultParagraphFont"/>
    <w:link w:val="BalloonText"/>
    <w:uiPriority w:val="99"/>
    <w:semiHidden/>
    <w:rsid w:val="00C803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232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617070">
      <w:bodyDiv w:val="1"/>
      <w:marLeft w:val="0"/>
      <w:marRight w:val="0"/>
      <w:marTop w:val="0"/>
      <w:marBottom w:val="0"/>
      <w:divBdr>
        <w:top w:val="none" w:sz="0" w:space="0" w:color="auto"/>
        <w:left w:val="none" w:sz="0" w:space="0" w:color="auto"/>
        <w:bottom w:val="none" w:sz="0" w:space="0" w:color="auto"/>
        <w:right w:val="none" w:sz="0" w:space="0" w:color="auto"/>
      </w:divBdr>
    </w:div>
    <w:div w:id="1014647321">
      <w:bodyDiv w:val="1"/>
      <w:marLeft w:val="0"/>
      <w:marRight w:val="0"/>
      <w:marTop w:val="0"/>
      <w:marBottom w:val="0"/>
      <w:divBdr>
        <w:top w:val="none" w:sz="0" w:space="0" w:color="auto"/>
        <w:left w:val="none" w:sz="0" w:space="0" w:color="auto"/>
        <w:bottom w:val="none" w:sz="0" w:space="0" w:color="auto"/>
        <w:right w:val="none" w:sz="0" w:space="0" w:color="auto"/>
      </w:divBdr>
      <w:divsChild>
        <w:div w:id="1770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7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760F-47EF-48C6-8F89-56241CCF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Leonard, Allyson</cp:lastModifiedBy>
  <cp:revision>3</cp:revision>
  <cp:lastPrinted>2013-01-22T14:02:00Z</cp:lastPrinted>
  <dcterms:created xsi:type="dcterms:W3CDTF">2013-01-22T13:52:00Z</dcterms:created>
  <dcterms:modified xsi:type="dcterms:W3CDTF">2013-01-22T14:07:00Z</dcterms:modified>
</cp:coreProperties>
</file>