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CE01FD">
        <w:trPr>
          <w:trHeight w:val="990"/>
        </w:trPr>
        <w:tc>
          <w:tcPr>
            <w:tcW w:w="1363" w:type="dxa"/>
          </w:tcPr>
          <w:p w:rsidR="00CE01FD" w:rsidRDefault="003D613B">
            <w:pPr>
              <w:rPr>
                <w:sz w:val="24"/>
              </w:rPr>
            </w:pPr>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CE01FD" w:rsidRDefault="00CE01FD">
            <w:pPr>
              <w:suppressAutoHyphens/>
              <w:spacing w:line="204" w:lineRule="auto"/>
              <w:jc w:val="center"/>
              <w:rPr>
                <w:rFonts w:ascii="Arial" w:hAnsi="Arial"/>
                <w:color w:val="000080"/>
                <w:spacing w:val="-3"/>
                <w:sz w:val="26"/>
              </w:rPr>
            </w:pPr>
          </w:p>
          <w:p w:rsidR="00CE01FD" w:rsidRDefault="00CE01F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CE01FD" w:rsidRDefault="00CE01FD">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CE01FD" w:rsidRDefault="00CE01F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rPr>
                <w:rFonts w:ascii="Arial" w:hAnsi="Arial"/>
                <w:sz w:val="12"/>
              </w:rPr>
            </w:pPr>
          </w:p>
          <w:p w:rsidR="00CE01FD" w:rsidRDefault="00CE01FD">
            <w:pPr>
              <w:jc w:val="right"/>
              <w:rPr>
                <w:rFonts w:ascii="Arial" w:hAnsi="Arial"/>
                <w:sz w:val="12"/>
              </w:rPr>
            </w:pPr>
            <w:r>
              <w:rPr>
                <w:rFonts w:ascii="Arial" w:hAnsi="Arial"/>
                <w:b/>
                <w:spacing w:val="-1"/>
                <w:sz w:val="12"/>
              </w:rPr>
              <w:t>IN REPLY PLEASE REFER TO OUR FILE</w:t>
            </w:r>
          </w:p>
        </w:tc>
      </w:tr>
    </w:tbl>
    <w:p w:rsidR="00CE01FD" w:rsidRDefault="00CE01FD">
      <w:pPr>
        <w:rPr>
          <w:sz w:val="24"/>
        </w:rPr>
        <w:sectPr w:rsidR="00CE01FD">
          <w:pgSz w:w="12240" w:h="15840"/>
          <w:pgMar w:top="504" w:right="1440" w:bottom="1440" w:left="1440" w:header="720" w:footer="720" w:gutter="0"/>
          <w:cols w:space="720"/>
        </w:sectPr>
      </w:pPr>
    </w:p>
    <w:p w:rsidR="00C13A42" w:rsidRDefault="00A12E74" w:rsidP="00C13A42">
      <w:pPr>
        <w:jc w:val="center"/>
        <w:rPr>
          <w:b/>
          <w:sz w:val="24"/>
          <w:szCs w:val="24"/>
        </w:rPr>
      </w:pPr>
      <w:r>
        <w:rPr>
          <w:b/>
          <w:sz w:val="24"/>
          <w:szCs w:val="24"/>
        </w:rPr>
        <w:lastRenderedPageBreak/>
        <w:t>January 23, 2013</w:t>
      </w:r>
    </w:p>
    <w:p w:rsidR="00F00F7F" w:rsidRDefault="00130671" w:rsidP="00B95A27">
      <w:pPr>
        <w:jc w:val="right"/>
        <w:rPr>
          <w:sz w:val="21"/>
          <w:szCs w:val="21"/>
        </w:rPr>
      </w:pPr>
      <w:r>
        <w:rPr>
          <w:sz w:val="21"/>
          <w:szCs w:val="21"/>
        </w:rPr>
        <w:t xml:space="preserve">Docket No. </w:t>
      </w:r>
      <w:r w:rsidR="00FB7FF5">
        <w:rPr>
          <w:sz w:val="21"/>
          <w:szCs w:val="21"/>
        </w:rPr>
        <w:t>P</w:t>
      </w:r>
      <w:r w:rsidR="0043103D">
        <w:rPr>
          <w:sz w:val="21"/>
          <w:szCs w:val="21"/>
        </w:rPr>
        <w:t>-</w:t>
      </w:r>
      <w:r w:rsidR="00FB7FF5">
        <w:rPr>
          <w:sz w:val="21"/>
          <w:szCs w:val="21"/>
        </w:rPr>
        <w:t>2008-2062739</w:t>
      </w:r>
    </w:p>
    <w:p w:rsidR="00B95A27" w:rsidRDefault="00B95A27" w:rsidP="00B45673">
      <w:pPr>
        <w:rPr>
          <w:sz w:val="21"/>
          <w:szCs w:val="21"/>
        </w:rPr>
      </w:pPr>
    </w:p>
    <w:p w:rsidR="00B95A27" w:rsidRDefault="00B95A27" w:rsidP="00B45673">
      <w:pPr>
        <w:rPr>
          <w:sz w:val="21"/>
          <w:szCs w:val="21"/>
        </w:rPr>
      </w:pPr>
    </w:p>
    <w:p w:rsidR="00B45AC9" w:rsidRDefault="00FB7FF5" w:rsidP="00B45673">
      <w:pPr>
        <w:rPr>
          <w:sz w:val="21"/>
          <w:szCs w:val="21"/>
        </w:rPr>
      </w:pPr>
      <w:r>
        <w:rPr>
          <w:sz w:val="21"/>
          <w:szCs w:val="21"/>
        </w:rPr>
        <w:t>RICHARD G WEBSTER JR</w:t>
      </w:r>
    </w:p>
    <w:p w:rsidR="00FB7FF5" w:rsidRDefault="00FB7FF5" w:rsidP="00B45673">
      <w:pPr>
        <w:rPr>
          <w:sz w:val="21"/>
          <w:szCs w:val="21"/>
        </w:rPr>
      </w:pPr>
      <w:r>
        <w:rPr>
          <w:sz w:val="21"/>
          <w:szCs w:val="21"/>
        </w:rPr>
        <w:t>VP REGULATORY POLICY &amp; STRATEGY</w:t>
      </w:r>
    </w:p>
    <w:p w:rsidR="00FB7FF5" w:rsidRDefault="00FB7FF5" w:rsidP="00B45673">
      <w:pPr>
        <w:rPr>
          <w:sz w:val="21"/>
          <w:szCs w:val="21"/>
        </w:rPr>
      </w:pPr>
      <w:r>
        <w:rPr>
          <w:sz w:val="21"/>
          <w:szCs w:val="21"/>
        </w:rPr>
        <w:t>PECO</w:t>
      </w:r>
    </w:p>
    <w:p w:rsidR="00FB7FF5" w:rsidRDefault="00FB7FF5" w:rsidP="00B45673">
      <w:pPr>
        <w:rPr>
          <w:sz w:val="21"/>
          <w:szCs w:val="21"/>
        </w:rPr>
      </w:pPr>
      <w:r>
        <w:rPr>
          <w:sz w:val="21"/>
          <w:szCs w:val="21"/>
        </w:rPr>
        <w:t>2301 MARKET STREET SUITE 15</w:t>
      </w:r>
    </w:p>
    <w:p w:rsidR="00FB7FF5" w:rsidRPr="00AB60E6" w:rsidRDefault="00FB7FF5" w:rsidP="00B45673">
      <w:pPr>
        <w:rPr>
          <w:sz w:val="21"/>
          <w:szCs w:val="21"/>
        </w:rPr>
      </w:pPr>
      <w:r>
        <w:rPr>
          <w:sz w:val="21"/>
          <w:szCs w:val="21"/>
        </w:rPr>
        <w:t>PHILADELPHIA PA  19103</w:t>
      </w:r>
    </w:p>
    <w:p w:rsidR="00B45673" w:rsidRDefault="00B45673" w:rsidP="00B45673">
      <w:pPr>
        <w:rPr>
          <w:sz w:val="21"/>
          <w:szCs w:val="21"/>
        </w:rPr>
      </w:pPr>
    </w:p>
    <w:p w:rsidR="00C13A42" w:rsidRDefault="00C13A42" w:rsidP="00B45673">
      <w:pPr>
        <w:rPr>
          <w:sz w:val="21"/>
          <w:szCs w:val="21"/>
        </w:rPr>
      </w:pPr>
    </w:p>
    <w:p w:rsidR="00C13A42" w:rsidRDefault="00C13A42" w:rsidP="00B45673">
      <w:pPr>
        <w:rPr>
          <w:sz w:val="21"/>
          <w:szCs w:val="21"/>
        </w:rPr>
      </w:pPr>
    </w:p>
    <w:p w:rsidR="00C13A42" w:rsidRDefault="00B45673" w:rsidP="00D16063">
      <w:pPr>
        <w:ind w:left="1080" w:hanging="360"/>
        <w:rPr>
          <w:sz w:val="21"/>
          <w:szCs w:val="21"/>
        </w:rPr>
      </w:pPr>
      <w:r w:rsidRPr="00AB60E6">
        <w:rPr>
          <w:sz w:val="21"/>
          <w:szCs w:val="21"/>
        </w:rPr>
        <w:t>Re</w:t>
      </w:r>
      <w:r w:rsidR="00C13A42">
        <w:rPr>
          <w:sz w:val="21"/>
          <w:szCs w:val="21"/>
        </w:rPr>
        <w:t xml:space="preserve">:  </w:t>
      </w:r>
      <w:r w:rsidR="00FB7FF5">
        <w:rPr>
          <w:sz w:val="21"/>
          <w:szCs w:val="21"/>
        </w:rPr>
        <w:t>Supplement No. 57 to Tariff Electric Pa. P.U.C. No. 4</w:t>
      </w:r>
    </w:p>
    <w:p w:rsidR="00130671" w:rsidRPr="00873C66" w:rsidRDefault="00130671" w:rsidP="00D16063">
      <w:pPr>
        <w:ind w:left="1080" w:hanging="360"/>
        <w:rPr>
          <w:sz w:val="21"/>
          <w:szCs w:val="21"/>
        </w:rPr>
      </w:pPr>
      <w:r>
        <w:rPr>
          <w:sz w:val="21"/>
          <w:szCs w:val="21"/>
        </w:rPr>
        <w:t xml:space="preserve">      </w:t>
      </w:r>
    </w:p>
    <w:p w:rsidR="00B45673" w:rsidRPr="00AB60E6" w:rsidRDefault="00B45673" w:rsidP="00B45673">
      <w:pPr>
        <w:rPr>
          <w:sz w:val="21"/>
          <w:szCs w:val="21"/>
        </w:rPr>
      </w:pPr>
      <w:r w:rsidRPr="00AB60E6">
        <w:rPr>
          <w:sz w:val="21"/>
          <w:szCs w:val="21"/>
        </w:rPr>
        <w:t xml:space="preserve">Dear </w:t>
      </w:r>
      <w:r w:rsidR="00FB7FF5">
        <w:rPr>
          <w:sz w:val="21"/>
          <w:szCs w:val="21"/>
        </w:rPr>
        <w:t>Mr. Webster</w:t>
      </w:r>
      <w:r w:rsidR="006D5846">
        <w:rPr>
          <w:sz w:val="21"/>
          <w:szCs w:val="21"/>
        </w:rPr>
        <w:t>:</w:t>
      </w:r>
    </w:p>
    <w:p w:rsidR="00B45673" w:rsidRPr="00AB60E6" w:rsidRDefault="00B45673" w:rsidP="00B45673">
      <w:pPr>
        <w:rPr>
          <w:sz w:val="21"/>
          <w:szCs w:val="21"/>
        </w:rPr>
      </w:pPr>
    </w:p>
    <w:p w:rsidR="00E8069B" w:rsidRDefault="00B45673" w:rsidP="00DD2FE2">
      <w:pPr>
        <w:rPr>
          <w:sz w:val="21"/>
          <w:szCs w:val="21"/>
        </w:rPr>
      </w:pPr>
      <w:r w:rsidRPr="00AB60E6">
        <w:rPr>
          <w:sz w:val="21"/>
          <w:szCs w:val="21"/>
        </w:rPr>
        <w:tab/>
      </w:r>
      <w:r w:rsidR="00AB60E6" w:rsidRPr="00AB60E6">
        <w:rPr>
          <w:sz w:val="21"/>
          <w:szCs w:val="21"/>
        </w:rPr>
        <w:tab/>
      </w:r>
      <w:r w:rsidR="006861B6">
        <w:rPr>
          <w:sz w:val="21"/>
          <w:szCs w:val="21"/>
        </w:rPr>
        <w:t xml:space="preserve">On </w:t>
      </w:r>
      <w:r w:rsidR="00FB7FF5">
        <w:rPr>
          <w:sz w:val="21"/>
          <w:szCs w:val="21"/>
        </w:rPr>
        <w:t>November 30, 2012</w:t>
      </w:r>
      <w:r w:rsidR="006861B6">
        <w:rPr>
          <w:sz w:val="21"/>
          <w:szCs w:val="21"/>
        </w:rPr>
        <w:t xml:space="preserve">, </w:t>
      </w:r>
      <w:r w:rsidR="00FB7FF5">
        <w:rPr>
          <w:sz w:val="21"/>
          <w:szCs w:val="21"/>
        </w:rPr>
        <w:t>PECO</w:t>
      </w:r>
      <w:r w:rsidR="006861B6">
        <w:rPr>
          <w:sz w:val="21"/>
          <w:szCs w:val="21"/>
        </w:rPr>
        <w:t xml:space="preserve"> </w:t>
      </w:r>
      <w:r w:rsidR="00FB7FF5">
        <w:rPr>
          <w:sz w:val="21"/>
          <w:szCs w:val="21"/>
        </w:rPr>
        <w:t>(</w:t>
      </w:r>
      <w:r w:rsidR="004F5F75">
        <w:rPr>
          <w:sz w:val="21"/>
          <w:szCs w:val="21"/>
        </w:rPr>
        <w:t>C</w:t>
      </w:r>
      <w:r w:rsidR="006861B6">
        <w:rPr>
          <w:sz w:val="21"/>
          <w:szCs w:val="21"/>
        </w:rPr>
        <w:t>ompany</w:t>
      </w:r>
      <w:r w:rsidR="00FB7FF5">
        <w:rPr>
          <w:sz w:val="21"/>
          <w:szCs w:val="21"/>
        </w:rPr>
        <w:t>)</w:t>
      </w:r>
      <w:r w:rsidR="004F5F75">
        <w:rPr>
          <w:sz w:val="21"/>
          <w:szCs w:val="21"/>
        </w:rPr>
        <w:t xml:space="preserve"> filed </w:t>
      </w:r>
      <w:r w:rsidR="00FB7FF5">
        <w:rPr>
          <w:sz w:val="21"/>
          <w:szCs w:val="21"/>
        </w:rPr>
        <w:t xml:space="preserve">Supplement No. 57 to Tariff Electric Pa. P.U.C. No. 4 </w:t>
      </w:r>
      <w:r w:rsidR="00E8069B">
        <w:rPr>
          <w:sz w:val="21"/>
          <w:szCs w:val="21"/>
        </w:rPr>
        <w:t xml:space="preserve">to become effective </w:t>
      </w:r>
      <w:r w:rsidR="00FB7FF5">
        <w:rPr>
          <w:sz w:val="21"/>
          <w:szCs w:val="21"/>
        </w:rPr>
        <w:t>January 29, 2013</w:t>
      </w:r>
      <w:r w:rsidR="00E8069B">
        <w:rPr>
          <w:sz w:val="21"/>
          <w:szCs w:val="21"/>
        </w:rPr>
        <w:t>.</w:t>
      </w:r>
      <w:r w:rsidR="00FB7FF5">
        <w:rPr>
          <w:sz w:val="21"/>
          <w:szCs w:val="21"/>
        </w:rPr>
        <w:t xml:space="preserve">  Supplement No. 57 was filed as a “</w:t>
      </w:r>
      <w:r w:rsidR="00EA5C83">
        <w:rPr>
          <w:sz w:val="21"/>
          <w:szCs w:val="21"/>
        </w:rPr>
        <w:t>H</w:t>
      </w:r>
      <w:r w:rsidR="00FB7FF5">
        <w:rPr>
          <w:sz w:val="21"/>
          <w:szCs w:val="21"/>
        </w:rPr>
        <w:t>ousekeeping” supplement which c</w:t>
      </w:r>
      <w:r w:rsidR="00EA5C83">
        <w:rPr>
          <w:sz w:val="21"/>
          <w:szCs w:val="21"/>
        </w:rPr>
        <w:t xml:space="preserve">ontains revisions to implement </w:t>
      </w:r>
      <w:r w:rsidR="00FB7FF5">
        <w:rPr>
          <w:sz w:val="21"/>
          <w:szCs w:val="21"/>
        </w:rPr>
        <w:t xml:space="preserve">the required tariff changes in accordance with the Company’s 2011-2013 Default Service Program and Rate Mitigation Joint Settlement at Docket No. </w:t>
      </w:r>
      <w:proofErr w:type="gramStart"/>
      <w:r w:rsidR="00FB7FF5">
        <w:rPr>
          <w:sz w:val="21"/>
          <w:szCs w:val="21"/>
        </w:rPr>
        <w:t>P-2008-2062739.</w:t>
      </w:r>
      <w:proofErr w:type="gramEnd"/>
      <w:r w:rsidR="00FB7FF5">
        <w:rPr>
          <w:sz w:val="21"/>
          <w:szCs w:val="21"/>
        </w:rPr>
        <w:t xml:space="preserve">  In addition, Supplement No. 57 contains additional “Housekeeping” changes to remove expiring tariff provisions </w:t>
      </w:r>
      <w:r w:rsidR="00EA5C83">
        <w:rPr>
          <w:sz w:val="21"/>
          <w:szCs w:val="21"/>
        </w:rPr>
        <w:t>pursuant to the Joint Petition for Settlement of Rate Investigation at</w:t>
      </w:r>
      <w:r w:rsidR="00B84E3C">
        <w:rPr>
          <w:sz w:val="21"/>
          <w:szCs w:val="21"/>
        </w:rPr>
        <w:t xml:space="preserve"> Docket No. </w:t>
      </w:r>
      <w:proofErr w:type="gramStart"/>
      <w:r w:rsidR="00B84E3C">
        <w:rPr>
          <w:sz w:val="21"/>
          <w:szCs w:val="21"/>
        </w:rPr>
        <w:t>R-2010-2161575.</w:t>
      </w:r>
      <w:proofErr w:type="gramEnd"/>
      <w:r w:rsidR="00B84E3C">
        <w:rPr>
          <w:sz w:val="21"/>
          <w:szCs w:val="21"/>
        </w:rPr>
        <w:t xml:space="preserve">  </w:t>
      </w:r>
      <w:r w:rsidR="00FB7FF5">
        <w:rPr>
          <w:sz w:val="21"/>
          <w:szCs w:val="21"/>
        </w:rPr>
        <w:t xml:space="preserve">  </w:t>
      </w:r>
      <w:r w:rsidR="00E8069B">
        <w:rPr>
          <w:sz w:val="21"/>
          <w:szCs w:val="21"/>
        </w:rPr>
        <w:t xml:space="preserve">  </w:t>
      </w:r>
    </w:p>
    <w:p w:rsidR="00757E90" w:rsidRDefault="00757E90" w:rsidP="00DD2FE2">
      <w:pPr>
        <w:rPr>
          <w:sz w:val="21"/>
          <w:szCs w:val="21"/>
        </w:rPr>
      </w:pPr>
    </w:p>
    <w:p w:rsidR="00A4155F" w:rsidRDefault="00757E90" w:rsidP="00757E90">
      <w:pPr>
        <w:ind w:hanging="1080"/>
        <w:rPr>
          <w:sz w:val="21"/>
          <w:szCs w:val="21"/>
        </w:rPr>
      </w:pPr>
      <w:r>
        <w:rPr>
          <w:sz w:val="21"/>
          <w:szCs w:val="21"/>
        </w:rPr>
        <w:tab/>
      </w:r>
      <w:r>
        <w:rPr>
          <w:sz w:val="21"/>
          <w:szCs w:val="21"/>
        </w:rPr>
        <w:tab/>
      </w:r>
      <w:r>
        <w:rPr>
          <w:sz w:val="21"/>
          <w:szCs w:val="21"/>
        </w:rPr>
        <w:tab/>
      </w:r>
      <w:r w:rsidR="00A4155F">
        <w:rPr>
          <w:sz w:val="21"/>
          <w:szCs w:val="21"/>
        </w:rPr>
        <w:t xml:space="preserve">Commission Staff has reviewed the tariff revisions and found that suspension or further investigation does not appear warranted at this time.  Therefore, in accordance with 52 Pa. Code, </w:t>
      </w:r>
      <w:r w:rsidR="00B84E3C">
        <w:rPr>
          <w:sz w:val="21"/>
          <w:szCs w:val="21"/>
        </w:rPr>
        <w:t xml:space="preserve">Supplement No. 57 to Tariff Electric Pa. P.U.C. No. 4 </w:t>
      </w:r>
      <w:r w:rsidR="00A4155F">
        <w:rPr>
          <w:sz w:val="21"/>
          <w:szCs w:val="21"/>
        </w:rPr>
        <w:t>is effective by operation of law according to the effective dates contained on each page of the supplement.  However, this is without prejudice to any formal complaints timely filed against said tariff revision.</w:t>
      </w:r>
    </w:p>
    <w:p w:rsidR="00A4155F" w:rsidRDefault="00A4155F" w:rsidP="00757E90">
      <w:pPr>
        <w:ind w:hanging="1080"/>
        <w:rPr>
          <w:sz w:val="21"/>
          <w:szCs w:val="21"/>
        </w:rPr>
      </w:pPr>
    </w:p>
    <w:p w:rsidR="00A4155F" w:rsidRDefault="00A4155F" w:rsidP="00757E90">
      <w:pPr>
        <w:ind w:hanging="1080"/>
        <w:rPr>
          <w:sz w:val="21"/>
          <w:szCs w:val="21"/>
        </w:rPr>
      </w:pPr>
      <w:r>
        <w:rPr>
          <w:sz w:val="21"/>
          <w:szCs w:val="21"/>
        </w:rPr>
        <w:tab/>
      </w:r>
      <w:r>
        <w:rPr>
          <w:sz w:val="21"/>
          <w:szCs w:val="21"/>
        </w:rPr>
        <w:tab/>
      </w:r>
      <w:r>
        <w:rPr>
          <w:sz w:val="21"/>
          <w:szCs w:val="21"/>
        </w:rPr>
        <w:tab/>
        <w:t xml:space="preserve">If you have any questions in this matter, please contact </w:t>
      </w:r>
      <w:r w:rsidR="00B84E3C">
        <w:rPr>
          <w:sz w:val="21"/>
          <w:szCs w:val="21"/>
        </w:rPr>
        <w:t>Marissa Boyle</w:t>
      </w:r>
      <w:r>
        <w:rPr>
          <w:sz w:val="21"/>
          <w:szCs w:val="21"/>
        </w:rPr>
        <w:t xml:space="preserve">, Bureau of Technical Utility Services, at </w:t>
      </w:r>
      <w:r w:rsidR="00B84E3C">
        <w:rPr>
          <w:sz w:val="21"/>
          <w:szCs w:val="21"/>
        </w:rPr>
        <w:t>717-787-7237</w:t>
      </w:r>
      <w:r>
        <w:rPr>
          <w:sz w:val="21"/>
          <w:szCs w:val="21"/>
        </w:rPr>
        <w:t xml:space="preserve"> or </w:t>
      </w:r>
      <w:hyperlink r:id="rId9" w:history="1">
        <w:r w:rsidR="00B84E3C" w:rsidRPr="00506B22">
          <w:rPr>
            <w:rStyle w:val="Hyperlink"/>
            <w:sz w:val="21"/>
            <w:szCs w:val="21"/>
          </w:rPr>
          <w:t>maboyle@pa.gov</w:t>
        </w:r>
      </w:hyperlink>
      <w:r w:rsidR="00B84E3C">
        <w:rPr>
          <w:sz w:val="21"/>
          <w:szCs w:val="21"/>
        </w:rPr>
        <w:t xml:space="preserve">.  </w:t>
      </w:r>
    </w:p>
    <w:p w:rsidR="00B84E3C" w:rsidRDefault="00B84E3C" w:rsidP="00757E90">
      <w:pPr>
        <w:ind w:hanging="1080"/>
        <w:rPr>
          <w:sz w:val="21"/>
          <w:szCs w:val="21"/>
        </w:rPr>
      </w:pPr>
    </w:p>
    <w:p w:rsidR="00B84E3C" w:rsidRDefault="00B84E3C" w:rsidP="00757E90">
      <w:pPr>
        <w:ind w:hanging="1080"/>
        <w:rPr>
          <w:sz w:val="21"/>
          <w:szCs w:val="21"/>
        </w:rPr>
      </w:pPr>
    </w:p>
    <w:p w:rsidR="00B84E3C" w:rsidRDefault="00B84E3C" w:rsidP="00757E90">
      <w:pPr>
        <w:ind w:hanging="1080"/>
        <w:rPr>
          <w:sz w:val="21"/>
          <w:szCs w:val="21"/>
        </w:rPr>
      </w:pPr>
    </w:p>
    <w:p w:rsidR="00B84E3C" w:rsidRDefault="00B84E3C" w:rsidP="00757E90">
      <w:pPr>
        <w:ind w:hanging="1080"/>
        <w:rPr>
          <w:sz w:val="21"/>
          <w:szCs w:val="21"/>
        </w:rPr>
      </w:pPr>
    </w:p>
    <w:p w:rsidR="00B84E3C" w:rsidRDefault="00B84E3C" w:rsidP="00757E90">
      <w:pPr>
        <w:ind w:hanging="1080"/>
        <w:rPr>
          <w:sz w:val="21"/>
          <w:szCs w:val="21"/>
        </w:rPr>
      </w:pPr>
    </w:p>
    <w:p w:rsidR="00DD2FE2" w:rsidRPr="00AB60E6" w:rsidRDefault="00A12E74" w:rsidP="00DD2FE2">
      <w:pPr>
        <w:rPr>
          <w:sz w:val="21"/>
          <w:szCs w:val="21"/>
        </w:rPr>
      </w:pPr>
      <w:r>
        <w:rPr>
          <w:noProof/>
        </w:rPr>
        <w:drawing>
          <wp:anchor distT="0" distB="0" distL="114300" distR="114300" simplePos="0" relativeHeight="251658240" behindDoc="1" locked="0" layoutInCell="1" allowOverlap="1" wp14:anchorId="2265B577" wp14:editId="32EF680E">
            <wp:simplePos x="0" y="0"/>
            <wp:positionH relativeFrom="column">
              <wp:posOffset>3097530</wp:posOffset>
            </wp:positionH>
            <wp:positionV relativeFrom="paragraph">
              <wp:posOffset>-1270</wp:posOffset>
            </wp:positionV>
            <wp:extent cx="2200275" cy="838200"/>
            <wp:effectExtent l="0" t="0" r="9525" b="0"/>
            <wp:wrapNone/>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Sincerely</w:t>
      </w:r>
      <w:r w:rsidR="00033DFF">
        <w:rPr>
          <w:sz w:val="21"/>
          <w:szCs w:val="21"/>
        </w:rPr>
        <w:t>,</w:t>
      </w:r>
    </w:p>
    <w:p w:rsidR="00DD2FE2" w:rsidRPr="00AB60E6" w:rsidRDefault="00DD2FE2" w:rsidP="00DD2FE2">
      <w:pPr>
        <w:rPr>
          <w:sz w:val="21"/>
          <w:szCs w:val="21"/>
        </w:rPr>
      </w:pPr>
    </w:p>
    <w:p w:rsidR="00DD2FE2" w:rsidRPr="00AB60E6" w:rsidRDefault="00DD2FE2" w:rsidP="00DD2FE2">
      <w:pPr>
        <w:rPr>
          <w:sz w:val="21"/>
          <w:szCs w:val="21"/>
        </w:rPr>
      </w:pPr>
    </w:p>
    <w:p w:rsidR="00DD2FE2" w:rsidRPr="00AB60E6" w:rsidRDefault="00DD2FE2" w:rsidP="00DD2FE2">
      <w:pPr>
        <w:rPr>
          <w:sz w:val="21"/>
          <w:szCs w:val="21"/>
        </w:rPr>
      </w:pPr>
      <w:bookmarkStart w:id="0" w:name="_GoBack"/>
      <w:bookmarkEnd w:id="0"/>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005056CA">
        <w:rPr>
          <w:sz w:val="21"/>
          <w:szCs w:val="21"/>
        </w:rPr>
        <w:t>Rosemary Chiavetta</w:t>
      </w:r>
    </w:p>
    <w:p w:rsidR="00DD2FE2" w:rsidRPr="00AB60E6" w:rsidRDefault="00DD2FE2" w:rsidP="00DD2FE2">
      <w:pPr>
        <w:rPr>
          <w:sz w:val="21"/>
          <w:szCs w:val="21"/>
        </w:rPr>
      </w:pP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r>
      <w:r w:rsidRPr="00AB60E6">
        <w:rPr>
          <w:sz w:val="21"/>
          <w:szCs w:val="21"/>
        </w:rPr>
        <w:tab/>
        <w:t>Secretary</w:t>
      </w:r>
    </w:p>
    <w:p w:rsidR="00AB60E6" w:rsidRDefault="00AB60E6" w:rsidP="00DD2FE2">
      <w:pPr>
        <w:rPr>
          <w:sz w:val="21"/>
          <w:szCs w:val="21"/>
        </w:rPr>
      </w:pPr>
    </w:p>
    <w:p w:rsidR="00DD2FE2" w:rsidRPr="00AB60E6" w:rsidRDefault="00DD2FE2" w:rsidP="00D16063">
      <w:pPr>
        <w:ind w:firstLine="720"/>
        <w:rPr>
          <w:sz w:val="21"/>
          <w:szCs w:val="21"/>
        </w:rPr>
      </w:pPr>
      <w:r w:rsidRPr="00AB60E6">
        <w:rPr>
          <w:sz w:val="21"/>
          <w:szCs w:val="21"/>
        </w:rPr>
        <w:tab/>
      </w:r>
    </w:p>
    <w:sectPr w:rsidR="00DD2FE2" w:rsidRPr="00AB60E6" w:rsidSect="00AB60E6">
      <w:type w:val="continuous"/>
      <w:pgSz w:w="12240" w:h="15840"/>
      <w:pgMar w:top="504" w:right="1152" w:bottom="864" w:left="115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21B0" w:rsidRDefault="004221B0">
      <w:r>
        <w:separator/>
      </w:r>
    </w:p>
  </w:endnote>
  <w:endnote w:type="continuationSeparator" w:id="0">
    <w:p w:rsidR="004221B0" w:rsidRDefault="004221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21B0" w:rsidRDefault="004221B0">
      <w:r>
        <w:separator/>
      </w:r>
    </w:p>
  </w:footnote>
  <w:footnote w:type="continuationSeparator" w:id="0">
    <w:p w:rsidR="004221B0" w:rsidRDefault="004221B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01FD"/>
    <w:rsid w:val="00033DFF"/>
    <w:rsid w:val="00071145"/>
    <w:rsid w:val="000832C4"/>
    <w:rsid w:val="000902D5"/>
    <w:rsid w:val="00097C11"/>
    <w:rsid w:val="000B058B"/>
    <w:rsid w:val="000C326E"/>
    <w:rsid w:val="000C6967"/>
    <w:rsid w:val="000D2908"/>
    <w:rsid w:val="000D353A"/>
    <w:rsid w:val="000E7F59"/>
    <w:rsid w:val="000F4747"/>
    <w:rsid w:val="00130671"/>
    <w:rsid w:val="001508ED"/>
    <w:rsid w:val="0017227E"/>
    <w:rsid w:val="001878A7"/>
    <w:rsid w:val="00255B27"/>
    <w:rsid w:val="00260FC4"/>
    <w:rsid w:val="002824E7"/>
    <w:rsid w:val="003461CD"/>
    <w:rsid w:val="003D1F83"/>
    <w:rsid w:val="003D45ED"/>
    <w:rsid w:val="003D613B"/>
    <w:rsid w:val="003F15D5"/>
    <w:rsid w:val="00400D28"/>
    <w:rsid w:val="004221B0"/>
    <w:rsid w:val="0043103D"/>
    <w:rsid w:val="00480B00"/>
    <w:rsid w:val="004C741D"/>
    <w:rsid w:val="004E42FD"/>
    <w:rsid w:val="004F5F75"/>
    <w:rsid w:val="005056CA"/>
    <w:rsid w:val="00512D8A"/>
    <w:rsid w:val="0056517B"/>
    <w:rsid w:val="005C7262"/>
    <w:rsid w:val="005E0496"/>
    <w:rsid w:val="005F0888"/>
    <w:rsid w:val="00610700"/>
    <w:rsid w:val="00612FDC"/>
    <w:rsid w:val="0064012A"/>
    <w:rsid w:val="00652F4C"/>
    <w:rsid w:val="006861B6"/>
    <w:rsid w:val="006B2538"/>
    <w:rsid w:val="006D3506"/>
    <w:rsid w:val="006D3801"/>
    <w:rsid w:val="006D5846"/>
    <w:rsid w:val="006E681C"/>
    <w:rsid w:val="00727946"/>
    <w:rsid w:val="00735B63"/>
    <w:rsid w:val="00744865"/>
    <w:rsid w:val="00757E90"/>
    <w:rsid w:val="007C2FEA"/>
    <w:rsid w:val="00826337"/>
    <w:rsid w:val="00873C66"/>
    <w:rsid w:val="008A4C7A"/>
    <w:rsid w:val="008C4062"/>
    <w:rsid w:val="008D31D7"/>
    <w:rsid w:val="00920579"/>
    <w:rsid w:val="00926F9A"/>
    <w:rsid w:val="00946C8F"/>
    <w:rsid w:val="00953D93"/>
    <w:rsid w:val="009963A1"/>
    <w:rsid w:val="009D51DE"/>
    <w:rsid w:val="009E0384"/>
    <w:rsid w:val="00A12E74"/>
    <w:rsid w:val="00A338C4"/>
    <w:rsid w:val="00A4155F"/>
    <w:rsid w:val="00A51995"/>
    <w:rsid w:val="00AB60E6"/>
    <w:rsid w:val="00AC103C"/>
    <w:rsid w:val="00AC6EFD"/>
    <w:rsid w:val="00AE41F7"/>
    <w:rsid w:val="00B014FE"/>
    <w:rsid w:val="00B12AA0"/>
    <w:rsid w:val="00B224B4"/>
    <w:rsid w:val="00B32263"/>
    <w:rsid w:val="00B45673"/>
    <w:rsid w:val="00B45AC9"/>
    <w:rsid w:val="00B646A4"/>
    <w:rsid w:val="00B731A6"/>
    <w:rsid w:val="00B7409A"/>
    <w:rsid w:val="00B84E3C"/>
    <w:rsid w:val="00B86822"/>
    <w:rsid w:val="00B93058"/>
    <w:rsid w:val="00B95A27"/>
    <w:rsid w:val="00BB78EB"/>
    <w:rsid w:val="00BF6C18"/>
    <w:rsid w:val="00C04F4E"/>
    <w:rsid w:val="00C10E1B"/>
    <w:rsid w:val="00C13A42"/>
    <w:rsid w:val="00CD6821"/>
    <w:rsid w:val="00CE01FD"/>
    <w:rsid w:val="00D10508"/>
    <w:rsid w:val="00D16063"/>
    <w:rsid w:val="00D24FA2"/>
    <w:rsid w:val="00D678BC"/>
    <w:rsid w:val="00DA08E9"/>
    <w:rsid w:val="00DB7619"/>
    <w:rsid w:val="00DD2FE2"/>
    <w:rsid w:val="00DF3361"/>
    <w:rsid w:val="00E079DB"/>
    <w:rsid w:val="00E127CA"/>
    <w:rsid w:val="00E20E7B"/>
    <w:rsid w:val="00E372DE"/>
    <w:rsid w:val="00E605A0"/>
    <w:rsid w:val="00E8069B"/>
    <w:rsid w:val="00EA5C83"/>
    <w:rsid w:val="00F00F7F"/>
    <w:rsid w:val="00F2123C"/>
    <w:rsid w:val="00F22423"/>
    <w:rsid w:val="00F24BE1"/>
    <w:rsid w:val="00F4231E"/>
    <w:rsid w:val="00F70CBC"/>
    <w:rsid w:val="00F76505"/>
    <w:rsid w:val="00FB12EB"/>
    <w:rsid w:val="00FB7FF5"/>
    <w:rsid w:val="00FF461F"/>
    <w:rsid w:val="00FF63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46C8F"/>
  </w:style>
  <w:style w:type="paragraph" w:styleId="Heading1">
    <w:name w:val="heading 1"/>
    <w:basedOn w:val="Normal"/>
    <w:next w:val="Normal"/>
    <w:qFormat/>
    <w:rsid w:val="00946C8F"/>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946C8F"/>
    <w:pPr>
      <w:ind w:left="360"/>
    </w:pPr>
    <w:rPr>
      <w:sz w:val="24"/>
    </w:rPr>
  </w:style>
  <w:style w:type="paragraph" w:styleId="Header">
    <w:name w:val="header"/>
    <w:basedOn w:val="Normal"/>
    <w:rsid w:val="00946C8F"/>
    <w:pPr>
      <w:tabs>
        <w:tab w:val="center" w:pos="4320"/>
        <w:tab w:val="right" w:pos="8640"/>
      </w:tabs>
    </w:pPr>
  </w:style>
  <w:style w:type="paragraph" w:styleId="Footer">
    <w:name w:val="footer"/>
    <w:basedOn w:val="Normal"/>
    <w:rsid w:val="00946C8F"/>
    <w:pPr>
      <w:tabs>
        <w:tab w:val="center" w:pos="4320"/>
        <w:tab w:val="right" w:pos="8640"/>
      </w:tabs>
    </w:pPr>
  </w:style>
  <w:style w:type="paragraph" w:styleId="BalloonText">
    <w:name w:val="Balloon Text"/>
    <w:basedOn w:val="Normal"/>
    <w:semiHidden/>
    <w:rsid w:val="000F4747"/>
    <w:rPr>
      <w:rFonts w:ascii="Tahoma" w:hAnsi="Tahoma" w:cs="Tahoma"/>
      <w:sz w:val="16"/>
      <w:szCs w:val="16"/>
    </w:rPr>
  </w:style>
  <w:style w:type="character" w:styleId="Hyperlink">
    <w:name w:val="Hyperlink"/>
    <w:basedOn w:val="DefaultParagraphFont"/>
    <w:rsid w:val="00A415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mailto:maboyle@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258</Words>
  <Characters>1473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1728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MCDONALD</dc:creator>
  <cp:lastModifiedBy>Hinds, Margaret</cp:lastModifiedBy>
  <cp:revision>4</cp:revision>
  <cp:lastPrinted>2013-01-23T14:25:00Z</cp:lastPrinted>
  <dcterms:created xsi:type="dcterms:W3CDTF">2013-01-18T21:03:00Z</dcterms:created>
  <dcterms:modified xsi:type="dcterms:W3CDTF">2013-01-23T14:25:00Z</dcterms:modified>
</cp:coreProperties>
</file>