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FD" w:rsidRPr="00543D2F" w:rsidRDefault="00683AFD" w:rsidP="00683AFD">
      <w:pPr>
        <w:jc w:val="center"/>
        <w:outlineLvl w:val="0"/>
        <w:rPr>
          <w:b/>
          <w:sz w:val="24"/>
          <w:szCs w:val="24"/>
        </w:rPr>
      </w:pPr>
      <w:r w:rsidRPr="00543D2F">
        <w:rPr>
          <w:b/>
          <w:sz w:val="24"/>
          <w:szCs w:val="24"/>
        </w:rPr>
        <w:t>BEFORE THE</w:t>
      </w:r>
    </w:p>
    <w:p w:rsidR="00683AFD" w:rsidRPr="00543D2F" w:rsidRDefault="00683AFD" w:rsidP="00683AFD">
      <w:pPr>
        <w:jc w:val="center"/>
        <w:outlineLvl w:val="0"/>
        <w:rPr>
          <w:b/>
          <w:sz w:val="24"/>
          <w:szCs w:val="24"/>
        </w:rPr>
      </w:pPr>
      <w:smartTag w:uri="urn:schemas-microsoft-com:office:smarttags" w:element="place">
        <w:smartTag w:uri="urn:schemas-microsoft-com:office:smarttags" w:element="State">
          <w:r w:rsidRPr="00543D2F">
            <w:rPr>
              <w:b/>
              <w:sz w:val="24"/>
              <w:szCs w:val="24"/>
            </w:rPr>
            <w:t>PENNSYLVANIA</w:t>
          </w:r>
        </w:smartTag>
      </w:smartTag>
      <w:r w:rsidRPr="00543D2F">
        <w:rPr>
          <w:b/>
          <w:sz w:val="24"/>
          <w:szCs w:val="24"/>
        </w:rPr>
        <w:t xml:space="preserve"> PUBLIC UTILITY COMMISSION</w:t>
      </w:r>
    </w:p>
    <w:p w:rsidR="00683AFD" w:rsidRPr="00543D2F" w:rsidRDefault="00683AFD" w:rsidP="00683AFD">
      <w:pPr>
        <w:jc w:val="center"/>
        <w:rPr>
          <w:sz w:val="24"/>
          <w:szCs w:val="24"/>
        </w:rPr>
      </w:pPr>
    </w:p>
    <w:p w:rsidR="00683AFD" w:rsidRPr="00543D2F" w:rsidRDefault="00683AFD" w:rsidP="00683AFD">
      <w:pPr>
        <w:jc w:val="center"/>
        <w:rPr>
          <w:sz w:val="24"/>
          <w:szCs w:val="24"/>
        </w:rPr>
      </w:pPr>
    </w:p>
    <w:p w:rsidR="00683AFD" w:rsidRPr="00543D2F" w:rsidRDefault="00683AFD" w:rsidP="00683AFD">
      <w:pPr>
        <w:jc w:val="center"/>
        <w:rPr>
          <w:sz w:val="24"/>
          <w:szCs w:val="24"/>
        </w:rPr>
      </w:pPr>
    </w:p>
    <w:p w:rsidR="00683AFD" w:rsidRPr="00543D2F" w:rsidRDefault="00683AFD" w:rsidP="00683AFD">
      <w:pPr>
        <w:tabs>
          <w:tab w:val="left" w:pos="-720"/>
        </w:tabs>
        <w:suppressAutoHyphens/>
      </w:pPr>
      <w:r w:rsidRPr="00543D2F">
        <w:rPr>
          <w:sz w:val="24"/>
          <w:szCs w:val="24"/>
        </w:rPr>
        <w:t>Tina Bearden</w:t>
      </w:r>
      <w:r w:rsidRPr="00543D2F">
        <w:rPr>
          <w:sz w:val="24"/>
          <w:szCs w:val="24"/>
        </w:rPr>
        <w:tab/>
      </w:r>
      <w:r w:rsidRPr="00543D2F">
        <w:tab/>
      </w:r>
      <w:r w:rsidRPr="00543D2F">
        <w:tab/>
      </w:r>
      <w:r w:rsidRPr="00543D2F">
        <w:tab/>
      </w:r>
      <w:r w:rsidRPr="00543D2F">
        <w:tab/>
      </w:r>
      <w:r w:rsidRPr="00543D2F">
        <w:tab/>
        <w:t>:</w:t>
      </w:r>
      <w:r w:rsidRPr="00543D2F">
        <w:tab/>
      </w:r>
    </w:p>
    <w:p w:rsidR="00683AFD" w:rsidRPr="00543D2F" w:rsidRDefault="00683AFD" w:rsidP="00683AFD">
      <w:pPr>
        <w:tabs>
          <w:tab w:val="left" w:pos="-720"/>
        </w:tabs>
        <w:suppressAutoHyphens/>
        <w:rPr>
          <w:spacing w:val="-3"/>
          <w:sz w:val="24"/>
          <w:szCs w:val="20"/>
        </w:rPr>
      </w:pP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t xml:space="preserve">: </w:t>
      </w:r>
      <w:r w:rsidRPr="00543D2F">
        <w:rPr>
          <w:spacing w:val="-3"/>
          <w:sz w:val="24"/>
          <w:szCs w:val="20"/>
        </w:rPr>
        <w:tab/>
      </w:r>
      <w:r w:rsidRPr="00543D2F">
        <w:rPr>
          <w:spacing w:val="-3"/>
          <w:sz w:val="24"/>
          <w:szCs w:val="20"/>
        </w:rPr>
        <w:tab/>
      </w:r>
    </w:p>
    <w:p w:rsidR="00683AFD" w:rsidRPr="00543D2F" w:rsidRDefault="00683AFD" w:rsidP="00683AFD">
      <w:pPr>
        <w:tabs>
          <w:tab w:val="left" w:pos="-720"/>
        </w:tabs>
        <w:suppressAutoHyphens/>
        <w:rPr>
          <w:spacing w:val="-3"/>
          <w:sz w:val="24"/>
          <w:szCs w:val="20"/>
        </w:rPr>
      </w:pPr>
      <w:r w:rsidRPr="00543D2F">
        <w:rPr>
          <w:spacing w:val="-3"/>
          <w:sz w:val="24"/>
          <w:szCs w:val="20"/>
        </w:rPr>
        <w:tab/>
        <w:t>v.</w:t>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t>:</w:t>
      </w:r>
      <w:r w:rsidRPr="00543D2F">
        <w:rPr>
          <w:spacing w:val="-3"/>
          <w:sz w:val="24"/>
          <w:szCs w:val="20"/>
        </w:rPr>
        <w:tab/>
      </w:r>
      <w:r w:rsidRPr="00543D2F">
        <w:rPr>
          <w:spacing w:val="-3"/>
          <w:sz w:val="24"/>
          <w:szCs w:val="20"/>
        </w:rPr>
        <w:tab/>
        <w:t>C-2012-2300186</w:t>
      </w:r>
    </w:p>
    <w:p w:rsidR="00683AFD" w:rsidRPr="00543D2F" w:rsidRDefault="00683AFD" w:rsidP="00683AFD">
      <w:pPr>
        <w:tabs>
          <w:tab w:val="left" w:pos="-720"/>
        </w:tabs>
        <w:suppressAutoHyphens/>
        <w:rPr>
          <w:spacing w:val="-3"/>
          <w:sz w:val="24"/>
          <w:szCs w:val="20"/>
        </w:rPr>
      </w:pP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r>
      <w:r w:rsidRPr="00543D2F">
        <w:rPr>
          <w:spacing w:val="-3"/>
          <w:sz w:val="24"/>
          <w:szCs w:val="20"/>
        </w:rPr>
        <w:tab/>
        <w:t>:</w:t>
      </w:r>
    </w:p>
    <w:p w:rsidR="00683AFD" w:rsidRPr="00543D2F" w:rsidRDefault="00683AFD" w:rsidP="00683AFD">
      <w:pPr>
        <w:tabs>
          <w:tab w:val="left" w:pos="-720"/>
        </w:tabs>
        <w:suppressAutoHyphens/>
        <w:rPr>
          <w:spacing w:val="-3"/>
          <w:sz w:val="24"/>
          <w:szCs w:val="24"/>
        </w:rPr>
      </w:pPr>
      <w:r w:rsidRPr="00543D2F">
        <w:rPr>
          <w:spacing w:val="-3"/>
          <w:sz w:val="24"/>
          <w:szCs w:val="20"/>
        </w:rPr>
        <w:t>PPL Electric Utilities Corporation</w:t>
      </w:r>
      <w:r w:rsidRPr="00543D2F">
        <w:rPr>
          <w:spacing w:val="-3"/>
          <w:sz w:val="24"/>
          <w:szCs w:val="20"/>
        </w:rPr>
        <w:tab/>
      </w:r>
      <w:r w:rsidRPr="00543D2F">
        <w:rPr>
          <w:spacing w:val="-3"/>
          <w:sz w:val="24"/>
          <w:szCs w:val="20"/>
        </w:rPr>
        <w:tab/>
      </w:r>
      <w:r w:rsidRPr="00543D2F">
        <w:rPr>
          <w:spacing w:val="-3"/>
          <w:sz w:val="24"/>
          <w:szCs w:val="20"/>
        </w:rPr>
        <w:tab/>
        <w:t>:</w:t>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r w:rsidRPr="00543D2F">
        <w:rPr>
          <w:spacing w:val="-3"/>
          <w:sz w:val="24"/>
          <w:szCs w:val="24"/>
        </w:rPr>
        <w:tab/>
      </w:r>
    </w:p>
    <w:p w:rsidR="00683AFD" w:rsidRPr="00543D2F" w:rsidRDefault="00683AFD" w:rsidP="00683AFD">
      <w:pPr>
        <w:tabs>
          <w:tab w:val="left" w:pos="-720"/>
        </w:tabs>
        <w:suppressAutoHyphens/>
        <w:rPr>
          <w:spacing w:val="-3"/>
          <w:sz w:val="24"/>
          <w:szCs w:val="24"/>
        </w:rPr>
      </w:pPr>
    </w:p>
    <w:p w:rsidR="00683AFD" w:rsidRPr="00543D2F" w:rsidRDefault="00683AFD" w:rsidP="00683AFD">
      <w:pPr>
        <w:tabs>
          <w:tab w:val="left" w:pos="-720"/>
        </w:tabs>
        <w:suppressAutoHyphens/>
        <w:rPr>
          <w:spacing w:val="-3"/>
          <w:sz w:val="24"/>
          <w:szCs w:val="24"/>
        </w:rPr>
      </w:pPr>
    </w:p>
    <w:p w:rsidR="00683AFD" w:rsidRPr="00543D2F" w:rsidRDefault="00683AFD" w:rsidP="00683AFD">
      <w:pPr>
        <w:jc w:val="center"/>
        <w:outlineLvl w:val="0"/>
        <w:rPr>
          <w:caps/>
          <w:sz w:val="24"/>
          <w:szCs w:val="24"/>
        </w:rPr>
      </w:pPr>
      <w:r w:rsidRPr="00543D2F">
        <w:rPr>
          <w:b/>
          <w:caps/>
          <w:sz w:val="24"/>
          <w:szCs w:val="24"/>
          <w:u w:val="single"/>
        </w:rPr>
        <w:t>INITIAL Decision</w:t>
      </w:r>
    </w:p>
    <w:p w:rsidR="00683AFD" w:rsidRPr="00543D2F" w:rsidRDefault="00683AFD" w:rsidP="00683AFD">
      <w:pPr>
        <w:jc w:val="center"/>
        <w:rPr>
          <w:b/>
          <w:sz w:val="24"/>
          <w:szCs w:val="24"/>
        </w:rPr>
      </w:pPr>
    </w:p>
    <w:p w:rsidR="00683AFD" w:rsidRPr="00543D2F" w:rsidRDefault="00683AFD" w:rsidP="00683AFD">
      <w:pPr>
        <w:jc w:val="center"/>
        <w:rPr>
          <w:sz w:val="24"/>
          <w:szCs w:val="24"/>
        </w:rPr>
      </w:pPr>
    </w:p>
    <w:p w:rsidR="00683AFD" w:rsidRPr="00543D2F" w:rsidRDefault="00683AFD" w:rsidP="00683AFD">
      <w:pPr>
        <w:jc w:val="center"/>
        <w:outlineLvl w:val="0"/>
        <w:rPr>
          <w:sz w:val="24"/>
          <w:szCs w:val="24"/>
        </w:rPr>
      </w:pPr>
      <w:r w:rsidRPr="00543D2F">
        <w:rPr>
          <w:sz w:val="24"/>
          <w:szCs w:val="24"/>
        </w:rPr>
        <w:t>Before</w:t>
      </w:r>
    </w:p>
    <w:p w:rsidR="00683AFD" w:rsidRPr="00543D2F" w:rsidRDefault="00683AFD" w:rsidP="00683AFD">
      <w:pPr>
        <w:jc w:val="center"/>
        <w:rPr>
          <w:sz w:val="24"/>
          <w:szCs w:val="24"/>
        </w:rPr>
      </w:pPr>
      <w:r w:rsidRPr="00543D2F">
        <w:rPr>
          <w:sz w:val="24"/>
          <w:szCs w:val="24"/>
        </w:rPr>
        <w:t>Ember S. Jandebeur</w:t>
      </w:r>
    </w:p>
    <w:p w:rsidR="00683AFD" w:rsidRPr="00543D2F" w:rsidRDefault="00683AFD" w:rsidP="00683AFD">
      <w:pPr>
        <w:jc w:val="center"/>
        <w:rPr>
          <w:sz w:val="24"/>
          <w:szCs w:val="24"/>
        </w:rPr>
      </w:pPr>
      <w:r w:rsidRPr="00543D2F">
        <w:rPr>
          <w:sz w:val="24"/>
          <w:szCs w:val="24"/>
        </w:rPr>
        <w:t xml:space="preserve">Administrative Law Judge </w:t>
      </w:r>
    </w:p>
    <w:p w:rsidR="00683AFD" w:rsidRPr="00543D2F" w:rsidRDefault="00683AFD" w:rsidP="00683AFD">
      <w:pPr>
        <w:jc w:val="center"/>
        <w:rPr>
          <w:b/>
          <w:sz w:val="24"/>
          <w:szCs w:val="24"/>
        </w:rPr>
      </w:pPr>
    </w:p>
    <w:p w:rsidR="00683AFD" w:rsidRPr="00543D2F" w:rsidRDefault="00683AFD" w:rsidP="00683AFD">
      <w:pPr>
        <w:jc w:val="center"/>
        <w:rPr>
          <w:b/>
          <w:sz w:val="24"/>
          <w:szCs w:val="24"/>
        </w:rPr>
      </w:pPr>
    </w:p>
    <w:p w:rsidR="00683AFD" w:rsidRPr="00543D2F" w:rsidRDefault="00683AFD" w:rsidP="00683AFD">
      <w:pPr>
        <w:spacing w:line="360" w:lineRule="auto"/>
        <w:jc w:val="center"/>
        <w:rPr>
          <w:sz w:val="24"/>
          <w:szCs w:val="24"/>
          <w:u w:val="single"/>
        </w:rPr>
      </w:pPr>
      <w:r w:rsidRPr="00543D2F">
        <w:rPr>
          <w:sz w:val="24"/>
          <w:szCs w:val="24"/>
          <w:u w:val="single"/>
        </w:rPr>
        <w:t>HISTORY OF THE PROCEEDINGS</w:t>
      </w:r>
    </w:p>
    <w:p w:rsidR="00683AFD" w:rsidRPr="00543D2F" w:rsidRDefault="00683AFD" w:rsidP="00683AFD">
      <w:pPr>
        <w:tabs>
          <w:tab w:val="left" w:pos="-1440"/>
          <w:tab w:val="left" w:pos="-720"/>
        </w:tabs>
        <w:suppressAutoHyphens/>
        <w:spacing w:line="360" w:lineRule="auto"/>
        <w:ind w:firstLine="1440"/>
        <w:rPr>
          <w:sz w:val="24"/>
          <w:szCs w:val="24"/>
        </w:rPr>
      </w:pPr>
    </w:p>
    <w:p w:rsidR="00683AFD" w:rsidRPr="00543D2F" w:rsidRDefault="00683AFD" w:rsidP="00683AFD">
      <w:pPr>
        <w:tabs>
          <w:tab w:val="left" w:pos="-1440"/>
          <w:tab w:val="left" w:pos="-720"/>
        </w:tabs>
        <w:suppressAutoHyphens/>
        <w:spacing w:line="360" w:lineRule="auto"/>
        <w:ind w:firstLine="1440"/>
        <w:rPr>
          <w:sz w:val="24"/>
          <w:szCs w:val="24"/>
        </w:rPr>
      </w:pPr>
      <w:r w:rsidRPr="00543D2F">
        <w:rPr>
          <w:sz w:val="24"/>
          <w:szCs w:val="24"/>
        </w:rPr>
        <w:t xml:space="preserve">On or about April 18, 2012, Tina Bearden (Complainant) filed a Formal Complaint with the Pennsylvania Public Utility Commission against PPL Electric Utilities Corporation (Respondent or PPL) alleging that PPL had billed her incorrectly (“astronomically high” bills Tr. 13), improperly forwarded her account to a different distributor without her permission, and did not provide her the written results of conducted meter testing. </w:t>
      </w:r>
      <w:r>
        <w:rPr>
          <w:sz w:val="24"/>
          <w:szCs w:val="24"/>
        </w:rPr>
        <w:t xml:space="preserve"> </w:t>
      </w:r>
      <w:r w:rsidRPr="00543D2F">
        <w:rPr>
          <w:sz w:val="24"/>
          <w:szCs w:val="24"/>
        </w:rPr>
        <w:t xml:space="preserve">This case is an appeal from a prior informal Bureau of Consumer Services (BCS) decision at Case No. 2932784.  The BCS case was closed because the Complainant had not spoken with PPL first.  On or about May 14, 2012, the Respondent filed an </w:t>
      </w:r>
      <w:r w:rsidRPr="00543D2F">
        <w:rPr>
          <w:spacing w:val="-3"/>
          <w:sz w:val="24"/>
          <w:szCs w:val="24"/>
        </w:rPr>
        <w:t>Answer denying the material allegations of the Formal Complaint.</w:t>
      </w:r>
    </w:p>
    <w:p w:rsidR="00683AFD" w:rsidRPr="00543D2F" w:rsidRDefault="00683AFD" w:rsidP="00683AFD">
      <w:pPr>
        <w:tabs>
          <w:tab w:val="left" w:pos="2160"/>
        </w:tabs>
        <w:spacing w:line="360" w:lineRule="auto"/>
        <w:ind w:firstLine="1440"/>
        <w:rPr>
          <w:sz w:val="24"/>
          <w:szCs w:val="24"/>
        </w:rPr>
      </w:pPr>
    </w:p>
    <w:p w:rsidR="00683AFD" w:rsidRPr="00543D2F" w:rsidRDefault="00683AFD" w:rsidP="00683AFD">
      <w:pPr>
        <w:tabs>
          <w:tab w:val="left" w:pos="2160"/>
        </w:tabs>
        <w:spacing w:line="360" w:lineRule="auto"/>
        <w:ind w:firstLine="1440"/>
        <w:rPr>
          <w:sz w:val="24"/>
          <w:szCs w:val="24"/>
        </w:rPr>
      </w:pPr>
      <w:r w:rsidRPr="00543D2F">
        <w:rPr>
          <w:sz w:val="24"/>
          <w:szCs w:val="24"/>
        </w:rPr>
        <w:t xml:space="preserve">By Hearing Notice dated June 12, 2012, the parties were notified that an Initial Hearing in this case was scheduled for the morning of August 8, 2012.  A Prehearing Order was issued on June 15, 2012,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683AFD" w:rsidRPr="00543D2F" w:rsidRDefault="00683AFD" w:rsidP="00683AFD">
      <w:pPr>
        <w:spacing w:line="360" w:lineRule="auto"/>
        <w:ind w:firstLine="1440"/>
        <w:rPr>
          <w:sz w:val="24"/>
          <w:szCs w:val="24"/>
        </w:rPr>
      </w:pPr>
      <w:r w:rsidRPr="00543D2F">
        <w:rPr>
          <w:sz w:val="24"/>
          <w:szCs w:val="24"/>
        </w:rPr>
        <w:lastRenderedPageBreak/>
        <w:t xml:space="preserve">The hearing convened as scheduled.  The Complainant appeared </w:t>
      </w:r>
      <w:r w:rsidRPr="00543D2F">
        <w:rPr>
          <w:i/>
          <w:sz w:val="24"/>
          <w:szCs w:val="24"/>
        </w:rPr>
        <w:t xml:space="preserve">pro </w:t>
      </w:r>
      <w:proofErr w:type="gramStart"/>
      <w:r w:rsidRPr="00543D2F">
        <w:rPr>
          <w:i/>
          <w:sz w:val="24"/>
          <w:szCs w:val="24"/>
        </w:rPr>
        <w:t>se</w:t>
      </w:r>
      <w:r w:rsidRPr="00543D2F">
        <w:rPr>
          <w:sz w:val="24"/>
          <w:szCs w:val="24"/>
        </w:rPr>
        <w:t>,</w:t>
      </w:r>
      <w:proofErr w:type="gramEnd"/>
      <w:r w:rsidRPr="00543D2F">
        <w:rPr>
          <w:sz w:val="24"/>
          <w:szCs w:val="24"/>
        </w:rPr>
        <w:t xml:space="preserve"> the Respondent was represented by counsel.  </w:t>
      </w:r>
      <w:r>
        <w:rPr>
          <w:sz w:val="24"/>
          <w:szCs w:val="24"/>
        </w:rPr>
        <w:t>The hearing was continued to allow the Respondent to do a high bill investigation. The</w:t>
      </w:r>
      <w:r w:rsidRPr="00543D2F">
        <w:rPr>
          <w:sz w:val="24"/>
          <w:szCs w:val="24"/>
        </w:rPr>
        <w:t xml:space="preserve"> further hearing was held on October 15, 2012.  The Complainant appeared </w:t>
      </w:r>
      <w:r w:rsidRPr="00543D2F">
        <w:rPr>
          <w:i/>
          <w:sz w:val="24"/>
          <w:szCs w:val="24"/>
        </w:rPr>
        <w:t xml:space="preserve">pro </w:t>
      </w:r>
      <w:proofErr w:type="gramStart"/>
      <w:r w:rsidRPr="00543D2F">
        <w:rPr>
          <w:i/>
          <w:sz w:val="24"/>
          <w:szCs w:val="24"/>
        </w:rPr>
        <w:t>se</w:t>
      </w:r>
      <w:r w:rsidRPr="00543D2F">
        <w:rPr>
          <w:sz w:val="24"/>
          <w:szCs w:val="24"/>
        </w:rPr>
        <w:t>,</w:t>
      </w:r>
      <w:proofErr w:type="gramEnd"/>
      <w:r w:rsidRPr="00543D2F">
        <w:rPr>
          <w:sz w:val="24"/>
          <w:szCs w:val="24"/>
        </w:rPr>
        <w:t xml:space="preserve"> the Respondent again, was represented by counsel. </w:t>
      </w:r>
      <w:r>
        <w:rPr>
          <w:sz w:val="24"/>
          <w:szCs w:val="24"/>
        </w:rPr>
        <w:t xml:space="preserve"> </w:t>
      </w:r>
      <w:r w:rsidRPr="00543D2F">
        <w:rPr>
          <w:sz w:val="24"/>
          <w:szCs w:val="24"/>
        </w:rPr>
        <w:t>The Complainant proffered three (3) exhibits; all were entered into the record.  The Respondent proffered four (4) exhibits; all were entered into the record.  The Complainant testified on her own behalf.  The Respondent presented three (3) witnesses.  The record closed on November 15, 2012.</w:t>
      </w:r>
    </w:p>
    <w:p w:rsidR="00683AFD" w:rsidRPr="00543D2F" w:rsidRDefault="00683AFD" w:rsidP="00683AFD">
      <w:pPr>
        <w:spacing w:line="360" w:lineRule="auto"/>
        <w:ind w:firstLine="1440"/>
        <w:rPr>
          <w:sz w:val="24"/>
          <w:szCs w:val="24"/>
        </w:rPr>
      </w:pPr>
    </w:p>
    <w:p w:rsidR="00683AFD" w:rsidRPr="00543D2F" w:rsidRDefault="00683AFD" w:rsidP="00683AFD">
      <w:pPr>
        <w:spacing w:line="360" w:lineRule="auto"/>
        <w:jc w:val="center"/>
        <w:rPr>
          <w:sz w:val="24"/>
          <w:szCs w:val="24"/>
          <w:u w:val="single"/>
        </w:rPr>
      </w:pPr>
      <w:r w:rsidRPr="00543D2F">
        <w:rPr>
          <w:sz w:val="24"/>
          <w:szCs w:val="24"/>
          <w:u w:val="single"/>
        </w:rPr>
        <w:t>FINDINGS OF FACT</w:t>
      </w:r>
    </w:p>
    <w:p w:rsidR="00683AFD" w:rsidRPr="00543D2F" w:rsidRDefault="00683AFD" w:rsidP="00683AFD">
      <w:pPr>
        <w:spacing w:line="360" w:lineRule="auto"/>
        <w:jc w:val="center"/>
        <w:rPr>
          <w:sz w:val="24"/>
          <w:szCs w:val="24"/>
          <w:u w:val="single"/>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is a current customer of the Respondent’s and receives electric service from the Respondent at 2338 White Oak Drive, East Stroudsburg, Pennsylvania 18301.  Tr. 7, 8.</w:t>
      </w:r>
    </w:p>
    <w:p w:rsidR="00683AFD" w:rsidRPr="00543D2F" w:rsidRDefault="00683AFD" w:rsidP="00683AFD">
      <w:pPr>
        <w:spacing w:line="360" w:lineRule="auto"/>
        <w:ind w:left="1440"/>
        <w:rPr>
          <w:sz w:val="24"/>
          <w:szCs w:val="24"/>
        </w:rPr>
      </w:pPr>
      <w:r w:rsidRPr="00543D2F">
        <w:rPr>
          <w:sz w:val="24"/>
          <w:szCs w:val="24"/>
        </w:rPr>
        <w:t xml:space="preserve"> </w:t>
      </w: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Respondent is a jurisdictional utility providing electric service in Pennsylvania.</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This complaint is an appeal of a BCS decision.  Tr. 9.</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has not changed any electrical appliances during the period relevant to this Formal Complaint.  Tr. 15, 88.</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Complainant’s home ha</w:t>
      </w:r>
      <w:r>
        <w:rPr>
          <w:sz w:val="24"/>
          <w:szCs w:val="24"/>
        </w:rPr>
        <w:t>s</w:t>
      </w:r>
      <w:r w:rsidRPr="00543D2F">
        <w:rPr>
          <w:sz w:val="24"/>
          <w:szCs w:val="24"/>
        </w:rPr>
        <w:t xml:space="preserve"> four (4) bedrooms.  The Complainant lowers the thermostat in the unoccupied ones, but her bill does not change.  Tr. 16.</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owns her home of approximately 1,500 square feet.  Tr. 17.</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1,500 square feet includes a garage that has approximately four (4) feet of baseboard heat.  Tr. 61.</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home and garage are heated by electric baseboard heat.  Tr. 62.</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lastRenderedPageBreak/>
        <w:t>Each room in the home has an individual digital thermostat.  Tr. 62.</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There are three (3) adults living in the home.  Tr. 63.</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number of residents in the home has fluctuated between two (2) and three (3).</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home has a living room, dining room, family room, kitchen, and two and one half baths.  Tr. 17.</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asserts that she did not give the Respondent permission to change her distributor.  Tr. 18.</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On March 23, 2012, the Complainant informed the Respondent that she wanted her distribution and supply to be provided by the Respondent.  Tr. 19.</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On March 23, 2012, the Respondent removed the Complainant’s meter for testing and replaced it with a new one.  Tr. 21, 22, 95.</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removed meter tested at 99.8% accuracy.  Tr. 96.</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BCS closed the informal case because the Complainant had not attempted to resolve the issues with the Respondent.  BCS Case No. 2932784.</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hearing on August 8, 2012, was continued to allow the Respondent to conduct a high bill investigation and to provide a written copy of the meter testing results to the Complainant.  The Respondent did both.  Tr. 48.</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did not understand the difference between a billing period and the actual number of days in a month.  Tr. 67-69.</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 xml:space="preserve">The Complainant was not prepared to explain her </w:t>
      </w:r>
      <w:proofErr w:type="spellStart"/>
      <w:r w:rsidRPr="00543D2F">
        <w:rPr>
          <w:sz w:val="24"/>
          <w:szCs w:val="24"/>
        </w:rPr>
        <w:t>self produced</w:t>
      </w:r>
      <w:proofErr w:type="spellEnd"/>
      <w:r w:rsidRPr="00543D2F">
        <w:rPr>
          <w:sz w:val="24"/>
          <w:szCs w:val="24"/>
        </w:rPr>
        <w:t xml:space="preserve"> spreadsheet, C. Exhibit 1</w:t>
      </w:r>
      <w:r>
        <w:rPr>
          <w:sz w:val="24"/>
          <w:szCs w:val="24"/>
        </w:rPr>
        <w:t xml:space="preserve">. </w:t>
      </w:r>
      <w:r w:rsidRPr="00543D2F">
        <w:rPr>
          <w:sz w:val="24"/>
          <w:szCs w:val="24"/>
        </w:rPr>
        <w:t xml:space="preserve"> </w:t>
      </w:r>
      <w:r>
        <w:rPr>
          <w:sz w:val="24"/>
          <w:szCs w:val="24"/>
        </w:rPr>
        <w:t>S</w:t>
      </w:r>
      <w:r w:rsidRPr="00543D2F">
        <w:rPr>
          <w:sz w:val="24"/>
          <w:szCs w:val="24"/>
        </w:rPr>
        <w:t>he had used formulas while preparing Exhibit 1, but neglected to bring the formulas to the hearing.  Tr. 75, 76.</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lastRenderedPageBreak/>
        <w:t>The Complainant’s Exhibit 1 made no sense without being able to see the underlying formulas.</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was unable to explain her Exhibit 1 with coherence or cogency.  Tr. 27-82.</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 was unable to provide specific dates and amounts that she alleged the Respondent overcharged her.</w:t>
      </w:r>
    </w:p>
    <w:p w:rsidR="00683AFD" w:rsidRPr="00543D2F" w:rsidRDefault="00683AFD" w:rsidP="00683AFD">
      <w:pPr>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Heating potential is the ability of electric heaters in the home, baseboard, plug-ins, or other, to use electricity in the home.  Tr. 97.</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Complainant’s home has 56’ of baseboard heat, with the ability to use 10,080 KWH per 30 day period.  Tr. 98.</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10,080 KWH  is calculated by using 250 watts per foot, multiplied by 56’ and 24 hours daily for 30 days, or 250 x 56 x 24 x 30 = 10,080 KWH.  T</w:t>
      </w:r>
      <w:r>
        <w:rPr>
          <w:sz w:val="24"/>
          <w:szCs w:val="24"/>
        </w:rPr>
        <w:t>r</w:t>
      </w:r>
      <w:r w:rsidRPr="00543D2F">
        <w:rPr>
          <w:sz w:val="24"/>
          <w:szCs w:val="24"/>
        </w:rPr>
        <w:t>. 98.</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Complainant’s home has a 5,000 BTU air conditioner and a 12,000 BTU air conditioner, with the ability to use 1,836 KWH per 30 day period.  Tr. 99.</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 xml:space="preserve">Base usage in a home is anything not heating or cooling related, </w:t>
      </w:r>
      <w:r>
        <w:rPr>
          <w:sz w:val="24"/>
          <w:szCs w:val="24"/>
        </w:rPr>
        <w:t>s</w:t>
      </w:r>
      <w:r w:rsidRPr="00543D2F">
        <w:rPr>
          <w:sz w:val="24"/>
          <w:szCs w:val="24"/>
        </w:rPr>
        <w:t>uch as appliances and water heaters.  The Complainant’s home has the ability to use 1,522 KWH for a 30 day period.  Tr. 100.</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 xml:space="preserve">The ability of </w:t>
      </w:r>
      <w:r>
        <w:rPr>
          <w:sz w:val="24"/>
          <w:szCs w:val="24"/>
        </w:rPr>
        <w:t xml:space="preserve">a </w:t>
      </w:r>
      <w:r w:rsidRPr="00543D2F">
        <w:rPr>
          <w:sz w:val="24"/>
          <w:szCs w:val="24"/>
        </w:rPr>
        <w:t xml:space="preserve">home to use electricity and the actual electricity billed for are two different things.  Tr. 101, 106, 108, 112. </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clear" w:pos="2160"/>
        </w:tabs>
        <w:spacing w:line="360" w:lineRule="auto"/>
        <w:ind w:left="0" w:firstLine="1440"/>
        <w:rPr>
          <w:sz w:val="24"/>
          <w:szCs w:val="24"/>
        </w:rPr>
      </w:pPr>
      <w:r w:rsidRPr="00543D2F">
        <w:rPr>
          <w:sz w:val="24"/>
          <w:szCs w:val="24"/>
        </w:rPr>
        <w:t xml:space="preserve">The Complainant did not understand the difference between an assessment of a home’s </w:t>
      </w:r>
      <w:r w:rsidRPr="00543D2F">
        <w:rPr>
          <w:i/>
          <w:sz w:val="24"/>
          <w:szCs w:val="24"/>
        </w:rPr>
        <w:t>ability</w:t>
      </w:r>
      <w:r w:rsidRPr="00543D2F">
        <w:rPr>
          <w:sz w:val="24"/>
          <w:szCs w:val="24"/>
        </w:rPr>
        <w:t xml:space="preserve"> to consume electricity and the </w:t>
      </w:r>
      <w:r w:rsidRPr="00543D2F">
        <w:rPr>
          <w:i/>
          <w:sz w:val="24"/>
          <w:szCs w:val="24"/>
        </w:rPr>
        <w:t>actual</w:t>
      </w:r>
      <w:r w:rsidRPr="00543D2F">
        <w:rPr>
          <w:sz w:val="24"/>
          <w:szCs w:val="24"/>
        </w:rPr>
        <w:t xml:space="preserve"> consumption.  Tr. 112-113.</w:t>
      </w:r>
    </w:p>
    <w:p w:rsidR="00683AFD" w:rsidRPr="00543D2F" w:rsidRDefault="00683AFD" w:rsidP="00683AFD">
      <w:pPr>
        <w:pStyle w:val="ListParagraph"/>
        <w:rPr>
          <w:sz w:val="24"/>
          <w:szCs w:val="24"/>
        </w:rPr>
      </w:pP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t>The total KWH the Complainant’s home has the ability to use during cold months is the base of 1,522 plus the 10,080 for a total of 11,602 KWH.  The Complainant has never used that many KWH during a 30 day period.  Tr. 99-100.</w:t>
      </w:r>
    </w:p>
    <w:p w:rsidR="00683AFD" w:rsidRPr="00543D2F" w:rsidRDefault="00683AFD" w:rsidP="00683AFD">
      <w:pPr>
        <w:numPr>
          <w:ilvl w:val="0"/>
          <w:numId w:val="18"/>
        </w:numPr>
        <w:tabs>
          <w:tab w:val="left" w:pos="2160"/>
        </w:tabs>
        <w:spacing w:line="360" w:lineRule="auto"/>
        <w:ind w:left="0" w:firstLine="1440"/>
        <w:rPr>
          <w:sz w:val="24"/>
          <w:szCs w:val="24"/>
        </w:rPr>
      </w:pPr>
      <w:r w:rsidRPr="00543D2F">
        <w:rPr>
          <w:sz w:val="24"/>
          <w:szCs w:val="24"/>
        </w:rPr>
        <w:lastRenderedPageBreak/>
        <w:t xml:space="preserve">As of September 5, 2012, the Complainant was </w:t>
      </w:r>
      <w:r>
        <w:rPr>
          <w:sz w:val="24"/>
          <w:szCs w:val="24"/>
        </w:rPr>
        <w:t>$</w:t>
      </w:r>
      <w:r w:rsidRPr="00543D2F">
        <w:rPr>
          <w:sz w:val="24"/>
          <w:szCs w:val="24"/>
        </w:rPr>
        <w:t>2,203.43 in arrears on her account.  Tr. 126.</w:t>
      </w:r>
    </w:p>
    <w:p w:rsidR="00683AFD" w:rsidRPr="00543D2F" w:rsidRDefault="00683AFD" w:rsidP="00683AFD">
      <w:pPr>
        <w:spacing w:line="360" w:lineRule="auto"/>
        <w:ind w:left="1440"/>
        <w:rPr>
          <w:sz w:val="24"/>
          <w:szCs w:val="24"/>
        </w:rPr>
      </w:pPr>
    </w:p>
    <w:p w:rsidR="00683AFD" w:rsidRPr="00543D2F" w:rsidRDefault="00683AFD" w:rsidP="00683AFD">
      <w:pPr>
        <w:spacing w:line="360" w:lineRule="auto"/>
        <w:jc w:val="center"/>
        <w:rPr>
          <w:sz w:val="24"/>
          <w:szCs w:val="24"/>
          <w:u w:val="single"/>
        </w:rPr>
      </w:pPr>
      <w:r w:rsidRPr="00543D2F">
        <w:rPr>
          <w:sz w:val="24"/>
          <w:szCs w:val="24"/>
          <w:u w:val="single"/>
        </w:rPr>
        <w:t>DISCUSSION</w:t>
      </w:r>
    </w:p>
    <w:p w:rsidR="00683AFD" w:rsidRPr="00543D2F" w:rsidRDefault="00683AFD" w:rsidP="00683AFD">
      <w:pPr>
        <w:spacing w:line="360" w:lineRule="auto"/>
        <w:jc w:val="center"/>
        <w:rPr>
          <w:sz w:val="24"/>
          <w:szCs w:val="24"/>
          <w:u w:val="single"/>
        </w:rPr>
      </w:pPr>
    </w:p>
    <w:p w:rsidR="00683AFD" w:rsidRPr="00543D2F" w:rsidRDefault="00683AFD" w:rsidP="00683AFD">
      <w:pPr>
        <w:spacing w:line="360" w:lineRule="auto"/>
        <w:rPr>
          <w:sz w:val="24"/>
          <w:szCs w:val="24"/>
        </w:rPr>
      </w:pPr>
      <w:r w:rsidRPr="00543D2F">
        <w:rPr>
          <w:sz w:val="24"/>
          <w:szCs w:val="24"/>
          <w:u w:val="single"/>
        </w:rPr>
        <w:t>Burden of Proof</w:t>
      </w:r>
      <w:r w:rsidRPr="00543D2F">
        <w:rPr>
          <w:sz w:val="24"/>
          <w:szCs w:val="24"/>
        </w:rPr>
        <w:t>:</w:t>
      </w:r>
    </w:p>
    <w:p w:rsidR="00683AFD" w:rsidRPr="00543D2F" w:rsidRDefault="00683AFD" w:rsidP="00683AFD">
      <w:pPr>
        <w:spacing w:line="360" w:lineRule="auto"/>
        <w:rPr>
          <w:sz w:val="24"/>
          <w:szCs w:val="24"/>
        </w:rPr>
      </w:pPr>
    </w:p>
    <w:p w:rsidR="00683AFD" w:rsidRPr="00543D2F" w:rsidRDefault="00683AFD" w:rsidP="00683AFD">
      <w:pPr>
        <w:spacing w:line="360" w:lineRule="auto"/>
        <w:ind w:firstLine="1440"/>
        <w:rPr>
          <w:sz w:val="24"/>
          <w:szCs w:val="24"/>
        </w:rPr>
      </w:pPr>
      <w:r w:rsidRPr="00543D2F">
        <w:rPr>
          <w:sz w:val="24"/>
          <w:szCs w:val="24"/>
        </w:rPr>
        <w:t xml:space="preserve">Section 332(a) of the Public Utility Code, </w:t>
      </w:r>
      <w:hyperlink r:id="rId9" w:history="1">
        <w:r w:rsidRPr="00543D2F">
          <w:rPr>
            <w:rStyle w:val="Hyperlink"/>
            <w:color w:val="auto"/>
            <w:sz w:val="24"/>
            <w:szCs w:val="24"/>
          </w:rPr>
          <w:t xml:space="preserve">66 Pa. </w:t>
        </w:r>
        <w:proofErr w:type="spellStart"/>
        <w:r w:rsidRPr="00543D2F">
          <w:rPr>
            <w:rStyle w:val="Hyperlink"/>
            <w:color w:val="auto"/>
            <w:sz w:val="24"/>
            <w:szCs w:val="24"/>
          </w:rPr>
          <w:t>C.S</w:t>
        </w:r>
        <w:proofErr w:type="spellEnd"/>
        <w:r w:rsidRPr="00543D2F">
          <w:rPr>
            <w:rStyle w:val="Hyperlink"/>
            <w:color w:val="auto"/>
            <w:sz w:val="24"/>
            <w:szCs w:val="24"/>
          </w:rPr>
          <w:t>. § 332(a)</w:t>
        </w:r>
      </w:hyperlink>
      <w:r w:rsidRPr="00543D2F">
        <w:rPr>
          <w:sz w:val="24"/>
          <w:szCs w:val="24"/>
        </w:rPr>
        <w:t xml:space="preserve">, provides that the party seeking relief from the Commission has the burden of proof. </w:t>
      </w:r>
      <w:r>
        <w:rPr>
          <w:sz w:val="24"/>
          <w:szCs w:val="24"/>
        </w:rPr>
        <w:t xml:space="preserve"> </w:t>
      </w:r>
      <w:r w:rsidRPr="00543D2F">
        <w:rPr>
          <w:sz w:val="24"/>
          <w:szCs w:val="24"/>
        </w:rPr>
        <w:t>Complainant seeks relief from the Commission, and, therefore, has the burden of proof in this proceeding.</w:t>
      </w:r>
    </w:p>
    <w:p w:rsidR="00683AFD" w:rsidRPr="00543D2F" w:rsidRDefault="00683AFD" w:rsidP="00683AFD">
      <w:pPr>
        <w:spacing w:line="360" w:lineRule="auto"/>
        <w:ind w:firstLine="1440"/>
        <w:rPr>
          <w:sz w:val="24"/>
          <w:szCs w:val="24"/>
        </w:rPr>
      </w:pPr>
    </w:p>
    <w:p w:rsidR="00683AFD" w:rsidRPr="00543D2F" w:rsidRDefault="00683AFD" w:rsidP="00683AFD">
      <w:pPr>
        <w:spacing w:line="360" w:lineRule="auto"/>
        <w:ind w:firstLine="1440"/>
        <w:rPr>
          <w:sz w:val="24"/>
          <w:szCs w:val="24"/>
        </w:rPr>
      </w:pPr>
      <w:r>
        <w:rPr>
          <w:sz w:val="24"/>
          <w:szCs w:val="24"/>
        </w:rPr>
        <w:t>“</w:t>
      </w:r>
      <w:r w:rsidRPr="00543D2F">
        <w:rPr>
          <w:sz w:val="24"/>
          <w:szCs w:val="24"/>
        </w:rPr>
        <w:t>Burden of proof</w:t>
      </w:r>
      <w:r>
        <w:rPr>
          <w:sz w:val="24"/>
          <w:szCs w:val="24"/>
        </w:rPr>
        <w:t>”</w:t>
      </w:r>
      <w:r w:rsidRPr="00543D2F">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proofErr w:type="gramStart"/>
        <w:r w:rsidRPr="00543D2F">
          <w:rPr>
            <w:rStyle w:val="Hyperlink"/>
            <w:i/>
            <w:color w:val="auto"/>
            <w:sz w:val="24"/>
            <w:szCs w:val="24"/>
          </w:rPr>
          <w:t>Se-Ling Hosiery v. Margulies</w:t>
        </w:r>
        <w:r w:rsidRPr="00543D2F">
          <w:rPr>
            <w:rStyle w:val="Hyperlink"/>
            <w:color w:val="auto"/>
            <w:sz w:val="24"/>
            <w:szCs w:val="24"/>
          </w:rPr>
          <w:t xml:space="preserve">, 364 Pa. 54, 70 </w:t>
        </w:r>
        <w:proofErr w:type="spellStart"/>
        <w:r w:rsidRPr="00543D2F">
          <w:rPr>
            <w:rStyle w:val="Hyperlink"/>
            <w:color w:val="auto"/>
            <w:sz w:val="24"/>
            <w:szCs w:val="24"/>
          </w:rPr>
          <w:t>A.2d</w:t>
        </w:r>
        <w:proofErr w:type="spellEnd"/>
        <w:r w:rsidRPr="00543D2F">
          <w:rPr>
            <w:rStyle w:val="Hyperlink"/>
            <w:color w:val="auto"/>
            <w:sz w:val="24"/>
            <w:szCs w:val="24"/>
          </w:rPr>
          <w:t xml:space="preserve"> 854 (1950).</w:t>
        </w:r>
        <w:proofErr w:type="gramEnd"/>
      </w:hyperlink>
    </w:p>
    <w:p w:rsidR="00683AFD" w:rsidRPr="00543D2F" w:rsidRDefault="00683AFD" w:rsidP="00683AFD">
      <w:pPr>
        <w:spacing w:line="360" w:lineRule="auto"/>
        <w:rPr>
          <w:sz w:val="24"/>
          <w:szCs w:val="24"/>
        </w:rPr>
      </w:pPr>
    </w:p>
    <w:p w:rsidR="00683AFD" w:rsidRDefault="00683AFD" w:rsidP="00683AFD">
      <w:pPr>
        <w:spacing w:line="360" w:lineRule="auto"/>
        <w:rPr>
          <w:rStyle w:val="Hyperlink"/>
          <w:color w:val="auto"/>
          <w:sz w:val="24"/>
          <w:szCs w:val="24"/>
        </w:rPr>
      </w:pPr>
      <w:r w:rsidRPr="00543D2F">
        <w:rPr>
          <w:sz w:val="24"/>
          <w:szCs w:val="24"/>
        </w:rPr>
        <w:tab/>
      </w:r>
      <w:r w:rsidRPr="00543D2F">
        <w:rPr>
          <w:sz w:val="24"/>
          <w:szCs w:val="24"/>
        </w:rPr>
        <w:tab/>
        <w:t xml:space="preserve">If a complainant establishes a </w:t>
      </w:r>
      <w:r w:rsidRPr="00543D2F">
        <w:rPr>
          <w:i/>
          <w:sz w:val="24"/>
          <w:szCs w:val="24"/>
        </w:rPr>
        <w:t>prima facie</w:t>
      </w:r>
      <w:r w:rsidRPr="00543D2F">
        <w:rPr>
          <w:sz w:val="24"/>
          <w:szCs w:val="24"/>
        </w:rPr>
        <w:t xml:space="preserve"> case, the burden of going forward with the evidence shifts to the utility. </w:t>
      </w:r>
      <w:r>
        <w:rPr>
          <w:sz w:val="24"/>
          <w:szCs w:val="24"/>
        </w:rPr>
        <w:t xml:space="preserve"> </w:t>
      </w:r>
      <w:r w:rsidRPr="00543D2F">
        <w:rPr>
          <w:sz w:val="24"/>
          <w:szCs w:val="24"/>
        </w:rPr>
        <w:t>If a utility does not rebut that evidence, a complainant will prevail.</w:t>
      </w:r>
      <w:r>
        <w:rPr>
          <w:sz w:val="24"/>
          <w:szCs w:val="24"/>
        </w:rPr>
        <w:t xml:space="preserve"> </w:t>
      </w:r>
      <w:r w:rsidRPr="00543D2F">
        <w:rPr>
          <w:sz w:val="24"/>
          <w:szCs w:val="24"/>
        </w:rPr>
        <w:t xml:space="preserve"> If the utility rebuts complainant</w:t>
      </w:r>
      <w:r>
        <w:rPr>
          <w:sz w:val="24"/>
          <w:szCs w:val="24"/>
        </w:rPr>
        <w:t>’</w:t>
      </w:r>
      <w:r w:rsidRPr="00543D2F">
        <w:rPr>
          <w:sz w:val="24"/>
          <w:szCs w:val="24"/>
        </w:rPr>
        <w:t>s evidence, the burden of going forward with the evidence shifts back to a complainant, who must rebut the utility</w:t>
      </w:r>
      <w:r>
        <w:rPr>
          <w:sz w:val="24"/>
          <w:szCs w:val="24"/>
        </w:rPr>
        <w:t>’</w:t>
      </w:r>
      <w:r w:rsidRPr="00543D2F">
        <w:rPr>
          <w:sz w:val="24"/>
          <w:szCs w:val="24"/>
        </w:rPr>
        <w:t xml:space="preserve">s evidence by a preponderance of the evidence. </w:t>
      </w:r>
      <w:r>
        <w:rPr>
          <w:sz w:val="24"/>
          <w:szCs w:val="24"/>
        </w:rPr>
        <w:t xml:space="preserve"> </w:t>
      </w:r>
      <w:r w:rsidRPr="00543D2F">
        <w:rPr>
          <w:sz w:val="24"/>
          <w:szCs w:val="24"/>
        </w:rPr>
        <w:t xml:space="preserve">The burden of going forward with the evidence may shift from one party to another, but the burden of proof never shifts; it always remains on a complainant. </w:t>
      </w:r>
      <w:r>
        <w:rPr>
          <w:sz w:val="24"/>
          <w:szCs w:val="24"/>
        </w:rPr>
        <w:t xml:space="preserve"> </w:t>
      </w:r>
      <w:hyperlink r:id="rId11" w:history="1">
        <w:proofErr w:type="spellStart"/>
        <w:r w:rsidRPr="00543D2F">
          <w:rPr>
            <w:rStyle w:val="Hyperlink"/>
            <w:i/>
            <w:color w:val="auto"/>
            <w:sz w:val="24"/>
            <w:szCs w:val="24"/>
          </w:rPr>
          <w:t>Replogle</w:t>
        </w:r>
        <w:proofErr w:type="spellEnd"/>
        <w:r w:rsidRPr="00543D2F">
          <w:rPr>
            <w:rStyle w:val="Hyperlink"/>
            <w:i/>
            <w:color w:val="auto"/>
            <w:sz w:val="24"/>
            <w:szCs w:val="24"/>
          </w:rPr>
          <w:t xml:space="preserve"> v. Pennsylvania Electric Company,</w:t>
        </w:r>
        <w:r w:rsidRPr="00543D2F">
          <w:rPr>
            <w:rStyle w:val="Hyperlink"/>
            <w:color w:val="auto"/>
            <w:sz w:val="24"/>
            <w:szCs w:val="24"/>
          </w:rPr>
          <w:t xml:space="preserve"> 54 Pa. PUC 528 (1980),</w:t>
        </w:r>
      </w:hyperlink>
      <w:r w:rsidRPr="00543D2F">
        <w:rPr>
          <w:sz w:val="24"/>
          <w:szCs w:val="24"/>
        </w:rPr>
        <w:t xml:space="preserve"> and </w:t>
      </w:r>
      <w:hyperlink r:id="rId12" w:history="1">
        <w:r w:rsidRPr="00543D2F">
          <w:rPr>
            <w:rStyle w:val="Hyperlink"/>
            <w:i/>
            <w:color w:val="auto"/>
            <w:sz w:val="24"/>
            <w:szCs w:val="24"/>
          </w:rPr>
          <w:t>Waldron v. Philadelphia Electric Company</w:t>
        </w:r>
        <w:r w:rsidRPr="00543D2F">
          <w:rPr>
            <w:rStyle w:val="Hyperlink"/>
            <w:color w:val="auto"/>
            <w:sz w:val="24"/>
            <w:szCs w:val="24"/>
          </w:rPr>
          <w:t>, 54 Pa. PUC 98 (1980).</w:t>
        </w:r>
      </w:hyperlink>
    </w:p>
    <w:p w:rsidR="00683AFD" w:rsidRPr="00543D2F" w:rsidRDefault="00683AFD" w:rsidP="00683AFD">
      <w:pPr>
        <w:spacing w:line="360" w:lineRule="auto"/>
        <w:rPr>
          <w:sz w:val="24"/>
          <w:szCs w:val="24"/>
        </w:rPr>
      </w:pPr>
    </w:p>
    <w:p w:rsidR="00683AFD" w:rsidRPr="00543D2F" w:rsidRDefault="00683AFD" w:rsidP="00683AFD">
      <w:pPr>
        <w:spacing w:line="360" w:lineRule="auto"/>
        <w:rPr>
          <w:sz w:val="24"/>
          <w:szCs w:val="24"/>
        </w:rPr>
      </w:pPr>
      <w:r w:rsidRPr="00543D2F">
        <w:rPr>
          <w:sz w:val="24"/>
          <w:szCs w:val="24"/>
        </w:rPr>
        <w:tab/>
      </w:r>
      <w:r w:rsidRPr="00543D2F">
        <w:rPr>
          <w:sz w:val="24"/>
          <w:szCs w:val="24"/>
        </w:rPr>
        <w:tab/>
        <w:t xml:space="preserve">If Respondent submits evidence of </w:t>
      </w:r>
      <w:r>
        <w:rPr>
          <w:sz w:val="24"/>
          <w:szCs w:val="24"/>
        </w:rPr>
        <w:t>“</w:t>
      </w:r>
      <w:r w:rsidRPr="00543D2F">
        <w:rPr>
          <w:sz w:val="24"/>
          <w:szCs w:val="24"/>
        </w:rPr>
        <w:t>co-equal</w:t>
      </w:r>
      <w:r>
        <w:rPr>
          <w:sz w:val="24"/>
          <w:szCs w:val="24"/>
        </w:rPr>
        <w:t>”</w:t>
      </w:r>
      <w:r w:rsidRPr="00543D2F">
        <w:rPr>
          <w:sz w:val="24"/>
          <w:szCs w:val="24"/>
        </w:rPr>
        <w:t xml:space="preserve"> weight to refute Complainant</w:t>
      </w:r>
      <w:r>
        <w:rPr>
          <w:sz w:val="24"/>
          <w:szCs w:val="24"/>
        </w:rPr>
        <w:t>’</w:t>
      </w:r>
      <w:r w:rsidRPr="00543D2F">
        <w:rPr>
          <w:sz w:val="24"/>
          <w:szCs w:val="24"/>
        </w:rPr>
        <w:t>s evidence, Complainant has not satisfied the burden of proof unless it presents additional evidence opposing Respondent</w:t>
      </w:r>
      <w:r>
        <w:rPr>
          <w:sz w:val="24"/>
          <w:szCs w:val="24"/>
        </w:rPr>
        <w:t>’</w:t>
      </w:r>
      <w:r w:rsidRPr="00543D2F">
        <w:rPr>
          <w:sz w:val="24"/>
          <w:szCs w:val="24"/>
        </w:rPr>
        <w:t xml:space="preserve">s evidence. </w:t>
      </w:r>
      <w:r>
        <w:rPr>
          <w:sz w:val="24"/>
          <w:szCs w:val="24"/>
        </w:rPr>
        <w:t xml:space="preserve"> </w:t>
      </w:r>
      <w:hyperlink r:id="rId13" w:history="1">
        <w:r w:rsidRPr="00543D2F">
          <w:rPr>
            <w:rStyle w:val="Hyperlink"/>
            <w:i/>
            <w:color w:val="auto"/>
            <w:sz w:val="24"/>
            <w:szCs w:val="24"/>
          </w:rPr>
          <w:t>Morrissey v. PA Dept. of Highways,</w:t>
        </w:r>
        <w:r w:rsidRPr="00543D2F">
          <w:rPr>
            <w:rStyle w:val="Hyperlink"/>
            <w:color w:val="auto"/>
            <w:sz w:val="24"/>
            <w:szCs w:val="24"/>
          </w:rPr>
          <w:t xml:space="preserve"> 424 Pa. 87, 225 </w:t>
        </w:r>
        <w:proofErr w:type="spellStart"/>
        <w:r w:rsidRPr="00543D2F">
          <w:rPr>
            <w:rStyle w:val="Hyperlink"/>
            <w:color w:val="auto"/>
            <w:sz w:val="24"/>
            <w:szCs w:val="24"/>
          </w:rPr>
          <w:t>A.2d</w:t>
        </w:r>
        <w:proofErr w:type="spellEnd"/>
        <w:r w:rsidRPr="00543D2F">
          <w:rPr>
            <w:rStyle w:val="Hyperlink"/>
            <w:color w:val="auto"/>
            <w:sz w:val="24"/>
            <w:szCs w:val="24"/>
          </w:rPr>
          <w:t xml:space="preserve"> 895 (1967),</w:t>
        </w:r>
      </w:hyperlink>
      <w:bookmarkStart w:id="0" w:name="7387-14"/>
      <w:bookmarkEnd w:id="0"/>
      <w:r w:rsidRPr="00543D2F">
        <w:rPr>
          <w:sz w:val="24"/>
          <w:szCs w:val="24"/>
        </w:rPr>
        <w:t xml:space="preserve"> and </w:t>
      </w:r>
      <w:hyperlink r:id="rId14" w:history="1">
        <w:r w:rsidRPr="00543D2F">
          <w:rPr>
            <w:rStyle w:val="Hyperlink"/>
            <w:i/>
            <w:color w:val="auto"/>
            <w:sz w:val="24"/>
            <w:szCs w:val="24"/>
          </w:rPr>
          <w:t xml:space="preserve">Burleson v. Pa. </w:t>
        </w:r>
        <w:proofErr w:type="spellStart"/>
        <w:r w:rsidRPr="00543D2F">
          <w:rPr>
            <w:rStyle w:val="Hyperlink"/>
            <w:i/>
            <w:color w:val="auto"/>
            <w:sz w:val="24"/>
            <w:szCs w:val="24"/>
          </w:rPr>
          <w:t>P.U.C</w:t>
        </w:r>
        <w:proofErr w:type="spellEnd"/>
        <w:r w:rsidRPr="00543D2F">
          <w:rPr>
            <w:rStyle w:val="Hyperlink"/>
            <w:color w:val="auto"/>
            <w:sz w:val="24"/>
            <w:szCs w:val="24"/>
          </w:rPr>
          <w:t xml:space="preserve">. 66 Pa. Commonwealth Ct. 282, 443 </w:t>
        </w:r>
        <w:proofErr w:type="spellStart"/>
        <w:r w:rsidRPr="00543D2F">
          <w:rPr>
            <w:rStyle w:val="Hyperlink"/>
            <w:color w:val="auto"/>
            <w:sz w:val="24"/>
            <w:szCs w:val="24"/>
          </w:rPr>
          <w:t>A.2d</w:t>
        </w:r>
        <w:proofErr w:type="spellEnd"/>
        <w:r w:rsidRPr="00543D2F">
          <w:rPr>
            <w:rStyle w:val="Hyperlink"/>
            <w:color w:val="auto"/>
            <w:sz w:val="24"/>
            <w:szCs w:val="24"/>
          </w:rPr>
          <w:t xml:space="preserve"> 1373 (1982),</w:t>
        </w:r>
      </w:hyperlink>
      <w:r w:rsidRPr="00543D2F">
        <w:rPr>
          <w:sz w:val="24"/>
          <w:szCs w:val="24"/>
        </w:rPr>
        <w:t xml:space="preserve"> </w:t>
      </w:r>
      <w:proofErr w:type="spellStart"/>
      <w:r w:rsidRPr="00543D2F">
        <w:rPr>
          <w:sz w:val="24"/>
          <w:szCs w:val="24"/>
        </w:rPr>
        <w:t>aff'd</w:t>
      </w:r>
      <w:proofErr w:type="spellEnd"/>
      <w:r w:rsidRPr="00543D2F">
        <w:rPr>
          <w:sz w:val="24"/>
          <w:szCs w:val="24"/>
        </w:rPr>
        <w:t xml:space="preserve">. </w:t>
      </w:r>
      <w:hyperlink r:id="rId15" w:history="1">
        <w:proofErr w:type="gramStart"/>
        <w:r w:rsidRPr="00543D2F">
          <w:rPr>
            <w:rStyle w:val="Hyperlink"/>
            <w:color w:val="auto"/>
            <w:sz w:val="24"/>
            <w:szCs w:val="24"/>
          </w:rPr>
          <w:t xml:space="preserve">501 Pa. 443, 461 </w:t>
        </w:r>
        <w:proofErr w:type="spellStart"/>
        <w:r w:rsidRPr="00543D2F">
          <w:rPr>
            <w:rStyle w:val="Hyperlink"/>
            <w:color w:val="auto"/>
            <w:sz w:val="24"/>
            <w:szCs w:val="24"/>
          </w:rPr>
          <w:t>A.2d</w:t>
        </w:r>
        <w:proofErr w:type="spellEnd"/>
        <w:r w:rsidRPr="00543D2F">
          <w:rPr>
            <w:rStyle w:val="Hyperlink"/>
            <w:color w:val="auto"/>
            <w:sz w:val="24"/>
            <w:szCs w:val="24"/>
          </w:rPr>
          <w:t xml:space="preserve"> 1234.</w:t>
        </w:r>
        <w:proofErr w:type="gramEnd"/>
      </w:hyperlink>
    </w:p>
    <w:p w:rsidR="00683AFD" w:rsidRPr="00543D2F" w:rsidRDefault="00683AFD" w:rsidP="00683AFD">
      <w:pPr>
        <w:spacing w:line="360" w:lineRule="auto"/>
        <w:rPr>
          <w:sz w:val="24"/>
          <w:szCs w:val="24"/>
        </w:rPr>
      </w:pPr>
    </w:p>
    <w:p w:rsidR="00683AFD" w:rsidRPr="00543D2F" w:rsidRDefault="00683AFD" w:rsidP="00683AFD">
      <w:pPr>
        <w:spacing w:line="360" w:lineRule="auto"/>
        <w:rPr>
          <w:sz w:val="24"/>
          <w:szCs w:val="24"/>
        </w:rPr>
      </w:pPr>
      <w:r w:rsidRPr="00543D2F">
        <w:rPr>
          <w:sz w:val="24"/>
          <w:szCs w:val="24"/>
        </w:rPr>
        <w:lastRenderedPageBreak/>
        <w:tab/>
      </w:r>
      <w:r w:rsidRPr="00543D2F">
        <w:rPr>
          <w:sz w:val="24"/>
          <w:szCs w:val="24"/>
        </w:rPr>
        <w:tab/>
        <w:t>The decision of the Commission must be supported by substantial evidence.</w:t>
      </w:r>
      <w:r>
        <w:rPr>
          <w:sz w:val="24"/>
          <w:szCs w:val="24"/>
        </w:rPr>
        <w:t xml:space="preserve"> </w:t>
      </w:r>
      <w:r w:rsidRPr="00543D2F">
        <w:rPr>
          <w:sz w:val="24"/>
          <w:szCs w:val="24"/>
        </w:rPr>
        <w:t xml:space="preserve"> </w:t>
      </w:r>
      <w:proofErr w:type="gramStart"/>
      <w:r w:rsidRPr="00543D2F">
        <w:rPr>
          <w:sz w:val="24"/>
          <w:szCs w:val="24"/>
        </w:rPr>
        <w:t xml:space="preserve">See, e.g., Section 704 of the Administrative Agency Law, </w:t>
      </w:r>
      <w:hyperlink r:id="rId16" w:history="1">
        <w:r w:rsidRPr="00543D2F">
          <w:rPr>
            <w:rStyle w:val="Hyperlink"/>
            <w:color w:val="auto"/>
            <w:sz w:val="24"/>
            <w:szCs w:val="24"/>
          </w:rPr>
          <w:t xml:space="preserve">2 Pa. </w:t>
        </w:r>
        <w:proofErr w:type="spellStart"/>
        <w:r w:rsidRPr="00543D2F">
          <w:rPr>
            <w:rStyle w:val="Hyperlink"/>
            <w:color w:val="auto"/>
            <w:sz w:val="24"/>
            <w:szCs w:val="24"/>
          </w:rPr>
          <w:t>C.S</w:t>
        </w:r>
        <w:proofErr w:type="spellEnd"/>
        <w:r w:rsidRPr="00543D2F">
          <w:rPr>
            <w:rStyle w:val="Hyperlink"/>
            <w:color w:val="auto"/>
            <w:sz w:val="24"/>
            <w:szCs w:val="24"/>
          </w:rPr>
          <w:t>. § 704</w:t>
        </w:r>
      </w:hyperlink>
      <w:r w:rsidRPr="00543D2F">
        <w:rPr>
          <w:sz w:val="24"/>
          <w:szCs w:val="24"/>
        </w:rPr>
        <w:t>.</w:t>
      </w:r>
      <w:proofErr w:type="gramEnd"/>
      <w:r w:rsidRPr="00543D2F">
        <w:rPr>
          <w:sz w:val="24"/>
          <w:szCs w:val="24"/>
        </w:rPr>
        <w:t xml:space="preserve"> </w:t>
      </w:r>
      <w:r>
        <w:rPr>
          <w:sz w:val="24"/>
          <w:szCs w:val="24"/>
        </w:rPr>
        <w:t xml:space="preserve"> “</w:t>
      </w:r>
      <w:r w:rsidRPr="00543D2F">
        <w:rPr>
          <w:sz w:val="24"/>
          <w:szCs w:val="24"/>
        </w:rPr>
        <w:t>Substantial evidence</w:t>
      </w:r>
      <w:r>
        <w:rPr>
          <w:sz w:val="24"/>
          <w:szCs w:val="24"/>
        </w:rPr>
        <w:t>”</w:t>
      </w:r>
      <w:r w:rsidRPr="00543D2F">
        <w:rPr>
          <w:sz w:val="24"/>
          <w:szCs w:val="24"/>
        </w:rPr>
        <w:t xml:space="preserve"> is such relevant evidence that a reasonable mind might accept as adequate to support a conclusion. More is required than a mere trace of evidence or a suspicion of the existence of a fact sought to be established. </w:t>
      </w:r>
      <w:hyperlink r:id="rId17" w:history="1">
        <w:r w:rsidRPr="00543D2F">
          <w:rPr>
            <w:rStyle w:val="Hyperlink"/>
            <w:i/>
            <w:color w:val="auto"/>
            <w:sz w:val="24"/>
            <w:szCs w:val="24"/>
          </w:rPr>
          <w:t xml:space="preserve">Norfolk &amp; Western Ry. Co. v. Pa. </w:t>
        </w:r>
        <w:proofErr w:type="spellStart"/>
        <w:r w:rsidRPr="00543D2F">
          <w:rPr>
            <w:rStyle w:val="Hyperlink"/>
            <w:i/>
            <w:color w:val="auto"/>
            <w:sz w:val="24"/>
            <w:szCs w:val="24"/>
          </w:rPr>
          <w:t>P.U.C</w:t>
        </w:r>
        <w:proofErr w:type="spellEnd"/>
        <w:r w:rsidRPr="00543D2F">
          <w:rPr>
            <w:rStyle w:val="Hyperlink"/>
            <w:color w:val="auto"/>
            <w:sz w:val="24"/>
            <w:szCs w:val="24"/>
          </w:rPr>
          <w:t xml:space="preserve">., 489 Pa. 109, 413 </w:t>
        </w:r>
        <w:proofErr w:type="spellStart"/>
        <w:r w:rsidRPr="00543D2F">
          <w:rPr>
            <w:rStyle w:val="Hyperlink"/>
            <w:color w:val="auto"/>
            <w:sz w:val="24"/>
            <w:szCs w:val="24"/>
          </w:rPr>
          <w:t>A.2d</w:t>
        </w:r>
        <w:proofErr w:type="spellEnd"/>
        <w:r w:rsidRPr="00543D2F">
          <w:rPr>
            <w:rStyle w:val="Hyperlink"/>
            <w:color w:val="auto"/>
            <w:sz w:val="24"/>
            <w:szCs w:val="24"/>
          </w:rPr>
          <w:t xml:space="preserve"> 1037 (1980);</w:t>
        </w:r>
      </w:hyperlink>
      <w:r w:rsidRPr="00543D2F">
        <w:rPr>
          <w:sz w:val="24"/>
          <w:szCs w:val="24"/>
        </w:rPr>
        <w:t xml:space="preserve"> </w:t>
      </w:r>
      <w:hyperlink r:id="rId18" w:history="1">
        <w:r w:rsidRPr="00543D2F">
          <w:rPr>
            <w:rStyle w:val="Hyperlink"/>
            <w:i/>
            <w:color w:val="auto"/>
            <w:sz w:val="24"/>
            <w:szCs w:val="24"/>
          </w:rPr>
          <w:t>Erie Resistor Corp. v. Unemployment Comp. Bd. of Review</w:t>
        </w:r>
        <w:r w:rsidRPr="00543D2F">
          <w:rPr>
            <w:rStyle w:val="Hyperlink"/>
            <w:color w:val="auto"/>
            <w:sz w:val="24"/>
            <w:szCs w:val="24"/>
          </w:rPr>
          <w:t xml:space="preserve">, 194 Pa. Superior Ct. 278, 166 </w:t>
        </w:r>
        <w:proofErr w:type="spellStart"/>
        <w:r w:rsidRPr="00543D2F">
          <w:rPr>
            <w:rStyle w:val="Hyperlink"/>
            <w:color w:val="auto"/>
            <w:sz w:val="24"/>
            <w:szCs w:val="24"/>
          </w:rPr>
          <w:t>A.2d</w:t>
        </w:r>
        <w:proofErr w:type="spellEnd"/>
        <w:r w:rsidRPr="00543D2F">
          <w:rPr>
            <w:rStyle w:val="Hyperlink"/>
            <w:color w:val="auto"/>
            <w:sz w:val="24"/>
            <w:szCs w:val="24"/>
          </w:rPr>
          <w:t xml:space="preserve"> 96 (1961);</w:t>
        </w:r>
      </w:hyperlink>
      <w:r w:rsidRPr="00543D2F">
        <w:rPr>
          <w:sz w:val="24"/>
          <w:szCs w:val="24"/>
        </w:rPr>
        <w:t xml:space="preserve"> and </w:t>
      </w:r>
      <w:hyperlink r:id="rId19" w:history="1">
        <w:r w:rsidRPr="00543D2F">
          <w:rPr>
            <w:rStyle w:val="Hyperlink"/>
            <w:i/>
            <w:color w:val="auto"/>
            <w:sz w:val="24"/>
            <w:szCs w:val="24"/>
          </w:rPr>
          <w:t>Murphy v. Comm., Dept. of Public Welfare, White Haven Center,</w:t>
        </w:r>
        <w:r w:rsidRPr="00543D2F">
          <w:rPr>
            <w:rStyle w:val="Hyperlink"/>
            <w:color w:val="auto"/>
            <w:sz w:val="24"/>
            <w:szCs w:val="24"/>
          </w:rPr>
          <w:t xml:space="preserve"> 85 Pa. Commonwealth Ct. 23, 480 </w:t>
        </w:r>
        <w:proofErr w:type="spellStart"/>
        <w:r w:rsidRPr="00543D2F">
          <w:rPr>
            <w:rStyle w:val="Hyperlink"/>
            <w:color w:val="auto"/>
            <w:sz w:val="24"/>
            <w:szCs w:val="24"/>
          </w:rPr>
          <w:t>A.2d</w:t>
        </w:r>
        <w:proofErr w:type="spellEnd"/>
        <w:r w:rsidRPr="00543D2F">
          <w:rPr>
            <w:rStyle w:val="Hyperlink"/>
            <w:color w:val="auto"/>
            <w:sz w:val="24"/>
            <w:szCs w:val="24"/>
          </w:rPr>
          <w:t xml:space="preserve"> 382 (1984).</w:t>
        </w:r>
      </w:hyperlink>
    </w:p>
    <w:p w:rsidR="00683AFD" w:rsidRPr="00543D2F" w:rsidRDefault="00683AFD" w:rsidP="00683AFD">
      <w:pPr>
        <w:spacing w:line="360" w:lineRule="auto"/>
        <w:rPr>
          <w:sz w:val="24"/>
          <w:szCs w:val="24"/>
        </w:rPr>
      </w:pPr>
    </w:p>
    <w:p w:rsidR="00683AFD" w:rsidRPr="00543D2F" w:rsidRDefault="00683AFD" w:rsidP="00683AFD">
      <w:pPr>
        <w:spacing w:line="360" w:lineRule="auto"/>
        <w:rPr>
          <w:sz w:val="24"/>
          <w:szCs w:val="24"/>
        </w:rPr>
      </w:pPr>
      <w:r w:rsidRPr="00543D2F">
        <w:rPr>
          <w:sz w:val="24"/>
          <w:szCs w:val="24"/>
        </w:rPr>
        <w:tab/>
      </w:r>
      <w:r w:rsidRPr="00543D2F">
        <w:rPr>
          <w:sz w:val="24"/>
          <w:szCs w:val="24"/>
        </w:rPr>
        <w:tab/>
        <w:t xml:space="preserve">The offense must be a violation of the Public Utility Code, the Commission’s regulations, or an outstanding order of the Commission.  </w:t>
      </w:r>
      <w:proofErr w:type="gramStart"/>
      <w:r w:rsidRPr="00543D2F">
        <w:rPr>
          <w:sz w:val="24"/>
          <w:szCs w:val="24"/>
        </w:rPr>
        <w:t xml:space="preserve">66 Pa. </w:t>
      </w:r>
      <w:proofErr w:type="spellStart"/>
      <w:r w:rsidRPr="00543D2F">
        <w:rPr>
          <w:sz w:val="24"/>
          <w:szCs w:val="24"/>
        </w:rPr>
        <w:t>C.S</w:t>
      </w:r>
      <w:proofErr w:type="spellEnd"/>
      <w:r w:rsidRPr="00543D2F">
        <w:rPr>
          <w:sz w:val="24"/>
          <w:szCs w:val="24"/>
        </w:rPr>
        <w:t>. § 701.</w:t>
      </w:r>
      <w:proofErr w:type="gramEnd"/>
      <w:r w:rsidRPr="00543D2F">
        <w:rPr>
          <w:sz w:val="24"/>
          <w:szCs w:val="24"/>
        </w:rPr>
        <w:t xml:space="preserve">  </w:t>
      </w:r>
    </w:p>
    <w:p w:rsidR="00683AFD" w:rsidRPr="00543D2F" w:rsidRDefault="00683AFD" w:rsidP="00683AFD">
      <w:pPr>
        <w:spacing w:line="360" w:lineRule="auto"/>
        <w:ind w:firstLine="1440"/>
        <w:rPr>
          <w:spacing w:val="-3"/>
          <w:sz w:val="24"/>
          <w:szCs w:val="24"/>
        </w:rPr>
      </w:pPr>
    </w:p>
    <w:p w:rsidR="00683AFD" w:rsidRPr="00543D2F" w:rsidRDefault="00683AFD" w:rsidP="00683AFD">
      <w:pPr>
        <w:spacing w:line="360" w:lineRule="auto"/>
        <w:ind w:firstLine="1440"/>
        <w:rPr>
          <w:spacing w:val="-3"/>
          <w:sz w:val="24"/>
          <w:szCs w:val="24"/>
        </w:rPr>
      </w:pPr>
      <w:r w:rsidRPr="00543D2F">
        <w:rPr>
          <w:spacing w:val="-3"/>
          <w:sz w:val="24"/>
          <w:szCs w:val="24"/>
        </w:rPr>
        <w:t xml:space="preserve">The main complaint here is what the Complainant called “astronomically high” bills.  In support of her allegations of high bills and incorrect billing, the Complainant made up a spreadsheet.  C. </w:t>
      </w:r>
      <w:proofErr w:type="spellStart"/>
      <w:r w:rsidRPr="00543D2F">
        <w:rPr>
          <w:spacing w:val="-3"/>
          <w:sz w:val="24"/>
          <w:szCs w:val="24"/>
        </w:rPr>
        <w:t>Exh</w:t>
      </w:r>
      <w:proofErr w:type="spellEnd"/>
      <w:r w:rsidRPr="00543D2F">
        <w:rPr>
          <w:spacing w:val="-3"/>
          <w:sz w:val="24"/>
          <w:szCs w:val="24"/>
        </w:rPr>
        <w:t xml:space="preserve">. 1.  However, the Complainant neglected to bring to the hearing any support of the numbers reflected on the spreadsheet.  In other words, she could not explain the formulas she had used to arrive at the numbers.  The spreadsheet numbers were meaningless without explaining the supporting formulas.  Including her sworn testimony, the Complainant failed to make a </w:t>
      </w:r>
      <w:r w:rsidRPr="00543D2F">
        <w:rPr>
          <w:i/>
          <w:spacing w:val="-3"/>
          <w:sz w:val="24"/>
          <w:szCs w:val="24"/>
        </w:rPr>
        <w:t>prima facie</w:t>
      </w:r>
      <w:r w:rsidRPr="00543D2F">
        <w:rPr>
          <w:spacing w:val="-3"/>
          <w:sz w:val="24"/>
          <w:szCs w:val="24"/>
        </w:rPr>
        <w:t xml:space="preserve"> case of overbilling.</w:t>
      </w:r>
    </w:p>
    <w:p w:rsidR="00683AFD" w:rsidRPr="00543D2F" w:rsidRDefault="00683AFD" w:rsidP="00683AFD">
      <w:pPr>
        <w:spacing w:line="360" w:lineRule="auto"/>
        <w:ind w:firstLine="1440"/>
        <w:rPr>
          <w:spacing w:val="-3"/>
          <w:sz w:val="24"/>
          <w:szCs w:val="24"/>
        </w:rPr>
      </w:pPr>
    </w:p>
    <w:p w:rsidR="00683AFD" w:rsidRPr="00543D2F" w:rsidRDefault="00683AFD" w:rsidP="00683AFD">
      <w:pPr>
        <w:spacing w:line="360" w:lineRule="auto"/>
        <w:ind w:firstLine="1440"/>
        <w:rPr>
          <w:spacing w:val="-3"/>
          <w:sz w:val="24"/>
          <w:szCs w:val="24"/>
        </w:rPr>
      </w:pPr>
      <w:r w:rsidRPr="00543D2F">
        <w:rPr>
          <w:spacing w:val="-3"/>
          <w:sz w:val="24"/>
          <w:szCs w:val="24"/>
        </w:rPr>
        <w:t xml:space="preserve">Additionally, the Complainant was confused about billing cycles versus days of the months.  The Respondent uses billing cycles, i.e., it uses a 29, 30, 31, or even 32 day period to bill a customer and sends out a bill for that period.  The actual month may be 28, 29, 30 or 31 days and is wholly irrelevant to the billing cycle.  I believe the Complainant remained confused about this difference. </w:t>
      </w:r>
    </w:p>
    <w:p w:rsidR="00683AFD" w:rsidRPr="00543D2F" w:rsidRDefault="00683AFD" w:rsidP="00683AFD">
      <w:pPr>
        <w:spacing w:line="360" w:lineRule="auto"/>
        <w:ind w:firstLine="1440"/>
        <w:rPr>
          <w:spacing w:val="-3"/>
          <w:sz w:val="24"/>
          <w:szCs w:val="24"/>
        </w:rPr>
      </w:pPr>
    </w:p>
    <w:p w:rsidR="00683AFD" w:rsidRPr="00543D2F" w:rsidRDefault="00683AFD" w:rsidP="00683AFD">
      <w:pPr>
        <w:spacing w:line="360" w:lineRule="auto"/>
        <w:ind w:firstLine="1440"/>
        <w:rPr>
          <w:spacing w:val="-3"/>
          <w:sz w:val="24"/>
          <w:szCs w:val="24"/>
        </w:rPr>
      </w:pPr>
      <w:r w:rsidRPr="00543D2F">
        <w:rPr>
          <w:spacing w:val="-3"/>
          <w:sz w:val="24"/>
          <w:szCs w:val="24"/>
        </w:rPr>
        <w:t xml:space="preserve">By way of background, </w:t>
      </w:r>
      <w:r>
        <w:rPr>
          <w:spacing w:val="-3"/>
          <w:sz w:val="24"/>
          <w:szCs w:val="24"/>
        </w:rPr>
        <w:t>I had</w:t>
      </w:r>
      <w:r w:rsidRPr="00543D2F">
        <w:rPr>
          <w:spacing w:val="-3"/>
          <w:sz w:val="24"/>
          <w:szCs w:val="24"/>
        </w:rPr>
        <w:t xml:space="preserve"> the first hearing continued so that the Respondent could provide a written report of the meter taken out of the home on March 23, 2012 and tested.  That test proved </w:t>
      </w:r>
      <w:r>
        <w:rPr>
          <w:spacing w:val="-3"/>
          <w:sz w:val="24"/>
          <w:szCs w:val="24"/>
        </w:rPr>
        <w:t xml:space="preserve">the meter </w:t>
      </w:r>
      <w:r w:rsidRPr="00543D2F">
        <w:rPr>
          <w:spacing w:val="-3"/>
          <w:sz w:val="24"/>
          <w:szCs w:val="24"/>
        </w:rPr>
        <w:t xml:space="preserve">to be 99.8% accurate, meaning that all of the actual bills rendered while that meter was in use were correct as billed.  The Respondent provided a written copy of the test results to the Complainant. </w:t>
      </w:r>
      <w:r>
        <w:rPr>
          <w:spacing w:val="-3"/>
          <w:sz w:val="24"/>
          <w:szCs w:val="24"/>
        </w:rPr>
        <w:t xml:space="preserve"> </w:t>
      </w:r>
      <w:proofErr w:type="gramStart"/>
      <w:r>
        <w:rPr>
          <w:spacing w:val="-3"/>
          <w:sz w:val="24"/>
          <w:szCs w:val="24"/>
        </w:rPr>
        <w:t>52 Pa. Code § 57.20.</w:t>
      </w:r>
      <w:proofErr w:type="gramEnd"/>
    </w:p>
    <w:p w:rsidR="00683AFD" w:rsidRPr="00543D2F" w:rsidRDefault="00683AFD" w:rsidP="00683AFD">
      <w:pPr>
        <w:spacing w:line="360" w:lineRule="auto"/>
        <w:ind w:firstLine="1440"/>
        <w:rPr>
          <w:spacing w:val="-3"/>
          <w:sz w:val="24"/>
          <w:szCs w:val="24"/>
        </w:rPr>
      </w:pPr>
    </w:p>
    <w:p w:rsidR="00683AFD" w:rsidRPr="00543D2F" w:rsidRDefault="00683AFD" w:rsidP="00683AFD">
      <w:pPr>
        <w:spacing w:line="360" w:lineRule="auto"/>
        <w:ind w:firstLine="1440"/>
        <w:rPr>
          <w:spacing w:val="-3"/>
          <w:sz w:val="24"/>
          <w:szCs w:val="24"/>
        </w:rPr>
      </w:pPr>
      <w:r w:rsidRPr="00543D2F">
        <w:rPr>
          <w:spacing w:val="-3"/>
          <w:sz w:val="24"/>
          <w:szCs w:val="24"/>
        </w:rPr>
        <w:t xml:space="preserve">The hearing was continued also, so that the Respondent could perform a high bill analysis.  That was done.  </w:t>
      </w:r>
    </w:p>
    <w:p w:rsidR="00683AFD" w:rsidRDefault="00683AFD" w:rsidP="00683AFD">
      <w:pPr>
        <w:spacing w:line="360" w:lineRule="auto"/>
        <w:ind w:firstLine="1440"/>
        <w:rPr>
          <w:sz w:val="24"/>
          <w:szCs w:val="24"/>
        </w:rPr>
      </w:pPr>
    </w:p>
    <w:p w:rsidR="00683AFD" w:rsidRPr="009C4CA1" w:rsidRDefault="00683AFD" w:rsidP="00683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9C4CA1">
        <w:rPr>
          <w:sz w:val="24"/>
          <w:szCs w:val="24"/>
        </w:rPr>
        <w:t xml:space="preserve">The Complainant here alleges a billing dispute.  Therefore, the Complainant’s burden of proof is governed by </w:t>
      </w:r>
      <w:r w:rsidRPr="009C4CA1">
        <w:rPr>
          <w:i/>
          <w:sz w:val="24"/>
          <w:szCs w:val="24"/>
        </w:rPr>
        <w:t>Waldron v. Philadelphia Electric Co.</w:t>
      </w:r>
      <w:r w:rsidRPr="009C4CA1">
        <w:rPr>
          <w:sz w:val="24"/>
          <w:szCs w:val="24"/>
        </w:rPr>
        <w:t xml:space="preserve">, 54 Pa. </w:t>
      </w:r>
      <w:proofErr w:type="spellStart"/>
      <w:r w:rsidRPr="009C4CA1">
        <w:rPr>
          <w:sz w:val="24"/>
          <w:szCs w:val="24"/>
        </w:rPr>
        <w:t>P.U.C</w:t>
      </w:r>
      <w:proofErr w:type="spellEnd"/>
      <w:r w:rsidRPr="009C4CA1">
        <w:rPr>
          <w:sz w:val="24"/>
          <w:szCs w:val="24"/>
        </w:rPr>
        <w:t xml:space="preserve">. 98 (1980)   In </w:t>
      </w:r>
      <w:r w:rsidRPr="009C4CA1">
        <w:rPr>
          <w:i/>
          <w:sz w:val="24"/>
          <w:szCs w:val="24"/>
        </w:rPr>
        <w:t>Waldron</w:t>
      </w:r>
      <w:r w:rsidRPr="009C4CA1">
        <w:rPr>
          <w:sz w:val="24"/>
          <w:szCs w:val="24"/>
        </w:rPr>
        <w:t xml:space="preserve">, the Commission concluded that a complainant may establish a </w:t>
      </w:r>
      <w:r w:rsidRPr="009C4CA1">
        <w:rPr>
          <w:i/>
          <w:sz w:val="24"/>
          <w:szCs w:val="24"/>
        </w:rPr>
        <w:t>prima facie</w:t>
      </w:r>
      <w:r w:rsidRPr="009C4CA1">
        <w:rPr>
          <w:sz w:val="24"/>
          <w:szCs w:val="24"/>
        </w:rPr>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Pr="009C4CA1">
        <w:rPr>
          <w:i/>
          <w:sz w:val="24"/>
          <w:szCs w:val="24"/>
        </w:rPr>
        <w:t xml:space="preserve">prima facie </w:t>
      </w:r>
      <w:r w:rsidRPr="009C4CA1">
        <w:rPr>
          <w:sz w:val="24"/>
          <w:szCs w:val="24"/>
        </w:rPr>
        <w:t xml:space="preserve">case, the burden of going forward with the evidence shifts back to the Complainant.  In order to satisfy the burden of proof, the Complainant must rebut the Respondent’s evidence by a preponderance of the evidence.  Although the burden of going forward with the evidence may shift from one party to another during a proceeding, the "burden of proof" never shifts.  It always remains on the Complainant.  </w:t>
      </w:r>
      <w:proofErr w:type="spellStart"/>
      <w:r w:rsidRPr="009C4CA1">
        <w:rPr>
          <w:i/>
          <w:sz w:val="24"/>
          <w:szCs w:val="24"/>
        </w:rPr>
        <w:t>Replogle</w:t>
      </w:r>
      <w:proofErr w:type="spellEnd"/>
      <w:r w:rsidRPr="009C4CA1">
        <w:rPr>
          <w:i/>
          <w:sz w:val="24"/>
          <w:szCs w:val="24"/>
        </w:rPr>
        <w:t xml:space="preserve"> v. Pennsylvania Electric Co.</w:t>
      </w:r>
      <w:r w:rsidRPr="009C4CA1">
        <w:rPr>
          <w:sz w:val="24"/>
          <w:szCs w:val="24"/>
        </w:rPr>
        <w:t xml:space="preserve">, 54 Pa. </w:t>
      </w:r>
      <w:proofErr w:type="spellStart"/>
      <w:r w:rsidRPr="009C4CA1">
        <w:rPr>
          <w:sz w:val="24"/>
          <w:szCs w:val="24"/>
        </w:rPr>
        <w:t>P.U.C</w:t>
      </w:r>
      <w:proofErr w:type="spellEnd"/>
      <w:r w:rsidRPr="009C4CA1">
        <w:rPr>
          <w:sz w:val="24"/>
          <w:szCs w:val="24"/>
        </w:rPr>
        <w:t>. 528 (1980)</w:t>
      </w:r>
    </w:p>
    <w:p w:rsidR="00683AFD" w:rsidRPr="009C4CA1" w:rsidRDefault="00683AFD" w:rsidP="00683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683AFD" w:rsidRPr="009C4CA1" w:rsidRDefault="00683AFD" w:rsidP="00683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9C4CA1">
        <w:rPr>
          <w:sz w:val="24"/>
          <w:szCs w:val="24"/>
        </w:rPr>
        <w:t xml:space="preserve">The Commonwealth Court broadened the Commission’s ruling in </w:t>
      </w:r>
      <w:r w:rsidRPr="009C4CA1">
        <w:rPr>
          <w:i/>
          <w:sz w:val="24"/>
          <w:szCs w:val="24"/>
        </w:rPr>
        <w:t>Waldron</w:t>
      </w:r>
      <w:r w:rsidRPr="009C4CA1">
        <w:rPr>
          <w:sz w:val="24"/>
          <w:szCs w:val="24"/>
        </w:rPr>
        <w:t xml:space="preserve"> </w:t>
      </w:r>
      <w:r w:rsidRPr="009C4CA1">
        <w:rPr>
          <w:i/>
          <w:sz w:val="24"/>
          <w:szCs w:val="24"/>
        </w:rPr>
        <w:t xml:space="preserve">in </w:t>
      </w:r>
      <w:proofErr w:type="spellStart"/>
      <w:r w:rsidRPr="009C4CA1">
        <w:rPr>
          <w:i/>
          <w:sz w:val="24"/>
          <w:szCs w:val="24"/>
        </w:rPr>
        <w:t>Milkie</w:t>
      </w:r>
      <w:proofErr w:type="spellEnd"/>
      <w:r w:rsidRPr="009C4CA1">
        <w:rPr>
          <w:i/>
          <w:sz w:val="24"/>
          <w:szCs w:val="24"/>
        </w:rPr>
        <w:t xml:space="preserve"> v. Pennsylvania Pub. </w:t>
      </w:r>
      <w:proofErr w:type="gramStart"/>
      <w:r w:rsidRPr="009C4CA1">
        <w:rPr>
          <w:i/>
          <w:sz w:val="24"/>
          <w:szCs w:val="24"/>
        </w:rPr>
        <w:t>Util. Com</w:t>
      </w:r>
      <w:r w:rsidRPr="00260BD6">
        <w:rPr>
          <w:i/>
          <w:sz w:val="24"/>
          <w:szCs w:val="24"/>
        </w:rPr>
        <w:t>.</w:t>
      </w:r>
      <w:r w:rsidRPr="009C4CA1">
        <w:rPr>
          <w:sz w:val="24"/>
          <w:szCs w:val="24"/>
        </w:rPr>
        <w:t xml:space="preserve">, 768 </w:t>
      </w:r>
      <w:proofErr w:type="spellStart"/>
      <w:r w:rsidRPr="009C4CA1">
        <w:rPr>
          <w:sz w:val="24"/>
          <w:szCs w:val="24"/>
        </w:rPr>
        <w:t>A.2d</w:t>
      </w:r>
      <w:proofErr w:type="spellEnd"/>
      <w:r w:rsidRPr="009C4CA1">
        <w:rPr>
          <w:sz w:val="24"/>
          <w:szCs w:val="24"/>
        </w:rPr>
        <w:t xml:space="preserve"> 1217 (Pa. </w:t>
      </w:r>
      <w:proofErr w:type="spellStart"/>
      <w:r w:rsidRPr="009C4CA1">
        <w:rPr>
          <w:sz w:val="24"/>
          <w:szCs w:val="24"/>
        </w:rPr>
        <w:t>Cmwlth</w:t>
      </w:r>
      <w:proofErr w:type="spellEnd"/>
      <w:r w:rsidRPr="009C4CA1">
        <w:rPr>
          <w:sz w:val="24"/>
          <w:szCs w:val="24"/>
        </w:rPr>
        <w:t>. 2001) (</w:t>
      </w:r>
      <w:proofErr w:type="spellStart"/>
      <w:r w:rsidRPr="009C4CA1">
        <w:rPr>
          <w:i/>
          <w:sz w:val="24"/>
          <w:szCs w:val="24"/>
        </w:rPr>
        <w:t>Milkie</w:t>
      </w:r>
      <w:proofErr w:type="spellEnd"/>
      <w:r w:rsidRPr="009C4CA1">
        <w:rPr>
          <w:sz w:val="24"/>
          <w:szCs w:val="24"/>
        </w:rPr>
        <w:t>).</w:t>
      </w:r>
      <w:proofErr w:type="gramEnd"/>
      <w:r w:rsidRPr="009C4CA1">
        <w:rPr>
          <w:sz w:val="24"/>
          <w:szCs w:val="24"/>
        </w:rPr>
        <w:t xml:space="preserve">  The Commonwealth Court held that the Commission’s requirement that the Complainant must establish certain specific elements in order to make out a </w:t>
      </w:r>
      <w:r w:rsidRPr="009C4CA1">
        <w:rPr>
          <w:i/>
          <w:sz w:val="24"/>
          <w:szCs w:val="24"/>
        </w:rPr>
        <w:t>prima facie</w:t>
      </w:r>
      <w:r w:rsidRPr="009C4CA1">
        <w:rPr>
          <w:sz w:val="24"/>
          <w:szCs w:val="24"/>
        </w:rPr>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w:t>
      </w:r>
      <w:r w:rsidRPr="009C4CA1">
        <w:rPr>
          <w:i/>
          <w:sz w:val="24"/>
          <w:szCs w:val="24"/>
        </w:rPr>
        <w:t xml:space="preserve">.  </w:t>
      </w:r>
      <w:proofErr w:type="gramStart"/>
      <w:r w:rsidRPr="009C4CA1">
        <w:rPr>
          <w:i/>
          <w:sz w:val="24"/>
          <w:szCs w:val="24"/>
        </w:rPr>
        <w:t>Bennett v Peoples Natural Gas Co.</w:t>
      </w:r>
      <w:r w:rsidRPr="009C4CA1">
        <w:rPr>
          <w:sz w:val="24"/>
          <w:szCs w:val="24"/>
        </w:rPr>
        <w:t>, Docket No.</w:t>
      </w:r>
      <w:proofErr w:type="gramEnd"/>
      <w:r w:rsidRPr="009C4CA1">
        <w:rPr>
          <w:sz w:val="24"/>
          <w:szCs w:val="24"/>
        </w:rPr>
        <w:t xml:space="preserve"> C-2009-2122979 (Order entered October 13, 2010); </w:t>
      </w:r>
      <w:r w:rsidRPr="009C4CA1">
        <w:rPr>
          <w:i/>
          <w:sz w:val="24"/>
          <w:szCs w:val="24"/>
        </w:rPr>
        <w:t>Thomas v PECO Energy Co.</w:t>
      </w:r>
      <w:r w:rsidRPr="009C4CA1">
        <w:rPr>
          <w:sz w:val="24"/>
          <w:szCs w:val="24"/>
        </w:rPr>
        <w:t xml:space="preserve">, Docket No. C-2010-2187197 (Order entered November 15, 2011).   This rule protects the </w:t>
      </w:r>
      <w:r w:rsidRPr="009C4CA1">
        <w:rPr>
          <w:sz w:val="24"/>
          <w:szCs w:val="24"/>
        </w:rPr>
        <w:lastRenderedPageBreak/>
        <w:t xml:space="preserve">Complainant from dismissal because of his inability to produce direct proof that the meter malfunctioned.   </w:t>
      </w:r>
    </w:p>
    <w:p w:rsidR="00683AFD" w:rsidRPr="009C4CA1" w:rsidRDefault="00683AFD" w:rsidP="00683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683AFD" w:rsidRPr="009C4CA1" w:rsidRDefault="00683AFD" w:rsidP="00683AFD">
      <w:pPr>
        <w:spacing w:line="360" w:lineRule="auto"/>
        <w:ind w:firstLine="1440"/>
        <w:rPr>
          <w:rFonts w:cs="Calibri"/>
          <w:color w:val="1F497D"/>
          <w:sz w:val="24"/>
          <w:szCs w:val="24"/>
        </w:rPr>
      </w:pPr>
      <w:r w:rsidRPr="009C4CA1">
        <w:rPr>
          <w:sz w:val="24"/>
          <w:szCs w:val="24"/>
        </w:rPr>
        <w:t xml:space="preserve">As noted above, the burden of proof always remains with the Complainant and if the utility presents evidence that is co-equal or greater in weight than the Complainant’s, the Complainant will not have met his burden of proof.  The Commonwealth Court in </w:t>
      </w:r>
      <w:proofErr w:type="spellStart"/>
      <w:r w:rsidRPr="009C4CA1">
        <w:rPr>
          <w:i/>
          <w:sz w:val="24"/>
          <w:szCs w:val="24"/>
        </w:rPr>
        <w:t>Milkie</w:t>
      </w:r>
      <w:proofErr w:type="spellEnd"/>
      <w:r w:rsidRPr="009C4CA1">
        <w:rPr>
          <w:sz w:val="24"/>
          <w:szCs w:val="24"/>
        </w:rPr>
        <w:t xml:space="preserve"> emphasized that the mere proof by the utility that its measuring devices are accurate is no longer the sole determinant of whether there is</w:t>
      </w:r>
      <w:r>
        <w:rPr>
          <w:sz w:val="24"/>
          <w:szCs w:val="24"/>
        </w:rPr>
        <w:t xml:space="preserve"> a basis to a complaint of over</w:t>
      </w:r>
      <w:r w:rsidRPr="009C4CA1">
        <w:rPr>
          <w:sz w:val="24"/>
          <w:szCs w:val="24"/>
        </w:rPr>
        <w:t xml:space="preserve">billing.  </w:t>
      </w:r>
      <w:proofErr w:type="gramStart"/>
      <w:r w:rsidRPr="009C4CA1">
        <w:rPr>
          <w:i/>
          <w:sz w:val="24"/>
          <w:szCs w:val="24"/>
        </w:rPr>
        <w:t>Burleson v. Pennsylvania Pub.</w:t>
      </w:r>
      <w:proofErr w:type="gramEnd"/>
      <w:r w:rsidRPr="009C4CA1">
        <w:rPr>
          <w:i/>
          <w:sz w:val="24"/>
          <w:szCs w:val="24"/>
        </w:rPr>
        <w:t xml:space="preserve"> </w:t>
      </w:r>
      <w:proofErr w:type="gramStart"/>
      <w:r w:rsidRPr="009C4CA1">
        <w:rPr>
          <w:i/>
          <w:sz w:val="24"/>
          <w:szCs w:val="24"/>
        </w:rPr>
        <w:t xml:space="preserve">Util. </w:t>
      </w:r>
      <w:proofErr w:type="spellStart"/>
      <w:r w:rsidRPr="009C4CA1">
        <w:rPr>
          <w:i/>
          <w:sz w:val="24"/>
          <w:szCs w:val="24"/>
        </w:rPr>
        <w:t>Comm’n</w:t>
      </w:r>
      <w:proofErr w:type="spellEnd"/>
      <w:r w:rsidRPr="009C4CA1">
        <w:rPr>
          <w:sz w:val="24"/>
          <w:szCs w:val="24"/>
        </w:rPr>
        <w:t xml:space="preserve">, 461 </w:t>
      </w:r>
      <w:proofErr w:type="spellStart"/>
      <w:r w:rsidRPr="009C4CA1">
        <w:rPr>
          <w:sz w:val="24"/>
          <w:szCs w:val="24"/>
        </w:rPr>
        <w:t>A.2d</w:t>
      </w:r>
      <w:proofErr w:type="spellEnd"/>
      <w:r w:rsidRPr="009C4CA1">
        <w:rPr>
          <w:sz w:val="24"/>
          <w:szCs w:val="24"/>
        </w:rPr>
        <w:t xml:space="preserve"> 1234 (Pa. 1983).</w:t>
      </w:r>
      <w:proofErr w:type="gramEnd"/>
    </w:p>
    <w:p w:rsidR="00683AFD" w:rsidRPr="00543D2F" w:rsidRDefault="00683AFD" w:rsidP="00683AFD">
      <w:pPr>
        <w:spacing w:line="360" w:lineRule="auto"/>
        <w:ind w:firstLine="1440"/>
        <w:rPr>
          <w:spacing w:val="-3"/>
          <w:sz w:val="24"/>
          <w:szCs w:val="24"/>
        </w:rPr>
      </w:pPr>
      <w:bookmarkStart w:id="1" w:name="_GoBack"/>
      <w:bookmarkEnd w:id="1"/>
    </w:p>
    <w:p w:rsidR="00683AFD" w:rsidRPr="00543D2F" w:rsidRDefault="00683AFD" w:rsidP="00683AFD">
      <w:pPr>
        <w:spacing w:line="360" w:lineRule="auto"/>
        <w:ind w:firstLine="1440"/>
        <w:rPr>
          <w:spacing w:val="-3"/>
          <w:sz w:val="24"/>
          <w:szCs w:val="24"/>
        </w:rPr>
      </w:pPr>
      <w:r w:rsidRPr="00543D2F">
        <w:rPr>
          <w:spacing w:val="-3"/>
          <w:sz w:val="24"/>
          <w:szCs w:val="24"/>
        </w:rPr>
        <w:t xml:space="preserve">The assessment of the home’s ability to use electricity showed that there was an ability to use 11,602 KWH per 30 day period.  The Complainant has never used that amount of electricity in a 30 day period.  The Complainant testified that she turns circuit breakers off and thermostats down, which is consistent with her actual usage being significantly below the home’s ability to use electricity.  </w:t>
      </w:r>
    </w:p>
    <w:p w:rsidR="00683AFD" w:rsidRPr="00543D2F" w:rsidRDefault="00683AFD" w:rsidP="00683AFD">
      <w:pPr>
        <w:spacing w:line="360" w:lineRule="auto"/>
        <w:ind w:firstLine="1440"/>
        <w:rPr>
          <w:spacing w:val="-3"/>
          <w:sz w:val="24"/>
          <w:szCs w:val="24"/>
        </w:rPr>
      </w:pPr>
    </w:p>
    <w:p w:rsidR="00683AFD" w:rsidRPr="00543D2F" w:rsidRDefault="00683AFD" w:rsidP="00683AFD">
      <w:pPr>
        <w:spacing w:line="360" w:lineRule="auto"/>
        <w:ind w:firstLine="1440"/>
        <w:rPr>
          <w:spacing w:val="-3"/>
          <w:sz w:val="24"/>
          <w:szCs w:val="24"/>
        </w:rPr>
      </w:pPr>
      <w:r w:rsidRPr="00543D2F">
        <w:rPr>
          <w:spacing w:val="-3"/>
          <w:sz w:val="24"/>
          <w:szCs w:val="24"/>
        </w:rPr>
        <w:t xml:space="preserve">The Complainant has a four bedroom home with two and </w:t>
      </w:r>
      <w:r>
        <w:rPr>
          <w:spacing w:val="-3"/>
          <w:sz w:val="24"/>
          <w:szCs w:val="24"/>
        </w:rPr>
        <w:t>one</w:t>
      </w:r>
      <w:r w:rsidRPr="00543D2F">
        <w:rPr>
          <w:spacing w:val="-3"/>
          <w:sz w:val="24"/>
          <w:szCs w:val="24"/>
        </w:rPr>
        <w:t xml:space="preserve"> half baths, a living room, family room and dining room.  There is a garage that is also heated with four feet of baseboard heat.  With the appliances, size of the home, water heater and air conditioners, the home has a high capacity to use electricity.  The meter taken out tested accurately.  There is no significant difference between the usage under the meter taken out and the new meter.  All the Complainant’s bills have been actual, not estimated readings.  The Respondent successfully rebutted the Complainant’s allegation of high bills.  Therefore this complaint will be dismissed for failure to meet the burden of proof.  </w:t>
      </w:r>
      <w:hyperlink r:id="rId20" w:history="1">
        <w:r w:rsidRPr="00543D2F">
          <w:rPr>
            <w:rStyle w:val="Hyperlink"/>
            <w:i/>
            <w:color w:val="auto"/>
            <w:sz w:val="24"/>
            <w:szCs w:val="24"/>
          </w:rPr>
          <w:t xml:space="preserve">Norfolk &amp; Western Ry. Co. v. Pa. </w:t>
        </w:r>
        <w:proofErr w:type="spellStart"/>
        <w:r w:rsidRPr="00543D2F">
          <w:rPr>
            <w:rStyle w:val="Hyperlink"/>
            <w:i/>
            <w:color w:val="auto"/>
            <w:sz w:val="24"/>
            <w:szCs w:val="24"/>
          </w:rPr>
          <w:t>P.U.C</w:t>
        </w:r>
        <w:proofErr w:type="spellEnd"/>
        <w:r w:rsidRPr="00543D2F">
          <w:rPr>
            <w:rStyle w:val="Hyperlink"/>
            <w:color w:val="auto"/>
            <w:sz w:val="24"/>
            <w:szCs w:val="24"/>
          </w:rPr>
          <w:t xml:space="preserve">., 489 Pa. 109, 413 </w:t>
        </w:r>
        <w:proofErr w:type="spellStart"/>
        <w:r w:rsidRPr="00543D2F">
          <w:rPr>
            <w:rStyle w:val="Hyperlink"/>
            <w:color w:val="auto"/>
            <w:sz w:val="24"/>
            <w:szCs w:val="24"/>
          </w:rPr>
          <w:t>A.2d</w:t>
        </w:r>
        <w:proofErr w:type="spellEnd"/>
        <w:r w:rsidRPr="00543D2F">
          <w:rPr>
            <w:rStyle w:val="Hyperlink"/>
            <w:color w:val="auto"/>
            <w:sz w:val="24"/>
            <w:szCs w:val="24"/>
          </w:rPr>
          <w:t xml:space="preserve"> 1037 (1980);</w:t>
        </w:r>
      </w:hyperlink>
      <w:r w:rsidRPr="00543D2F">
        <w:rPr>
          <w:sz w:val="24"/>
          <w:szCs w:val="24"/>
        </w:rPr>
        <w:t xml:space="preserve"> </w:t>
      </w:r>
      <w:hyperlink r:id="rId21" w:history="1">
        <w:r w:rsidRPr="00543D2F">
          <w:rPr>
            <w:rStyle w:val="Hyperlink"/>
            <w:i/>
            <w:color w:val="auto"/>
            <w:sz w:val="24"/>
            <w:szCs w:val="24"/>
          </w:rPr>
          <w:t>Erie Resistor Corp. v. Unemployment Comp. Bd. of Review</w:t>
        </w:r>
        <w:r w:rsidRPr="00543D2F">
          <w:rPr>
            <w:rStyle w:val="Hyperlink"/>
            <w:color w:val="auto"/>
            <w:sz w:val="24"/>
            <w:szCs w:val="24"/>
          </w:rPr>
          <w:t xml:space="preserve">, 194 Pa. Superior Ct. 278, 166 </w:t>
        </w:r>
        <w:proofErr w:type="spellStart"/>
        <w:r w:rsidRPr="00543D2F">
          <w:rPr>
            <w:rStyle w:val="Hyperlink"/>
            <w:color w:val="auto"/>
            <w:sz w:val="24"/>
            <w:szCs w:val="24"/>
          </w:rPr>
          <w:t>A.2d</w:t>
        </w:r>
        <w:proofErr w:type="spellEnd"/>
        <w:r w:rsidRPr="00543D2F">
          <w:rPr>
            <w:rStyle w:val="Hyperlink"/>
            <w:color w:val="auto"/>
            <w:sz w:val="24"/>
            <w:szCs w:val="24"/>
          </w:rPr>
          <w:t xml:space="preserve"> 96 (1961);</w:t>
        </w:r>
      </w:hyperlink>
      <w:r w:rsidRPr="00543D2F">
        <w:rPr>
          <w:sz w:val="24"/>
          <w:szCs w:val="24"/>
        </w:rPr>
        <w:t xml:space="preserve"> and </w:t>
      </w:r>
      <w:hyperlink r:id="rId22" w:history="1">
        <w:r w:rsidRPr="00543D2F">
          <w:rPr>
            <w:rStyle w:val="Hyperlink"/>
            <w:i/>
            <w:color w:val="auto"/>
            <w:sz w:val="24"/>
            <w:szCs w:val="24"/>
          </w:rPr>
          <w:t>Murphy v. Comm., Dept. of Public Welfare, White Haven Center,</w:t>
        </w:r>
        <w:r w:rsidRPr="00543D2F">
          <w:rPr>
            <w:rStyle w:val="Hyperlink"/>
            <w:color w:val="auto"/>
            <w:sz w:val="24"/>
            <w:szCs w:val="24"/>
          </w:rPr>
          <w:t xml:space="preserve"> 85 Pa. Commonwealth Ct. 23, 480 </w:t>
        </w:r>
        <w:proofErr w:type="spellStart"/>
        <w:r w:rsidRPr="00543D2F">
          <w:rPr>
            <w:rStyle w:val="Hyperlink"/>
            <w:color w:val="auto"/>
            <w:sz w:val="24"/>
            <w:szCs w:val="24"/>
          </w:rPr>
          <w:t>A.2d</w:t>
        </w:r>
        <w:proofErr w:type="spellEnd"/>
        <w:r w:rsidRPr="00543D2F">
          <w:rPr>
            <w:rStyle w:val="Hyperlink"/>
            <w:color w:val="auto"/>
            <w:sz w:val="24"/>
            <w:szCs w:val="24"/>
          </w:rPr>
          <w:t xml:space="preserve"> 382 (1984).</w:t>
        </w:r>
      </w:hyperlink>
    </w:p>
    <w:p w:rsidR="00683AFD" w:rsidRPr="00543D2F" w:rsidRDefault="00683AFD" w:rsidP="00683AFD">
      <w:pPr>
        <w:spacing w:line="360" w:lineRule="auto"/>
        <w:ind w:firstLine="1440"/>
        <w:rPr>
          <w:spacing w:val="-3"/>
          <w:sz w:val="24"/>
          <w:szCs w:val="24"/>
        </w:rPr>
      </w:pPr>
    </w:p>
    <w:p w:rsidR="00683AFD" w:rsidRPr="00543D2F" w:rsidRDefault="00683AFD" w:rsidP="00683AFD">
      <w:pPr>
        <w:spacing w:line="360" w:lineRule="auto"/>
        <w:ind w:firstLine="1440"/>
        <w:rPr>
          <w:spacing w:val="-3"/>
          <w:sz w:val="24"/>
          <w:szCs w:val="24"/>
        </w:rPr>
      </w:pPr>
      <w:r w:rsidRPr="00543D2F">
        <w:rPr>
          <w:spacing w:val="-3"/>
          <w:sz w:val="24"/>
          <w:szCs w:val="24"/>
        </w:rPr>
        <w:t xml:space="preserve">As of September 5, 2012, the Complainant was significantly behind in her account. </w:t>
      </w:r>
      <w:proofErr w:type="gramStart"/>
      <w:r w:rsidRPr="00543D2F">
        <w:rPr>
          <w:spacing w:val="-3"/>
          <w:sz w:val="24"/>
          <w:szCs w:val="24"/>
        </w:rPr>
        <w:t>($2,203.43).</w:t>
      </w:r>
      <w:proofErr w:type="gramEnd"/>
      <w:r w:rsidRPr="00543D2F">
        <w:rPr>
          <w:spacing w:val="-3"/>
          <w:sz w:val="24"/>
          <w:szCs w:val="24"/>
        </w:rPr>
        <w:t xml:space="preserve">  Customers are required to pay for their electric service or risk termination.  </w:t>
      </w:r>
      <w:proofErr w:type="gramStart"/>
      <w:r w:rsidRPr="00543D2F">
        <w:rPr>
          <w:spacing w:val="-3"/>
          <w:sz w:val="24"/>
          <w:szCs w:val="24"/>
        </w:rPr>
        <w:t xml:space="preserve">66 Pa. </w:t>
      </w:r>
      <w:proofErr w:type="spellStart"/>
      <w:r w:rsidRPr="00543D2F">
        <w:rPr>
          <w:spacing w:val="-3"/>
          <w:sz w:val="24"/>
          <w:szCs w:val="24"/>
        </w:rPr>
        <w:t>C.S</w:t>
      </w:r>
      <w:proofErr w:type="spellEnd"/>
      <w:r w:rsidRPr="00543D2F">
        <w:rPr>
          <w:spacing w:val="-3"/>
          <w:sz w:val="24"/>
          <w:szCs w:val="24"/>
        </w:rPr>
        <w:t>.</w:t>
      </w:r>
      <w:proofErr w:type="gramEnd"/>
      <w:r w:rsidRPr="00543D2F">
        <w:rPr>
          <w:spacing w:val="-3"/>
          <w:sz w:val="24"/>
          <w:szCs w:val="24"/>
        </w:rPr>
        <w:t xml:space="preserve">  § 1406 (a</w:t>
      </w:r>
      <w:proofErr w:type="gramStart"/>
      <w:r w:rsidRPr="00543D2F">
        <w:rPr>
          <w:spacing w:val="-3"/>
          <w:sz w:val="24"/>
          <w:szCs w:val="24"/>
        </w:rPr>
        <w:t>)(</w:t>
      </w:r>
      <w:proofErr w:type="gramEnd"/>
      <w:r w:rsidRPr="00543D2F">
        <w:rPr>
          <w:spacing w:val="-3"/>
          <w:sz w:val="24"/>
          <w:szCs w:val="24"/>
        </w:rPr>
        <w:t xml:space="preserve">1). </w:t>
      </w:r>
    </w:p>
    <w:p w:rsidR="00683AFD" w:rsidRPr="00543D2F" w:rsidRDefault="00683AFD" w:rsidP="00683AFD">
      <w:pPr>
        <w:spacing w:line="360" w:lineRule="auto"/>
        <w:ind w:firstLine="1440"/>
        <w:rPr>
          <w:sz w:val="24"/>
          <w:szCs w:val="24"/>
        </w:rPr>
      </w:pPr>
    </w:p>
    <w:p w:rsidR="00683AFD" w:rsidRPr="00543D2F" w:rsidRDefault="00683AFD" w:rsidP="00683AFD">
      <w:pPr>
        <w:spacing w:line="360" w:lineRule="auto"/>
        <w:jc w:val="center"/>
        <w:rPr>
          <w:sz w:val="24"/>
          <w:szCs w:val="24"/>
          <w:u w:val="single"/>
        </w:rPr>
      </w:pPr>
      <w:r w:rsidRPr="00543D2F">
        <w:rPr>
          <w:sz w:val="24"/>
          <w:szCs w:val="24"/>
          <w:u w:val="single"/>
        </w:rPr>
        <w:t>CONCLUSIONS OF LAW</w:t>
      </w:r>
    </w:p>
    <w:p w:rsidR="00683AFD" w:rsidRPr="00543D2F" w:rsidRDefault="00683AFD" w:rsidP="00683AFD">
      <w:pPr>
        <w:spacing w:line="360" w:lineRule="auto"/>
        <w:jc w:val="center"/>
        <w:rPr>
          <w:sz w:val="24"/>
          <w:szCs w:val="24"/>
          <w:u w:val="single"/>
        </w:rPr>
      </w:pPr>
    </w:p>
    <w:p w:rsidR="00683AFD" w:rsidRPr="00543D2F" w:rsidRDefault="00683AFD" w:rsidP="00683AFD">
      <w:pPr>
        <w:tabs>
          <w:tab w:val="left" w:pos="2160"/>
        </w:tabs>
        <w:spacing w:line="360" w:lineRule="auto"/>
        <w:ind w:firstLine="1440"/>
        <w:rPr>
          <w:sz w:val="24"/>
          <w:szCs w:val="24"/>
        </w:rPr>
      </w:pPr>
      <w:r w:rsidRPr="00543D2F">
        <w:rPr>
          <w:sz w:val="24"/>
          <w:szCs w:val="24"/>
        </w:rPr>
        <w:t>1.</w:t>
      </w:r>
      <w:r w:rsidRPr="00543D2F">
        <w:rPr>
          <w:sz w:val="24"/>
          <w:szCs w:val="24"/>
        </w:rPr>
        <w:tab/>
        <w:t xml:space="preserve">The Commission has jurisdiction over the subject matter and parties to this Complaint.  </w:t>
      </w:r>
      <w:proofErr w:type="gramStart"/>
      <w:r w:rsidRPr="00543D2F">
        <w:rPr>
          <w:sz w:val="24"/>
          <w:szCs w:val="24"/>
        </w:rPr>
        <w:t xml:space="preserve">66 Pa. </w:t>
      </w:r>
      <w:proofErr w:type="spellStart"/>
      <w:r w:rsidRPr="00543D2F">
        <w:rPr>
          <w:sz w:val="24"/>
          <w:szCs w:val="24"/>
        </w:rPr>
        <w:t>C.S</w:t>
      </w:r>
      <w:proofErr w:type="spellEnd"/>
      <w:r w:rsidRPr="00543D2F">
        <w:rPr>
          <w:sz w:val="24"/>
          <w:szCs w:val="24"/>
        </w:rPr>
        <w:t>. § 701.</w:t>
      </w:r>
      <w:proofErr w:type="gramEnd"/>
    </w:p>
    <w:p w:rsidR="00683AFD" w:rsidRPr="00543D2F" w:rsidRDefault="00683AFD" w:rsidP="00683AFD">
      <w:pPr>
        <w:tabs>
          <w:tab w:val="left" w:pos="2160"/>
        </w:tabs>
        <w:spacing w:line="360" w:lineRule="auto"/>
        <w:ind w:firstLine="1440"/>
        <w:rPr>
          <w:sz w:val="24"/>
          <w:szCs w:val="24"/>
        </w:rPr>
      </w:pPr>
    </w:p>
    <w:p w:rsidR="00683AFD" w:rsidRPr="00543D2F" w:rsidRDefault="00683AFD" w:rsidP="00683AFD">
      <w:pPr>
        <w:tabs>
          <w:tab w:val="left" w:pos="2160"/>
        </w:tabs>
        <w:spacing w:line="360" w:lineRule="auto"/>
        <w:ind w:firstLine="1440"/>
        <w:rPr>
          <w:sz w:val="24"/>
          <w:szCs w:val="24"/>
        </w:rPr>
      </w:pPr>
      <w:r w:rsidRPr="00543D2F">
        <w:rPr>
          <w:sz w:val="24"/>
          <w:szCs w:val="24"/>
        </w:rPr>
        <w:t>2.</w:t>
      </w:r>
      <w:r w:rsidRPr="00543D2F">
        <w:rPr>
          <w:sz w:val="24"/>
          <w:szCs w:val="24"/>
        </w:rPr>
        <w:tab/>
        <w:t xml:space="preserve">As the party seeking affirmative relief from the Commission, Complainant bears the burden of proof.  </w:t>
      </w:r>
      <w:proofErr w:type="gramStart"/>
      <w:r w:rsidRPr="00543D2F">
        <w:rPr>
          <w:sz w:val="24"/>
          <w:szCs w:val="24"/>
        </w:rPr>
        <w:t xml:space="preserve">66 Pa. </w:t>
      </w:r>
      <w:proofErr w:type="spellStart"/>
      <w:r w:rsidRPr="00543D2F">
        <w:rPr>
          <w:sz w:val="24"/>
          <w:szCs w:val="24"/>
        </w:rPr>
        <w:t>C.S</w:t>
      </w:r>
      <w:proofErr w:type="spellEnd"/>
      <w:r w:rsidRPr="00543D2F">
        <w:rPr>
          <w:sz w:val="24"/>
          <w:szCs w:val="24"/>
        </w:rPr>
        <w:t>. § 332(a).</w:t>
      </w:r>
      <w:proofErr w:type="gramEnd"/>
    </w:p>
    <w:p w:rsidR="00683AFD" w:rsidRPr="00543D2F" w:rsidRDefault="00683AFD" w:rsidP="00683AFD">
      <w:pPr>
        <w:tabs>
          <w:tab w:val="left" w:pos="2160"/>
        </w:tabs>
        <w:spacing w:line="360" w:lineRule="auto"/>
        <w:ind w:firstLine="1440"/>
        <w:rPr>
          <w:sz w:val="24"/>
          <w:szCs w:val="24"/>
        </w:rPr>
      </w:pPr>
    </w:p>
    <w:p w:rsidR="00683AFD" w:rsidRPr="00543D2F" w:rsidRDefault="00683AFD" w:rsidP="00683AFD">
      <w:pPr>
        <w:tabs>
          <w:tab w:val="left" w:pos="2160"/>
        </w:tabs>
        <w:spacing w:line="360" w:lineRule="auto"/>
        <w:ind w:firstLine="1440"/>
        <w:rPr>
          <w:spacing w:val="-3"/>
          <w:sz w:val="24"/>
          <w:szCs w:val="24"/>
        </w:rPr>
      </w:pPr>
      <w:r w:rsidRPr="00543D2F">
        <w:rPr>
          <w:sz w:val="24"/>
          <w:szCs w:val="24"/>
        </w:rPr>
        <w:t>3.</w:t>
      </w:r>
      <w:r w:rsidRPr="00543D2F">
        <w:rPr>
          <w:sz w:val="24"/>
          <w:szCs w:val="24"/>
        </w:rPr>
        <w:tab/>
      </w:r>
      <w:r w:rsidRPr="00543D2F">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543D2F">
        <w:rPr>
          <w:i/>
          <w:spacing w:val="-3"/>
          <w:sz w:val="24"/>
          <w:szCs w:val="24"/>
        </w:rPr>
        <w:t>Patterson v. Bell Telephone Company of Pennsylvania</w:t>
      </w:r>
      <w:r w:rsidRPr="00543D2F">
        <w:rPr>
          <w:spacing w:val="-3"/>
          <w:sz w:val="24"/>
          <w:szCs w:val="24"/>
        </w:rPr>
        <w:t>, 72 Pa. Pub.</w:t>
      </w:r>
      <w:proofErr w:type="gramEnd"/>
      <w:r w:rsidRPr="00543D2F">
        <w:rPr>
          <w:spacing w:val="-3"/>
          <w:sz w:val="24"/>
          <w:szCs w:val="24"/>
        </w:rPr>
        <w:t xml:space="preserve"> </w:t>
      </w:r>
      <w:proofErr w:type="gramStart"/>
      <w:r w:rsidRPr="00543D2F">
        <w:rPr>
          <w:spacing w:val="-3"/>
          <w:sz w:val="24"/>
          <w:szCs w:val="24"/>
        </w:rPr>
        <w:t xml:space="preserve">Util. </w:t>
      </w:r>
      <w:proofErr w:type="spellStart"/>
      <w:r w:rsidRPr="00543D2F">
        <w:rPr>
          <w:spacing w:val="-3"/>
          <w:sz w:val="24"/>
          <w:szCs w:val="24"/>
        </w:rPr>
        <w:t>Comm’n</w:t>
      </w:r>
      <w:proofErr w:type="spellEnd"/>
      <w:r w:rsidRPr="00543D2F">
        <w:rPr>
          <w:spacing w:val="-3"/>
          <w:sz w:val="24"/>
          <w:szCs w:val="24"/>
        </w:rPr>
        <w:t xml:space="preserve"> 196 (1990); </w:t>
      </w:r>
      <w:r w:rsidRPr="00543D2F">
        <w:rPr>
          <w:i/>
          <w:spacing w:val="-3"/>
          <w:sz w:val="24"/>
          <w:szCs w:val="24"/>
        </w:rPr>
        <w:t>Feinstein v. Philadelphia Suburban Water Company</w:t>
      </w:r>
      <w:r w:rsidRPr="00543D2F">
        <w:rPr>
          <w:spacing w:val="-3"/>
          <w:sz w:val="24"/>
          <w:szCs w:val="24"/>
        </w:rPr>
        <w:t>, 50 Pa. Pub.</w:t>
      </w:r>
      <w:proofErr w:type="gramEnd"/>
      <w:r w:rsidRPr="00543D2F">
        <w:rPr>
          <w:spacing w:val="-3"/>
          <w:sz w:val="24"/>
          <w:szCs w:val="24"/>
        </w:rPr>
        <w:t xml:space="preserve"> </w:t>
      </w:r>
      <w:proofErr w:type="gramStart"/>
      <w:r w:rsidRPr="00543D2F">
        <w:rPr>
          <w:spacing w:val="-3"/>
          <w:sz w:val="24"/>
          <w:szCs w:val="24"/>
        </w:rPr>
        <w:t xml:space="preserve">Util. </w:t>
      </w:r>
      <w:proofErr w:type="spellStart"/>
      <w:r w:rsidRPr="00543D2F">
        <w:rPr>
          <w:spacing w:val="-3"/>
          <w:sz w:val="24"/>
          <w:szCs w:val="24"/>
        </w:rPr>
        <w:t>Comm’n</w:t>
      </w:r>
      <w:proofErr w:type="spellEnd"/>
      <w:r w:rsidRPr="00543D2F">
        <w:rPr>
          <w:spacing w:val="-3"/>
          <w:sz w:val="24"/>
          <w:szCs w:val="24"/>
        </w:rPr>
        <w:t xml:space="preserve"> 300 (1976).</w:t>
      </w:r>
      <w:proofErr w:type="gramEnd"/>
      <w:r w:rsidRPr="00543D2F">
        <w:rPr>
          <w:spacing w:val="-3"/>
          <w:sz w:val="24"/>
          <w:szCs w:val="24"/>
        </w:rPr>
        <w:t xml:space="preserve">  This must be shown by a preponderance of the evidence.  </w:t>
      </w:r>
      <w:proofErr w:type="gramStart"/>
      <w:r w:rsidRPr="00543D2F">
        <w:rPr>
          <w:i/>
          <w:spacing w:val="-3"/>
          <w:sz w:val="24"/>
          <w:szCs w:val="24"/>
        </w:rPr>
        <w:t xml:space="preserve">Samuel J. </w:t>
      </w:r>
      <w:proofErr w:type="spellStart"/>
      <w:r w:rsidRPr="00543D2F">
        <w:rPr>
          <w:i/>
          <w:spacing w:val="-3"/>
          <w:sz w:val="24"/>
          <w:szCs w:val="24"/>
        </w:rPr>
        <w:t>Lansberry</w:t>
      </w:r>
      <w:proofErr w:type="spellEnd"/>
      <w:r w:rsidRPr="00543D2F">
        <w:rPr>
          <w:i/>
          <w:spacing w:val="-3"/>
          <w:sz w:val="24"/>
          <w:szCs w:val="24"/>
        </w:rPr>
        <w:t>, Inc. v. Pa. Pub.</w:t>
      </w:r>
      <w:proofErr w:type="gramEnd"/>
      <w:r w:rsidRPr="00543D2F">
        <w:rPr>
          <w:i/>
          <w:spacing w:val="-3"/>
          <w:sz w:val="24"/>
          <w:szCs w:val="24"/>
        </w:rPr>
        <w:t xml:space="preserve"> </w:t>
      </w:r>
      <w:proofErr w:type="gramStart"/>
      <w:r w:rsidRPr="00543D2F">
        <w:rPr>
          <w:i/>
          <w:spacing w:val="-3"/>
          <w:sz w:val="24"/>
          <w:szCs w:val="24"/>
        </w:rPr>
        <w:t xml:space="preserve">Util. </w:t>
      </w:r>
      <w:proofErr w:type="spellStart"/>
      <w:r w:rsidRPr="00543D2F">
        <w:rPr>
          <w:i/>
          <w:spacing w:val="-3"/>
          <w:sz w:val="24"/>
          <w:szCs w:val="24"/>
        </w:rPr>
        <w:t>Comm’n</w:t>
      </w:r>
      <w:proofErr w:type="spellEnd"/>
      <w:r w:rsidRPr="00543D2F">
        <w:rPr>
          <w:spacing w:val="-3"/>
          <w:sz w:val="24"/>
          <w:szCs w:val="24"/>
        </w:rPr>
        <w:t xml:space="preserve">, 578 </w:t>
      </w:r>
      <w:proofErr w:type="spellStart"/>
      <w:r w:rsidRPr="00543D2F">
        <w:rPr>
          <w:spacing w:val="-3"/>
          <w:sz w:val="24"/>
          <w:szCs w:val="24"/>
        </w:rPr>
        <w:t>A.2d</w:t>
      </w:r>
      <w:proofErr w:type="spellEnd"/>
      <w:r w:rsidRPr="00543D2F">
        <w:rPr>
          <w:spacing w:val="-3"/>
          <w:sz w:val="24"/>
          <w:szCs w:val="24"/>
        </w:rPr>
        <w:t xml:space="preserve"> 600 (1990), </w:t>
      </w:r>
      <w:proofErr w:type="spellStart"/>
      <w:r w:rsidRPr="00543D2F">
        <w:rPr>
          <w:i/>
          <w:spacing w:val="-3"/>
          <w:sz w:val="24"/>
          <w:szCs w:val="24"/>
        </w:rPr>
        <w:t>alloc</w:t>
      </w:r>
      <w:proofErr w:type="spellEnd"/>
      <w:r w:rsidRPr="00543D2F">
        <w:rPr>
          <w:i/>
          <w:spacing w:val="-3"/>
          <w:sz w:val="24"/>
          <w:szCs w:val="24"/>
        </w:rPr>
        <w:t>.</w:t>
      </w:r>
      <w:proofErr w:type="gramEnd"/>
      <w:r w:rsidRPr="00543D2F">
        <w:rPr>
          <w:i/>
          <w:spacing w:val="-3"/>
          <w:sz w:val="24"/>
          <w:szCs w:val="24"/>
        </w:rPr>
        <w:t xml:space="preserve"> </w:t>
      </w:r>
      <w:proofErr w:type="gramStart"/>
      <w:r w:rsidRPr="00543D2F">
        <w:rPr>
          <w:i/>
          <w:spacing w:val="-3"/>
          <w:sz w:val="24"/>
          <w:szCs w:val="24"/>
        </w:rPr>
        <w:t>den.</w:t>
      </w:r>
      <w:r w:rsidRPr="00543D2F">
        <w:rPr>
          <w:spacing w:val="-3"/>
          <w:sz w:val="24"/>
          <w:szCs w:val="24"/>
        </w:rPr>
        <w:t xml:space="preserve">, 602 </w:t>
      </w:r>
      <w:proofErr w:type="spellStart"/>
      <w:r w:rsidRPr="00543D2F">
        <w:rPr>
          <w:spacing w:val="-3"/>
          <w:sz w:val="24"/>
          <w:szCs w:val="24"/>
        </w:rPr>
        <w:t>A.2d</w:t>
      </w:r>
      <w:proofErr w:type="spellEnd"/>
      <w:r w:rsidRPr="00543D2F">
        <w:rPr>
          <w:spacing w:val="-3"/>
          <w:sz w:val="24"/>
          <w:szCs w:val="24"/>
        </w:rPr>
        <w:t xml:space="preserve"> 863 (1992).</w:t>
      </w:r>
      <w:proofErr w:type="gramEnd"/>
    </w:p>
    <w:p w:rsidR="00683AFD" w:rsidRPr="00543D2F" w:rsidRDefault="00683AFD" w:rsidP="00683AFD">
      <w:pPr>
        <w:spacing w:line="360" w:lineRule="auto"/>
        <w:jc w:val="center"/>
        <w:rPr>
          <w:sz w:val="24"/>
          <w:szCs w:val="24"/>
          <w:u w:val="single"/>
        </w:rPr>
      </w:pPr>
    </w:p>
    <w:p w:rsidR="00683AFD" w:rsidRPr="00543D2F" w:rsidRDefault="00683AFD" w:rsidP="00683AFD">
      <w:pPr>
        <w:spacing w:line="360" w:lineRule="auto"/>
        <w:ind w:firstLine="1440"/>
        <w:rPr>
          <w:sz w:val="24"/>
          <w:szCs w:val="24"/>
          <w:u w:val="single"/>
        </w:rPr>
      </w:pPr>
      <w:r w:rsidRPr="00543D2F">
        <w:rPr>
          <w:sz w:val="24"/>
          <w:szCs w:val="24"/>
        </w:rPr>
        <w:t>4.</w:t>
      </w:r>
      <w:r w:rsidRPr="00543D2F">
        <w:rPr>
          <w:sz w:val="24"/>
          <w:szCs w:val="24"/>
        </w:rPr>
        <w:tab/>
        <w:t>The Complainant failed to show that the Respondent is responsible for her complaint of high bills.  The Respondent has accurately and properly billed the Complainant.</w:t>
      </w:r>
    </w:p>
    <w:p w:rsidR="00683AFD" w:rsidRPr="00543D2F" w:rsidRDefault="00683AFD" w:rsidP="00683AFD">
      <w:pPr>
        <w:spacing w:line="360" w:lineRule="auto"/>
        <w:jc w:val="center"/>
        <w:rPr>
          <w:sz w:val="24"/>
          <w:szCs w:val="24"/>
          <w:u w:val="single"/>
        </w:rPr>
      </w:pPr>
    </w:p>
    <w:p w:rsidR="00683AFD" w:rsidRPr="00543D2F" w:rsidRDefault="00683AFD" w:rsidP="00683AFD">
      <w:pPr>
        <w:spacing w:line="360" w:lineRule="auto"/>
        <w:jc w:val="center"/>
        <w:rPr>
          <w:sz w:val="24"/>
          <w:szCs w:val="24"/>
          <w:u w:val="single"/>
        </w:rPr>
      </w:pPr>
      <w:r w:rsidRPr="00543D2F">
        <w:rPr>
          <w:sz w:val="24"/>
          <w:szCs w:val="24"/>
          <w:u w:val="single"/>
        </w:rPr>
        <w:t>ORDER</w:t>
      </w:r>
    </w:p>
    <w:p w:rsidR="00683AFD" w:rsidRPr="00543D2F" w:rsidRDefault="00683AFD" w:rsidP="00683AFD">
      <w:pPr>
        <w:spacing w:line="360" w:lineRule="auto"/>
        <w:jc w:val="center"/>
        <w:rPr>
          <w:sz w:val="24"/>
          <w:szCs w:val="24"/>
          <w:u w:val="single"/>
        </w:rPr>
      </w:pPr>
    </w:p>
    <w:p w:rsidR="00683AFD" w:rsidRPr="00543D2F" w:rsidRDefault="00683AFD" w:rsidP="00683AFD">
      <w:pPr>
        <w:spacing w:line="360" w:lineRule="auto"/>
        <w:jc w:val="center"/>
        <w:rPr>
          <w:sz w:val="24"/>
          <w:szCs w:val="24"/>
          <w:u w:val="single"/>
        </w:rPr>
      </w:pPr>
    </w:p>
    <w:p w:rsidR="00683AFD" w:rsidRPr="00543D2F" w:rsidRDefault="00683AFD" w:rsidP="00683AFD">
      <w:pPr>
        <w:spacing w:line="360" w:lineRule="auto"/>
        <w:ind w:firstLine="1440"/>
        <w:rPr>
          <w:b/>
          <w:sz w:val="24"/>
          <w:szCs w:val="24"/>
        </w:rPr>
      </w:pPr>
      <w:r w:rsidRPr="00543D2F">
        <w:rPr>
          <w:sz w:val="24"/>
          <w:szCs w:val="24"/>
        </w:rPr>
        <w:t xml:space="preserve">THEREFORE, </w:t>
      </w:r>
    </w:p>
    <w:p w:rsidR="00683AFD" w:rsidRPr="00543D2F" w:rsidRDefault="00683AFD" w:rsidP="00683AFD">
      <w:pPr>
        <w:spacing w:line="360" w:lineRule="auto"/>
        <w:rPr>
          <w:b/>
          <w:sz w:val="24"/>
          <w:szCs w:val="24"/>
        </w:rPr>
      </w:pPr>
    </w:p>
    <w:p w:rsidR="00683AFD" w:rsidRPr="00543D2F" w:rsidRDefault="00683AFD" w:rsidP="00683AFD">
      <w:pPr>
        <w:spacing w:line="360" w:lineRule="auto"/>
        <w:ind w:firstLine="1440"/>
        <w:outlineLvl w:val="0"/>
        <w:rPr>
          <w:b/>
          <w:sz w:val="24"/>
          <w:szCs w:val="24"/>
        </w:rPr>
      </w:pPr>
      <w:r w:rsidRPr="00543D2F">
        <w:rPr>
          <w:sz w:val="24"/>
          <w:szCs w:val="24"/>
        </w:rPr>
        <w:t xml:space="preserve">IT IS ORDERED: </w:t>
      </w:r>
    </w:p>
    <w:p w:rsidR="00683AFD" w:rsidRPr="00543D2F" w:rsidRDefault="00683AFD" w:rsidP="00683AFD">
      <w:pPr>
        <w:spacing w:line="360" w:lineRule="auto"/>
        <w:ind w:firstLine="1440"/>
        <w:rPr>
          <w:sz w:val="24"/>
          <w:szCs w:val="24"/>
        </w:rPr>
      </w:pPr>
    </w:p>
    <w:p w:rsidR="00683AFD" w:rsidRDefault="00683AFD" w:rsidP="00683AFD">
      <w:pPr>
        <w:pStyle w:val="ListParagraph"/>
        <w:numPr>
          <w:ilvl w:val="0"/>
          <w:numId w:val="20"/>
        </w:numPr>
        <w:spacing w:line="360" w:lineRule="auto"/>
        <w:ind w:left="0" w:firstLine="1440"/>
        <w:rPr>
          <w:sz w:val="24"/>
          <w:szCs w:val="24"/>
        </w:rPr>
      </w:pPr>
      <w:r w:rsidRPr="00543D2F">
        <w:rPr>
          <w:sz w:val="24"/>
          <w:szCs w:val="24"/>
        </w:rPr>
        <w:t>That the Formal Complaint of Tina Bearden at Docket No. C-2012-2300186 is denied and dismissed.</w:t>
      </w:r>
    </w:p>
    <w:p w:rsidR="00683AFD" w:rsidRDefault="00683AFD" w:rsidP="00683AFD">
      <w:pPr>
        <w:spacing w:line="360" w:lineRule="auto"/>
        <w:rPr>
          <w:sz w:val="24"/>
          <w:szCs w:val="24"/>
        </w:rPr>
      </w:pPr>
    </w:p>
    <w:p w:rsidR="00683AFD" w:rsidRDefault="00683AFD" w:rsidP="00683AFD">
      <w:pPr>
        <w:spacing w:line="360" w:lineRule="auto"/>
        <w:rPr>
          <w:sz w:val="24"/>
          <w:szCs w:val="24"/>
        </w:rPr>
      </w:pPr>
    </w:p>
    <w:p w:rsidR="00683AFD" w:rsidRDefault="00683AFD" w:rsidP="00683AFD">
      <w:pPr>
        <w:spacing w:line="360" w:lineRule="auto"/>
        <w:rPr>
          <w:sz w:val="24"/>
          <w:szCs w:val="24"/>
        </w:rPr>
      </w:pPr>
    </w:p>
    <w:p w:rsidR="00683AFD" w:rsidRPr="00DA3791" w:rsidRDefault="00683AFD" w:rsidP="00683AFD">
      <w:pPr>
        <w:spacing w:line="360" w:lineRule="auto"/>
        <w:rPr>
          <w:sz w:val="24"/>
          <w:szCs w:val="24"/>
        </w:rPr>
      </w:pPr>
    </w:p>
    <w:p w:rsidR="00683AFD" w:rsidRPr="00543D2F" w:rsidRDefault="00683AFD" w:rsidP="00683AFD">
      <w:pPr>
        <w:pStyle w:val="ListParagraph"/>
        <w:numPr>
          <w:ilvl w:val="0"/>
          <w:numId w:val="20"/>
        </w:numPr>
        <w:spacing w:line="360" w:lineRule="auto"/>
        <w:ind w:left="0" w:firstLine="1440"/>
        <w:rPr>
          <w:sz w:val="24"/>
          <w:szCs w:val="24"/>
        </w:rPr>
      </w:pPr>
      <w:r w:rsidRPr="00543D2F">
        <w:rPr>
          <w:sz w:val="24"/>
          <w:szCs w:val="24"/>
        </w:rPr>
        <w:t>That the Secretary’s Bureau shall mark Docket No. C-2012-2300186 closed.</w:t>
      </w:r>
    </w:p>
    <w:p w:rsidR="00683AFD" w:rsidRPr="00543D2F" w:rsidRDefault="00683AFD" w:rsidP="00683AFD">
      <w:pPr>
        <w:spacing w:line="360" w:lineRule="auto"/>
        <w:ind w:firstLine="1440"/>
        <w:rPr>
          <w:b/>
          <w:sz w:val="24"/>
          <w:szCs w:val="24"/>
        </w:rPr>
      </w:pPr>
    </w:p>
    <w:p w:rsidR="00683AFD" w:rsidRPr="00543D2F" w:rsidRDefault="00683AFD" w:rsidP="00683AFD">
      <w:pPr>
        <w:pStyle w:val="ListParagraph"/>
        <w:rPr>
          <w:sz w:val="24"/>
          <w:szCs w:val="24"/>
        </w:rPr>
      </w:pPr>
    </w:p>
    <w:p w:rsidR="00683AFD" w:rsidRPr="00543D2F" w:rsidRDefault="00683AFD" w:rsidP="00683AFD">
      <w:pPr>
        <w:spacing w:line="360" w:lineRule="auto"/>
        <w:ind w:left="1440"/>
        <w:rPr>
          <w:sz w:val="24"/>
          <w:szCs w:val="24"/>
        </w:rPr>
      </w:pPr>
    </w:p>
    <w:p w:rsidR="00683AFD" w:rsidRPr="00543D2F" w:rsidRDefault="00683AFD" w:rsidP="00683AFD">
      <w:pPr>
        <w:jc w:val="both"/>
        <w:rPr>
          <w:sz w:val="24"/>
          <w:szCs w:val="24"/>
        </w:rPr>
      </w:pPr>
      <w:r w:rsidRPr="00543D2F">
        <w:rPr>
          <w:sz w:val="24"/>
          <w:szCs w:val="24"/>
        </w:rPr>
        <w:t>Date:</w:t>
      </w:r>
      <w:r w:rsidRPr="00543D2F">
        <w:rPr>
          <w:sz w:val="24"/>
          <w:szCs w:val="24"/>
        </w:rPr>
        <w:tab/>
      </w:r>
      <w:r w:rsidRPr="00543D2F">
        <w:rPr>
          <w:sz w:val="24"/>
          <w:szCs w:val="24"/>
          <w:u w:val="single"/>
        </w:rPr>
        <w:t>January 8, 201</w:t>
      </w:r>
      <w:r>
        <w:rPr>
          <w:sz w:val="24"/>
          <w:szCs w:val="24"/>
          <w:u w:val="single"/>
        </w:rPr>
        <w:t>3</w:t>
      </w:r>
      <w:r w:rsidRPr="00543D2F">
        <w:rPr>
          <w:sz w:val="24"/>
          <w:szCs w:val="24"/>
        </w:rPr>
        <w:tab/>
      </w:r>
      <w:r w:rsidRPr="00543D2F">
        <w:rPr>
          <w:sz w:val="24"/>
          <w:szCs w:val="24"/>
        </w:rPr>
        <w:tab/>
      </w:r>
      <w:r w:rsidRPr="00543D2F">
        <w:rPr>
          <w:sz w:val="24"/>
          <w:szCs w:val="24"/>
        </w:rPr>
        <w:tab/>
      </w:r>
      <w:r w:rsidRPr="00543D2F">
        <w:rPr>
          <w:sz w:val="24"/>
          <w:szCs w:val="24"/>
        </w:rPr>
        <w:tab/>
        <w:t>_________________________________</w:t>
      </w:r>
    </w:p>
    <w:p w:rsidR="00683AFD" w:rsidRPr="00543D2F" w:rsidRDefault="00683AFD" w:rsidP="00683AFD">
      <w:pPr>
        <w:jc w:val="both"/>
        <w:rPr>
          <w:sz w:val="24"/>
          <w:szCs w:val="24"/>
        </w:rPr>
      </w:pPr>
      <w:r w:rsidRPr="00543D2F">
        <w:rPr>
          <w:sz w:val="24"/>
          <w:szCs w:val="24"/>
        </w:rPr>
        <w:tab/>
      </w:r>
      <w:r w:rsidRPr="00543D2F">
        <w:rPr>
          <w:sz w:val="24"/>
          <w:szCs w:val="24"/>
        </w:rPr>
        <w:tab/>
      </w:r>
      <w:r w:rsidRPr="00543D2F">
        <w:rPr>
          <w:b/>
          <w:sz w:val="24"/>
          <w:szCs w:val="24"/>
        </w:rPr>
        <w:tab/>
      </w:r>
      <w:r w:rsidRPr="00543D2F">
        <w:rPr>
          <w:sz w:val="24"/>
          <w:szCs w:val="24"/>
        </w:rPr>
        <w:tab/>
      </w:r>
      <w:r w:rsidRPr="00543D2F">
        <w:rPr>
          <w:sz w:val="24"/>
          <w:szCs w:val="24"/>
        </w:rPr>
        <w:tab/>
      </w:r>
      <w:r w:rsidRPr="00543D2F">
        <w:rPr>
          <w:sz w:val="24"/>
          <w:szCs w:val="24"/>
        </w:rPr>
        <w:tab/>
      </w:r>
      <w:r w:rsidRPr="00543D2F">
        <w:rPr>
          <w:sz w:val="24"/>
          <w:szCs w:val="24"/>
        </w:rPr>
        <w:tab/>
        <w:t>Ember S. Jandebeur</w:t>
      </w:r>
    </w:p>
    <w:p w:rsidR="00683AFD" w:rsidRPr="00543D2F" w:rsidRDefault="00683AFD" w:rsidP="00683AFD">
      <w:pPr>
        <w:jc w:val="both"/>
        <w:rPr>
          <w:sz w:val="24"/>
          <w:szCs w:val="24"/>
        </w:rPr>
      </w:pPr>
      <w:r w:rsidRPr="00543D2F">
        <w:rPr>
          <w:sz w:val="24"/>
          <w:szCs w:val="24"/>
        </w:rPr>
        <w:tab/>
      </w:r>
      <w:r w:rsidRPr="00543D2F">
        <w:rPr>
          <w:sz w:val="24"/>
          <w:szCs w:val="24"/>
        </w:rPr>
        <w:tab/>
      </w:r>
      <w:r w:rsidRPr="00543D2F">
        <w:rPr>
          <w:sz w:val="24"/>
          <w:szCs w:val="24"/>
        </w:rPr>
        <w:tab/>
      </w:r>
      <w:r w:rsidRPr="00543D2F">
        <w:rPr>
          <w:sz w:val="24"/>
          <w:szCs w:val="24"/>
        </w:rPr>
        <w:tab/>
      </w:r>
      <w:r w:rsidRPr="00543D2F">
        <w:rPr>
          <w:sz w:val="24"/>
          <w:szCs w:val="24"/>
        </w:rPr>
        <w:tab/>
      </w:r>
      <w:r w:rsidRPr="00543D2F">
        <w:rPr>
          <w:sz w:val="24"/>
          <w:szCs w:val="24"/>
        </w:rPr>
        <w:tab/>
      </w:r>
      <w:r w:rsidRPr="00543D2F">
        <w:rPr>
          <w:sz w:val="24"/>
          <w:szCs w:val="24"/>
        </w:rPr>
        <w:tab/>
        <w:t>Administrative Law Judge</w:t>
      </w:r>
    </w:p>
    <w:p w:rsidR="00683AFD" w:rsidRPr="00543D2F" w:rsidRDefault="00683AFD" w:rsidP="00683AFD">
      <w:pPr>
        <w:tabs>
          <w:tab w:val="center" w:pos="4752"/>
        </w:tabs>
        <w:suppressAutoHyphens/>
        <w:rPr>
          <w:sz w:val="24"/>
          <w:szCs w:val="24"/>
        </w:rPr>
      </w:pPr>
      <w:r w:rsidRPr="00543D2F">
        <w:rPr>
          <w:sz w:val="24"/>
          <w:szCs w:val="24"/>
        </w:rPr>
        <w:t xml:space="preserve"> </w:t>
      </w:r>
    </w:p>
    <w:p w:rsidR="00683AFD" w:rsidRPr="00543D2F" w:rsidRDefault="00683AFD" w:rsidP="00683AFD">
      <w:pPr>
        <w:jc w:val="both"/>
        <w:rPr>
          <w:sz w:val="24"/>
          <w:szCs w:val="24"/>
        </w:rPr>
      </w:pPr>
    </w:p>
    <w:p w:rsidR="00543D2F" w:rsidRPr="00683AFD" w:rsidRDefault="00543D2F" w:rsidP="00683AFD"/>
    <w:sectPr w:rsidR="00543D2F" w:rsidRPr="00683AFD" w:rsidSect="005F452A">
      <w:footerReference w:type="even" r:id="rId23"/>
      <w:footerReference w:type="defaul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0D8" w:rsidRDefault="000650D8">
      <w:r>
        <w:separator/>
      </w:r>
    </w:p>
  </w:endnote>
  <w:endnote w:type="continuationSeparator" w:id="0">
    <w:p w:rsidR="000650D8" w:rsidRDefault="0006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683AFD">
      <w:rPr>
        <w:rStyle w:val="PageNumber"/>
        <w:noProof/>
        <w:sz w:val="20"/>
        <w:szCs w:val="20"/>
      </w:rPr>
      <w:t>10</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0D8" w:rsidRDefault="000650D8">
      <w:r>
        <w:separator/>
      </w:r>
    </w:p>
  </w:footnote>
  <w:footnote w:type="continuationSeparator" w:id="0">
    <w:p w:rsidR="000650D8" w:rsidRDefault="0006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BE3474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3904196"/>
    <w:multiLevelType w:val="hybridMultilevel"/>
    <w:tmpl w:val="8528F7D4"/>
    <w:lvl w:ilvl="0" w:tplc="02027B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2"/>
  </w:num>
  <w:num w:numId="5">
    <w:abstractNumId w:val="10"/>
  </w:num>
  <w:num w:numId="6">
    <w:abstractNumId w:val="7"/>
  </w:num>
  <w:num w:numId="7">
    <w:abstractNumId w:val="5"/>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6"/>
  </w:num>
  <w:num w:numId="15">
    <w:abstractNumId w:val="17"/>
  </w:num>
  <w:num w:numId="16">
    <w:abstractNumId w:val="18"/>
  </w:num>
  <w:num w:numId="17">
    <w:abstractNumId w:val="8"/>
  </w:num>
  <w:num w:numId="18">
    <w:abstractNumId w:val="3"/>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3FD"/>
    <w:rsid w:val="00064F92"/>
    <w:rsid w:val="000650D8"/>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6A12"/>
    <w:rsid w:val="00187B87"/>
    <w:rsid w:val="001930DE"/>
    <w:rsid w:val="00193B6C"/>
    <w:rsid w:val="001A4CC0"/>
    <w:rsid w:val="001A5085"/>
    <w:rsid w:val="001A721E"/>
    <w:rsid w:val="001B123C"/>
    <w:rsid w:val="001B3235"/>
    <w:rsid w:val="001C20B7"/>
    <w:rsid w:val="001C715B"/>
    <w:rsid w:val="001D3206"/>
    <w:rsid w:val="001D6FCF"/>
    <w:rsid w:val="001E4FAC"/>
    <w:rsid w:val="001F0787"/>
    <w:rsid w:val="001F08B4"/>
    <w:rsid w:val="001F2116"/>
    <w:rsid w:val="001F3D38"/>
    <w:rsid w:val="001F6FC1"/>
    <w:rsid w:val="001F70D1"/>
    <w:rsid w:val="001F7F73"/>
    <w:rsid w:val="0020095D"/>
    <w:rsid w:val="00220C5E"/>
    <w:rsid w:val="00223E7E"/>
    <w:rsid w:val="00234619"/>
    <w:rsid w:val="0023520D"/>
    <w:rsid w:val="00235C44"/>
    <w:rsid w:val="00236FF7"/>
    <w:rsid w:val="002416AB"/>
    <w:rsid w:val="0024496F"/>
    <w:rsid w:val="00244A6F"/>
    <w:rsid w:val="00244D86"/>
    <w:rsid w:val="0025370D"/>
    <w:rsid w:val="00260D19"/>
    <w:rsid w:val="002732DC"/>
    <w:rsid w:val="00280B03"/>
    <w:rsid w:val="0028114B"/>
    <w:rsid w:val="0028185A"/>
    <w:rsid w:val="00290918"/>
    <w:rsid w:val="002919C6"/>
    <w:rsid w:val="00293557"/>
    <w:rsid w:val="002959E3"/>
    <w:rsid w:val="002A7C1C"/>
    <w:rsid w:val="002B19D4"/>
    <w:rsid w:val="002B3489"/>
    <w:rsid w:val="002B4EAE"/>
    <w:rsid w:val="002C3FDE"/>
    <w:rsid w:val="002D13C5"/>
    <w:rsid w:val="002D554B"/>
    <w:rsid w:val="002E0985"/>
    <w:rsid w:val="002E61A5"/>
    <w:rsid w:val="002F66F9"/>
    <w:rsid w:val="002F6BC1"/>
    <w:rsid w:val="00300A0A"/>
    <w:rsid w:val="00300CB7"/>
    <w:rsid w:val="00300F91"/>
    <w:rsid w:val="0030207C"/>
    <w:rsid w:val="003129F7"/>
    <w:rsid w:val="00312E1C"/>
    <w:rsid w:val="00317B5C"/>
    <w:rsid w:val="00323AAE"/>
    <w:rsid w:val="0032435B"/>
    <w:rsid w:val="00324F3E"/>
    <w:rsid w:val="0033043C"/>
    <w:rsid w:val="0033647C"/>
    <w:rsid w:val="00337C53"/>
    <w:rsid w:val="00340AB8"/>
    <w:rsid w:val="003421E0"/>
    <w:rsid w:val="0034312D"/>
    <w:rsid w:val="00346E30"/>
    <w:rsid w:val="003539D2"/>
    <w:rsid w:val="0035737A"/>
    <w:rsid w:val="003657A8"/>
    <w:rsid w:val="00380450"/>
    <w:rsid w:val="00380AD7"/>
    <w:rsid w:val="00382B1A"/>
    <w:rsid w:val="003857DF"/>
    <w:rsid w:val="00386CDC"/>
    <w:rsid w:val="00392382"/>
    <w:rsid w:val="00394493"/>
    <w:rsid w:val="003959AC"/>
    <w:rsid w:val="00395E03"/>
    <w:rsid w:val="00396DE1"/>
    <w:rsid w:val="003A167D"/>
    <w:rsid w:val="003A7FC5"/>
    <w:rsid w:val="003B715B"/>
    <w:rsid w:val="003C050F"/>
    <w:rsid w:val="003C0716"/>
    <w:rsid w:val="003C3664"/>
    <w:rsid w:val="003C7143"/>
    <w:rsid w:val="003D139F"/>
    <w:rsid w:val="003D15FA"/>
    <w:rsid w:val="003D7EC6"/>
    <w:rsid w:val="003E292B"/>
    <w:rsid w:val="003E594B"/>
    <w:rsid w:val="003F5796"/>
    <w:rsid w:val="003F69BF"/>
    <w:rsid w:val="003F6A2F"/>
    <w:rsid w:val="00402359"/>
    <w:rsid w:val="004064A8"/>
    <w:rsid w:val="00417087"/>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1805"/>
    <w:rsid w:val="004A5AD6"/>
    <w:rsid w:val="004A713F"/>
    <w:rsid w:val="004C3EFA"/>
    <w:rsid w:val="004D1B54"/>
    <w:rsid w:val="004D3108"/>
    <w:rsid w:val="004D46FD"/>
    <w:rsid w:val="004E20CB"/>
    <w:rsid w:val="004E2912"/>
    <w:rsid w:val="004E533F"/>
    <w:rsid w:val="004F2D3D"/>
    <w:rsid w:val="00502348"/>
    <w:rsid w:val="005032B5"/>
    <w:rsid w:val="00515937"/>
    <w:rsid w:val="00517AD1"/>
    <w:rsid w:val="00523780"/>
    <w:rsid w:val="00530D1B"/>
    <w:rsid w:val="00531226"/>
    <w:rsid w:val="00531409"/>
    <w:rsid w:val="00535DF7"/>
    <w:rsid w:val="00542107"/>
    <w:rsid w:val="00543D2F"/>
    <w:rsid w:val="00544C05"/>
    <w:rsid w:val="00553EEB"/>
    <w:rsid w:val="00560106"/>
    <w:rsid w:val="00562092"/>
    <w:rsid w:val="00564C41"/>
    <w:rsid w:val="0056706A"/>
    <w:rsid w:val="00582896"/>
    <w:rsid w:val="00584798"/>
    <w:rsid w:val="0059070D"/>
    <w:rsid w:val="00592C86"/>
    <w:rsid w:val="005A1127"/>
    <w:rsid w:val="005A33D0"/>
    <w:rsid w:val="005B250B"/>
    <w:rsid w:val="005B3C00"/>
    <w:rsid w:val="005B6749"/>
    <w:rsid w:val="005B7834"/>
    <w:rsid w:val="005C28EC"/>
    <w:rsid w:val="005D19C4"/>
    <w:rsid w:val="005D2DEE"/>
    <w:rsid w:val="005D4D0C"/>
    <w:rsid w:val="005D5287"/>
    <w:rsid w:val="005E2068"/>
    <w:rsid w:val="005E3007"/>
    <w:rsid w:val="005E6321"/>
    <w:rsid w:val="005E6C27"/>
    <w:rsid w:val="005F17F5"/>
    <w:rsid w:val="005F38EC"/>
    <w:rsid w:val="005F3B50"/>
    <w:rsid w:val="005F452A"/>
    <w:rsid w:val="006034D3"/>
    <w:rsid w:val="0062087D"/>
    <w:rsid w:val="006215E0"/>
    <w:rsid w:val="00626D39"/>
    <w:rsid w:val="006306EB"/>
    <w:rsid w:val="00634A5C"/>
    <w:rsid w:val="006352B9"/>
    <w:rsid w:val="00641596"/>
    <w:rsid w:val="0064329B"/>
    <w:rsid w:val="006441F5"/>
    <w:rsid w:val="00644E60"/>
    <w:rsid w:val="00645B55"/>
    <w:rsid w:val="00652C21"/>
    <w:rsid w:val="0066237B"/>
    <w:rsid w:val="006656FC"/>
    <w:rsid w:val="00675607"/>
    <w:rsid w:val="00675986"/>
    <w:rsid w:val="00683AFD"/>
    <w:rsid w:val="00686C1E"/>
    <w:rsid w:val="00695694"/>
    <w:rsid w:val="006A21C2"/>
    <w:rsid w:val="006A3B47"/>
    <w:rsid w:val="006A7A0A"/>
    <w:rsid w:val="006C1047"/>
    <w:rsid w:val="006C3226"/>
    <w:rsid w:val="006D4BB7"/>
    <w:rsid w:val="006D75BD"/>
    <w:rsid w:val="006E4407"/>
    <w:rsid w:val="006F44F9"/>
    <w:rsid w:val="007015FC"/>
    <w:rsid w:val="007114E7"/>
    <w:rsid w:val="0071588F"/>
    <w:rsid w:val="00730939"/>
    <w:rsid w:val="0073239A"/>
    <w:rsid w:val="0073727C"/>
    <w:rsid w:val="00744AF3"/>
    <w:rsid w:val="00747E56"/>
    <w:rsid w:val="00751672"/>
    <w:rsid w:val="0075510C"/>
    <w:rsid w:val="00766C8E"/>
    <w:rsid w:val="00775593"/>
    <w:rsid w:val="00782A08"/>
    <w:rsid w:val="00786153"/>
    <w:rsid w:val="007925E6"/>
    <w:rsid w:val="00792C70"/>
    <w:rsid w:val="007965B0"/>
    <w:rsid w:val="007A49B5"/>
    <w:rsid w:val="007B1672"/>
    <w:rsid w:val="007B1D2D"/>
    <w:rsid w:val="007B290B"/>
    <w:rsid w:val="007B46F9"/>
    <w:rsid w:val="007B6CFE"/>
    <w:rsid w:val="007C36CE"/>
    <w:rsid w:val="007C74E3"/>
    <w:rsid w:val="007D3E3E"/>
    <w:rsid w:val="007D6063"/>
    <w:rsid w:val="007E09E5"/>
    <w:rsid w:val="007E31DB"/>
    <w:rsid w:val="007E7871"/>
    <w:rsid w:val="007F243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A662B"/>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47646"/>
    <w:rsid w:val="009634B4"/>
    <w:rsid w:val="009643E3"/>
    <w:rsid w:val="009649FC"/>
    <w:rsid w:val="00965F82"/>
    <w:rsid w:val="0098237A"/>
    <w:rsid w:val="00982B8E"/>
    <w:rsid w:val="009830C8"/>
    <w:rsid w:val="00983B9A"/>
    <w:rsid w:val="009877CF"/>
    <w:rsid w:val="00987B98"/>
    <w:rsid w:val="00995E0A"/>
    <w:rsid w:val="009A475D"/>
    <w:rsid w:val="009A4838"/>
    <w:rsid w:val="009A5C49"/>
    <w:rsid w:val="009B1C06"/>
    <w:rsid w:val="009C22D0"/>
    <w:rsid w:val="009C793B"/>
    <w:rsid w:val="009D1D9B"/>
    <w:rsid w:val="009D4ABB"/>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61ED"/>
    <w:rsid w:val="00A76B1D"/>
    <w:rsid w:val="00A85C12"/>
    <w:rsid w:val="00A86505"/>
    <w:rsid w:val="00AA00A9"/>
    <w:rsid w:val="00AA0438"/>
    <w:rsid w:val="00AA1DE2"/>
    <w:rsid w:val="00AA6434"/>
    <w:rsid w:val="00AA7B5D"/>
    <w:rsid w:val="00AB2C4E"/>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3501"/>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4D91"/>
    <w:rsid w:val="00B87994"/>
    <w:rsid w:val="00B922CF"/>
    <w:rsid w:val="00B94E3D"/>
    <w:rsid w:val="00BA47D2"/>
    <w:rsid w:val="00BA61F7"/>
    <w:rsid w:val="00BB3104"/>
    <w:rsid w:val="00BB352A"/>
    <w:rsid w:val="00BC2D8F"/>
    <w:rsid w:val="00BC2DE6"/>
    <w:rsid w:val="00BC7240"/>
    <w:rsid w:val="00BD42F1"/>
    <w:rsid w:val="00BE1D82"/>
    <w:rsid w:val="00BE4B41"/>
    <w:rsid w:val="00BE6352"/>
    <w:rsid w:val="00BF5F04"/>
    <w:rsid w:val="00C0441A"/>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2C0C"/>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2777"/>
    <w:rsid w:val="00CE43B4"/>
    <w:rsid w:val="00CE68C6"/>
    <w:rsid w:val="00CF3BB0"/>
    <w:rsid w:val="00CF7138"/>
    <w:rsid w:val="00D02084"/>
    <w:rsid w:val="00D050DE"/>
    <w:rsid w:val="00D054F9"/>
    <w:rsid w:val="00D077EC"/>
    <w:rsid w:val="00D13B06"/>
    <w:rsid w:val="00D16B44"/>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3791"/>
    <w:rsid w:val="00DA4C39"/>
    <w:rsid w:val="00DA7FD6"/>
    <w:rsid w:val="00DB1328"/>
    <w:rsid w:val="00DB2F0D"/>
    <w:rsid w:val="00DB7EE0"/>
    <w:rsid w:val="00DC0578"/>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437E7"/>
    <w:rsid w:val="00E45A28"/>
    <w:rsid w:val="00E5003A"/>
    <w:rsid w:val="00E514FA"/>
    <w:rsid w:val="00E51D1F"/>
    <w:rsid w:val="00E56529"/>
    <w:rsid w:val="00E6135C"/>
    <w:rsid w:val="00E659AC"/>
    <w:rsid w:val="00E66725"/>
    <w:rsid w:val="00E67591"/>
    <w:rsid w:val="00E67A2A"/>
    <w:rsid w:val="00E67F69"/>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D7C0F"/>
    <w:rsid w:val="00EE34BE"/>
    <w:rsid w:val="00EF6C7F"/>
    <w:rsid w:val="00F2180F"/>
    <w:rsid w:val="00F31732"/>
    <w:rsid w:val="00F31F04"/>
    <w:rsid w:val="00F327E2"/>
    <w:rsid w:val="00F34A38"/>
    <w:rsid w:val="00F375FF"/>
    <w:rsid w:val="00F43E18"/>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footer" Target="footer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EA0D-780D-4F96-B276-88C739F0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Reitenbach, Dawn</cp:lastModifiedBy>
  <cp:revision>25</cp:revision>
  <cp:lastPrinted>2013-01-23T16:28:00Z</cp:lastPrinted>
  <dcterms:created xsi:type="dcterms:W3CDTF">2013-01-08T20:09:00Z</dcterms:created>
  <dcterms:modified xsi:type="dcterms:W3CDTF">2013-01-23T16:29:00Z</dcterms:modified>
</cp:coreProperties>
</file>