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7" w:type="dxa"/>
        <w:tblLayout w:type="fixed"/>
        <w:tblLook w:val="04A0" w:firstRow="1" w:lastRow="0" w:firstColumn="1" w:lastColumn="0" w:noHBand="0" w:noVBand="1"/>
      </w:tblPr>
      <w:tblGrid>
        <w:gridCol w:w="11987"/>
      </w:tblGrid>
      <w:tr w:rsidR="00557F7A" w:rsidTr="00EE6356">
        <w:tc>
          <w:tcPr>
            <w:tcW w:w="11987" w:type="dxa"/>
          </w:tcPr>
          <w:p w:rsidR="00557F7A" w:rsidRDefault="00557F7A" w:rsidP="00557F7A">
            <w:pPr>
              <w:ind w:right="2411"/>
              <w:jc w:val="center"/>
              <w:rPr>
                <w:b/>
                <w:sz w:val="26"/>
                <w:szCs w:val="26"/>
              </w:rPr>
            </w:pPr>
            <w:r>
              <w:rPr>
                <w:b/>
                <w:sz w:val="26"/>
                <w:szCs w:val="26"/>
              </w:rPr>
              <w:t>PENNSYLVANIA</w:t>
            </w:r>
          </w:p>
          <w:p w:rsidR="00557F7A" w:rsidRDefault="00557F7A" w:rsidP="00557F7A">
            <w:pPr>
              <w:ind w:right="2411"/>
              <w:jc w:val="center"/>
              <w:rPr>
                <w:b/>
                <w:sz w:val="26"/>
                <w:szCs w:val="26"/>
              </w:rPr>
            </w:pPr>
            <w:r>
              <w:rPr>
                <w:b/>
                <w:sz w:val="26"/>
                <w:szCs w:val="26"/>
              </w:rPr>
              <w:t>PUBLIC UTILITY COMMISSION</w:t>
            </w:r>
          </w:p>
          <w:p w:rsidR="00557F7A" w:rsidRDefault="00557F7A" w:rsidP="00557F7A">
            <w:pPr>
              <w:ind w:right="2411"/>
              <w:jc w:val="center"/>
              <w:rPr>
                <w:sz w:val="26"/>
                <w:szCs w:val="26"/>
              </w:rPr>
            </w:pPr>
            <w:r>
              <w:rPr>
                <w:b/>
                <w:sz w:val="26"/>
                <w:szCs w:val="26"/>
              </w:rPr>
              <w:t>Harrisburg, PA  17105-3265</w:t>
            </w:r>
          </w:p>
        </w:tc>
      </w:tr>
    </w:tbl>
    <w:p w:rsidR="00A15149" w:rsidRDefault="00A15149" w:rsidP="00557F7A">
      <w:pPr>
        <w:jc w:val="center"/>
        <w:rPr>
          <w:sz w:val="26"/>
          <w:szCs w:val="26"/>
        </w:rPr>
      </w:pPr>
    </w:p>
    <w:tbl>
      <w:tblPr>
        <w:tblW w:w="0" w:type="auto"/>
        <w:tblLayout w:type="fixed"/>
        <w:tblLook w:val="04A0" w:firstRow="1" w:lastRow="0" w:firstColumn="1" w:lastColumn="0" w:noHBand="0" w:noVBand="1"/>
      </w:tblPr>
      <w:tblGrid>
        <w:gridCol w:w="5148"/>
        <w:gridCol w:w="5148"/>
      </w:tblGrid>
      <w:tr w:rsidR="00A15149" w:rsidTr="00A15149">
        <w:tc>
          <w:tcPr>
            <w:tcW w:w="5148" w:type="dxa"/>
          </w:tcPr>
          <w:p w:rsidR="00A15149" w:rsidRDefault="00A15149">
            <w:pPr>
              <w:rPr>
                <w:sz w:val="26"/>
                <w:szCs w:val="26"/>
              </w:rPr>
            </w:pPr>
          </w:p>
        </w:tc>
        <w:tc>
          <w:tcPr>
            <w:tcW w:w="5148" w:type="dxa"/>
            <w:hideMark/>
          </w:tcPr>
          <w:p w:rsidR="00A15149" w:rsidRDefault="00A15149">
            <w:pPr>
              <w:ind w:firstLine="612"/>
              <w:rPr>
                <w:sz w:val="26"/>
                <w:szCs w:val="26"/>
              </w:rPr>
            </w:pPr>
            <w:r>
              <w:rPr>
                <w:sz w:val="26"/>
                <w:szCs w:val="26"/>
              </w:rPr>
              <w:t xml:space="preserve">Public Meeting held January 24, 2013 </w:t>
            </w:r>
          </w:p>
        </w:tc>
      </w:tr>
      <w:tr w:rsidR="00A15149" w:rsidTr="00A15149">
        <w:tc>
          <w:tcPr>
            <w:tcW w:w="5148" w:type="dxa"/>
            <w:hideMark/>
          </w:tcPr>
          <w:p w:rsidR="00A15149" w:rsidRDefault="00A15149">
            <w:pPr>
              <w:rPr>
                <w:sz w:val="26"/>
                <w:szCs w:val="26"/>
              </w:rPr>
            </w:pPr>
            <w:r>
              <w:rPr>
                <w:sz w:val="26"/>
                <w:szCs w:val="26"/>
              </w:rPr>
              <w:t>Commissioners Present:</w:t>
            </w:r>
          </w:p>
        </w:tc>
        <w:tc>
          <w:tcPr>
            <w:tcW w:w="5148" w:type="dxa"/>
          </w:tcPr>
          <w:p w:rsidR="00A15149" w:rsidRDefault="00A15149">
            <w:pPr>
              <w:rPr>
                <w:sz w:val="26"/>
                <w:szCs w:val="26"/>
              </w:rPr>
            </w:pPr>
          </w:p>
        </w:tc>
      </w:tr>
    </w:tbl>
    <w:p w:rsidR="00A15149" w:rsidRDefault="00A15149" w:rsidP="00A15149">
      <w:pPr>
        <w:rPr>
          <w:sz w:val="26"/>
          <w:szCs w:val="26"/>
        </w:rPr>
      </w:pPr>
    </w:p>
    <w:tbl>
      <w:tblPr>
        <w:tblW w:w="10290" w:type="dxa"/>
        <w:tblLayout w:type="fixed"/>
        <w:tblLook w:val="04A0" w:firstRow="1" w:lastRow="0" w:firstColumn="1" w:lastColumn="0" w:noHBand="0" w:noVBand="1"/>
      </w:tblPr>
      <w:tblGrid>
        <w:gridCol w:w="5954"/>
        <w:gridCol w:w="3418"/>
        <w:gridCol w:w="6"/>
        <w:gridCol w:w="912"/>
      </w:tblGrid>
      <w:tr w:rsidR="00A15149" w:rsidTr="009A7BA2">
        <w:trPr>
          <w:trHeight w:val="243"/>
        </w:trPr>
        <w:tc>
          <w:tcPr>
            <w:tcW w:w="9372" w:type="dxa"/>
            <w:gridSpan w:val="2"/>
            <w:hideMark/>
          </w:tcPr>
          <w:p w:rsidR="00A15149" w:rsidRDefault="00A15149">
            <w:pPr>
              <w:overflowPunct/>
              <w:ind w:left="720"/>
              <w:rPr>
                <w:sz w:val="26"/>
                <w:szCs w:val="26"/>
              </w:rPr>
            </w:pPr>
            <w:r>
              <w:rPr>
                <w:sz w:val="26"/>
                <w:szCs w:val="26"/>
              </w:rPr>
              <w:t>Robert F. Powelson, Chairman</w:t>
            </w:r>
          </w:p>
        </w:tc>
        <w:tc>
          <w:tcPr>
            <w:tcW w:w="918" w:type="dxa"/>
            <w:gridSpan w:val="2"/>
          </w:tcPr>
          <w:p w:rsidR="00A15149" w:rsidRDefault="00A15149">
            <w:pPr>
              <w:rPr>
                <w:sz w:val="26"/>
                <w:szCs w:val="26"/>
              </w:rPr>
            </w:pPr>
          </w:p>
        </w:tc>
      </w:tr>
      <w:tr w:rsidR="00A15149" w:rsidTr="009A7BA2">
        <w:tc>
          <w:tcPr>
            <w:tcW w:w="9372" w:type="dxa"/>
            <w:gridSpan w:val="2"/>
            <w:hideMark/>
          </w:tcPr>
          <w:p w:rsidR="00A15149" w:rsidRDefault="00A15149">
            <w:pPr>
              <w:overflowPunct/>
              <w:ind w:left="720"/>
              <w:rPr>
                <w:sz w:val="26"/>
                <w:szCs w:val="26"/>
              </w:rPr>
            </w:pPr>
            <w:r>
              <w:rPr>
                <w:sz w:val="26"/>
                <w:szCs w:val="26"/>
              </w:rPr>
              <w:t>John F. Coleman, Jr., Vice Chairman</w:t>
            </w:r>
          </w:p>
        </w:tc>
        <w:tc>
          <w:tcPr>
            <w:tcW w:w="918" w:type="dxa"/>
            <w:gridSpan w:val="2"/>
          </w:tcPr>
          <w:p w:rsidR="00A15149" w:rsidRDefault="00A15149">
            <w:pPr>
              <w:rPr>
                <w:sz w:val="26"/>
                <w:szCs w:val="26"/>
              </w:rPr>
            </w:pPr>
          </w:p>
        </w:tc>
      </w:tr>
      <w:tr w:rsidR="00A15149" w:rsidTr="009A7BA2">
        <w:tc>
          <w:tcPr>
            <w:tcW w:w="9372" w:type="dxa"/>
            <w:gridSpan w:val="2"/>
            <w:hideMark/>
          </w:tcPr>
          <w:p w:rsidR="00A15149" w:rsidRDefault="00A15149">
            <w:pPr>
              <w:overflowPunct/>
              <w:ind w:left="720"/>
              <w:rPr>
                <w:sz w:val="26"/>
                <w:szCs w:val="26"/>
              </w:rPr>
            </w:pPr>
            <w:r>
              <w:rPr>
                <w:sz w:val="26"/>
                <w:szCs w:val="26"/>
              </w:rPr>
              <w:t>Wayne E. Gardner</w:t>
            </w:r>
          </w:p>
        </w:tc>
        <w:tc>
          <w:tcPr>
            <w:tcW w:w="918" w:type="dxa"/>
            <w:gridSpan w:val="2"/>
          </w:tcPr>
          <w:p w:rsidR="00A15149" w:rsidRDefault="00A15149">
            <w:pPr>
              <w:rPr>
                <w:sz w:val="26"/>
                <w:szCs w:val="26"/>
              </w:rPr>
            </w:pPr>
          </w:p>
        </w:tc>
      </w:tr>
      <w:tr w:rsidR="00A15149" w:rsidTr="009A7BA2">
        <w:tc>
          <w:tcPr>
            <w:tcW w:w="9372" w:type="dxa"/>
            <w:gridSpan w:val="2"/>
            <w:hideMark/>
          </w:tcPr>
          <w:p w:rsidR="00A15149" w:rsidRDefault="00A15149">
            <w:pPr>
              <w:overflowPunct/>
              <w:ind w:left="720"/>
              <w:rPr>
                <w:sz w:val="26"/>
                <w:szCs w:val="26"/>
              </w:rPr>
            </w:pPr>
            <w:r>
              <w:rPr>
                <w:sz w:val="26"/>
                <w:szCs w:val="26"/>
              </w:rPr>
              <w:t>James H. Cawley</w:t>
            </w:r>
          </w:p>
        </w:tc>
        <w:tc>
          <w:tcPr>
            <w:tcW w:w="918" w:type="dxa"/>
            <w:gridSpan w:val="2"/>
          </w:tcPr>
          <w:p w:rsidR="00A15149" w:rsidRDefault="00A15149">
            <w:pPr>
              <w:rPr>
                <w:sz w:val="26"/>
                <w:szCs w:val="26"/>
              </w:rPr>
            </w:pPr>
          </w:p>
        </w:tc>
      </w:tr>
      <w:tr w:rsidR="00A15149" w:rsidTr="009A7BA2">
        <w:trPr>
          <w:gridAfter w:val="1"/>
          <w:wAfter w:w="912" w:type="dxa"/>
        </w:trPr>
        <w:tc>
          <w:tcPr>
            <w:tcW w:w="5954" w:type="dxa"/>
            <w:hideMark/>
          </w:tcPr>
          <w:p w:rsidR="00A15149" w:rsidRDefault="00A15149">
            <w:pPr>
              <w:ind w:left="720"/>
              <w:rPr>
                <w:sz w:val="26"/>
                <w:szCs w:val="26"/>
              </w:rPr>
            </w:pPr>
            <w:r>
              <w:rPr>
                <w:sz w:val="26"/>
                <w:szCs w:val="26"/>
              </w:rPr>
              <w:t>Pamela A. Witmer</w:t>
            </w:r>
          </w:p>
        </w:tc>
        <w:tc>
          <w:tcPr>
            <w:tcW w:w="3424" w:type="dxa"/>
            <w:gridSpan w:val="2"/>
          </w:tcPr>
          <w:p w:rsidR="00A15149" w:rsidRDefault="00A15149">
            <w:pPr>
              <w:rPr>
                <w:sz w:val="26"/>
                <w:szCs w:val="26"/>
              </w:rPr>
            </w:pPr>
          </w:p>
        </w:tc>
      </w:tr>
      <w:tr w:rsidR="00A15149" w:rsidTr="009A7BA2">
        <w:trPr>
          <w:gridAfter w:val="1"/>
          <w:wAfter w:w="912" w:type="dxa"/>
        </w:trPr>
        <w:tc>
          <w:tcPr>
            <w:tcW w:w="5954" w:type="dxa"/>
          </w:tcPr>
          <w:p w:rsidR="00A15149" w:rsidRDefault="00A15149">
            <w:pPr>
              <w:rPr>
                <w:sz w:val="26"/>
                <w:szCs w:val="26"/>
              </w:rPr>
            </w:pPr>
          </w:p>
        </w:tc>
        <w:tc>
          <w:tcPr>
            <w:tcW w:w="3424" w:type="dxa"/>
            <w:gridSpan w:val="2"/>
          </w:tcPr>
          <w:p w:rsidR="00A15149" w:rsidRDefault="00A15149">
            <w:pPr>
              <w:rPr>
                <w:sz w:val="26"/>
                <w:szCs w:val="26"/>
              </w:rPr>
            </w:pPr>
          </w:p>
        </w:tc>
      </w:tr>
      <w:tr w:rsidR="00A15149" w:rsidTr="009A7BA2">
        <w:trPr>
          <w:gridAfter w:val="1"/>
          <w:wAfter w:w="912" w:type="dxa"/>
        </w:trPr>
        <w:tc>
          <w:tcPr>
            <w:tcW w:w="5954" w:type="dxa"/>
          </w:tcPr>
          <w:p w:rsidR="00A15149" w:rsidRDefault="00A15149">
            <w:pPr>
              <w:rPr>
                <w:sz w:val="26"/>
                <w:szCs w:val="26"/>
              </w:rPr>
            </w:pPr>
            <w:r>
              <w:rPr>
                <w:sz w:val="26"/>
                <w:szCs w:val="26"/>
              </w:rPr>
              <w:t xml:space="preserve">Advance Notice of Proposed Rulemaking for </w:t>
            </w:r>
          </w:p>
          <w:p w:rsidR="00A15149" w:rsidRDefault="0043112F" w:rsidP="00327FF7">
            <w:pPr>
              <w:rPr>
                <w:sz w:val="26"/>
                <w:szCs w:val="26"/>
              </w:rPr>
            </w:pPr>
            <w:r>
              <w:rPr>
                <w:sz w:val="26"/>
                <w:szCs w:val="26"/>
              </w:rPr>
              <w:t xml:space="preserve">Revision of the Commission’s </w:t>
            </w:r>
            <w:r w:rsidR="00327FF7">
              <w:rPr>
                <w:sz w:val="26"/>
                <w:szCs w:val="26"/>
              </w:rPr>
              <w:t xml:space="preserve">Regulations </w:t>
            </w:r>
            <w:r>
              <w:rPr>
                <w:sz w:val="26"/>
                <w:szCs w:val="26"/>
              </w:rPr>
              <w:t xml:space="preserve">on </w:t>
            </w:r>
            <w:r w:rsidR="0046012C">
              <w:rPr>
                <w:sz w:val="26"/>
                <w:szCs w:val="26"/>
              </w:rPr>
              <w:t>W</w:t>
            </w:r>
            <w:r>
              <w:rPr>
                <w:sz w:val="26"/>
                <w:szCs w:val="26"/>
              </w:rPr>
              <w:t xml:space="preserve">ater </w:t>
            </w:r>
            <w:r w:rsidR="0046012C">
              <w:rPr>
                <w:sz w:val="26"/>
                <w:szCs w:val="26"/>
              </w:rPr>
              <w:t>C</w:t>
            </w:r>
            <w:r>
              <w:rPr>
                <w:sz w:val="26"/>
                <w:szCs w:val="26"/>
              </w:rPr>
              <w:t xml:space="preserve">onservation </w:t>
            </w:r>
            <w:r w:rsidR="0046012C">
              <w:rPr>
                <w:sz w:val="26"/>
                <w:szCs w:val="26"/>
              </w:rPr>
              <w:t>M</w:t>
            </w:r>
            <w:r>
              <w:rPr>
                <w:sz w:val="26"/>
                <w:szCs w:val="26"/>
              </w:rPr>
              <w:t xml:space="preserve">easures at 52 Pa. Code § 65.20  </w:t>
            </w:r>
          </w:p>
        </w:tc>
        <w:tc>
          <w:tcPr>
            <w:tcW w:w="3424" w:type="dxa"/>
            <w:gridSpan w:val="2"/>
          </w:tcPr>
          <w:p w:rsidR="00A15149" w:rsidRDefault="00A15149" w:rsidP="001F4233">
            <w:pPr>
              <w:jc w:val="center"/>
              <w:rPr>
                <w:sz w:val="26"/>
                <w:szCs w:val="26"/>
              </w:rPr>
            </w:pPr>
            <w:r>
              <w:rPr>
                <w:sz w:val="26"/>
                <w:szCs w:val="26"/>
              </w:rPr>
              <w:t>L-201</w:t>
            </w:r>
            <w:r w:rsidR="009A7BA2">
              <w:rPr>
                <w:sz w:val="26"/>
                <w:szCs w:val="26"/>
              </w:rPr>
              <w:t>2</w:t>
            </w:r>
            <w:r>
              <w:rPr>
                <w:sz w:val="26"/>
                <w:szCs w:val="26"/>
              </w:rPr>
              <w:t>-</w:t>
            </w:r>
            <w:r w:rsidR="009A7BA2">
              <w:rPr>
                <w:sz w:val="26"/>
                <w:szCs w:val="26"/>
              </w:rPr>
              <w:t>2319361</w:t>
            </w:r>
          </w:p>
        </w:tc>
      </w:tr>
    </w:tbl>
    <w:p w:rsidR="00A15149" w:rsidRDefault="00A15149" w:rsidP="00A15149">
      <w:pPr>
        <w:jc w:val="center"/>
        <w:rPr>
          <w:b/>
          <w:sz w:val="26"/>
          <w:szCs w:val="26"/>
        </w:rPr>
      </w:pPr>
    </w:p>
    <w:p w:rsidR="00A15149" w:rsidRDefault="00A15149" w:rsidP="00A15149">
      <w:pPr>
        <w:jc w:val="center"/>
        <w:rPr>
          <w:b/>
          <w:sz w:val="26"/>
          <w:szCs w:val="26"/>
        </w:rPr>
      </w:pPr>
    </w:p>
    <w:p w:rsidR="00A15149" w:rsidRDefault="00A15149" w:rsidP="00A15149">
      <w:pPr>
        <w:jc w:val="center"/>
        <w:rPr>
          <w:b/>
          <w:sz w:val="26"/>
          <w:szCs w:val="26"/>
        </w:rPr>
      </w:pPr>
    </w:p>
    <w:p w:rsidR="00A15149" w:rsidRDefault="00A15149" w:rsidP="00A15149">
      <w:pPr>
        <w:jc w:val="center"/>
        <w:rPr>
          <w:b/>
          <w:sz w:val="26"/>
          <w:szCs w:val="26"/>
        </w:rPr>
      </w:pPr>
      <w:r>
        <w:rPr>
          <w:b/>
          <w:sz w:val="26"/>
          <w:szCs w:val="26"/>
        </w:rPr>
        <w:t>ADVANCE NOTICE OF PROPOSED RULEMAKING ORDER</w:t>
      </w:r>
    </w:p>
    <w:p w:rsidR="00A15149" w:rsidRDefault="00A15149" w:rsidP="00A15149">
      <w:pPr>
        <w:spacing w:line="360" w:lineRule="auto"/>
        <w:rPr>
          <w:sz w:val="26"/>
          <w:szCs w:val="26"/>
        </w:rPr>
      </w:pPr>
    </w:p>
    <w:p w:rsidR="00A15149" w:rsidRDefault="00A15149" w:rsidP="00A15149">
      <w:pPr>
        <w:pStyle w:val="p3"/>
        <w:spacing w:line="360" w:lineRule="auto"/>
        <w:rPr>
          <w:b/>
          <w:sz w:val="26"/>
          <w:szCs w:val="26"/>
        </w:rPr>
      </w:pPr>
      <w:r>
        <w:rPr>
          <w:b/>
          <w:sz w:val="26"/>
          <w:szCs w:val="26"/>
        </w:rPr>
        <w:t>BY THE COMMISSION:</w:t>
      </w:r>
    </w:p>
    <w:p w:rsidR="003335DF" w:rsidRDefault="003335DF" w:rsidP="00A15149">
      <w:pPr>
        <w:pStyle w:val="p3"/>
        <w:spacing w:line="360" w:lineRule="auto"/>
        <w:rPr>
          <w:b/>
          <w:sz w:val="26"/>
          <w:szCs w:val="26"/>
        </w:rPr>
      </w:pPr>
    </w:p>
    <w:p w:rsidR="00512B08" w:rsidRDefault="003335DF" w:rsidP="00A15149">
      <w:pPr>
        <w:pStyle w:val="p3"/>
        <w:spacing w:line="360" w:lineRule="auto"/>
        <w:rPr>
          <w:b/>
          <w:sz w:val="26"/>
          <w:szCs w:val="26"/>
        </w:rPr>
      </w:pPr>
      <w:r>
        <w:rPr>
          <w:b/>
          <w:sz w:val="26"/>
          <w:szCs w:val="26"/>
        </w:rPr>
        <w:t>The 2008 Tentative Order</w:t>
      </w:r>
    </w:p>
    <w:p w:rsidR="009A7BA2" w:rsidRDefault="009A7BA2" w:rsidP="009A7BA2">
      <w:pPr>
        <w:spacing w:line="360" w:lineRule="auto"/>
        <w:ind w:firstLine="720"/>
        <w:rPr>
          <w:rFonts w:cs="Arial"/>
          <w:sz w:val="26"/>
        </w:rPr>
      </w:pPr>
      <w:r>
        <w:rPr>
          <w:rFonts w:cs="Arial"/>
          <w:sz w:val="26"/>
        </w:rPr>
        <w:t xml:space="preserve">On November 10, 2008, the Pennsylvania Public Utility Commission (PUC or Commission) issued a Tentative Opinion and Order </w:t>
      </w:r>
      <w:r w:rsidR="00512B08">
        <w:rPr>
          <w:rFonts w:cs="Arial"/>
          <w:sz w:val="26"/>
        </w:rPr>
        <w:t xml:space="preserve">at </w:t>
      </w:r>
      <w:r w:rsidR="00FD6E8B">
        <w:rPr>
          <w:rFonts w:cs="Arial"/>
          <w:sz w:val="26"/>
        </w:rPr>
        <w:t xml:space="preserve">Docket No. </w:t>
      </w:r>
      <w:r w:rsidR="00512B08">
        <w:rPr>
          <w:rFonts w:cs="Arial"/>
          <w:sz w:val="26"/>
        </w:rPr>
        <w:t xml:space="preserve">M-2008-2062697 (2008 Tentative Order) </w:t>
      </w:r>
      <w:r>
        <w:rPr>
          <w:rFonts w:cs="Arial"/>
          <w:sz w:val="26"/>
        </w:rPr>
        <w:t xml:space="preserve">regarding a </w:t>
      </w:r>
      <w:r w:rsidR="00A22449">
        <w:rPr>
          <w:rFonts w:cs="Arial"/>
          <w:sz w:val="26"/>
        </w:rPr>
        <w:t>p</w:t>
      </w:r>
      <w:r>
        <w:rPr>
          <w:rFonts w:cs="Arial"/>
          <w:sz w:val="26"/>
        </w:rPr>
        <w:t xml:space="preserve">ilot </w:t>
      </w:r>
      <w:r w:rsidR="00A22449">
        <w:rPr>
          <w:rFonts w:cs="Arial"/>
          <w:sz w:val="26"/>
        </w:rPr>
        <w:t>p</w:t>
      </w:r>
      <w:r>
        <w:rPr>
          <w:rFonts w:cs="Arial"/>
          <w:sz w:val="26"/>
        </w:rPr>
        <w:t xml:space="preserve">rogram to </w:t>
      </w:r>
      <w:r w:rsidR="00A22449">
        <w:rPr>
          <w:rFonts w:cs="Arial"/>
          <w:sz w:val="26"/>
        </w:rPr>
        <w:t>i</w:t>
      </w:r>
      <w:r>
        <w:rPr>
          <w:rFonts w:cs="Arial"/>
          <w:sz w:val="26"/>
        </w:rPr>
        <w:t xml:space="preserve">mplement the International Water Association (IWA)/American Water Works Association (AWWA) Water Audit </w:t>
      </w:r>
      <w:r w:rsidR="009F4337">
        <w:rPr>
          <w:rFonts w:cs="Arial"/>
          <w:sz w:val="26"/>
        </w:rPr>
        <w:t>m</w:t>
      </w:r>
      <w:r>
        <w:rPr>
          <w:rFonts w:cs="Arial"/>
          <w:sz w:val="26"/>
        </w:rPr>
        <w:t>ethodology</w:t>
      </w:r>
      <w:r w:rsidR="009F4337">
        <w:rPr>
          <w:rFonts w:cs="Arial"/>
          <w:sz w:val="26"/>
        </w:rPr>
        <w:t xml:space="preserve"> (Water Audit methodology)</w:t>
      </w:r>
      <w:r>
        <w:rPr>
          <w:rFonts w:cs="Arial"/>
          <w:sz w:val="26"/>
        </w:rPr>
        <w:t xml:space="preserve">.  </w:t>
      </w:r>
      <w:r w:rsidR="00C530BE">
        <w:rPr>
          <w:rFonts w:cs="Arial"/>
          <w:sz w:val="26"/>
        </w:rPr>
        <w:t>By way of th</w:t>
      </w:r>
      <w:r w:rsidR="009F4337">
        <w:rPr>
          <w:rFonts w:cs="Arial"/>
          <w:sz w:val="26"/>
        </w:rPr>
        <w:t>e</w:t>
      </w:r>
      <w:r w:rsidR="00C530BE">
        <w:rPr>
          <w:rFonts w:cs="Arial"/>
          <w:sz w:val="26"/>
        </w:rPr>
        <w:t xml:space="preserve"> 2008 Tentative Order, t</w:t>
      </w:r>
      <w:r>
        <w:rPr>
          <w:rFonts w:cs="Arial"/>
          <w:sz w:val="26"/>
        </w:rPr>
        <w:t>he Commission invited all jurisdictional water utilities to voluntarily participate in a pilot program to implement the new IWA/AWWA methodology.</w:t>
      </w:r>
      <w:r w:rsidR="001C72E2">
        <w:rPr>
          <w:rFonts w:cs="Arial"/>
          <w:sz w:val="26"/>
        </w:rPr>
        <w:t xml:space="preserve">  The 2008 Tentative Order became final on</w:t>
      </w:r>
      <w:r w:rsidR="00E14690">
        <w:rPr>
          <w:rFonts w:cs="Arial"/>
          <w:sz w:val="26"/>
        </w:rPr>
        <w:t xml:space="preserve"> December 10, 2008 (2008 Order).</w:t>
      </w:r>
      <w:r w:rsidR="001C72E2">
        <w:rPr>
          <w:rFonts w:cs="Arial"/>
          <w:sz w:val="26"/>
        </w:rPr>
        <w:t xml:space="preserve">   </w:t>
      </w:r>
    </w:p>
    <w:p w:rsidR="00512B08" w:rsidRDefault="00512B08" w:rsidP="00512B08">
      <w:pPr>
        <w:spacing w:line="360" w:lineRule="auto"/>
        <w:ind w:firstLine="720"/>
        <w:rPr>
          <w:rFonts w:cs="Arial"/>
          <w:sz w:val="26"/>
        </w:rPr>
      </w:pPr>
    </w:p>
    <w:p w:rsidR="00512B08" w:rsidRDefault="00512B08" w:rsidP="00512B08">
      <w:pPr>
        <w:spacing w:line="360" w:lineRule="auto"/>
        <w:ind w:firstLine="720"/>
        <w:rPr>
          <w:rFonts w:cs="Arial"/>
          <w:sz w:val="26"/>
        </w:rPr>
      </w:pPr>
      <w:r>
        <w:rPr>
          <w:rFonts w:cs="Arial"/>
          <w:sz w:val="26"/>
        </w:rPr>
        <w:t>The purpose of the 2008 Order was to implement, on a pilot basis</w:t>
      </w:r>
      <w:r w:rsidR="00A22449">
        <w:rPr>
          <w:rFonts w:cs="Arial"/>
          <w:sz w:val="26"/>
        </w:rPr>
        <w:t>,</w:t>
      </w:r>
      <w:r>
        <w:rPr>
          <w:rFonts w:cs="Arial"/>
          <w:sz w:val="26"/>
        </w:rPr>
        <w:t xml:space="preserve"> the Water Audit methodology.  Th</w:t>
      </w:r>
      <w:r w:rsidR="00C530BE">
        <w:rPr>
          <w:rFonts w:cs="Arial"/>
          <w:sz w:val="26"/>
        </w:rPr>
        <w:t>is</w:t>
      </w:r>
      <w:r>
        <w:rPr>
          <w:rFonts w:cs="Arial"/>
          <w:sz w:val="26"/>
        </w:rPr>
        <w:t xml:space="preserve"> methodology was established by the IWA and the AWWA.  </w:t>
      </w:r>
      <w:r>
        <w:rPr>
          <w:rFonts w:cs="Arial"/>
          <w:sz w:val="26"/>
        </w:rPr>
        <w:lastRenderedPageBreak/>
        <w:t>Implementation of th</w:t>
      </w:r>
      <w:r w:rsidR="00FD6E8B">
        <w:rPr>
          <w:rFonts w:cs="Arial"/>
          <w:sz w:val="26"/>
        </w:rPr>
        <w:t>is</w:t>
      </w:r>
      <w:r>
        <w:rPr>
          <w:rFonts w:cs="Arial"/>
          <w:sz w:val="26"/>
        </w:rPr>
        <w:t xml:space="preserve"> methodology </w:t>
      </w:r>
      <w:r w:rsidR="00C530BE">
        <w:rPr>
          <w:rFonts w:cs="Arial"/>
          <w:sz w:val="26"/>
        </w:rPr>
        <w:t xml:space="preserve">by the Commission’s jurisdictional water utilities </w:t>
      </w:r>
      <w:r>
        <w:rPr>
          <w:rFonts w:cs="Arial"/>
          <w:sz w:val="26"/>
        </w:rPr>
        <w:t>was expected to achieve a number of public interest benefits</w:t>
      </w:r>
      <w:r w:rsidR="009F4337">
        <w:rPr>
          <w:rFonts w:cs="Arial"/>
          <w:sz w:val="26"/>
        </w:rPr>
        <w:t xml:space="preserve">, including </w:t>
      </w:r>
      <w:r>
        <w:rPr>
          <w:rFonts w:cs="Arial"/>
          <w:sz w:val="26"/>
        </w:rPr>
        <w:t>further</w:t>
      </w:r>
      <w:r w:rsidR="009F4337">
        <w:rPr>
          <w:rFonts w:cs="Arial"/>
          <w:sz w:val="26"/>
        </w:rPr>
        <w:t>ing</w:t>
      </w:r>
      <w:r>
        <w:rPr>
          <w:rFonts w:cs="Arial"/>
          <w:sz w:val="26"/>
        </w:rPr>
        <w:t xml:space="preserve"> overall infrastructure reliability, preserv</w:t>
      </w:r>
      <w:r w:rsidR="009F4337">
        <w:rPr>
          <w:rFonts w:cs="Arial"/>
          <w:sz w:val="26"/>
        </w:rPr>
        <w:t>ing</w:t>
      </w:r>
      <w:r>
        <w:rPr>
          <w:rFonts w:cs="Arial"/>
          <w:sz w:val="26"/>
        </w:rPr>
        <w:t xml:space="preserve"> water resources, limit</w:t>
      </w:r>
      <w:r w:rsidR="009F4337">
        <w:rPr>
          <w:rFonts w:cs="Arial"/>
          <w:sz w:val="26"/>
        </w:rPr>
        <w:t>ing</w:t>
      </w:r>
      <w:r>
        <w:rPr>
          <w:rFonts w:cs="Arial"/>
          <w:sz w:val="26"/>
        </w:rPr>
        <w:t xml:space="preserve"> water leakage, reduc</w:t>
      </w:r>
      <w:r w:rsidR="009F4337">
        <w:rPr>
          <w:rFonts w:cs="Arial"/>
          <w:sz w:val="26"/>
        </w:rPr>
        <w:t>ing</w:t>
      </w:r>
      <w:r>
        <w:rPr>
          <w:rFonts w:cs="Arial"/>
          <w:sz w:val="26"/>
        </w:rPr>
        <w:t xml:space="preserve"> overall company risk, and enhanc</w:t>
      </w:r>
      <w:r w:rsidR="009F4337">
        <w:rPr>
          <w:rFonts w:cs="Arial"/>
          <w:sz w:val="26"/>
        </w:rPr>
        <w:t>ing</w:t>
      </w:r>
      <w:r>
        <w:rPr>
          <w:rFonts w:cs="Arial"/>
          <w:sz w:val="26"/>
        </w:rPr>
        <w:t xml:space="preserve"> customer service.  </w:t>
      </w:r>
    </w:p>
    <w:p w:rsidR="00A22449" w:rsidRDefault="00A22449" w:rsidP="00F35032">
      <w:pPr>
        <w:spacing w:line="360" w:lineRule="auto"/>
        <w:ind w:firstLine="1440"/>
        <w:rPr>
          <w:rFonts w:cs="Arial"/>
          <w:sz w:val="26"/>
        </w:rPr>
      </w:pPr>
    </w:p>
    <w:p w:rsidR="00F35032" w:rsidRDefault="009F4337" w:rsidP="00A22449">
      <w:pPr>
        <w:spacing w:line="360" w:lineRule="auto"/>
        <w:ind w:firstLine="810"/>
        <w:rPr>
          <w:rFonts w:cs="Arial"/>
          <w:sz w:val="26"/>
        </w:rPr>
      </w:pPr>
      <w:r>
        <w:rPr>
          <w:rFonts w:cs="Arial"/>
          <w:sz w:val="26"/>
        </w:rPr>
        <w:t>T</w:t>
      </w:r>
      <w:r w:rsidR="00326387">
        <w:rPr>
          <w:rFonts w:cs="Arial"/>
          <w:sz w:val="26"/>
        </w:rPr>
        <w:t xml:space="preserve">he 2008 Order </w:t>
      </w:r>
      <w:r>
        <w:rPr>
          <w:rFonts w:cs="Arial"/>
          <w:sz w:val="26"/>
        </w:rPr>
        <w:t xml:space="preserve">explained </w:t>
      </w:r>
      <w:r w:rsidR="00326387">
        <w:rPr>
          <w:rFonts w:cs="Arial"/>
          <w:sz w:val="26"/>
        </w:rPr>
        <w:t>that p</w:t>
      </w:r>
      <w:r w:rsidR="00F35032">
        <w:rPr>
          <w:rFonts w:cs="Arial"/>
          <w:sz w:val="26"/>
        </w:rPr>
        <w:t xml:space="preserve">articipation </w:t>
      </w:r>
      <w:r w:rsidR="00A22449">
        <w:rPr>
          <w:rFonts w:cs="Arial"/>
          <w:sz w:val="26"/>
        </w:rPr>
        <w:t xml:space="preserve">in this pilot program </w:t>
      </w:r>
      <w:r w:rsidR="00F35032">
        <w:rPr>
          <w:rFonts w:cs="Arial"/>
          <w:sz w:val="26"/>
        </w:rPr>
        <w:t xml:space="preserve">by </w:t>
      </w:r>
      <w:r>
        <w:rPr>
          <w:rFonts w:cs="Arial"/>
          <w:sz w:val="26"/>
        </w:rPr>
        <w:t xml:space="preserve">Pennsylvania’s </w:t>
      </w:r>
      <w:r w:rsidR="00F35032">
        <w:rPr>
          <w:rFonts w:cs="Arial"/>
          <w:sz w:val="26"/>
        </w:rPr>
        <w:t xml:space="preserve">largest water utilities </w:t>
      </w:r>
      <w:r w:rsidR="005533B4">
        <w:rPr>
          <w:rFonts w:cs="Arial"/>
          <w:sz w:val="26"/>
        </w:rPr>
        <w:t xml:space="preserve">was expected </w:t>
      </w:r>
      <w:r w:rsidR="00F35032">
        <w:rPr>
          <w:rFonts w:cs="Arial"/>
          <w:sz w:val="26"/>
        </w:rPr>
        <w:t>for a number of reasons.  First, their larger size, in terms of water industry standards, their resources</w:t>
      </w:r>
      <w:r w:rsidR="00E14690">
        <w:rPr>
          <w:rFonts w:cs="Arial"/>
          <w:sz w:val="26"/>
        </w:rPr>
        <w:t>,</w:t>
      </w:r>
      <w:r w:rsidR="00F35032">
        <w:rPr>
          <w:rFonts w:cs="Arial"/>
          <w:sz w:val="26"/>
        </w:rPr>
        <w:t xml:space="preserve"> and their overall viability lend themselves to straightforward adaptation of the new procedure.  Second, all viable water utilities should constantly strive to improve operational efficiency.  Initiation of </w:t>
      </w:r>
      <w:r w:rsidR="00A22449">
        <w:rPr>
          <w:rFonts w:cs="Arial"/>
          <w:sz w:val="26"/>
        </w:rPr>
        <w:t>the</w:t>
      </w:r>
      <w:r w:rsidR="00F35032">
        <w:rPr>
          <w:rFonts w:cs="Arial"/>
          <w:sz w:val="26"/>
        </w:rPr>
        <w:t xml:space="preserve"> pilot program was to further this ongoing effort.  Third, the Water Audit </w:t>
      </w:r>
      <w:r w:rsidR="00EE5CBA">
        <w:rPr>
          <w:rFonts w:cs="Arial"/>
          <w:sz w:val="26"/>
        </w:rPr>
        <w:t xml:space="preserve">methodology </w:t>
      </w:r>
      <w:r w:rsidR="00F35032">
        <w:rPr>
          <w:rFonts w:cs="Arial"/>
          <w:sz w:val="26"/>
        </w:rPr>
        <w:t xml:space="preserve">is consistent with current challenges facing the water industry, namely: (1) rising cost challenges imposed by the need to rehabilitate aging infrastructure; (2) increased energy costs for pumping; (3) increased costs of chemicals and other treatment necessary to meet </w:t>
      </w:r>
      <w:r>
        <w:rPr>
          <w:rFonts w:cs="Arial"/>
          <w:sz w:val="26"/>
        </w:rPr>
        <w:t xml:space="preserve">the </w:t>
      </w:r>
      <w:r w:rsidR="00F35032">
        <w:rPr>
          <w:rFonts w:cs="Arial"/>
          <w:sz w:val="26"/>
        </w:rPr>
        <w:t xml:space="preserve">more stringent Safe Drinking Water Act requirements; and (4) the limited availability and higher costs for developing new sources of supply, among others.  </w:t>
      </w:r>
    </w:p>
    <w:p w:rsidR="00F35032" w:rsidRDefault="00F35032" w:rsidP="00F35032">
      <w:pPr>
        <w:spacing w:line="360" w:lineRule="auto"/>
        <w:rPr>
          <w:rFonts w:cs="Arial"/>
          <w:b/>
          <w:sz w:val="26"/>
        </w:rPr>
      </w:pPr>
    </w:p>
    <w:p w:rsidR="00F35032" w:rsidRDefault="00A22449" w:rsidP="00F35032">
      <w:pPr>
        <w:spacing w:line="360" w:lineRule="auto"/>
        <w:ind w:firstLine="720"/>
        <w:rPr>
          <w:rFonts w:cs="Arial"/>
          <w:sz w:val="26"/>
        </w:rPr>
      </w:pPr>
      <w:r>
        <w:rPr>
          <w:rFonts w:cs="Arial"/>
          <w:sz w:val="26"/>
        </w:rPr>
        <w:t xml:space="preserve"> As stated in the 2008 Order, a</w:t>
      </w:r>
      <w:r w:rsidR="00F35032">
        <w:rPr>
          <w:rFonts w:cs="Arial"/>
          <w:sz w:val="26"/>
        </w:rPr>
        <w:t xml:space="preserve"> critical aspect of efficient operations involves tracking levels of unaccounted-for water (UFW).</w:t>
      </w:r>
      <w:r w:rsidR="00F35032">
        <w:rPr>
          <w:rStyle w:val="FootnoteReference"/>
          <w:rFonts w:cs="Arial"/>
        </w:rPr>
        <w:footnoteReference w:id="1"/>
      </w:r>
      <w:r w:rsidR="00F35032">
        <w:rPr>
          <w:rFonts w:cs="Arial"/>
          <w:sz w:val="26"/>
        </w:rPr>
        <w:t xml:space="preserve">  Maintaining low levels of UFW helps prevent waste of a precious resource, avoids lost revenue</w:t>
      </w:r>
      <w:r w:rsidR="009F4337">
        <w:rPr>
          <w:rFonts w:cs="Arial"/>
          <w:sz w:val="26"/>
        </w:rPr>
        <w:t>,</w:t>
      </w:r>
      <w:r w:rsidR="00F35032">
        <w:rPr>
          <w:rFonts w:cs="Arial"/>
          <w:sz w:val="26"/>
        </w:rPr>
        <w:t xml:space="preserve"> and indicat</w:t>
      </w:r>
      <w:r w:rsidR="009F4337">
        <w:rPr>
          <w:rFonts w:cs="Arial"/>
          <w:sz w:val="26"/>
        </w:rPr>
        <w:t>es</w:t>
      </w:r>
      <w:r w:rsidR="00F35032">
        <w:rPr>
          <w:rFonts w:cs="Arial"/>
          <w:sz w:val="26"/>
        </w:rPr>
        <w:t xml:space="preserve"> a well-managed water utility.  Both the PUC and the D</w:t>
      </w:r>
      <w:r>
        <w:rPr>
          <w:rFonts w:cs="Arial"/>
          <w:sz w:val="26"/>
        </w:rPr>
        <w:t>epartment of Environmental Protection (D</w:t>
      </w:r>
      <w:r w:rsidR="00F35032">
        <w:rPr>
          <w:rFonts w:cs="Arial"/>
          <w:sz w:val="26"/>
        </w:rPr>
        <w:t>EP</w:t>
      </w:r>
      <w:r>
        <w:rPr>
          <w:rFonts w:cs="Arial"/>
          <w:sz w:val="26"/>
        </w:rPr>
        <w:t>)</w:t>
      </w:r>
      <w:r w:rsidR="00F35032">
        <w:rPr>
          <w:rFonts w:cs="Arial"/>
          <w:sz w:val="26"/>
        </w:rPr>
        <w:t xml:space="preserve"> monitor levels of UFW on an annual basis.  In addition, as part of the</w:t>
      </w:r>
      <w:r>
        <w:rPr>
          <w:rFonts w:cs="Arial"/>
          <w:sz w:val="26"/>
        </w:rPr>
        <w:t xml:space="preserve"> Commission’s </w:t>
      </w:r>
      <w:r w:rsidR="00F35032">
        <w:rPr>
          <w:rFonts w:cs="Arial"/>
          <w:sz w:val="26"/>
        </w:rPr>
        <w:t xml:space="preserve">rate case review process, expenses for power and chemicals may be disallowed when levels of UFW exceed 20 percent.  </w:t>
      </w:r>
      <w:r>
        <w:rPr>
          <w:rFonts w:cs="Arial"/>
          <w:sz w:val="26"/>
        </w:rPr>
        <w:t>Indeed,</w:t>
      </w:r>
      <w:r w:rsidR="00F35032">
        <w:rPr>
          <w:rFonts w:cs="Arial"/>
          <w:sz w:val="26"/>
        </w:rPr>
        <w:t xml:space="preserve"> the Commission’s comprehensive Policy Statement on </w:t>
      </w:r>
      <w:r w:rsidR="00F35032">
        <w:rPr>
          <w:rFonts w:cs="Arial"/>
          <w:sz w:val="26"/>
        </w:rPr>
        <w:lastRenderedPageBreak/>
        <w:t>Conservation</w:t>
      </w:r>
      <w:r w:rsidR="00EE5CBA">
        <w:rPr>
          <w:rFonts w:cs="Arial"/>
          <w:sz w:val="26"/>
        </w:rPr>
        <w:t xml:space="preserve"> </w:t>
      </w:r>
      <w:r w:rsidR="008D558B">
        <w:rPr>
          <w:rFonts w:cs="Arial"/>
          <w:sz w:val="26"/>
        </w:rPr>
        <w:t>strongly suggests</w:t>
      </w:r>
      <w:r w:rsidR="00F35032">
        <w:rPr>
          <w:rFonts w:cs="Arial"/>
          <w:sz w:val="26"/>
        </w:rPr>
        <w:t xml:space="preserve"> </w:t>
      </w:r>
      <w:r w:rsidR="00327FF7">
        <w:rPr>
          <w:rFonts w:cs="Arial"/>
          <w:sz w:val="26"/>
        </w:rPr>
        <w:t xml:space="preserve">that an </w:t>
      </w:r>
      <w:r w:rsidR="00F35032">
        <w:rPr>
          <w:rFonts w:cs="Arial"/>
          <w:sz w:val="26"/>
        </w:rPr>
        <w:t xml:space="preserve">ongoing leak detection and repair program </w:t>
      </w:r>
      <w:r w:rsidR="00327FF7">
        <w:rPr>
          <w:rFonts w:cs="Arial"/>
          <w:sz w:val="26"/>
        </w:rPr>
        <w:t>is</w:t>
      </w:r>
      <w:r w:rsidR="00F35032">
        <w:rPr>
          <w:rFonts w:cs="Arial"/>
          <w:sz w:val="26"/>
        </w:rPr>
        <w:t xml:space="preserve"> an integral part of maintaining low levels of </w:t>
      </w:r>
      <w:r w:rsidR="00F35032" w:rsidRPr="00666F22">
        <w:rPr>
          <w:rFonts w:cs="Arial"/>
          <w:sz w:val="26"/>
          <w:szCs w:val="26"/>
        </w:rPr>
        <w:t>UFW.</w:t>
      </w:r>
      <w:r w:rsidR="00EE5CBA" w:rsidRPr="00666F22">
        <w:rPr>
          <w:rStyle w:val="FootnoteReference"/>
          <w:rFonts w:cs="Arial"/>
        </w:rPr>
        <w:footnoteReference w:id="2"/>
      </w:r>
      <w:r w:rsidR="00EE5CBA" w:rsidRPr="00666F22">
        <w:rPr>
          <w:rFonts w:cs="Arial"/>
          <w:sz w:val="20"/>
          <w:vertAlign w:val="superscript"/>
        </w:rPr>
        <w:t xml:space="preserve"> </w:t>
      </w:r>
      <w:r w:rsidR="00F35032">
        <w:rPr>
          <w:rFonts w:cs="Arial"/>
          <w:sz w:val="26"/>
        </w:rPr>
        <w:t xml:space="preserve"> </w:t>
      </w:r>
    </w:p>
    <w:p w:rsidR="003335DF" w:rsidRDefault="003335DF" w:rsidP="002F10B7">
      <w:pPr>
        <w:spacing w:line="360" w:lineRule="auto"/>
        <w:ind w:firstLine="720"/>
        <w:rPr>
          <w:rFonts w:cs="Arial"/>
          <w:sz w:val="26"/>
        </w:rPr>
      </w:pPr>
    </w:p>
    <w:p w:rsidR="00F35032" w:rsidRDefault="00F35032" w:rsidP="002F10B7">
      <w:pPr>
        <w:spacing w:line="360" w:lineRule="auto"/>
        <w:ind w:firstLine="720"/>
        <w:rPr>
          <w:rFonts w:cs="Arial"/>
          <w:sz w:val="26"/>
        </w:rPr>
      </w:pPr>
      <w:r>
        <w:rPr>
          <w:rFonts w:cs="Arial"/>
          <w:sz w:val="26"/>
        </w:rPr>
        <w:t>For many years, the determination of UFW used by this Commission, jurisdictional water utilities</w:t>
      </w:r>
      <w:r w:rsidR="00E14690">
        <w:rPr>
          <w:rFonts w:cs="Arial"/>
          <w:sz w:val="26"/>
        </w:rPr>
        <w:t>,</w:t>
      </w:r>
      <w:r>
        <w:rPr>
          <w:rFonts w:cs="Arial"/>
          <w:sz w:val="26"/>
        </w:rPr>
        <w:t xml:space="preserve"> and throughout the country was a combination of a methodology established by William D. Hudson and a procedure set forth in the AWWA Training Manual.</w:t>
      </w:r>
      <w:r>
        <w:rPr>
          <w:rStyle w:val="FootnoteReference"/>
          <w:rFonts w:cs="Arial"/>
        </w:rPr>
        <w:footnoteReference w:id="3"/>
      </w:r>
      <w:r>
        <w:rPr>
          <w:rFonts w:cs="Arial"/>
          <w:sz w:val="26"/>
        </w:rPr>
        <w:t xml:space="preserve">  Over time, however, it became apparent that differing interpretations and adjustments, along with the incorporation of different components, led to less than representative results.  Ineffective planning and an inability to employ corrective measures are the likely consequences of inaccurate levels of UFW.</w:t>
      </w:r>
    </w:p>
    <w:p w:rsidR="002F10B7" w:rsidRDefault="002F10B7" w:rsidP="00F35032">
      <w:pPr>
        <w:spacing w:line="360" w:lineRule="auto"/>
        <w:ind w:firstLine="1440"/>
        <w:rPr>
          <w:rFonts w:cs="Arial"/>
          <w:sz w:val="26"/>
        </w:rPr>
      </w:pPr>
    </w:p>
    <w:p w:rsidR="00F35032" w:rsidRDefault="00C530BE" w:rsidP="002F10B7">
      <w:pPr>
        <w:spacing w:line="360" w:lineRule="auto"/>
        <w:ind w:firstLine="810"/>
        <w:rPr>
          <w:rFonts w:cs="Arial"/>
          <w:sz w:val="26"/>
        </w:rPr>
      </w:pPr>
      <w:r>
        <w:rPr>
          <w:rFonts w:cs="Arial"/>
          <w:sz w:val="26"/>
        </w:rPr>
        <w:t>As stated in the 2008 Order, a</w:t>
      </w:r>
      <w:r w:rsidR="00F35032">
        <w:rPr>
          <w:rFonts w:cs="Arial"/>
          <w:sz w:val="26"/>
        </w:rPr>
        <w:t xml:space="preserve">n enhanced, more comprehensive method has since been developed, which gives every indication that it offers superior data and indicators for improved operational accountability.  The Water Audit </w:t>
      </w:r>
      <w:r w:rsidR="00FD6E8B">
        <w:rPr>
          <w:rFonts w:cs="Arial"/>
          <w:sz w:val="26"/>
        </w:rPr>
        <w:t xml:space="preserve">methodology </w:t>
      </w:r>
      <w:r w:rsidR="00F35032">
        <w:rPr>
          <w:rFonts w:cs="Arial"/>
          <w:sz w:val="26"/>
        </w:rPr>
        <w:t xml:space="preserve">not only assists utilities </w:t>
      </w:r>
      <w:r w:rsidR="00EE5CBA">
        <w:rPr>
          <w:rFonts w:cs="Arial"/>
          <w:sz w:val="26"/>
        </w:rPr>
        <w:t xml:space="preserve">in identifying </w:t>
      </w:r>
      <w:r w:rsidR="00F35032">
        <w:rPr>
          <w:rFonts w:cs="Arial"/>
          <w:sz w:val="26"/>
        </w:rPr>
        <w:t>where the losses are occurring, but also expresses by volume how much is lost and at what cost.</w:t>
      </w:r>
      <w:r w:rsidR="00F35032">
        <w:rPr>
          <w:rStyle w:val="FootnoteReference"/>
          <w:rFonts w:cs="Arial"/>
        </w:rPr>
        <w:footnoteReference w:id="4"/>
      </w:r>
      <w:r w:rsidR="00F35032">
        <w:rPr>
          <w:rFonts w:cs="Arial"/>
          <w:sz w:val="26"/>
        </w:rPr>
        <w:t xml:space="preserve">  The term “unaccounted-for water” has been replaced with the term “water audit” based on the concept and underlying procedure that virtually all water can be “accounted-for.”  The Water Audit methodology was developed jointly by a five-country group formed by the IWA and the AWWA in 1997.  In 2003,</w:t>
      </w:r>
      <w:r w:rsidR="008D558B">
        <w:rPr>
          <w:rFonts w:cs="Arial"/>
          <w:sz w:val="26"/>
        </w:rPr>
        <w:t xml:space="preserve"> the AWWA’s Water Loss Control Committee</w:t>
      </w:r>
      <w:r w:rsidR="00F35032">
        <w:rPr>
          <w:rFonts w:cs="Arial"/>
          <w:sz w:val="26"/>
        </w:rPr>
        <w:t xml:space="preserve"> identified </w:t>
      </w:r>
      <w:r w:rsidR="008D558B">
        <w:rPr>
          <w:rFonts w:cs="Arial"/>
          <w:sz w:val="26"/>
        </w:rPr>
        <w:t xml:space="preserve">the Water Audit methodology </w:t>
      </w:r>
      <w:r w:rsidR="00F35032">
        <w:rPr>
          <w:rFonts w:cs="Arial"/>
          <w:sz w:val="26"/>
        </w:rPr>
        <w:t>a</w:t>
      </w:r>
      <w:r w:rsidR="008D558B">
        <w:rPr>
          <w:rFonts w:cs="Arial"/>
          <w:sz w:val="26"/>
        </w:rPr>
        <w:t>s a</w:t>
      </w:r>
      <w:r w:rsidR="00F35032">
        <w:rPr>
          <w:rFonts w:cs="Arial"/>
          <w:sz w:val="26"/>
        </w:rPr>
        <w:t xml:space="preserve"> world-wide best management practice in water loss control.</w:t>
      </w:r>
      <w:r w:rsidR="00F35032">
        <w:rPr>
          <w:rStyle w:val="FootnoteReference"/>
          <w:rFonts w:cs="Arial"/>
        </w:rPr>
        <w:footnoteReference w:id="5"/>
      </w:r>
      <w:r w:rsidR="00F35032">
        <w:rPr>
          <w:rFonts w:cs="Arial"/>
          <w:sz w:val="26"/>
        </w:rPr>
        <w:t xml:space="preserve">   In 2006, the AWWA released a Water Audit software package that is available free of charge on its website, broadening the new procedure’s accessibility.</w:t>
      </w:r>
      <w:r w:rsidR="00F35032">
        <w:rPr>
          <w:rStyle w:val="FootnoteReference"/>
          <w:rFonts w:cs="Arial"/>
        </w:rPr>
        <w:footnoteReference w:id="6"/>
      </w:r>
      <w:r w:rsidR="00F35032">
        <w:rPr>
          <w:rFonts w:cs="Arial"/>
          <w:sz w:val="26"/>
        </w:rPr>
        <w:t xml:space="preserve">  A year later, the AWWA Research Foundation designated the </w:t>
      </w:r>
      <w:r w:rsidR="00F35032">
        <w:rPr>
          <w:rFonts w:cs="Arial"/>
          <w:sz w:val="26"/>
        </w:rPr>
        <w:lastRenderedPageBreak/>
        <w:t>Water Audit methodology as the current best practice.</w:t>
      </w:r>
      <w:r w:rsidR="00F35032">
        <w:rPr>
          <w:rStyle w:val="FootnoteReference"/>
          <w:rFonts w:cs="Arial"/>
        </w:rPr>
        <w:footnoteReference w:id="7"/>
      </w:r>
      <w:r w:rsidR="00F35032">
        <w:rPr>
          <w:rFonts w:cs="Arial"/>
          <w:sz w:val="26"/>
        </w:rPr>
        <w:t xml:space="preserve">  Today, its use continues to expand, consistent with widespread efforts to increase water supply sustainability, infrastructure remediation, and overall service reliability.</w:t>
      </w:r>
    </w:p>
    <w:p w:rsidR="00F35032" w:rsidRDefault="00F35032" w:rsidP="00F35032">
      <w:pPr>
        <w:spacing w:line="360" w:lineRule="auto"/>
        <w:rPr>
          <w:rFonts w:cs="Arial"/>
          <w:sz w:val="26"/>
        </w:rPr>
      </w:pPr>
    </w:p>
    <w:p w:rsidR="00F35032" w:rsidRDefault="00F35032" w:rsidP="003335DF">
      <w:pPr>
        <w:spacing w:line="360" w:lineRule="auto"/>
        <w:ind w:firstLine="720"/>
        <w:rPr>
          <w:rFonts w:cs="Arial"/>
          <w:sz w:val="26"/>
        </w:rPr>
      </w:pPr>
      <w:r>
        <w:rPr>
          <w:rFonts w:cs="Arial"/>
          <w:sz w:val="26"/>
        </w:rPr>
        <w:t>As noted in the 2008 Order, experience with the Water Audit</w:t>
      </w:r>
      <w:r w:rsidR="00C530BE">
        <w:rPr>
          <w:rFonts w:cs="Arial"/>
          <w:sz w:val="26"/>
        </w:rPr>
        <w:t xml:space="preserve"> methodology </w:t>
      </w:r>
      <w:r>
        <w:rPr>
          <w:rFonts w:cs="Arial"/>
          <w:sz w:val="26"/>
        </w:rPr>
        <w:t xml:space="preserve">throughout the country has been growing.  It has been adopted by, among others: (1) the Texas Water Development Board, which has oversight over 2,000 water utilities; (2) the Metropolitan North Georgia Water Planning district, which oversees more than </w:t>
      </w:r>
      <w:r w:rsidR="002045B4">
        <w:rPr>
          <w:rFonts w:cs="Arial"/>
          <w:sz w:val="26"/>
        </w:rPr>
        <w:t>60</w:t>
      </w:r>
      <w:r>
        <w:rPr>
          <w:rFonts w:cs="Arial"/>
          <w:sz w:val="26"/>
        </w:rPr>
        <w:t xml:space="preserve"> water utilities in the Atlanta area; (3) the California Urban Water Conservation Council; and (4)</w:t>
      </w:r>
      <w:r w:rsidR="00CC20DA">
        <w:rPr>
          <w:rFonts w:cs="Arial"/>
          <w:sz w:val="26"/>
        </w:rPr>
        <w:t> </w:t>
      </w:r>
      <w:r>
        <w:rPr>
          <w:rFonts w:cs="Arial"/>
          <w:sz w:val="26"/>
        </w:rPr>
        <w:t>the Office of the State Engineer,</w:t>
      </w:r>
      <w:r w:rsidR="00E14690">
        <w:rPr>
          <w:rFonts w:cs="Arial"/>
          <w:sz w:val="26"/>
        </w:rPr>
        <w:t xml:space="preserve"> in New Mexico</w:t>
      </w:r>
      <w:r w:rsidR="002045B4">
        <w:rPr>
          <w:rFonts w:cs="Arial"/>
          <w:sz w:val="26"/>
        </w:rPr>
        <w:t>,</w:t>
      </w:r>
      <w:r>
        <w:rPr>
          <w:rFonts w:cs="Arial"/>
          <w:sz w:val="26"/>
        </w:rPr>
        <w:t xml:space="preserve"> which </w:t>
      </w:r>
      <w:r w:rsidR="00E14690">
        <w:rPr>
          <w:rFonts w:cs="Arial"/>
          <w:sz w:val="26"/>
        </w:rPr>
        <w:t xml:space="preserve">not only </w:t>
      </w:r>
      <w:r>
        <w:rPr>
          <w:rFonts w:cs="Arial"/>
          <w:sz w:val="26"/>
        </w:rPr>
        <w:t xml:space="preserve">adopted the methodology </w:t>
      </w:r>
      <w:r w:rsidR="0020120A">
        <w:rPr>
          <w:rFonts w:cs="Arial"/>
          <w:sz w:val="26"/>
        </w:rPr>
        <w:t>but also</w:t>
      </w:r>
      <w:r>
        <w:rPr>
          <w:rFonts w:cs="Arial"/>
          <w:sz w:val="26"/>
        </w:rPr>
        <w:t xml:space="preserve"> sponsored a pilot audit.  In Pennsylvania, the Philadelphia Water Department has been pioneering the procedure since its inception in 2000 and has achieved notable success.</w:t>
      </w:r>
      <w:r>
        <w:rPr>
          <w:rStyle w:val="FootnoteReference"/>
          <w:rFonts w:cs="Arial"/>
        </w:rPr>
        <w:footnoteReference w:id="8"/>
      </w:r>
    </w:p>
    <w:p w:rsidR="003335DF" w:rsidRDefault="003335DF" w:rsidP="003335DF">
      <w:pPr>
        <w:spacing w:line="360" w:lineRule="auto"/>
        <w:ind w:firstLine="720"/>
        <w:rPr>
          <w:rFonts w:cs="Arial"/>
          <w:sz w:val="26"/>
        </w:rPr>
      </w:pPr>
    </w:p>
    <w:p w:rsidR="003335DF" w:rsidRDefault="003335DF" w:rsidP="003335DF">
      <w:pPr>
        <w:pStyle w:val="p3"/>
        <w:spacing w:line="360" w:lineRule="auto"/>
        <w:rPr>
          <w:b/>
          <w:sz w:val="26"/>
          <w:szCs w:val="26"/>
        </w:rPr>
      </w:pPr>
      <w:r>
        <w:rPr>
          <w:b/>
          <w:sz w:val="26"/>
          <w:szCs w:val="26"/>
        </w:rPr>
        <w:t>The 201</w:t>
      </w:r>
      <w:r w:rsidR="00E14690">
        <w:rPr>
          <w:b/>
          <w:sz w:val="26"/>
          <w:szCs w:val="26"/>
        </w:rPr>
        <w:t>2</w:t>
      </w:r>
      <w:r>
        <w:rPr>
          <w:b/>
          <w:sz w:val="26"/>
          <w:szCs w:val="26"/>
        </w:rPr>
        <w:t xml:space="preserve"> Order</w:t>
      </w:r>
    </w:p>
    <w:p w:rsidR="00E22EC6" w:rsidRDefault="00E22EC6" w:rsidP="00900899">
      <w:pPr>
        <w:pStyle w:val="p3"/>
        <w:tabs>
          <w:tab w:val="clear" w:pos="204"/>
          <w:tab w:val="left" w:pos="720"/>
        </w:tabs>
        <w:spacing w:line="360" w:lineRule="auto"/>
        <w:rPr>
          <w:rFonts w:cs="Arial"/>
          <w:sz w:val="26"/>
        </w:rPr>
      </w:pPr>
      <w:r>
        <w:rPr>
          <w:sz w:val="26"/>
          <w:szCs w:val="26"/>
        </w:rPr>
        <w:tab/>
      </w:r>
      <w:r w:rsidR="00151F78" w:rsidRPr="00151F78">
        <w:rPr>
          <w:sz w:val="26"/>
          <w:szCs w:val="26"/>
        </w:rPr>
        <w:t>O</w:t>
      </w:r>
      <w:r w:rsidR="00151F78">
        <w:rPr>
          <w:sz w:val="26"/>
          <w:szCs w:val="26"/>
        </w:rPr>
        <w:t xml:space="preserve">n November 10, 2011, the Commission issued </w:t>
      </w:r>
      <w:r w:rsidR="005533B4">
        <w:rPr>
          <w:sz w:val="26"/>
          <w:szCs w:val="26"/>
        </w:rPr>
        <w:t xml:space="preserve">a </w:t>
      </w:r>
      <w:r w:rsidR="00151F78">
        <w:rPr>
          <w:rFonts w:cs="Arial"/>
          <w:sz w:val="26"/>
        </w:rPr>
        <w:t xml:space="preserve">Tentative Opinion and Order </w:t>
      </w:r>
      <w:r w:rsidR="005533B4">
        <w:rPr>
          <w:rFonts w:cs="Arial"/>
          <w:sz w:val="26"/>
        </w:rPr>
        <w:t xml:space="preserve">at M-2008-2062697 </w:t>
      </w:r>
      <w:r w:rsidR="00151F78">
        <w:rPr>
          <w:rFonts w:cs="Arial"/>
          <w:sz w:val="26"/>
        </w:rPr>
        <w:t xml:space="preserve">(2011 Tentative Order) wherein the Commission ordered </w:t>
      </w:r>
      <w:r w:rsidR="0089660D">
        <w:rPr>
          <w:rFonts w:cs="Arial"/>
          <w:sz w:val="26"/>
        </w:rPr>
        <w:t>all Class A water utilities (over $1,000,000 in annual revenues) to</w:t>
      </w:r>
      <w:r w:rsidR="00151F78">
        <w:rPr>
          <w:rFonts w:cs="Arial"/>
          <w:sz w:val="26"/>
        </w:rPr>
        <w:t xml:space="preserve"> implement the Water Audit methodology.</w:t>
      </w:r>
      <w:r w:rsidR="00E14690">
        <w:rPr>
          <w:rFonts w:cs="Arial"/>
          <w:sz w:val="26"/>
        </w:rPr>
        <w:t xml:space="preserve">  The Tentative Opinion and Order became final January 27, 2012 (2012 Order).</w:t>
      </w:r>
      <w:r w:rsidR="00E14690">
        <w:rPr>
          <w:rStyle w:val="FootnoteReference"/>
          <w:rFonts w:cs="Arial"/>
        </w:rPr>
        <w:footnoteReference w:id="9"/>
      </w:r>
      <w:r w:rsidR="00151F78">
        <w:rPr>
          <w:rFonts w:cs="Arial"/>
          <w:sz w:val="26"/>
        </w:rPr>
        <w:t xml:space="preserve">  Specifically, the Commission </w:t>
      </w:r>
      <w:r w:rsidR="00EE5CBA">
        <w:rPr>
          <w:rFonts w:cs="Arial"/>
          <w:sz w:val="26"/>
        </w:rPr>
        <w:t>concluded</w:t>
      </w:r>
      <w:r w:rsidR="00151F78">
        <w:rPr>
          <w:rFonts w:cs="Arial"/>
          <w:sz w:val="26"/>
        </w:rPr>
        <w:t>:</w:t>
      </w:r>
    </w:p>
    <w:p w:rsidR="00E22EC6" w:rsidRDefault="00E22EC6" w:rsidP="00E22EC6">
      <w:pPr>
        <w:pStyle w:val="p3"/>
        <w:tabs>
          <w:tab w:val="clear" w:pos="204"/>
          <w:tab w:val="left" w:pos="720"/>
        </w:tabs>
        <w:rPr>
          <w:rFonts w:cs="Arial"/>
          <w:sz w:val="26"/>
        </w:rPr>
      </w:pPr>
    </w:p>
    <w:p w:rsidR="0020120A" w:rsidRDefault="005533B4" w:rsidP="00E22EC6">
      <w:pPr>
        <w:pStyle w:val="p3"/>
        <w:tabs>
          <w:tab w:val="clear" w:pos="204"/>
          <w:tab w:val="left" w:pos="720"/>
        </w:tabs>
        <w:ind w:left="720" w:right="720"/>
        <w:rPr>
          <w:rFonts w:cs="Arial"/>
          <w:sz w:val="26"/>
        </w:rPr>
      </w:pPr>
      <w:r>
        <w:rPr>
          <w:rFonts w:cs="Arial"/>
          <w:sz w:val="26"/>
        </w:rPr>
        <w:tab/>
      </w:r>
    </w:p>
    <w:p w:rsidR="0020120A" w:rsidRDefault="00900899" w:rsidP="00E22EC6">
      <w:pPr>
        <w:pStyle w:val="p3"/>
        <w:tabs>
          <w:tab w:val="clear" w:pos="204"/>
          <w:tab w:val="left" w:pos="720"/>
        </w:tabs>
        <w:ind w:left="720" w:right="720"/>
        <w:rPr>
          <w:rFonts w:cs="Arial"/>
          <w:sz w:val="26"/>
        </w:rPr>
      </w:pPr>
      <w:r>
        <w:rPr>
          <w:rFonts w:cs="Arial"/>
          <w:sz w:val="26"/>
        </w:rPr>
        <w:lastRenderedPageBreak/>
        <w:tab/>
      </w:r>
      <w:r w:rsidR="0020120A">
        <w:rPr>
          <w:rFonts w:cs="Arial"/>
          <w:sz w:val="26"/>
        </w:rPr>
        <w:t>Based upon this Commission’s tradition of establishing</w:t>
      </w:r>
    </w:p>
    <w:p w:rsidR="00900899" w:rsidRDefault="0020120A" w:rsidP="00E22EC6">
      <w:pPr>
        <w:pStyle w:val="p3"/>
        <w:tabs>
          <w:tab w:val="clear" w:pos="204"/>
          <w:tab w:val="left" w:pos="720"/>
        </w:tabs>
        <w:ind w:left="720" w:right="720"/>
        <w:rPr>
          <w:rFonts w:cs="Arial"/>
          <w:sz w:val="26"/>
        </w:rPr>
      </w:pPr>
      <w:r>
        <w:rPr>
          <w:rFonts w:cs="Arial"/>
          <w:sz w:val="26"/>
        </w:rPr>
        <w:tab/>
      </w:r>
      <w:r w:rsidR="00E40CCD">
        <w:rPr>
          <w:rFonts w:cs="Arial"/>
          <w:sz w:val="26"/>
        </w:rPr>
        <w:t>groundbreaking regulatory</w:t>
      </w:r>
      <w:r w:rsidR="005533B4">
        <w:rPr>
          <w:rFonts w:cs="Arial"/>
          <w:sz w:val="26"/>
        </w:rPr>
        <w:t xml:space="preserve"> tools, such as the DSIC or </w:t>
      </w:r>
    </w:p>
    <w:p w:rsidR="00900899" w:rsidRDefault="00900899" w:rsidP="00E22EC6">
      <w:pPr>
        <w:pStyle w:val="p3"/>
        <w:tabs>
          <w:tab w:val="clear" w:pos="204"/>
          <w:tab w:val="left" w:pos="720"/>
        </w:tabs>
        <w:ind w:left="720" w:right="720"/>
        <w:rPr>
          <w:rFonts w:cs="Arial"/>
          <w:sz w:val="26"/>
        </w:rPr>
      </w:pPr>
      <w:r>
        <w:rPr>
          <w:rFonts w:cs="Arial"/>
          <w:sz w:val="26"/>
        </w:rPr>
        <w:tab/>
      </w:r>
      <w:r w:rsidR="005533B4">
        <w:rPr>
          <w:rFonts w:cs="Arial"/>
          <w:sz w:val="26"/>
        </w:rPr>
        <w:t>single tariff pricing, we will order the</w:t>
      </w:r>
      <w:r>
        <w:rPr>
          <w:rFonts w:cs="Arial"/>
          <w:sz w:val="26"/>
        </w:rPr>
        <w:t xml:space="preserve"> </w:t>
      </w:r>
      <w:r w:rsidR="005533B4">
        <w:rPr>
          <w:rFonts w:cs="Arial"/>
          <w:sz w:val="26"/>
        </w:rPr>
        <w:t xml:space="preserve">implementation </w:t>
      </w:r>
    </w:p>
    <w:p w:rsidR="00900899" w:rsidRDefault="00900899" w:rsidP="00E22EC6">
      <w:pPr>
        <w:pStyle w:val="p3"/>
        <w:tabs>
          <w:tab w:val="clear" w:pos="204"/>
          <w:tab w:val="left" w:pos="720"/>
        </w:tabs>
        <w:ind w:left="720" w:right="720"/>
        <w:rPr>
          <w:rFonts w:cs="Arial"/>
          <w:sz w:val="26"/>
        </w:rPr>
      </w:pPr>
      <w:r>
        <w:rPr>
          <w:rFonts w:cs="Arial"/>
          <w:sz w:val="26"/>
        </w:rPr>
        <w:tab/>
      </w:r>
      <w:r w:rsidR="005533B4">
        <w:rPr>
          <w:rFonts w:cs="Arial"/>
          <w:sz w:val="26"/>
        </w:rPr>
        <w:t>of this Water Audit methodology which will help achieve</w:t>
      </w:r>
    </w:p>
    <w:p w:rsidR="00900899" w:rsidRDefault="00900899" w:rsidP="00E22EC6">
      <w:pPr>
        <w:pStyle w:val="p3"/>
        <w:tabs>
          <w:tab w:val="clear" w:pos="204"/>
          <w:tab w:val="left" w:pos="720"/>
        </w:tabs>
        <w:ind w:left="720" w:right="720"/>
        <w:rPr>
          <w:rFonts w:cs="Arial"/>
          <w:sz w:val="26"/>
        </w:rPr>
      </w:pPr>
      <w:r>
        <w:rPr>
          <w:rFonts w:cs="Arial"/>
          <w:sz w:val="26"/>
        </w:rPr>
        <w:tab/>
      </w:r>
      <w:r w:rsidR="005533B4">
        <w:rPr>
          <w:rFonts w:cs="Arial"/>
          <w:sz w:val="26"/>
        </w:rPr>
        <w:t>a</w:t>
      </w:r>
      <w:r>
        <w:rPr>
          <w:rFonts w:cs="Arial"/>
          <w:sz w:val="26"/>
        </w:rPr>
        <w:t xml:space="preserve"> </w:t>
      </w:r>
      <w:r w:rsidR="005533B4">
        <w:rPr>
          <w:rFonts w:cs="Arial"/>
          <w:sz w:val="26"/>
        </w:rPr>
        <w:t xml:space="preserve">number of public interest benefits, such as increased </w:t>
      </w:r>
    </w:p>
    <w:p w:rsidR="00900899" w:rsidRDefault="00900899" w:rsidP="00E22EC6">
      <w:pPr>
        <w:pStyle w:val="p3"/>
        <w:tabs>
          <w:tab w:val="clear" w:pos="204"/>
          <w:tab w:val="left" w:pos="720"/>
        </w:tabs>
        <w:ind w:left="720" w:right="720"/>
        <w:rPr>
          <w:rFonts w:cs="Arial"/>
          <w:sz w:val="26"/>
        </w:rPr>
      </w:pPr>
      <w:r>
        <w:rPr>
          <w:rFonts w:cs="Arial"/>
          <w:sz w:val="26"/>
        </w:rPr>
        <w:tab/>
      </w:r>
      <w:r w:rsidR="005533B4">
        <w:rPr>
          <w:rFonts w:cs="Arial"/>
          <w:sz w:val="26"/>
        </w:rPr>
        <w:t>infrastructure reliability, help preserve water resources,</w:t>
      </w:r>
    </w:p>
    <w:p w:rsidR="00900899" w:rsidRDefault="0089660D" w:rsidP="00E22EC6">
      <w:pPr>
        <w:pStyle w:val="p3"/>
        <w:tabs>
          <w:tab w:val="clear" w:pos="204"/>
          <w:tab w:val="left" w:pos="720"/>
        </w:tabs>
        <w:ind w:left="720" w:right="720"/>
        <w:rPr>
          <w:rFonts w:cs="Arial"/>
          <w:sz w:val="26"/>
        </w:rPr>
      </w:pPr>
      <w:r>
        <w:rPr>
          <w:rFonts w:cs="Arial"/>
          <w:sz w:val="26"/>
        </w:rPr>
        <w:tab/>
      </w:r>
      <w:r w:rsidR="005533B4">
        <w:rPr>
          <w:rFonts w:cs="Arial"/>
          <w:sz w:val="26"/>
        </w:rPr>
        <w:t>limit water leakage, reduce</w:t>
      </w:r>
      <w:r w:rsidR="00E22EC6">
        <w:rPr>
          <w:rFonts w:cs="Arial"/>
          <w:sz w:val="26"/>
        </w:rPr>
        <w:t xml:space="preserve"> </w:t>
      </w:r>
      <w:r w:rsidR="005533B4">
        <w:rPr>
          <w:rFonts w:cs="Arial"/>
          <w:sz w:val="26"/>
        </w:rPr>
        <w:t>overall company</w:t>
      </w:r>
      <w:r w:rsidR="00900899">
        <w:rPr>
          <w:rFonts w:cs="Arial"/>
          <w:sz w:val="26"/>
        </w:rPr>
        <w:t xml:space="preserve"> </w:t>
      </w:r>
      <w:r w:rsidR="005533B4">
        <w:rPr>
          <w:rFonts w:cs="Arial"/>
          <w:sz w:val="26"/>
        </w:rPr>
        <w:t xml:space="preserve">risk, and </w:t>
      </w:r>
    </w:p>
    <w:p w:rsidR="00900899" w:rsidRDefault="00900899" w:rsidP="00E22EC6">
      <w:pPr>
        <w:pStyle w:val="p3"/>
        <w:tabs>
          <w:tab w:val="clear" w:pos="204"/>
          <w:tab w:val="left" w:pos="720"/>
        </w:tabs>
        <w:ind w:left="720" w:right="720"/>
        <w:rPr>
          <w:rFonts w:cs="Arial"/>
          <w:sz w:val="26"/>
        </w:rPr>
      </w:pPr>
      <w:r>
        <w:rPr>
          <w:rFonts w:cs="Arial"/>
          <w:sz w:val="26"/>
        </w:rPr>
        <w:tab/>
      </w:r>
      <w:r w:rsidR="005533B4">
        <w:rPr>
          <w:rFonts w:cs="Arial"/>
          <w:sz w:val="26"/>
        </w:rPr>
        <w:t>enhance customer service.  We believe that this</w:t>
      </w:r>
      <w:r w:rsidR="00E22EC6">
        <w:rPr>
          <w:rFonts w:cs="Arial"/>
          <w:sz w:val="26"/>
        </w:rPr>
        <w:t xml:space="preserve"> </w:t>
      </w:r>
      <w:r w:rsidR="005533B4">
        <w:rPr>
          <w:rFonts w:cs="Arial"/>
          <w:sz w:val="26"/>
        </w:rPr>
        <w:t>practice</w:t>
      </w:r>
    </w:p>
    <w:p w:rsidR="00900899" w:rsidRDefault="00900899" w:rsidP="00E22EC6">
      <w:pPr>
        <w:pStyle w:val="p3"/>
        <w:tabs>
          <w:tab w:val="clear" w:pos="204"/>
          <w:tab w:val="left" w:pos="720"/>
        </w:tabs>
        <w:ind w:left="720" w:right="720"/>
        <w:rPr>
          <w:rFonts w:cs="Arial"/>
          <w:sz w:val="26"/>
        </w:rPr>
      </w:pPr>
      <w:r>
        <w:rPr>
          <w:rFonts w:cs="Arial"/>
          <w:sz w:val="26"/>
        </w:rPr>
        <w:tab/>
      </w:r>
      <w:r w:rsidR="005533B4">
        <w:rPr>
          <w:rFonts w:cs="Arial"/>
          <w:sz w:val="26"/>
        </w:rPr>
        <w:t>is a better</w:t>
      </w:r>
      <w:r>
        <w:rPr>
          <w:rFonts w:cs="Arial"/>
          <w:sz w:val="26"/>
        </w:rPr>
        <w:t xml:space="preserve"> </w:t>
      </w:r>
      <w:r w:rsidR="005533B4">
        <w:rPr>
          <w:rFonts w:cs="Arial"/>
          <w:sz w:val="26"/>
        </w:rPr>
        <w:t xml:space="preserve">tool than the current unaccounted-for-water </w:t>
      </w:r>
    </w:p>
    <w:p w:rsidR="005533B4" w:rsidRDefault="00900899" w:rsidP="00E22EC6">
      <w:pPr>
        <w:pStyle w:val="p3"/>
        <w:tabs>
          <w:tab w:val="clear" w:pos="204"/>
          <w:tab w:val="left" w:pos="720"/>
        </w:tabs>
        <w:ind w:left="720" w:right="720"/>
        <w:rPr>
          <w:rFonts w:cs="Arial"/>
          <w:sz w:val="26"/>
        </w:rPr>
      </w:pPr>
      <w:r>
        <w:rPr>
          <w:rFonts w:cs="Arial"/>
          <w:sz w:val="26"/>
        </w:rPr>
        <w:tab/>
      </w:r>
      <w:r w:rsidR="005533B4">
        <w:rPr>
          <w:rFonts w:cs="Arial"/>
          <w:sz w:val="26"/>
        </w:rPr>
        <w:t>method and in the public interest</w:t>
      </w:r>
      <w:r w:rsidR="00FD6E8B">
        <w:rPr>
          <w:rFonts w:cs="Arial"/>
          <w:sz w:val="26"/>
        </w:rPr>
        <w:t>.</w:t>
      </w:r>
    </w:p>
    <w:p w:rsidR="00FD6E8B" w:rsidRDefault="00FD6E8B" w:rsidP="00666F22">
      <w:pPr>
        <w:pStyle w:val="p3"/>
        <w:tabs>
          <w:tab w:val="clear" w:pos="204"/>
        </w:tabs>
        <w:ind w:right="720"/>
        <w:jc w:val="center"/>
        <w:rPr>
          <w:rFonts w:cs="Arial"/>
          <w:sz w:val="26"/>
        </w:rPr>
      </w:pPr>
    </w:p>
    <w:p w:rsidR="00FD6E8B" w:rsidRDefault="00FD6E8B" w:rsidP="00FD6E8B">
      <w:pPr>
        <w:pStyle w:val="p3"/>
        <w:tabs>
          <w:tab w:val="clear" w:pos="204"/>
          <w:tab w:val="left" w:pos="0"/>
        </w:tabs>
        <w:spacing w:line="360" w:lineRule="auto"/>
        <w:ind w:right="720"/>
        <w:rPr>
          <w:rFonts w:cs="Arial"/>
          <w:sz w:val="26"/>
        </w:rPr>
      </w:pPr>
      <w:r>
        <w:rPr>
          <w:rFonts w:cs="Arial"/>
          <w:sz w:val="26"/>
        </w:rPr>
        <w:t xml:space="preserve">To this end, the Commission ordered the five participating water </w:t>
      </w:r>
      <w:r w:rsidR="008D558B">
        <w:rPr>
          <w:rFonts w:cs="Arial"/>
          <w:sz w:val="26"/>
        </w:rPr>
        <w:t>utilities</w:t>
      </w:r>
      <w:r>
        <w:rPr>
          <w:rFonts w:cs="Arial"/>
          <w:sz w:val="26"/>
        </w:rPr>
        <w:t>, namely</w:t>
      </w:r>
      <w:r w:rsidR="0089660D">
        <w:rPr>
          <w:rFonts w:cs="Arial"/>
          <w:sz w:val="26"/>
        </w:rPr>
        <w:t>, Aqua Pennsylvania, Inc., Pennsylvania-American Water Company, Superior Water Company, York Water Company and United Water Pennsylvania, Inc., to file annual Water Audit summaries with the Secretary of the Commission for the year ended December 31, 2011</w:t>
      </w:r>
      <w:r w:rsidR="0020120A">
        <w:rPr>
          <w:rFonts w:cs="Arial"/>
          <w:sz w:val="26"/>
        </w:rPr>
        <w:t>,</w:t>
      </w:r>
      <w:r w:rsidR="0089660D">
        <w:rPr>
          <w:rFonts w:cs="Arial"/>
          <w:sz w:val="26"/>
        </w:rPr>
        <w:t xml:space="preserve"> no later than April 30, 2012</w:t>
      </w:r>
      <w:r w:rsidR="0020120A">
        <w:rPr>
          <w:rFonts w:cs="Arial"/>
          <w:sz w:val="26"/>
        </w:rPr>
        <w:t>,</w:t>
      </w:r>
      <w:r w:rsidR="0089660D">
        <w:rPr>
          <w:rFonts w:cs="Arial"/>
          <w:sz w:val="26"/>
        </w:rPr>
        <w:t xml:space="preserve"> and on subsequent years no later than April 30.</w:t>
      </w:r>
    </w:p>
    <w:p w:rsidR="0089660D" w:rsidRDefault="0089660D" w:rsidP="00FD6E8B">
      <w:pPr>
        <w:pStyle w:val="p3"/>
        <w:tabs>
          <w:tab w:val="clear" w:pos="204"/>
          <w:tab w:val="left" w:pos="0"/>
        </w:tabs>
        <w:spacing w:line="360" w:lineRule="auto"/>
        <w:ind w:right="720"/>
        <w:rPr>
          <w:rFonts w:cs="Arial"/>
          <w:sz w:val="26"/>
        </w:rPr>
      </w:pPr>
    </w:p>
    <w:p w:rsidR="00994433" w:rsidRDefault="0089660D" w:rsidP="00FD6E8B">
      <w:pPr>
        <w:pStyle w:val="p3"/>
        <w:tabs>
          <w:tab w:val="clear" w:pos="204"/>
          <w:tab w:val="left" w:pos="0"/>
        </w:tabs>
        <w:spacing w:line="360" w:lineRule="auto"/>
        <w:ind w:right="720"/>
        <w:rPr>
          <w:rFonts w:cs="Arial"/>
          <w:sz w:val="26"/>
        </w:rPr>
      </w:pPr>
      <w:r>
        <w:rPr>
          <w:rFonts w:cs="Arial"/>
          <w:sz w:val="26"/>
        </w:rPr>
        <w:tab/>
      </w:r>
      <w:r w:rsidR="00EE5CBA">
        <w:rPr>
          <w:rFonts w:cs="Arial"/>
          <w:sz w:val="26"/>
        </w:rPr>
        <w:t xml:space="preserve">In addition </w:t>
      </w:r>
      <w:r w:rsidR="00326387">
        <w:rPr>
          <w:rFonts w:cs="Arial"/>
          <w:sz w:val="26"/>
        </w:rPr>
        <w:t xml:space="preserve">to </w:t>
      </w:r>
      <w:r w:rsidR="00EE5CBA">
        <w:rPr>
          <w:rFonts w:cs="Arial"/>
          <w:sz w:val="26"/>
        </w:rPr>
        <w:t xml:space="preserve">ordering the five participating water </w:t>
      </w:r>
      <w:r w:rsidR="008D558B">
        <w:rPr>
          <w:rFonts w:cs="Arial"/>
          <w:sz w:val="26"/>
        </w:rPr>
        <w:t>utilities</w:t>
      </w:r>
      <w:r w:rsidR="00EE5CBA">
        <w:rPr>
          <w:rFonts w:cs="Arial"/>
          <w:sz w:val="26"/>
        </w:rPr>
        <w:t xml:space="preserve"> to file annual Water Audit summaries by April 30,</w:t>
      </w:r>
      <w:r w:rsidR="00BF4A1D">
        <w:rPr>
          <w:rFonts w:cs="Arial"/>
          <w:sz w:val="26"/>
        </w:rPr>
        <w:t xml:space="preserve"> 2012,</w:t>
      </w:r>
      <w:r w:rsidR="00EE5CBA">
        <w:rPr>
          <w:rFonts w:cs="Arial"/>
          <w:sz w:val="26"/>
        </w:rPr>
        <w:t xml:space="preserve"> t</w:t>
      </w:r>
      <w:r>
        <w:rPr>
          <w:rFonts w:cs="Arial"/>
          <w:sz w:val="26"/>
        </w:rPr>
        <w:t xml:space="preserve">he Commission </w:t>
      </w:r>
      <w:r w:rsidR="00326387">
        <w:rPr>
          <w:rFonts w:cs="Arial"/>
          <w:sz w:val="26"/>
        </w:rPr>
        <w:t>specifically directed</w:t>
      </w:r>
      <w:r w:rsidR="00994433">
        <w:rPr>
          <w:rFonts w:cs="Arial"/>
          <w:sz w:val="26"/>
        </w:rPr>
        <w:t xml:space="preserve"> in the 201</w:t>
      </w:r>
      <w:r w:rsidR="0020120A">
        <w:rPr>
          <w:rFonts w:cs="Arial"/>
          <w:sz w:val="26"/>
        </w:rPr>
        <w:t>2</w:t>
      </w:r>
      <w:r w:rsidR="00994433">
        <w:rPr>
          <w:rFonts w:cs="Arial"/>
          <w:sz w:val="26"/>
        </w:rPr>
        <w:t xml:space="preserve"> Order</w:t>
      </w:r>
      <w:r>
        <w:rPr>
          <w:rFonts w:cs="Arial"/>
          <w:sz w:val="26"/>
        </w:rPr>
        <w:t>:</w:t>
      </w:r>
    </w:p>
    <w:p w:rsidR="00BF4A1D" w:rsidRDefault="00BF4A1D" w:rsidP="00666F22">
      <w:pPr>
        <w:pStyle w:val="p3"/>
        <w:tabs>
          <w:tab w:val="clear" w:pos="204"/>
          <w:tab w:val="left" w:pos="0"/>
        </w:tabs>
        <w:ind w:right="720"/>
        <w:rPr>
          <w:rFonts w:cs="Arial"/>
          <w:sz w:val="26"/>
        </w:rPr>
      </w:pPr>
    </w:p>
    <w:p w:rsidR="00994433" w:rsidRDefault="00994433" w:rsidP="00994433">
      <w:pPr>
        <w:ind w:left="720" w:firstLine="720"/>
        <w:rPr>
          <w:rFonts w:cs="Arial"/>
          <w:sz w:val="26"/>
        </w:rPr>
      </w:pPr>
      <w:r>
        <w:rPr>
          <w:rFonts w:cs="Arial"/>
          <w:sz w:val="26"/>
        </w:rPr>
        <w:t>That all other Class A water utilities (over $1,000,000 in annual</w:t>
      </w:r>
    </w:p>
    <w:p w:rsidR="00994433" w:rsidRDefault="00994433" w:rsidP="00994433">
      <w:pPr>
        <w:rPr>
          <w:rFonts w:cs="Arial"/>
          <w:sz w:val="26"/>
        </w:rPr>
      </w:pPr>
      <w:r>
        <w:rPr>
          <w:rFonts w:cs="Arial"/>
          <w:sz w:val="26"/>
        </w:rPr>
        <w:t xml:space="preserve"> </w:t>
      </w:r>
      <w:r>
        <w:rPr>
          <w:rFonts w:cs="Arial"/>
          <w:sz w:val="26"/>
        </w:rPr>
        <w:tab/>
      </w:r>
      <w:r>
        <w:rPr>
          <w:rFonts w:cs="Arial"/>
          <w:sz w:val="26"/>
        </w:rPr>
        <w:tab/>
        <w:t xml:space="preserve">revenues) commence to file the annual Water Audit summaries with </w:t>
      </w:r>
    </w:p>
    <w:p w:rsidR="00994433" w:rsidRDefault="00994433" w:rsidP="00994433">
      <w:pPr>
        <w:rPr>
          <w:rFonts w:cs="Arial"/>
          <w:sz w:val="26"/>
        </w:rPr>
      </w:pPr>
      <w:r>
        <w:rPr>
          <w:rFonts w:cs="Arial"/>
          <w:sz w:val="26"/>
        </w:rPr>
        <w:tab/>
      </w:r>
      <w:r>
        <w:rPr>
          <w:rFonts w:cs="Arial"/>
          <w:sz w:val="26"/>
        </w:rPr>
        <w:tab/>
        <w:t xml:space="preserve">the Secretary of the Commission for the year ended December 31, 2012 </w:t>
      </w:r>
    </w:p>
    <w:p w:rsidR="00994433" w:rsidRDefault="00994433" w:rsidP="00994433">
      <w:pPr>
        <w:rPr>
          <w:rFonts w:cs="Arial"/>
          <w:sz w:val="26"/>
        </w:rPr>
      </w:pPr>
      <w:r>
        <w:rPr>
          <w:rFonts w:cs="Arial"/>
          <w:sz w:val="26"/>
        </w:rPr>
        <w:tab/>
      </w:r>
      <w:r>
        <w:rPr>
          <w:rFonts w:cs="Arial"/>
          <w:sz w:val="26"/>
        </w:rPr>
        <w:tab/>
        <w:t>no later than April 30, 2013</w:t>
      </w:r>
      <w:r w:rsidR="00A81C6C">
        <w:rPr>
          <w:rFonts w:cs="Arial"/>
          <w:sz w:val="26"/>
        </w:rPr>
        <w:t>,</w:t>
      </w:r>
      <w:r>
        <w:rPr>
          <w:rFonts w:cs="Arial"/>
          <w:sz w:val="26"/>
        </w:rPr>
        <w:t xml:space="preserve"> and on subsequent years no later than </w:t>
      </w:r>
    </w:p>
    <w:p w:rsidR="00326387" w:rsidRDefault="00994433" w:rsidP="00994433">
      <w:pPr>
        <w:rPr>
          <w:rFonts w:cs="Arial"/>
          <w:sz w:val="26"/>
        </w:rPr>
      </w:pPr>
      <w:r>
        <w:rPr>
          <w:rFonts w:cs="Arial"/>
          <w:sz w:val="26"/>
        </w:rPr>
        <w:tab/>
      </w:r>
      <w:r>
        <w:rPr>
          <w:rFonts w:cs="Arial"/>
          <w:sz w:val="26"/>
        </w:rPr>
        <w:tab/>
        <w:t xml:space="preserve">April 30.  These other Class A water utilities presently include </w:t>
      </w:r>
    </w:p>
    <w:p w:rsidR="00326387" w:rsidRDefault="00326387" w:rsidP="00994433">
      <w:pPr>
        <w:rPr>
          <w:rFonts w:cs="Arial"/>
          <w:sz w:val="26"/>
        </w:rPr>
      </w:pPr>
      <w:r>
        <w:rPr>
          <w:rFonts w:cs="Arial"/>
          <w:sz w:val="26"/>
        </w:rPr>
        <w:tab/>
      </w:r>
      <w:r>
        <w:rPr>
          <w:rFonts w:cs="Arial"/>
          <w:sz w:val="26"/>
        </w:rPr>
        <w:tab/>
        <w:t xml:space="preserve">Columbia Water </w:t>
      </w:r>
      <w:r w:rsidR="00994433">
        <w:rPr>
          <w:rFonts w:cs="Arial"/>
          <w:sz w:val="26"/>
        </w:rPr>
        <w:t xml:space="preserve">Company, Newtown Artesian Water Company, </w:t>
      </w:r>
    </w:p>
    <w:p w:rsidR="00326387" w:rsidRDefault="00326387" w:rsidP="00994433">
      <w:pPr>
        <w:rPr>
          <w:rFonts w:cs="Arial"/>
          <w:sz w:val="26"/>
        </w:rPr>
      </w:pPr>
      <w:r>
        <w:rPr>
          <w:rFonts w:cs="Arial"/>
          <w:sz w:val="26"/>
        </w:rPr>
        <w:tab/>
      </w:r>
      <w:r>
        <w:rPr>
          <w:rFonts w:cs="Arial"/>
          <w:sz w:val="26"/>
        </w:rPr>
        <w:tab/>
      </w:r>
      <w:r w:rsidR="00994433">
        <w:rPr>
          <w:rFonts w:cs="Arial"/>
          <w:sz w:val="26"/>
        </w:rPr>
        <w:t xml:space="preserve">CAN DO, </w:t>
      </w:r>
      <w:r w:rsidR="00E40CCD">
        <w:rPr>
          <w:rFonts w:cs="Arial"/>
          <w:sz w:val="26"/>
        </w:rPr>
        <w:t>Inc.</w:t>
      </w:r>
      <w:r>
        <w:rPr>
          <w:rFonts w:cs="Arial"/>
          <w:sz w:val="26"/>
        </w:rPr>
        <w:t xml:space="preserve">-Water </w:t>
      </w:r>
      <w:r w:rsidR="00994433">
        <w:rPr>
          <w:rFonts w:cs="Arial"/>
          <w:sz w:val="26"/>
        </w:rPr>
        <w:t xml:space="preserve">Division, United Water Bethel, Inc., and </w:t>
      </w:r>
    </w:p>
    <w:p w:rsidR="00994433" w:rsidRDefault="00326387" w:rsidP="00994433">
      <w:pPr>
        <w:rPr>
          <w:rFonts w:cs="Arial"/>
          <w:sz w:val="26"/>
        </w:rPr>
      </w:pPr>
      <w:r>
        <w:rPr>
          <w:rFonts w:cs="Arial"/>
          <w:sz w:val="26"/>
        </w:rPr>
        <w:tab/>
      </w:r>
      <w:r>
        <w:rPr>
          <w:rFonts w:cs="Arial"/>
          <w:sz w:val="26"/>
        </w:rPr>
        <w:tab/>
      </w:r>
      <w:r w:rsidR="00994433">
        <w:rPr>
          <w:rFonts w:cs="Arial"/>
          <w:sz w:val="26"/>
        </w:rPr>
        <w:t>Audubon Water Company.</w:t>
      </w:r>
    </w:p>
    <w:p w:rsidR="00994433" w:rsidRDefault="00994433" w:rsidP="00994433">
      <w:pPr>
        <w:rPr>
          <w:rFonts w:cs="Arial"/>
          <w:sz w:val="26"/>
        </w:rPr>
      </w:pPr>
    </w:p>
    <w:p w:rsidR="00994433" w:rsidRDefault="00994433" w:rsidP="00994433">
      <w:pPr>
        <w:spacing w:line="360" w:lineRule="auto"/>
        <w:rPr>
          <w:rFonts w:cs="Arial"/>
          <w:sz w:val="26"/>
        </w:rPr>
      </w:pPr>
      <w:r>
        <w:rPr>
          <w:rFonts w:cs="Arial"/>
          <w:sz w:val="26"/>
        </w:rPr>
        <w:t xml:space="preserve">Accordingly, the Water Audit methodology has </w:t>
      </w:r>
      <w:r w:rsidR="00A81C6C">
        <w:rPr>
          <w:rFonts w:cs="Arial"/>
          <w:sz w:val="26"/>
        </w:rPr>
        <w:t xml:space="preserve">now </w:t>
      </w:r>
      <w:r>
        <w:rPr>
          <w:rFonts w:cs="Arial"/>
          <w:sz w:val="26"/>
        </w:rPr>
        <w:t>been adopted by this Commission and all Class A water utilities are now required to file the annual Water Audit summaries with the Secretary of the Commission no later than April 30</w:t>
      </w:r>
      <w:r w:rsidR="008D558B">
        <w:rPr>
          <w:rFonts w:cs="Arial"/>
          <w:sz w:val="26"/>
        </w:rPr>
        <w:t xml:space="preserve"> of each year</w:t>
      </w:r>
      <w:r>
        <w:rPr>
          <w:rFonts w:cs="Arial"/>
          <w:sz w:val="26"/>
        </w:rPr>
        <w:t xml:space="preserve">. </w:t>
      </w:r>
      <w:r>
        <w:rPr>
          <w:rFonts w:cs="Arial"/>
          <w:sz w:val="26"/>
        </w:rPr>
        <w:tab/>
      </w:r>
    </w:p>
    <w:p w:rsidR="0091682D" w:rsidRDefault="00AA156B" w:rsidP="00FD6E8B">
      <w:pPr>
        <w:pStyle w:val="p3"/>
        <w:tabs>
          <w:tab w:val="clear" w:pos="204"/>
          <w:tab w:val="left" w:pos="0"/>
        </w:tabs>
        <w:spacing w:line="360" w:lineRule="auto"/>
        <w:ind w:right="720"/>
        <w:rPr>
          <w:rFonts w:cs="Arial"/>
          <w:sz w:val="26"/>
        </w:rPr>
      </w:pPr>
      <w:r>
        <w:rPr>
          <w:rFonts w:cs="Arial"/>
          <w:sz w:val="26"/>
        </w:rPr>
        <w:tab/>
      </w:r>
      <w:r>
        <w:rPr>
          <w:rFonts w:cs="Arial"/>
          <w:sz w:val="26"/>
        </w:rPr>
        <w:tab/>
      </w:r>
    </w:p>
    <w:p w:rsidR="0020120A" w:rsidRDefault="0091682D" w:rsidP="00FD6E8B">
      <w:pPr>
        <w:pStyle w:val="p3"/>
        <w:tabs>
          <w:tab w:val="clear" w:pos="204"/>
          <w:tab w:val="left" w:pos="0"/>
        </w:tabs>
        <w:spacing w:line="360" w:lineRule="auto"/>
        <w:ind w:right="720"/>
        <w:rPr>
          <w:rFonts w:cs="Arial"/>
          <w:sz w:val="26"/>
        </w:rPr>
      </w:pPr>
      <w:r>
        <w:rPr>
          <w:rFonts w:cs="Arial"/>
          <w:sz w:val="26"/>
        </w:rPr>
        <w:tab/>
      </w:r>
    </w:p>
    <w:p w:rsidR="0091682D" w:rsidRDefault="0020120A" w:rsidP="00FD6E8B">
      <w:pPr>
        <w:pStyle w:val="p3"/>
        <w:tabs>
          <w:tab w:val="clear" w:pos="204"/>
          <w:tab w:val="left" w:pos="0"/>
        </w:tabs>
        <w:spacing w:line="360" w:lineRule="auto"/>
        <w:ind w:right="720"/>
        <w:rPr>
          <w:sz w:val="26"/>
          <w:szCs w:val="26"/>
        </w:rPr>
      </w:pPr>
      <w:r>
        <w:rPr>
          <w:rFonts w:cs="Arial"/>
          <w:sz w:val="26"/>
        </w:rPr>
        <w:lastRenderedPageBreak/>
        <w:tab/>
      </w:r>
      <w:r w:rsidR="00630BA7">
        <w:rPr>
          <w:rFonts w:cs="Arial"/>
          <w:sz w:val="26"/>
        </w:rPr>
        <w:t>While the Commission has formally adopted the Water Audit methodology and also</w:t>
      </w:r>
      <w:r>
        <w:rPr>
          <w:rFonts w:cs="Arial"/>
          <w:sz w:val="26"/>
        </w:rPr>
        <w:t xml:space="preserve"> has</w:t>
      </w:r>
      <w:r w:rsidR="00630BA7">
        <w:rPr>
          <w:rFonts w:cs="Arial"/>
          <w:sz w:val="26"/>
        </w:rPr>
        <w:t xml:space="preserve"> directed all Class A water utilities to file the annual Water Audit summaries no later than April 30</w:t>
      </w:r>
      <w:r w:rsidR="00630BA7" w:rsidRPr="008D558B">
        <w:rPr>
          <w:rFonts w:cs="Arial"/>
          <w:sz w:val="26"/>
          <w:vertAlign w:val="superscript"/>
        </w:rPr>
        <w:t>th</w:t>
      </w:r>
      <w:r w:rsidR="008D558B">
        <w:rPr>
          <w:rFonts w:cs="Arial"/>
          <w:sz w:val="26"/>
        </w:rPr>
        <w:t xml:space="preserve"> </w:t>
      </w:r>
      <w:r w:rsidR="008D558B">
        <w:rPr>
          <w:sz w:val="26"/>
          <w:szCs w:val="26"/>
        </w:rPr>
        <w:t>of each year</w:t>
      </w:r>
      <w:r w:rsidR="00630BA7">
        <w:rPr>
          <w:rFonts w:cs="Arial"/>
          <w:sz w:val="26"/>
        </w:rPr>
        <w:t xml:space="preserve">, a </w:t>
      </w:r>
      <w:r w:rsidR="00AA156B">
        <w:rPr>
          <w:rFonts w:cs="Arial"/>
          <w:sz w:val="26"/>
        </w:rPr>
        <w:t>remaining question</w:t>
      </w:r>
      <w:r w:rsidR="00C739D4">
        <w:rPr>
          <w:rFonts w:cs="Arial"/>
          <w:sz w:val="26"/>
        </w:rPr>
        <w:t xml:space="preserve"> going forward</w:t>
      </w:r>
      <w:r w:rsidR="00AA156B">
        <w:rPr>
          <w:rFonts w:cs="Arial"/>
          <w:sz w:val="26"/>
        </w:rPr>
        <w:t xml:space="preserve"> for the Commission and the water industry is whether the Commission should </w:t>
      </w:r>
      <w:r w:rsidR="0091682D">
        <w:rPr>
          <w:rFonts w:cs="Arial"/>
          <w:sz w:val="26"/>
        </w:rPr>
        <w:t>revise its existing regulations regarding unaccounted</w:t>
      </w:r>
      <w:r w:rsidR="002045B4">
        <w:rPr>
          <w:rFonts w:cs="Arial"/>
          <w:sz w:val="26"/>
        </w:rPr>
        <w:t>-for-</w:t>
      </w:r>
      <w:r w:rsidR="0091682D">
        <w:rPr>
          <w:rFonts w:cs="Arial"/>
          <w:sz w:val="26"/>
        </w:rPr>
        <w:t xml:space="preserve">water at 52 Pa. Code </w:t>
      </w:r>
      <w:r w:rsidR="0091682D">
        <w:rPr>
          <w:sz w:val="26"/>
          <w:szCs w:val="26"/>
        </w:rPr>
        <w:t>§ 65.20</w:t>
      </w:r>
      <w:r w:rsidR="00C739D4">
        <w:rPr>
          <w:sz w:val="26"/>
          <w:szCs w:val="26"/>
        </w:rPr>
        <w:t xml:space="preserve">, or, </w:t>
      </w:r>
      <w:r w:rsidR="008D558B">
        <w:rPr>
          <w:sz w:val="26"/>
          <w:szCs w:val="26"/>
        </w:rPr>
        <w:t xml:space="preserve">whether </w:t>
      </w:r>
      <w:r w:rsidR="00E40CCD">
        <w:rPr>
          <w:sz w:val="26"/>
          <w:szCs w:val="26"/>
        </w:rPr>
        <w:t>it</w:t>
      </w:r>
      <w:r w:rsidR="008D558B">
        <w:rPr>
          <w:sz w:val="26"/>
          <w:szCs w:val="26"/>
        </w:rPr>
        <w:t xml:space="preserve"> is </w:t>
      </w:r>
      <w:r w:rsidR="00C739D4">
        <w:rPr>
          <w:sz w:val="26"/>
          <w:szCs w:val="26"/>
        </w:rPr>
        <w:t>necessary for the Commission to adopt new regulations regarding the Water Audit methodology.</w:t>
      </w:r>
    </w:p>
    <w:p w:rsidR="0091682D" w:rsidRDefault="0091682D" w:rsidP="00FD6E8B">
      <w:pPr>
        <w:pStyle w:val="p3"/>
        <w:tabs>
          <w:tab w:val="clear" w:pos="204"/>
          <w:tab w:val="left" w:pos="0"/>
        </w:tabs>
        <w:spacing w:line="360" w:lineRule="auto"/>
        <w:ind w:right="720"/>
        <w:rPr>
          <w:sz w:val="26"/>
          <w:szCs w:val="26"/>
        </w:rPr>
      </w:pPr>
    </w:p>
    <w:p w:rsidR="00C739D4" w:rsidRDefault="0091682D" w:rsidP="00FD6E8B">
      <w:pPr>
        <w:pStyle w:val="p3"/>
        <w:tabs>
          <w:tab w:val="clear" w:pos="204"/>
          <w:tab w:val="left" w:pos="0"/>
        </w:tabs>
        <w:spacing w:line="360" w:lineRule="auto"/>
        <w:ind w:right="720"/>
        <w:rPr>
          <w:sz w:val="26"/>
          <w:szCs w:val="26"/>
        </w:rPr>
      </w:pPr>
      <w:r>
        <w:rPr>
          <w:sz w:val="26"/>
          <w:szCs w:val="26"/>
        </w:rPr>
        <w:tab/>
        <w:t>Section 65.20</w:t>
      </w:r>
      <w:r w:rsidR="00C739D4">
        <w:rPr>
          <w:sz w:val="26"/>
          <w:szCs w:val="26"/>
        </w:rPr>
        <w:t xml:space="preserve"> of the Code</w:t>
      </w:r>
      <w:r>
        <w:rPr>
          <w:sz w:val="26"/>
          <w:szCs w:val="26"/>
        </w:rPr>
        <w:t xml:space="preserve"> states, in pertinent part</w:t>
      </w:r>
      <w:r w:rsidR="00501446">
        <w:rPr>
          <w:sz w:val="26"/>
          <w:szCs w:val="26"/>
        </w:rPr>
        <w:t>:</w:t>
      </w:r>
      <w:r w:rsidR="008D558B">
        <w:rPr>
          <w:sz w:val="26"/>
          <w:szCs w:val="26"/>
        </w:rPr>
        <w:t xml:space="preserve">  </w:t>
      </w:r>
    </w:p>
    <w:p w:rsidR="00C739D4" w:rsidRPr="00C739D4" w:rsidRDefault="00C739D4" w:rsidP="00C739D4">
      <w:pPr>
        <w:pStyle w:val="Heading4"/>
        <w:rPr>
          <w:rFonts w:ascii="Times New Roman" w:hAnsi="Times New Roman" w:cs="Times New Roman"/>
          <w:i w:val="0"/>
          <w:sz w:val="26"/>
          <w:szCs w:val="26"/>
        </w:rPr>
      </w:pPr>
      <w:r>
        <w:rPr>
          <w:sz w:val="26"/>
          <w:szCs w:val="26"/>
        </w:rPr>
        <w:tab/>
      </w:r>
      <w:r>
        <w:rPr>
          <w:sz w:val="26"/>
          <w:szCs w:val="26"/>
        </w:rPr>
        <w:tab/>
      </w:r>
      <w:bookmarkStart w:id="0" w:name="65.20."/>
      <w:r w:rsidRPr="00C739D4">
        <w:rPr>
          <w:rFonts w:ascii="Times New Roman" w:hAnsi="Times New Roman" w:cs="Times New Roman"/>
          <w:i w:val="0"/>
          <w:color w:val="000000" w:themeColor="text1"/>
          <w:sz w:val="26"/>
          <w:szCs w:val="26"/>
        </w:rPr>
        <w:t>§ 65.20. Water conservation measures—statement of policy.</w:t>
      </w:r>
    </w:p>
    <w:p w:rsidR="00C739D4" w:rsidRDefault="00C739D4" w:rsidP="00C739D4">
      <w:pPr>
        <w:pStyle w:val="NormalWeb"/>
        <w:rPr>
          <w:sz w:val="26"/>
          <w:szCs w:val="26"/>
        </w:rPr>
      </w:pPr>
      <w:r>
        <w:tab/>
      </w:r>
      <w:r>
        <w:tab/>
        <w:t> </w:t>
      </w:r>
      <w:r w:rsidRPr="00C739D4">
        <w:rPr>
          <w:sz w:val="26"/>
          <w:szCs w:val="26"/>
        </w:rPr>
        <w:t xml:space="preserve">In rate proceedings of water utilities, the Commission intends to examine  </w:t>
      </w:r>
      <w:r w:rsidRPr="00C739D4">
        <w:rPr>
          <w:sz w:val="26"/>
          <w:szCs w:val="26"/>
        </w:rPr>
        <w:tab/>
      </w:r>
      <w:r w:rsidRPr="00C739D4">
        <w:rPr>
          <w:sz w:val="26"/>
          <w:szCs w:val="26"/>
        </w:rPr>
        <w:tab/>
      </w:r>
      <w:r w:rsidRPr="00C739D4">
        <w:rPr>
          <w:sz w:val="26"/>
          <w:szCs w:val="26"/>
        </w:rPr>
        <w:tab/>
        <w:t>specific factors regarding the action or failure to act to encourage cost-</w:t>
      </w:r>
      <w:r>
        <w:rPr>
          <w:sz w:val="26"/>
          <w:szCs w:val="26"/>
        </w:rPr>
        <w:tab/>
      </w:r>
      <w:r>
        <w:rPr>
          <w:sz w:val="26"/>
          <w:szCs w:val="26"/>
        </w:rPr>
        <w:tab/>
      </w:r>
      <w:r>
        <w:rPr>
          <w:sz w:val="26"/>
          <w:szCs w:val="26"/>
        </w:rPr>
        <w:tab/>
      </w:r>
      <w:r w:rsidRPr="00C739D4">
        <w:rPr>
          <w:sz w:val="26"/>
          <w:szCs w:val="26"/>
        </w:rPr>
        <w:t xml:space="preserve">effective conservation by their customers. </w:t>
      </w:r>
      <w:r>
        <w:rPr>
          <w:sz w:val="26"/>
          <w:szCs w:val="26"/>
        </w:rPr>
        <w:t xml:space="preserve"> </w:t>
      </w:r>
      <w:r w:rsidRPr="00C739D4">
        <w:rPr>
          <w:sz w:val="26"/>
          <w:szCs w:val="26"/>
        </w:rPr>
        <w:t>Specifically, the</w:t>
      </w:r>
      <w:r>
        <w:rPr>
          <w:sz w:val="26"/>
          <w:szCs w:val="26"/>
        </w:rPr>
        <w:t xml:space="preserve"> Commission</w:t>
      </w:r>
      <w:r w:rsidRPr="00C739D4">
        <w:rPr>
          <w:sz w:val="26"/>
          <w:szCs w:val="26"/>
        </w:rPr>
        <w:t xml:space="preserve"> </w:t>
      </w:r>
      <w:r>
        <w:rPr>
          <w:sz w:val="26"/>
          <w:szCs w:val="26"/>
        </w:rPr>
        <w:tab/>
      </w:r>
      <w:r>
        <w:rPr>
          <w:sz w:val="26"/>
          <w:szCs w:val="26"/>
        </w:rPr>
        <w:tab/>
      </w:r>
      <w:r>
        <w:rPr>
          <w:sz w:val="26"/>
          <w:szCs w:val="26"/>
        </w:rPr>
        <w:tab/>
      </w:r>
      <w:r w:rsidRPr="00C739D4">
        <w:rPr>
          <w:sz w:val="26"/>
          <w:szCs w:val="26"/>
        </w:rPr>
        <w:t>will review utilities’ efforts to me</w:t>
      </w:r>
      <w:r>
        <w:rPr>
          <w:sz w:val="26"/>
          <w:szCs w:val="26"/>
        </w:rPr>
        <w:t xml:space="preserve">et the criteria in this section when </w:t>
      </w:r>
      <w:r>
        <w:rPr>
          <w:sz w:val="26"/>
          <w:szCs w:val="26"/>
        </w:rPr>
        <w:tab/>
      </w:r>
      <w:r>
        <w:rPr>
          <w:sz w:val="26"/>
          <w:szCs w:val="26"/>
        </w:rPr>
        <w:tab/>
      </w:r>
      <w:r>
        <w:rPr>
          <w:sz w:val="26"/>
          <w:szCs w:val="26"/>
        </w:rPr>
        <w:tab/>
      </w:r>
      <w:r>
        <w:rPr>
          <w:sz w:val="26"/>
          <w:szCs w:val="26"/>
        </w:rPr>
        <w:tab/>
      </w:r>
      <w:r w:rsidRPr="00C739D4">
        <w:rPr>
          <w:sz w:val="26"/>
          <w:szCs w:val="26"/>
        </w:rPr>
        <w:t xml:space="preserve">determining just and reasonable rates and may consider those efforts </w:t>
      </w:r>
      <w:r>
        <w:rPr>
          <w:sz w:val="26"/>
          <w:szCs w:val="26"/>
        </w:rPr>
        <w:tab/>
      </w:r>
      <w:r>
        <w:rPr>
          <w:sz w:val="26"/>
          <w:szCs w:val="26"/>
        </w:rPr>
        <w:tab/>
      </w:r>
      <w:r>
        <w:rPr>
          <w:sz w:val="26"/>
          <w:szCs w:val="26"/>
        </w:rPr>
        <w:tab/>
      </w:r>
      <w:r>
        <w:rPr>
          <w:sz w:val="26"/>
          <w:szCs w:val="26"/>
        </w:rPr>
        <w:tab/>
      </w:r>
      <w:r w:rsidRPr="00C739D4">
        <w:rPr>
          <w:sz w:val="26"/>
          <w:szCs w:val="26"/>
        </w:rPr>
        <w:t xml:space="preserve">in </w:t>
      </w:r>
      <w:r>
        <w:rPr>
          <w:sz w:val="26"/>
          <w:szCs w:val="26"/>
        </w:rPr>
        <w:t>other proceedings instituted by</w:t>
      </w:r>
      <w:r>
        <w:rPr>
          <w:sz w:val="26"/>
          <w:szCs w:val="26"/>
        </w:rPr>
        <w:tab/>
        <w:t>t</w:t>
      </w:r>
      <w:r w:rsidRPr="00C739D4">
        <w:rPr>
          <w:sz w:val="26"/>
          <w:szCs w:val="26"/>
        </w:rPr>
        <w:t xml:space="preserve">he Commission. </w:t>
      </w:r>
    </w:p>
    <w:p w:rsidR="00501446" w:rsidRDefault="00501446" w:rsidP="00501446">
      <w:pPr>
        <w:pStyle w:val="NormalWeb"/>
        <w:spacing w:line="360" w:lineRule="auto"/>
        <w:rPr>
          <w:sz w:val="26"/>
          <w:szCs w:val="26"/>
        </w:rPr>
      </w:pPr>
      <w:r>
        <w:rPr>
          <w:sz w:val="26"/>
          <w:szCs w:val="26"/>
        </w:rPr>
        <w:t xml:space="preserve">Subsection (4) </w:t>
      </w:r>
      <w:r w:rsidR="002045B4">
        <w:rPr>
          <w:sz w:val="26"/>
          <w:szCs w:val="26"/>
        </w:rPr>
        <w:t xml:space="preserve">of </w:t>
      </w:r>
      <w:r>
        <w:rPr>
          <w:sz w:val="26"/>
          <w:szCs w:val="26"/>
        </w:rPr>
        <w:t>this section, which specifically addresses unaccounted-for</w:t>
      </w:r>
      <w:r w:rsidR="00352A03">
        <w:rPr>
          <w:sz w:val="26"/>
          <w:szCs w:val="26"/>
        </w:rPr>
        <w:t>-</w:t>
      </w:r>
      <w:r>
        <w:rPr>
          <w:sz w:val="26"/>
          <w:szCs w:val="26"/>
        </w:rPr>
        <w:t xml:space="preserve">water, states: </w:t>
      </w:r>
    </w:p>
    <w:p w:rsidR="00C739D4" w:rsidRDefault="00501446" w:rsidP="00C739D4">
      <w:pPr>
        <w:pStyle w:val="NormalWeb"/>
        <w:rPr>
          <w:sz w:val="26"/>
          <w:szCs w:val="26"/>
        </w:rPr>
      </w:pPr>
      <w:r>
        <w:rPr>
          <w:sz w:val="26"/>
          <w:szCs w:val="26"/>
        </w:rPr>
        <w:tab/>
      </w:r>
      <w:r>
        <w:rPr>
          <w:sz w:val="26"/>
          <w:szCs w:val="26"/>
        </w:rPr>
        <w:tab/>
        <w:t>Levels of unaccounted</w:t>
      </w:r>
      <w:r w:rsidR="00907C71">
        <w:rPr>
          <w:sz w:val="26"/>
          <w:szCs w:val="26"/>
        </w:rPr>
        <w:t>-for-</w:t>
      </w:r>
      <w:r>
        <w:rPr>
          <w:sz w:val="26"/>
          <w:szCs w:val="26"/>
        </w:rPr>
        <w:t>water should be kept</w:t>
      </w:r>
      <w:r w:rsidR="00907C71">
        <w:rPr>
          <w:sz w:val="26"/>
          <w:szCs w:val="26"/>
        </w:rPr>
        <w:t xml:space="preserve"> within reasonable </w:t>
      </w:r>
      <w:r w:rsidR="00907C71">
        <w:rPr>
          <w:sz w:val="26"/>
          <w:szCs w:val="26"/>
        </w:rPr>
        <w:tab/>
      </w:r>
      <w:r w:rsidR="00907C71">
        <w:rPr>
          <w:sz w:val="26"/>
          <w:szCs w:val="26"/>
        </w:rPr>
        <w:tab/>
      </w:r>
      <w:r w:rsidR="00907C71">
        <w:rPr>
          <w:sz w:val="26"/>
          <w:szCs w:val="26"/>
        </w:rPr>
        <w:tab/>
      </w:r>
      <w:r w:rsidR="00907C71">
        <w:rPr>
          <w:sz w:val="26"/>
          <w:szCs w:val="26"/>
        </w:rPr>
        <w:tab/>
        <w:t xml:space="preserve">amounts.  </w:t>
      </w:r>
      <w:r>
        <w:rPr>
          <w:sz w:val="26"/>
          <w:szCs w:val="26"/>
        </w:rPr>
        <w:t xml:space="preserve">Levels above 20% have been considered by the Commission  </w:t>
      </w:r>
      <w:r w:rsidR="00907C71">
        <w:rPr>
          <w:sz w:val="26"/>
          <w:szCs w:val="26"/>
        </w:rPr>
        <w:tab/>
      </w:r>
      <w:r w:rsidR="00907C71">
        <w:rPr>
          <w:sz w:val="26"/>
          <w:szCs w:val="26"/>
        </w:rPr>
        <w:tab/>
      </w:r>
      <w:r w:rsidR="00907C71">
        <w:rPr>
          <w:sz w:val="26"/>
          <w:szCs w:val="26"/>
        </w:rPr>
        <w:tab/>
        <w:t xml:space="preserve">to </w:t>
      </w:r>
      <w:r>
        <w:rPr>
          <w:sz w:val="26"/>
          <w:szCs w:val="26"/>
        </w:rPr>
        <w:t xml:space="preserve">be excessive. </w:t>
      </w:r>
    </w:p>
    <w:p w:rsidR="00166A67" w:rsidRDefault="00501446" w:rsidP="00501446">
      <w:pPr>
        <w:pStyle w:val="NormalWeb"/>
        <w:spacing w:line="360" w:lineRule="auto"/>
        <w:rPr>
          <w:sz w:val="26"/>
          <w:szCs w:val="26"/>
        </w:rPr>
      </w:pPr>
      <w:r>
        <w:rPr>
          <w:sz w:val="26"/>
          <w:szCs w:val="26"/>
        </w:rPr>
        <w:tab/>
        <w:t>By way of this advance notice of proposed rulemaking order, the Commission seeks comments from all interested parties on appropriate revisions</w:t>
      </w:r>
      <w:r w:rsidR="0058442B">
        <w:rPr>
          <w:sz w:val="26"/>
          <w:szCs w:val="26"/>
        </w:rPr>
        <w:t xml:space="preserve"> to this regulation.  In particular, comments are invited on whether it is necessary for the Commission, in light of our adoption of the Water Audit methodology, to adopt new regulations to </w:t>
      </w:r>
      <w:r w:rsidR="00E40CCD">
        <w:rPr>
          <w:sz w:val="26"/>
          <w:szCs w:val="26"/>
        </w:rPr>
        <w:t xml:space="preserve">further </w:t>
      </w:r>
      <w:r w:rsidR="0058442B">
        <w:rPr>
          <w:sz w:val="26"/>
          <w:szCs w:val="26"/>
        </w:rPr>
        <w:t xml:space="preserve">advance this methodology.  If </w:t>
      </w:r>
      <w:r w:rsidR="002045B4">
        <w:rPr>
          <w:sz w:val="26"/>
          <w:szCs w:val="26"/>
        </w:rPr>
        <w:t xml:space="preserve">the comments advocate either </w:t>
      </w:r>
      <w:r w:rsidR="0058442B">
        <w:rPr>
          <w:sz w:val="26"/>
          <w:szCs w:val="26"/>
        </w:rPr>
        <w:t>revis</w:t>
      </w:r>
      <w:r w:rsidR="004426DF">
        <w:rPr>
          <w:sz w:val="26"/>
          <w:szCs w:val="26"/>
        </w:rPr>
        <w:t xml:space="preserve">ed </w:t>
      </w:r>
      <w:r w:rsidR="00166A67">
        <w:rPr>
          <w:sz w:val="26"/>
          <w:szCs w:val="26"/>
        </w:rPr>
        <w:t>regulations</w:t>
      </w:r>
      <w:r w:rsidR="002045B4">
        <w:rPr>
          <w:sz w:val="26"/>
          <w:szCs w:val="26"/>
        </w:rPr>
        <w:t>,</w:t>
      </w:r>
      <w:r w:rsidR="008D558B">
        <w:rPr>
          <w:sz w:val="26"/>
          <w:szCs w:val="26"/>
        </w:rPr>
        <w:t xml:space="preserve"> or merely</w:t>
      </w:r>
      <w:r w:rsidR="004426DF">
        <w:rPr>
          <w:sz w:val="26"/>
          <w:szCs w:val="26"/>
        </w:rPr>
        <w:t xml:space="preserve"> a policy statement</w:t>
      </w:r>
      <w:r w:rsidR="002045B4">
        <w:rPr>
          <w:sz w:val="26"/>
          <w:szCs w:val="26"/>
        </w:rPr>
        <w:t xml:space="preserve">, </w:t>
      </w:r>
      <w:r w:rsidR="0058442B">
        <w:rPr>
          <w:sz w:val="26"/>
          <w:szCs w:val="26"/>
        </w:rPr>
        <w:t xml:space="preserve">we </w:t>
      </w:r>
      <w:r w:rsidR="002045B4">
        <w:rPr>
          <w:sz w:val="26"/>
          <w:szCs w:val="26"/>
        </w:rPr>
        <w:t>expect the comments to also include</w:t>
      </w:r>
      <w:r w:rsidR="0058442B">
        <w:rPr>
          <w:sz w:val="26"/>
          <w:szCs w:val="26"/>
        </w:rPr>
        <w:t xml:space="preserve"> proposed language </w:t>
      </w:r>
      <w:r w:rsidR="002045B4">
        <w:rPr>
          <w:sz w:val="26"/>
          <w:szCs w:val="26"/>
        </w:rPr>
        <w:t xml:space="preserve">for our consideration and subsequent review by </w:t>
      </w:r>
      <w:r w:rsidR="002966A1">
        <w:rPr>
          <w:sz w:val="26"/>
          <w:szCs w:val="26"/>
        </w:rPr>
        <w:t>the Independent Regulatory Review Commission</w:t>
      </w:r>
      <w:r w:rsidR="00166A67">
        <w:rPr>
          <w:sz w:val="26"/>
          <w:szCs w:val="26"/>
        </w:rPr>
        <w:t>.</w:t>
      </w:r>
      <w:r w:rsidR="002966A1">
        <w:rPr>
          <w:sz w:val="26"/>
          <w:szCs w:val="26"/>
        </w:rPr>
        <w:t xml:space="preserve">  The Commission’s evaluation will include a review of similar regulations </w:t>
      </w:r>
      <w:r w:rsidR="002966A1">
        <w:rPr>
          <w:sz w:val="26"/>
          <w:szCs w:val="26"/>
        </w:rPr>
        <w:lastRenderedPageBreak/>
        <w:t xml:space="preserve">in other jurisdictions that have adopted the Water Audit methodology so that </w:t>
      </w:r>
      <w:r w:rsidR="004426DF">
        <w:rPr>
          <w:sz w:val="26"/>
          <w:szCs w:val="26"/>
        </w:rPr>
        <w:t xml:space="preserve">the </w:t>
      </w:r>
      <w:r w:rsidR="002966A1">
        <w:rPr>
          <w:sz w:val="26"/>
          <w:szCs w:val="26"/>
        </w:rPr>
        <w:t>Commission can develop best practices on these issues.</w:t>
      </w:r>
      <w:r w:rsidR="0058442B">
        <w:rPr>
          <w:sz w:val="26"/>
          <w:szCs w:val="26"/>
        </w:rPr>
        <w:t xml:space="preserve"> </w:t>
      </w:r>
    </w:p>
    <w:p w:rsidR="00166A67" w:rsidRDefault="00166A67" w:rsidP="00501446">
      <w:pPr>
        <w:pStyle w:val="NormalWeb"/>
        <w:spacing w:line="360" w:lineRule="auto"/>
        <w:rPr>
          <w:sz w:val="26"/>
          <w:szCs w:val="26"/>
        </w:rPr>
      </w:pPr>
      <w:r>
        <w:rPr>
          <w:sz w:val="26"/>
          <w:szCs w:val="26"/>
        </w:rPr>
        <w:tab/>
        <w:t>Additionally, the Commission, as was requested in the 201</w:t>
      </w:r>
      <w:r w:rsidR="0020120A">
        <w:rPr>
          <w:sz w:val="26"/>
          <w:szCs w:val="26"/>
        </w:rPr>
        <w:t>2</w:t>
      </w:r>
      <w:r>
        <w:rPr>
          <w:sz w:val="26"/>
          <w:szCs w:val="26"/>
        </w:rPr>
        <w:t xml:space="preserve"> Order, invites comments from the regulated community (particularly the participants in the pilot project and the other Class A water utilities that will be filing their first annual Water Audit </w:t>
      </w:r>
      <w:r w:rsidR="00557F7A">
        <w:rPr>
          <w:sz w:val="26"/>
          <w:szCs w:val="26"/>
        </w:rPr>
        <w:t>by</w:t>
      </w:r>
      <w:r>
        <w:rPr>
          <w:sz w:val="26"/>
          <w:szCs w:val="26"/>
        </w:rPr>
        <w:t xml:space="preserve"> April 30, 2013) and other interested parties on the </w:t>
      </w:r>
      <w:r w:rsidR="00E40CCD">
        <w:rPr>
          <w:sz w:val="26"/>
          <w:szCs w:val="26"/>
        </w:rPr>
        <w:t xml:space="preserve">experienced </w:t>
      </w:r>
      <w:r>
        <w:rPr>
          <w:sz w:val="26"/>
          <w:szCs w:val="26"/>
        </w:rPr>
        <w:t>benefits and costs of the Water Audit methodology.</w:t>
      </w:r>
    </w:p>
    <w:p w:rsidR="002966A1" w:rsidRDefault="00166A67" w:rsidP="00501446">
      <w:pPr>
        <w:pStyle w:val="NormalWeb"/>
        <w:spacing w:line="360" w:lineRule="auto"/>
        <w:rPr>
          <w:sz w:val="26"/>
          <w:szCs w:val="26"/>
        </w:rPr>
      </w:pPr>
      <w:r>
        <w:rPr>
          <w:sz w:val="26"/>
          <w:szCs w:val="26"/>
        </w:rPr>
        <w:tab/>
        <w:t xml:space="preserve">Finally, the Commission invites comments as to whether the Water Audit methodology should be extended to the other </w:t>
      </w:r>
      <w:r w:rsidR="002966A1">
        <w:rPr>
          <w:sz w:val="26"/>
          <w:szCs w:val="26"/>
        </w:rPr>
        <w:t xml:space="preserve">jurisdictional </w:t>
      </w:r>
      <w:r w:rsidR="001121C4">
        <w:rPr>
          <w:sz w:val="26"/>
          <w:szCs w:val="26"/>
        </w:rPr>
        <w:t>water utilities.</w:t>
      </w:r>
    </w:p>
    <w:p w:rsidR="002966A1" w:rsidRDefault="002966A1" w:rsidP="00666F22">
      <w:pPr>
        <w:pStyle w:val="Blockquote"/>
        <w:spacing w:line="360" w:lineRule="auto"/>
        <w:ind w:left="0"/>
        <w:rPr>
          <w:b/>
        </w:rPr>
      </w:pPr>
      <w:r>
        <w:rPr>
          <w:sz w:val="26"/>
          <w:szCs w:val="26"/>
        </w:rPr>
        <w:tab/>
      </w:r>
      <w:r>
        <w:rPr>
          <w:sz w:val="26"/>
        </w:rPr>
        <w:t xml:space="preserve">Accordingly, pursuant to 66 Pa. C.S. </w:t>
      </w:r>
      <w:r w:rsidR="0020120A">
        <w:rPr>
          <w:sz w:val="26"/>
        </w:rPr>
        <w:t>§</w:t>
      </w:r>
      <w:r>
        <w:rPr>
          <w:sz w:val="26"/>
        </w:rPr>
        <w:t>§ 501 and</w:t>
      </w:r>
      <w:r w:rsidR="004426DF">
        <w:rPr>
          <w:sz w:val="26"/>
        </w:rPr>
        <w:t xml:space="preserve"> </w:t>
      </w:r>
      <w:r>
        <w:rPr>
          <w:sz w:val="26"/>
        </w:rPr>
        <w:t>2804, the Commission issues this Advance Notice of Proposed Rulemaking for comment</w:t>
      </w:r>
      <w:r w:rsidRPr="00666F22">
        <w:rPr>
          <w:b/>
          <w:sz w:val="26"/>
        </w:rPr>
        <w:t>;</w:t>
      </w:r>
      <w:r w:rsidR="00666F22">
        <w:rPr>
          <w:b/>
          <w:sz w:val="26"/>
        </w:rPr>
        <w:t xml:space="preserve"> </w:t>
      </w:r>
      <w:r>
        <w:rPr>
          <w:b/>
        </w:rPr>
        <w:t>THEREFORE,</w:t>
      </w:r>
    </w:p>
    <w:p w:rsidR="002966A1" w:rsidRDefault="002966A1" w:rsidP="002966A1">
      <w:pPr>
        <w:pStyle w:val="BodyTextIndent2"/>
        <w:ind w:firstLine="0"/>
        <w:rPr>
          <w:b/>
        </w:rPr>
      </w:pPr>
    </w:p>
    <w:p w:rsidR="002966A1" w:rsidRDefault="002966A1" w:rsidP="002966A1">
      <w:pPr>
        <w:pStyle w:val="BodyTextIndent2"/>
        <w:rPr>
          <w:b/>
        </w:rPr>
      </w:pPr>
      <w:r>
        <w:rPr>
          <w:b/>
        </w:rPr>
        <w:t>IT IS ORDERED:</w:t>
      </w:r>
    </w:p>
    <w:p w:rsidR="00D01E1C" w:rsidRDefault="00D01E1C" w:rsidP="002966A1">
      <w:pPr>
        <w:pStyle w:val="BodyTextIndent2"/>
        <w:rPr>
          <w:b/>
        </w:rPr>
      </w:pPr>
    </w:p>
    <w:p w:rsidR="002966A1" w:rsidRDefault="002966A1" w:rsidP="002966A1">
      <w:pPr>
        <w:numPr>
          <w:ilvl w:val="0"/>
          <w:numId w:val="1"/>
        </w:numPr>
        <w:tabs>
          <w:tab w:val="left" w:pos="720"/>
          <w:tab w:val="left" w:pos="1440"/>
          <w:tab w:val="left" w:pos="4320"/>
        </w:tabs>
        <w:overflowPunct/>
        <w:autoSpaceDE/>
        <w:autoSpaceDN/>
        <w:adjustRightInd/>
        <w:spacing w:line="360" w:lineRule="auto"/>
        <w:ind w:left="0" w:firstLine="720"/>
        <w:rPr>
          <w:sz w:val="26"/>
          <w:szCs w:val="26"/>
        </w:rPr>
      </w:pPr>
      <w:r>
        <w:rPr>
          <w:sz w:val="26"/>
          <w:szCs w:val="26"/>
        </w:rPr>
        <w:t xml:space="preserve">That this Advance Notice of Proposed Rulemaking be issued to solicit comments regarding revisions to the </w:t>
      </w:r>
      <w:r w:rsidR="00D01E1C">
        <w:rPr>
          <w:sz w:val="26"/>
          <w:szCs w:val="26"/>
        </w:rPr>
        <w:t xml:space="preserve">Commission’s </w:t>
      </w:r>
      <w:r w:rsidR="002045B4">
        <w:rPr>
          <w:sz w:val="26"/>
          <w:szCs w:val="26"/>
        </w:rPr>
        <w:t xml:space="preserve">existing regulations </w:t>
      </w:r>
      <w:r w:rsidR="00D01E1C">
        <w:rPr>
          <w:sz w:val="26"/>
          <w:szCs w:val="26"/>
        </w:rPr>
        <w:t xml:space="preserve">regarding </w:t>
      </w:r>
      <w:r>
        <w:rPr>
          <w:sz w:val="26"/>
          <w:szCs w:val="26"/>
        </w:rPr>
        <w:t>unaccounted-for</w:t>
      </w:r>
      <w:r w:rsidR="00907C71">
        <w:rPr>
          <w:sz w:val="26"/>
          <w:szCs w:val="26"/>
        </w:rPr>
        <w:t>-</w:t>
      </w:r>
      <w:r>
        <w:rPr>
          <w:sz w:val="26"/>
          <w:szCs w:val="26"/>
        </w:rPr>
        <w:t>water at 52 Pa. Code § 65.20(4).</w:t>
      </w:r>
    </w:p>
    <w:p w:rsidR="002966A1" w:rsidRDefault="002966A1" w:rsidP="002966A1">
      <w:pPr>
        <w:tabs>
          <w:tab w:val="left" w:pos="720"/>
          <w:tab w:val="left" w:pos="1440"/>
          <w:tab w:val="left" w:pos="4320"/>
        </w:tabs>
        <w:spacing w:line="360" w:lineRule="auto"/>
        <w:rPr>
          <w:sz w:val="26"/>
          <w:szCs w:val="26"/>
        </w:rPr>
      </w:pPr>
    </w:p>
    <w:p w:rsidR="002966A1" w:rsidRDefault="002966A1" w:rsidP="002966A1">
      <w:pPr>
        <w:tabs>
          <w:tab w:val="left" w:pos="720"/>
          <w:tab w:val="left" w:pos="1440"/>
          <w:tab w:val="left" w:pos="4320"/>
        </w:tabs>
        <w:spacing w:line="360" w:lineRule="auto"/>
        <w:rPr>
          <w:sz w:val="26"/>
          <w:szCs w:val="26"/>
        </w:rPr>
      </w:pPr>
      <w:r>
        <w:rPr>
          <w:sz w:val="26"/>
          <w:szCs w:val="26"/>
        </w:rPr>
        <w:tab/>
        <w:t>2.</w:t>
      </w:r>
      <w:r>
        <w:rPr>
          <w:sz w:val="26"/>
          <w:szCs w:val="26"/>
        </w:rPr>
        <w:tab/>
        <w:t xml:space="preserve">That this Advance Notice of Proposed Rulemaking be published in the </w:t>
      </w:r>
      <w:r>
        <w:rPr>
          <w:i/>
          <w:sz w:val="26"/>
          <w:szCs w:val="26"/>
        </w:rPr>
        <w:t>Pennsylvania Bulletin</w:t>
      </w:r>
      <w:r>
        <w:rPr>
          <w:sz w:val="26"/>
          <w:szCs w:val="26"/>
        </w:rPr>
        <w:t xml:space="preserve"> for review and comment, with comments due </w:t>
      </w:r>
      <w:r w:rsidR="00D01E1C">
        <w:rPr>
          <w:sz w:val="26"/>
          <w:szCs w:val="26"/>
        </w:rPr>
        <w:t>60</w:t>
      </w:r>
      <w:r>
        <w:rPr>
          <w:sz w:val="26"/>
          <w:szCs w:val="26"/>
        </w:rPr>
        <w:t xml:space="preserve"> days from the date of publication and reply comments due 30 days thereafter.  </w:t>
      </w:r>
    </w:p>
    <w:p w:rsidR="002966A1" w:rsidRDefault="002966A1" w:rsidP="002966A1">
      <w:pPr>
        <w:tabs>
          <w:tab w:val="left" w:pos="720"/>
          <w:tab w:val="left" w:pos="1440"/>
          <w:tab w:val="left" w:pos="4320"/>
        </w:tabs>
        <w:spacing w:line="360" w:lineRule="auto"/>
        <w:rPr>
          <w:sz w:val="26"/>
          <w:szCs w:val="26"/>
        </w:rPr>
      </w:pPr>
    </w:p>
    <w:p w:rsidR="002966A1" w:rsidRDefault="002966A1" w:rsidP="002966A1">
      <w:pPr>
        <w:tabs>
          <w:tab w:val="left" w:pos="720"/>
          <w:tab w:val="left" w:pos="1440"/>
          <w:tab w:val="left" w:pos="4320"/>
        </w:tabs>
        <w:spacing w:line="360" w:lineRule="auto"/>
        <w:rPr>
          <w:sz w:val="26"/>
          <w:szCs w:val="26"/>
        </w:rPr>
      </w:pPr>
      <w:r>
        <w:rPr>
          <w:sz w:val="26"/>
          <w:szCs w:val="26"/>
        </w:rPr>
        <w:tab/>
        <w:t>3.</w:t>
      </w:r>
      <w:r>
        <w:rPr>
          <w:sz w:val="26"/>
          <w:szCs w:val="26"/>
        </w:rPr>
        <w:tab/>
        <w:t>That any comments or reply comments be served upon the Secretary, Pennsylvania Public Utility Commission, P.O. Box 3265, Harrisburg, PA  17105-3265</w:t>
      </w:r>
      <w:r w:rsidR="00CC20DA">
        <w:rPr>
          <w:sz w:val="26"/>
          <w:szCs w:val="26"/>
        </w:rPr>
        <w:t>.</w:t>
      </w:r>
    </w:p>
    <w:p w:rsidR="002966A1" w:rsidRDefault="002966A1" w:rsidP="002966A1">
      <w:pPr>
        <w:tabs>
          <w:tab w:val="left" w:pos="720"/>
          <w:tab w:val="left" w:pos="1440"/>
          <w:tab w:val="left" w:pos="4320"/>
        </w:tabs>
        <w:spacing w:line="360" w:lineRule="auto"/>
        <w:rPr>
          <w:sz w:val="26"/>
          <w:szCs w:val="26"/>
        </w:rPr>
      </w:pPr>
    </w:p>
    <w:p w:rsidR="002966A1" w:rsidRDefault="002966A1" w:rsidP="002966A1">
      <w:pPr>
        <w:tabs>
          <w:tab w:val="left" w:pos="720"/>
          <w:tab w:val="left" w:pos="1440"/>
          <w:tab w:val="left" w:pos="4320"/>
        </w:tabs>
        <w:spacing w:line="360" w:lineRule="auto"/>
        <w:rPr>
          <w:sz w:val="20"/>
          <w:szCs w:val="26"/>
        </w:rPr>
      </w:pPr>
      <w:r>
        <w:rPr>
          <w:sz w:val="26"/>
          <w:szCs w:val="26"/>
        </w:rPr>
        <w:lastRenderedPageBreak/>
        <w:tab/>
        <w:t>4.</w:t>
      </w:r>
      <w:r>
        <w:rPr>
          <w:sz w:val="26"/>
          <w:szCs w:val="26"/>
        </w:rPr>
        <w:tab/>
        <w:t>That the contact</w:t>
      </w:r>
      <w:r w:rsidR="005308AD">
        <w:rPr>
          <w:sz w:val="26"/>
          <w:szCs w:val="26"/>
        </w:rPr>
        <w:t xml:space="preserve"> person</w:t>
      </w:r>
      <w:r w:rsidR="00E40CCD">
        <w:rPr>
          <w:sz w:val="26"/>
          <w:szCs w:val="26"/>
        </w:rPr>
        <w:t>s</w:t>
      </w:r>
      <w:r>
        <w:rPr>
          <w:sz w:val="26"/>
          <w:szCs w:val="26"/>
        </w:rPr>
        <w:t xml:space="preserve"> for this </w:t>
      </w:r>
      <w:r w:rsidR="00D01E1C">
        <w:rPr>
          <w:sz w:val="26"/>
          <w:szCs w:val="26"/>
        </w:rPr>
        <w:t xml:space="preserve">proposed </w:t>
      </w:r>
      <w:r>
        <w:rPr>
          <w:sz w:val="26"/>
          <w:szCs w:val="26"/>
        </w:rPr>
        <w:t xml:space="preserve">rulemaking </w:t>
      </w:r>
      <w:r w:rsidR="004426DF">
        <w:rPr>
          <w:sz w:val="26"/>
          <w:szCs w:val="26"/>
        </w:rPr>
        <w:t>are</w:t>
      </w:r>
      <w:r>
        <w:rPr>
          <w:sz w:val="26"/>
          <w:szCs w:val="26"/>
        </w:rPr>
        <w:t xml:space="preserve"> S</w:t>
      </w:r>
      <w:r w:rsidR="00D01E1C">
        <w:rPr>
          <w:sz w:val="26"/>
          <w:szCs w:val="26"/>
        </w:rPr>
        <w:t>tanley E. Brown,</w:t>
      </w:r>
      <w:r>
        <w:rPr>
          <w:sz w:val="26"/>
          <w:szCs w:val="26"/>
        </w:rPr>
        <w:t xml:space="preserve"> </w:t>
      </w:r>
      <w:r w:rsidR="00D01E1C">
        <w:rPr>
          <w:sz w:val="26"/>
          <w:szCs w:val="26"/>
        </w:rPr>
        <w:t xml:space="preserve">Assistant Counsel, </w:t>
      </w:r>
      <w:r>
        <w:rPr>
          <w:sz w:val="26"/>
          <w:szCs w:val="26"/>
        </w:rPr>
        <w:t>Law Bureau, (717) 78</w:t>
      </w:r>
      <w:r w:rsidR="00D01E1C">
        <w:rPr>
          <w:sz w:val="26"/>
          <w:szCs w:val="26"/>
        </w:rPr>
        <w:t>3-3968</w:t>
      </w:r>
      <w:r w:rsidR="0020120A">
        <w:rPr>
          <w:sz w:val="26"/>
          <w:szCs w:val="26"/>
        </w:rPr>
        <w:t>,</w:t>
      </w:r>
      <w:r w:rsidR="00D01E1C">
        <w:rPr>
          <w:sz w:val="26"/>
          <w:szCs w:val="26"/>
        </w:rPr>
        <w:t xml:space="preserve"> and Kenneth</w:t>
      </w:r>
      <w:r w:rsidR="004426DF">
        <w:rPr>
          <w:sz w:val="26"/>
          <w:szCs w:val="26"/>
        </w:rPr>
        <w:t xml:space="preserve"> R.</w:t>
      </w:r>
      <w:r w:rsidR="00D01E1C">
        <w:rPr>
          <w:sz w:val="26"/>
          <w:szCs w:val="26"/>
        </w:rPr>
        <w:t xml:space="preserve"> Stark, Assistant Counsel, Law Bureau, (717)</w:t>
      </w:r>
      <w:r w:rsidR="0046012C">
        <w:rPr>
          <w:sz w:val="26"/>
          <w:szCs w:val="26"/>
        </w:rPr>
        <w:t xml:space="preserve"> </w:t>
      </w:r>
      <w:r w:rsidR="00D01E1C">
        <w:rPr>
          <w:sz w:val="26"/>
          <w:szCs w:val="26"/>
        </w:rPr>
        <w:t>787-5558</w:t>
      </w:r>
      <w:r>
        <w:rPr>
          <w:sz w:val="26"/>
          <w:szCs w:val="26"/>
        </w:rPr>
        <w:t>.</w:t>
      </w:r>
    </w:p>
    <w:p w:rsidR="0020120A" w:rsidRDefault="0020120A" w:rsidP="00FE2FF1">
      <w:pPr>
        <w:spacing w:line="360" w:lineRule="auto"/>
        <w:ind w:firstLine="720"/>
        <w:rPr>
          <w:sz w:val="26"/>
          <w:szCs w:val="26"/>
        </w:rPr>
      </w:pPr>
    </w:p>
    <w:p w:rsidR="00FE2FF1" w:rsidRDefault="002966A1" w:rsidP="00FE2FF1">
      <w:pPr>
        <w:spacing w:line="360" w:lineRule="auto"/>
        <w:ind w:firstLine="720"/>
        <w:rPr>
          <w:rFonts w:cs="Arial"/>
          <w:sz w:val="26"/>
        </w:rPr>
      </w:pPr>
      <w:r>
        <w:rPr>
          <w:sz w:val="26"/>
          <w:szCs w:val="26"/>
        </w:rPr>
        <w:t>5.</w:t>
      </w:r>
      <w:r>
        <w:rPr>
          <w:sz w:val="26"/>
          <w:szCs w:val="26"/>
        </w:rPr>
        <w:tab/>
        <w:t xml:space="preserve">That a copy of this Advance Notice of Proposed Rulemaking shall be served on the Office of Consumer Advocate, the Office of Small Business Advocate, </w:t>
      </w:r>
      <w:r w:rsidR="00E40CCD">
        <w:rPr>
          <w:sz w:val="26"/>
          <w:szCs w:val="26"/>
        </w:rPr>
        <w:t xml:space="preserve">the Bureau of Investigation and Enforcement, </w:t>
      </w:r>
      <w:r w:rsidR="00FE2FF1">
        <w:rPr>
          <w:rFonts w:cs="Arial"/>
          <w:sz w:val="26"/>
        </w:rPr>
        <w:t>all jurisdictional water utilities; the National Association of Water Companies - Pennsylvania Chapter; the Department of Environmental Protection, the Office of Regulatory Counsel; all regional offices; the Division of Water Use Planning; the Delaware River Basin Commission; the Susquehanna River Basin Commission; and the American Water Works Association, Pennsylvania Chapter.</w:t>
      </w:r>
    </w:p>
    <w:p w:rsidR="002966A1" w:rsidRDefault="00801B28" w:rsidP="00FE2FF1">
      <w:pPr>
        <w:tabs>
          <w:tab w:val="left" w:pos="720"/>
          <w:tab w:val="left" w:pos="1440"/>
          <w:tab w:val="left" w:pos="4320"/>
        </w:tabs>
        <w:spacing w:line="360" w:lineRule="auto"/>
        <w:rPr>
          <w:sz w:val="26"/>
          <w:szCs w:val="26"/>
        </w:rPr>
      </w:pPr>
      <w:bookmarkStart w:id="1" w:name="_GoBack"/>
      <w:r>
        <w:rPr>
          <w:noProof/>
        </w:rPr>
        <w:drawing>
          <wp:anchor distT="0" distB="0" distL="114300" distR="114300" simplePos="0" relativeHeight="251659264" behindDoc="1" locked="0" layoutInCell="1" allowOverlap="1" wp14:anchorId="66D8F85E" wp14:editId="2CBD08E3">
            <wp:simplePos x="0" y="0"/>
            <wp:positionH relativeFrom="column">
              <wp:posOffset>2962275</wp:posOffset>
            </wp:positionH>
            <wp:positionV relativeFrom="paragraph">
              <wp:posOffset>201930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1"/>
      <w:r w:rsidR="00FE2FF1">
        <w:rPr>
          <w:sz w:val="26"/>
        </w:rPr>
        <w:tab/>
      </w:r>
    </w:p>
    <w:bookmarkEnd w:id="0"/>
    <w:p w:rsidR="00A15149" w:rsidRDefault="0091682D" w:rsidP="00CC20DA">
      <w:pPr>
        <w:pStyle w:val="p3"/>
        <w:tabs>
          <w:tab w:val="clear" w:pos="204"/>
          <w:tab w:val="left" w:pos="0"/>
        </w:tabs>
        <w:spacing w:line="360" w:lineRule="auto"/>
        <w:ind w:right="720"/>
        <w:rPr>
          <w:b/>
          <w:bCs/>
          <w:sz w:val="26"/>
          <w:szCs w:val="26"/>
        </w:rPr>
      </w:pPr>
      <w:r>
        <w:rPr>
          <w:sz w:val="26"/>
          <w:szCs w:val="26"/>
        </w:rPr>
        <w:t xml:space="preserve"> </w:t>
      </w:r>
      <w:r w:rsidR="00CC20DA">
        <w:rPr>
          <w:sz w:val="26"/>
          <w:szCs w:val="26"/>
        </w:rPr>
        <w:tab/>
      </w:r>
      <w:r w:rsidR="00CC20DA">
        <w:rPr>
          <w:sz w:val="26"/>
          <w:szCs w:val="26"/>
        </w:rPr>
        <w:tab/>
      </w:r>
      <w:r w:rsidR="00CC20DA">
        <w:rPr>
          <w:sz w:val="26"/>
          <w:szCs w:val="26"/>
        </w:rPr>
        <w:tab/>
      </w:r>
      <w:r w:rsidR="00CC20DA">
        <w:rPr>
          <w:sz w:val="26"/>
          <w:szCs w:val="26"/>
        </w:rPr>
        <w:tab/>
      </w:r>
      <w:r w:rsidR="00CC20DA">
        <w:rPr>
          <w:sz w:val="26"/>
          <w:szCs w:val="26"/>
        </w:rPr>
        <w:tab/>
      </w:r>
      <w:r w:rsidR="00CC20DA">
        <w:rPr>
          <w:sz w:val="26"/>
          <w:szCs w:val="26"/>
        </w:rPr>
        <w:tab/>
      </w:r>
      <w:r w:rsidR="00CC20DA">
        <w:rPr>
          <w:sz w:val="26"/>
          <w:szCs w:val="26"/>
        </w:rPr>
        <w:tab/>
      </w:r>
      <w:r w:rsidR="00A15149">
        <w:rPr>
          <w:b/>
          <w:bCs/>
          <w:sz w:val="26"/>
          <w:szCs w:val="26"/>
        </w:rPr>
        <w:t>BY THE COMMISSION</w:t>
      </w:r>
    </w:p>
    <w:p w:rsidR="00A15149" w:rsidRDefault="00A15149" w:rsidP="00A15149">
      <w:pPr>
        <w:tabs>
          <w:tab w:val="left" w:pos="5057"/>
        </w:tabs>
        <w:rPr>
          <w:bCs/>
          <w:sz w:val="26"/>
          <w:szCs w:val="26"/>
        </w:rPr>
      </w:pPr>
    </w:p>
    <w:p w:rsidR="00A15149" w:rsidRDefault="00A15149" w:rsidP="00A15149">
      <w:pPr>
        <w:tabs>
          <w:tab w:val="left" w:pos="5057"/>
        </w:tabs>
        <w:rPr>
          <w:b/>
          <w:bCs/>
          <w:sz w:val="26"/>
          <w:szCs w:val="26"/>
        </w:rPr>
      </w:pPr>
    </w:p>
    <w:p w:rsidR="00A15149" w:rsidRDefault="00A15149" w:rsidP="00A15149">
      <w:pPr>
        <w:pStyle w:val="p18"/>
        <w:ind w:left="5062"/>
        <w:rPr>
          <w:sz w:val="26"/>
          <w:szCs w:val="26"/>
        </w:rPr>
      </w:pPr>
      <w:r>
        <w:rPr>
          <w:sz w:val="26"/>
          <w:szCs w:val="26"/>
        </w:rPr>
        <w:t>Rosemary Chiavetta</w:t>
      </w:r>
    </w:p>
    <w:p w:rsidR="00A15149" w:rsidRDefault="00A15149" w:rsidP="00A15149">
      <w:pPr>
        <w:pStyle w:val="p18"/>
        <w:ind w:left="5062"/>
        <w:rPr>
          <w:sz w:val="26"/>
          <w:szCs w:val="26"/>
        </w:rPr>
      </w:pPr>
      <w:r>
        <w:rPr>
          <w:sz w:val="26"/>
          <w:szCs w:val="26"/>
        </w:rPr>
        <w:t>Secretary</w:t>
      </w:r>
    </w:p>
    <w:p w:rsidR="00A15149" w:rsidRDefault="00A15149" w:rsidP="00A15149">
      <w:pPr>
        <w:tabs>
          <w:tab w:val="left" w:pos="5062"/>
        </w:tabs>
        <w:rPr>
          <w:sz w:val="26"/>
          <w:szCs w:val="26"/>
        </w:rPr>
      </w:pPr>
    </w:p>
    <w:p w:rsidR="00A15149" w:rsidRDefault="00A15149" w:rsidP="00A15149">
      <w:pPr>
        <w:pStyle w:val="p14"/>
        <w:rPr>
          <w:sz w:val="26"/>
          <w:szCs w:val="26"/>
        </w:rPr>
      </w:pPr>
      <w:r>
        <w:rPr>
          <w:sz w:val="26"/>
          <w:szCs w:val="26"/>
        </w:rPr>
        <w:t>(SEAL)</w:t>
      </w:r>
    </w:p>
    <w:p w:rsidR="00A15149" w:rsidRDefault="00A15149" w:rsidP="00A15149">
      <w:pPr>
        <w:tabs>
          <w:tab w:val="left" w:pos="204"/>
        </w:tabs>
        <w:rPr>
          <w:sz w:val="26"/>
          <w:szCs w:val="26"/>
        </w:rPr>
      </w:pPr>
    </w:p>
    <w:p w:rsidR="00A15149" w:rsidRDefault="00A15149" w:rsidP="00A15149">
      <w:pPr>
        <w:pStyle w:val="p14"/>
        <w:rPr>
          <w:sz w:val="26"/>
          <w:szCs w:val="26"/>
        </w:rPr>
      </w:pPr>
      <w:r>
        <w:rPr>
          <w:sz w:val="26"/>
          <w:szCs w:val="26"/>
        </w:rPr>
        <w:t xml:space="preserve">ORDER ADOPTED:  </w:t>
      </w:r>
      <w:r w:rsidR="00666F22">
        <w:rPr>
          <w:sz w:val="26"/>
          <w:szCs w:val="26"/>
        </w:rPr>
        <w:t>January 24, 2013</w:t>
      </w:r>
    </w:p>
    <w:p w:rsidR="00A15149" w:rsidRDefault="00A15149" w:rsidP="00A15149">
      <w:pPr>
        <w:pStyle w:val="p14"/>
        <w:rPr>
          <w:sz w:val="26"/>
          <w:szCs w:val="26"/>
        </w:rPr>
      </w:pPr>
    </w:p>
    <w:p w:rsidR="00A15149" w:rsidRDefault="00A15149" w:rsidP="00A15149">
      <w:pPr>
        <w:pStyle w:val="p14"/>
        <w:rPr>
          <w:sz w:val="26"/>
          <w:szCs w:val="26"/>
        </w:rPr>
      </w:pPr>
      <w:r>
        <w:rPr>
          <w:sz w:val="26"/>
          <w:szCs w:val="26"/>
        </w:rPr>
        <w:t xml:space="preserve">ORDER ENTERED:  </w:t>
      </w:r>
      <w:r w:rsidR="00801B28">
        <w:rPr>
          <w:sz w:val="26"/>
          <w:szCs w:val="26"/>
        </w:rPr>
        <w:t xml:space="preserve"> January 24, 2013</w:t>
      </w:r>
    </w:p>
    <w:p w:rsidR="003A6BD7" w:rsidRDefault="003A6BD7"/>
    <w:sectPr w:rsidR="003A6BD7" w:rsidSect="00666F2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5F" w:rsidRDefault="00C5665F" w:rsidP="00512B08">
      <w:r>
        <w:separator/>
      </w:r>
    </w:p>
  </w:endnote>
  <w:endnote w:type="continuationSeparator" w:id="0">
    <w:p w:rsidR="00C5665F" w:rsidRDefault="00C5665F" w:rsidP="0051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19474"/>
      <w:docPartObj>
        <w:docPartGallery w:val="Page Numbers (Bottom of Page)"/>
        <w:docPartUnique/>
      </w:docPartObj>
    </w:sdtPr>
    <w:sdtEndPr>
      <w:rPr>
        <w:noProof/>
        <w:sz w:val="22"/>
        <w:szCs w:val="22"/>
      </w:rPr>
    </w:sdtEndPr>
    <w:sdtContent>
      <w:p w:rsidR="00907C71" w:rsidRPr="00666F22" w:rsidRDefault="00907C71" w:rsidP="00666F22">
        <w:pPr>
          <w:pStyle w:val="Footer"/>
          <w:tabs>
            <w:tab w:val="clear" w:pos="4680"/>
          </w:tabs>
          <w:jc w:val="center"/>
          <w:rPr>
            <w:sz w:val="22"/>
            <w:szCs w:val="22"/>
          </w:rPr>
        </w:pPr>
        <w:r w:rsidRPr="00666F22">
          <w:rPr>
            <w:sz w:val="22"/>
            <w:szCs w:val="22"/>
          </w:rPr>
          <w:fldChar w:fldCharType="begin"/>
        </w:r>
        <w:r w:rsidRPr="00666F22">
          <w:rPr>
            <w:sz w:val="22"/>
            <w:szCs w:val="22"/>
          </w:rPr>
          <w:instrText xml:space="preserve"> PAGE   \* MERGEFORMAT </w:instrText>
        </w:r>
        <w:r w:rsidRPr="00666F22">
          <w:rPr>
            <w:sz w:val="22"/>
            <w:szCs w:val="22"/>
          </w:rPr>
          <w:fldChar w:fldCharType="separate"/>
        </w:r>
        <w:r w:rsidR="00801B28">
          <w:rPr>
            <w:noProof/>
            <w:sz w:val="22"/>
            <w:szCs w:val="22"/>
          </w:rPr>
          <w:t>8</w:t>
        </w:r>
        <w:r w:rsidRPr="00666F22">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5F" w:rsidRDefault="00C5665F" w:rsidP="00512B08">
      <w:r>
        <w:separator/>
      </w:r>
    </w:p>
  </w:footnote>
  <w:footnote w:type="continuationSeparator" w:id="0">
    <w:p w:rsidR="00C5665F" w:rsidRDefault="00C5665F" w:rsidP="00512B08">
      <w:r>
        <w:continuationSeparator/>
      </w:r>
    </w:p>
  </w:footnote>
  <w:footnote w:id="1">
    <w:p w:rsidR="00F35032" w:rsidRPr="00666F22" w:rsidRDefault="00F35032" w:rsidP="00666F22">
      <w:pPr>
        <w:pStyle w:val="FootnoteText"/>
        <w:rPr>
          <w:sz w:val="22"/>
          <w:szCs w:val="22"/>
        </w:rPr>
      </w:pPr>
      <w:r w:rsidRPr="00666F22">
        <w:rPr>
          <w:rStyle w:val="FootnoteReference"/>
          <w:sz w:val="22"/>
          <w:szCs w:val="22"/>
        </w:rPr>
        <w:footnoteRef/>
      </w:r>
      <w:r w:rsidRPr="00666F22">
        <w:rPr>
          <w:sz w:val="22"/>
          <w:szCs w:val="22"/>
        </w:rPr>
        <w:t xml:space="preserve"> UFW is, essentially, the amount of water that is “lost,” when compared with the volume produced and the volume sold, taking into account, based on an estimated formula of water used, but not measured, in fire-fighting, hydrant and main flushing, and building construction, and/or due to theft, inaccurate meter recording and faulty meters, among other reasons.  Ongoing leakage, particularly in older systems, is the most prevalent cause of UFW.</w:t>
      </w:r>
    </w:p>
  </w:footnote>
  <w:footnote w:id="2">
    <w:p w:rsidR="00EE5CBA" w:rsidRPr="00666F22" w:rsidRDefault="00EE5CBA" w:rsidP="00666F22">
      <w:pPr>
        <w:pStyle w:val="FootnoteText"/>
        <w:rPr>
          <w:sz w:val="22"/>
          <w:szCs w:val="22"/>
        </w:rPr>
      </w:pPr>
      <w:r w:rsidRPr="00666F22">
        <w:rPr>
          <w:rStyle w:val="FootnoteReference"/>
          <w:sz w:val="22"/>
          <w:szCs w:val="22"/>
        </w:rPr>
        <w:footnoteRef/>
      </w:r>
      <w:r w:rsidRPr="00666F22">
        <w:rPr>
          <w:sz w:val="22"/>
          <w:szCs w:val="22"/>
        </w:rPr>
        <w:t xml:space="preserve"> </w:t>
      </w:r>
      <w:r w:rsidRPr="00666F22">
        <w:rPr>
          <w:i/>
          <w:sz w:val="22"/>
          <w:szCs w:val="22"/>
        </w:rPr>
        <w:t>See</w:t>
      </w:r>
      <w:r w:rsidRPr="00666F22">
        <w:rPr>
          <w:sz w:val="22"/>
          <w:szCs w:val="22"/>
        </w:rPr>
        <w:t xml:space="preserve"> 52 Pa. Code § 65.20.</w:t>
      </w:r>
    </w:p>
  </w:footnote>
  <w:footnote w:id="3">
    <w:p w:rsidR="00F35032" w:rsidRPr="00666F22" w:rsidRDefault="00F35032" w:rsidP="00666F22">
      <w:pPr>
        <w:pStyle w:val="FootnoteText"/>
        <w:rPr>
          <w:sz w:val="22"/>
          <w:szCs w:val="22"/>
        </w:rPr>
      </w:pPr>
      <w:r w:rsidRPr="00666F22">
        <w:rPr>
          <w:rStyle w:val="FootnoteReference"/>
          <w:sz w:val="22"/>
          <w:szCs w:val="22"/>
        </w:rPr>
        <w:footnoteRef/>
      </w:r>
      <w:r w:rsidRPr="00666F22">
        <w:rPr>
          <w:sz w:val="22"/>
          <w:szCs w:val="22"/>
        </w:rPr>
        <w:t xml:space="preserve"> Kozloff, Carol Allen (</w:t>
      </w:r>
      <w:r w:rsidRPr="00666F22">
        <w:rPr>
          <w:i/>
          <w:sz w:val="22"/>
          <w:szCs w:val="22"/>
        </w:rPr>
        <w:t>formerly</w:t>
      </w:r>
      <w:r w:rsidRPr="00666F22">
        <w:rPr>
          <w:sz w:val="22"/>
          <w:szCs w:val="22"/>
        </w:rPr>
        <w:t xml:space="preserve">, Allen, Carol J.), Smith, Roland Y. and Blatt, Harold C., </w:t>
      </w:r>
      <w:r w:rsidRPr="00666F22">
        <w:rPr>
          <w:i/>
          <w:sz w:val="22"/>
          <w:szCs w:val="22"/>
        </w:rPr>
        <w:t>The Pennsylvania Public Utility Commission Analysis and Rate Treatment of Unaccounted-For Water</w:t>
      </w:r>
      <w:r w:rsidRPr="00666F22">
        <w:rPr>
          <w:sz w:val="22"/>
          <w:szCs w:val="22"/>
        </w:rPr>
        <w:t>,</w:t>
      </w:r>
      <w:r w:rsidRPr="00666F22">
        <w:rPr>
          <w:i/>
          <w:sz w:val="22"/>
          <w:szCs w:val="22"/>
        </w:rPr>
        <w:t xml:space="preserve"> </w:t>
      </w:r>
      <w:r w:rsidRPr="00666F22">
        <w:rPr>
          <w:sz w:val="22"/>
          <w:szCs w:val="22"/>
        </w:rPr>
        <w:t>May</w:t>
      </w:r>
      <w:r w:rsidR="00666F22">
        <w:rPr>
          <w:sz w:val="22"/>
          <w:szCs w:val="22"/>
        </w:rPr>
        <w:t> </w:t>
      </w:r>
      <w:r w:rsidRPr="00666F22">
        <w:rPr>
          <w:sz w:val="22"/>
          <w:szCs w:val="22"/>
        </w:rPr>
        <w:t>1986.</w:t>
      </w:r>
    </w:p>
  </w:footnote>
  <w:footnote w:id="4">
    <w:p w:rsidR="00F35032" w:rsidRPr="00666F22" w:rsidRDefault="00F35032" w:rsidP="00666F22">
      <w:pPr>
        <w:pStyle w:val="FootnoteText"/>
        <w:rPr>
          <w:sz w:val="22"/>
          <w:szCs w:val="22"/>
        </w:rPr>
      </w:pPr>
      <w:r w:rsidRPr="00666F22">
        <w:rPr>
          <w:rStyle w:val="FootnoteReference"/>
          <w:sz w:val="22"/>
          <w:szCs w:val="22"/>
        </w:rPr>
        <w:footnoteRef/>
      </w:r>
      <w:r w:rsidRPr="00666F22">
        <w:rPr>
          <w:sz w:val="22"/>
          <w:szCs w:val="22"/>
        </w:rPr>
        <w:t xml:space="preserve"> Texas Water Development Board, </w:t>
      </w:r>
      <w:r w:rsidRPr="00666F22">
        <w:rPr>
          <w:i/>
          <w:sz w:val="22"/>
          <w:szCs w:val="22"/>
        </w:rPr>
        <w:t>Water Loss Audit Manual for Texas Utilities</w:t>
      </w:r>
      <w:r w:rsidRPr="00666F22">
        <w:rPr>
          <w:sz w:val="22"/>
          <w:szCs w:val="22"/>
        </w:rPr>
        <w:t>,</w:t>
      </w:r>
      <w:r w:rsidRPr="00666F22">
        <w:rPr>
          <w:i/>
          <w:sz w:val="22"/>
          <w:szCs w:val="22"/>
        </w:rPr>
        <w:t xml:space="preserve"> </w:t>
      </w:r>
      <w:r w:rsidRPr="00666F22">
        <w:rPr>
          <w:sz w:val="22"/>
          <w:szCs w:val="22"/>
        </w:rPr>
        <w:t>March 2008.</w:t>
      </w:r>
    </w:p>
  </w:footnote>
  <w:footnote w:id="5">
    <w:p w:rsidR="00F35032" w:rsidRPr="00666F22" w:rsidRDefault="00F35032" w:rsidP="00666F22">
      <w:pPr>
        <w:pStyle w:val="FootnoteText"/>
        <w:rPr>
          <w:sz w:val="22"/>
          <w:szCs w:val="22"/>
        </w:rPr>
      </w:pPr>
      <w:r w:rsidRPr="00666F22">
        <w:rPr>
          <w:rStyle w:val="FootnoteReference"/>
          <w:sz w:val="22"/>
          <w:szCs w:val="22"/>
        </w:rPr>
        <w:footnoteRef/>
      </w:r>
      <w:r w:rsidRPr="00666F22">
        <w:rPr>
          <w:sz w:val="22"/>
          <w:szCs w:val="22"/>
        </w:rPr>
        <w:t xml:space="preserve"> Journal AWWA, </w:t>
      </w:r>
      <w:r w:rsidRPr="00666F22">
        <w:rPr>
          <w:i/>
          <w:sz w:val="22"/>
          <w:szCs w:val="22"/>
        </w:rPr>
        <w:t>Applying World-wide Best Management Practices in Water Loss Control</w:t>
      </w:r>
      <w:r w:rsidRPr="00666F22">
        <w:rPr>
          <w:sz w:val="22"/>
          <w:szCs w:val="22"/>
        </w:rPr>
        <w:t>, August</w:t>
      </w:r>
      <w:r w:rsidR="00666F22">
        <w:rPr>
          <w:sz w:val="22"/>
          <w:szCs w:val="22"/>
        </w:rPr>
        <w:t> </w:t>
      </w:r>
      <w:r w:rsidRPr="00666F22">
        <w:rPr>
          <w:sz w:val="22"/>
          <w:szCs w:val="22"/>
        </w:rPr>
        <w:t>2003.</w:t>
      </w:r>
    </w:p>
  </w:footnote>
  <w:footnote w:id="6">
    <w:p w:rsidR="00F35032" w:rsidRPr="00666F22" w:rsidRDefault="00F35032" w:rsidP="00666F22">
      <w:pPr>
        <w:pStyle w:val="FootnoteText"/>
        <w:rPr>
          <w:sz w:val="22"/>
          <w:szCs w:val="22"/>
        </w:rPr>
      </w:pPr>
      <w:r w:rsidRPr="00666F22">
        <w:rPr>
          <w:rStyle w:val="FootnoteReference"/>
          <w:sz w:val="22"/>
          <w:szCs w:val="22"/>
        </w:rPr>
        <w:footnoteRef/>
      </w:r>
      <w:r w:rsidRPr="00666F22">
        <w:rPr>
          <w:sz w:val="22"/>
          <w:szCs w:val="22"/>
        </w:rPr>
        <w:t xml:space="preserve"> See http://www.awwa.org/WaterWiser/waterloss/Docs/WaterAuditSoftware.cfm.</w:t>
      </w:r>
      <w:r w:rsidRPr="00666F22">
        <w:rPr>
          <w:rFonts w:ascii="Arial" w:hAnsi="Arial" w:cs="Arial"/>
          <w:sz w:val="22"/>
          <w:szCs w:val="22"/>
        </w:rPr>
        <w:t xml:space="preserve">  </w:t>
      </w:r>
    </w:p>
  </w:footnote>
  <w:footnote w:id="7">
    <w:p w:rsidR="00F35032" w:rsidRPr="00666F22" w:rsidRDefault="00F35032" w:rsidP="00666F22">
      <w:pPr>
        <w:pStyle w:val="FootnoteText"/>
        <w:rPr>
          <w:sz w:val="22"/>
          <w:szCs w:val="22"/>
        </w:rPr>
      </w:pPr>
      <w:r w:rsidRPr="00666F22">
        <w:rPr>
          <w:rStyle w:val="FootnoteReference"/>
          <w:sz w:val="22"/>
          <w:szCs w:val="22"/>
        </w:rPr>
        <w:footnoteRef/>
      </w:r>
      <w:r w:rsidRPr="00666F22">
        <w:rPr>
          <w:sz w:val="22"/>
          <w:szCs w:val="22"/>
        </w:rPr>
        <w:t xml:space="preserve"> American Water Works Association Research Foundation Project 2811, </w:t>
      </w:r>
      <w:r w:rsidRPr="00666F22">
        <w:rPr>
          <w:i/>
          <w:sz w:val="22"/>
          <w:szCs w:val="22"/>
        </w:rPr>
        <w:t>Evaluating Water Loss and Planning Loss Reduction Strategies Report</w:t>
      </w:r>
      <w:r w:rsidRPr="00666F22">
        <w:rPr>
          <w:sz w:val="22"/>
          <w:szCs w:val="22"/>
        </w:rPr>
        <w:t>, March 2007.</w:t>
      </w:r>
    </w:p>
  </w:footnote>
  <w:footnote w:id="8">
    <w:p w:rsidR="00F35032" w:rsidRDefault="00F35032" w:rsidP="00666F22">
      <w:pPr>
        <w:pStyle w:val="FootnoteText"/>
        <w:rPr>
          <w:sz w:val="26"/>
        </w:rPr>
      </w:pPr>
      <w:r w:rsidRPr="00666F22">
        <w:rPr>
          <w:rStyle w:val="FootnoteReference"/>
          <w:sz w:val="22"/>
          <w:szCs w:val="22"/>
        </w:rPr>
        <w:footnoteRef/>
      </w:r>
      <w:r w:rsidRPr="00666F22">
        <w:rPr>
          <w:sz w:val="22"/>
          <w:szCs w:val="22"/>
        </w:rPr>
        <w:t xml:space="preserve"> George Kunkle P.E., who serves as Philadelphia Water Department’s Assistant Chief, Water Conveyance Section, must be acknowledged for his ongoing efforts to develop and implement the Water Audit Methodology.  Mr. Kunkle served on the IWA/AWWA Committee, which initiated the new procedure, helped develop the AWWA software, and actively helps promote its implementation.  Furthermore, Mr. Kunkle has given Water Audit presentations to the National Association of Regulatory Utility Commissioners Committee on Water, before Public Utility Commission Staff and interested stakeholders.</w:t>
      </w:r>
      <w:r>
        <w:rPr>
          <w:sz w:val="26"/>
        </w:rPr>
        <w:t xml:space="preserve">  </w:t>
      </w:r>
    </w:p>
  </w:footnote>
  <w:footnote w:id="9">
    <w:p w:rsidR="00E14690" w:rsidRPr="00630BA7" w:rsidRDefault="00E14690" w:rsidP="00E14690">
      <w:pPr>
        <w:pStyle w:val="FootnoteText"/>
        <w:rPr>
          <w:sz w:val="22"/>
          <w:szCs w:val="22"/>
        </w:rPr>
      </w:pPr>
      <w:r>
        <w:rPr>
          <w:rStyle w:val="FootnoteReference"/>
        </w:rPr>
        <w:footnoteRef/>
      </w:r>
      <w:r>
        <w:t xml:space="preserve"> </w:t>
      </w:r>
      <w:r w:rsidRPr="00630BA7">
        <w:rPr>
          <w:sz w:val="22"/>
          <w:szCs w:val="22"/>
        </w:rPr>
        <w:t xml:space="preserve">A </w:t>
      </w:r>
      <w:r>
        <w:rPr>
          <w:sz w:val="22"/>
          <w:szCs w:val="22"/>
        </w:rPr>
        <w:t>Secretarial Letter</w:t>
      </w:r>
      <w:r w:rsidRPr="00630BA7">
        <w:rPr>
          <w:sz w:val="22"/>
          <w:szCs w:val="22"/>
        </w:rPr>
        <w:t xml:space="preserve"> </w:t>
      </w:r>
      <w:r>
        <w:rPr>
          <w:sz w:val="22"/>
          <w:szCs w:val="22"/>
        </w:rPr>
        <w:t xml:space="preserve">finalizing the 2011 Tentative Order </w:t>
      </w:r>
      <w:r w:rsidRPr="00630BA7">
        <w:rPr>
          <w:sz w:val="22"/>
          <w:szCs w:val="22"/>
        </w:rPr>
        <w:t>was issued on January 27, 2012</w:t>
      </w:r>
      <w:r>
        <w:rPr>
          <w:sz w:val="22"/>
          <w:szCs w:val="22"/>
        </w:rPr>
        <w:t xml:space="preserve">, at Docket No. M-2008-2062697, </w:t>
      </w:r>
      <w:r w:rsidRPr="00630BA7">
        <w:rPr>
          <w:sz w:val="22"/>
          <w:szCs w:val="22"/>
        </w:rPr>
        <w:t xml:space="preserve">after the only comments filed to the 2011 Tentative Order </w:t>
      </w:r>
      <w:r w:rsidR="0020120A" w:rsidRPr="00630BA7">
        <w:rPr>
          <w:sz w:val="22"/>
          <w:szCs w:val="22"/>
        </w:rPr>
        <w:t>was</w:t>
      </w:r>
      <w:r w:rsidRPr="00630BA7">
        <w:rPr>
          <w:sz w:val="22"/>
          <w:szCs w:val="22"/>
        </w:rPr>
        <w:t xml:space="preserve"> withdrawn.</w:t>
      </w:r>
    </w:p>
    <w:p w:rsidR="00E14690" w:rsidRDefault="00E1469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456E"/>
    <w:multiLevelType w:val="hybridMultilevel"/>
    <w:tmpl w:val="BD4EFD74"/>
    <w:lvl w:ilvl="0" w:tplc="697426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49"/>
    <w:rsid w:val="00000D5E"/>
    <w:rsid w:val="00001332"/>
    <w:rsid w:val="0000354D"/>
    <w:rsid w:val="00003688"/>
    <w:rsid w:val="00004890"/>
    <w:rsid w:val="00004895"/>
    <w:rsid w:val="000062C3"/>
    <w:rsid w:val="000063DD"/>
    <w:rsid w:val="00006826"/>
    <w:rsid w:val="00007A6B"/>
    <w:rsid w:val="0001051B"/>
    <w:rsid w:val="00010D84"/>
    <w:rsid w:val="000127F9"/>
    <w:rsid w:val="00012B7E"/>
    <w:rsid w:val="00012FD7"/>
    <w:rsid w:val="000134EE"/>
    <w:rsid w:val="0001491F"/>
    <w:rsid w:val="00014A35"/>
    <w:rsid w:val="00014BBB"/>
    <w:rsid w:val="00014C63"/>
    <w:rsid w:val="00014DD9"/>
    <w:rsid w:val="00014E75"/>
    <w:rsid w:val="00016FC2"/>
    <w:rsid w:val="0001706E"/>
    <w:rsid w:val="0001798D"/>
    <w:rsid w:val="000221F7"/>
    <w:rsid w:val="00022599"/>
    <w:rsid w:val="00022C3A"/>
    <w:rsid w:val="000230BF"/>
    <w:rsid w:val="00023E73"/>
    <w:rsid w:val="00023EA0"/>
    <w:rsid w:val="000244CC"/>
    <w:rsid w:val="00024C91"/>
    <w:rsid w:val="00025295"/>
    <w:rsid w:val="00025B3E"/>
    <w:rsid w:val="00025E93"/>
    <w:rsid w:val="00026FDD"/>
    <w:rsid w:val="000270B7"/>
    <w:rsid w:val="00027F71"/>
    <w:rsid w:val="00030371"/>
    <w:rsid w:val="000313A4"/>
    <w:rsid w:val="000317CA"/>
    <w:rsid w:val="00031FDC"/>
    <w:rsid w:val="0003263B"/>
    <w:rsid w:val="00032E5A"/>
    <w:rsid w:val="00032FE7"/>
    <w:rsid w:val="00033CA5"/>
    <w:rsid w:val="00035BF0"/>
    <w:rsid w:val="00036706"/>
    <w:rsid w:val="00036B7C"/>
    <w:rsid w:val="00037CC3"/>
    <w:rsid w:val="000404DD"/>
    <w:rsid w:val="000411B6"/>
    <w:rsid w:val="00041AA3"/>
    <w:rsid w:val="0004200E"/>
    <w:rsid w:val="00042812"/>
    <w:rsid w:val="00042A78"/>
    <w:rsid w:val="0004334F"/>
    <w:rsid w:val="00044011"/>
    <w:rsid w:val="00046E0C"/>
    <w:rsid w:val="00047222"/>
    <w:rsid w:val="000501F9"/>
    <w:rsid w:val="000508D0"/>
    <w:rsid w:val="00050BF8"/>
    <w:rsid w:val="00051102"/>
    <w:rsid w:val="00052E30"/>
    <w:rsid w:val="0005391E"/>
    <w:rsid w:val="00053CB1"/>
    <w:rsid w:val="00053E7F"/>
    <w:rsid w:val="00054559"/>
    <w:rsid w:val="00054D28"/>
    <w:rsid w:val="00055F6D"/>
    <w:rsid w:val="0005655E"/>
    <w:rsid w:val="00056A44"/>
    <w:rsid w:val="00056B8E"/>
    <w:rsid w:val="0005703A"/>
    <w:rsid w:val="000572CD"/>
    <w:rsid w:val="00057AF4"/>
    <w:rsid w:val="00057C8A"/>
    <w:rsid w:val="00060EB5"/>
    <w:rsid w:val="00061FCF"/>
    <w:rsid w:val="0006204E"/>
    <w:rsid w:val="000628BF"/>
    <w:rsid w:val="00062FE6"/>
    <w:rsid w:val="00063D09"/>
    <w:rsid w:val="00064616"/>
    <w:rsid w:val="00065646"/>
    <w:rsid w:val="000659B9"/>
    <w:rsid w:val="00065B6D"/>
    <w:rsid w:val="00066F15"/>
    <w:rsid w:val="00066F49"/>
    <w:rsid w:val="0006739E"/>
    <w:rsid w:val="00067791"/>
    <w:rsid w:val="000678BE"/>
    <w:rsid w:val="00070A5B"/>
    <w:rsid w:val="00070DC3"/>
    <w:rsid w:val="00071712"/>
    <w:rsid w:val="00071A0A"/>
    <w:rsid w:val="000720D7"/>
    <w:rsid w:val="00072961"/>
    <w:rsid w:val="00072C16"/>
    <w:rsid w:val="000736D4"/>
    <w:rsid w:val="00073A19"/>
    <w:rsid w:val="000740D9"/>
    <w:rsid w:val="000743F2"/>
    <w:rsid w:val="0007463C"/>
    <w:rsid w:val="00074754"/>
    <w:rsid w:val="00074FAC"/>
    <w:rsid w:val="00074FF2"/>
    <w:rsid w:val="00076033"/>
    <w:rsid w:val="0007620A"/>
    <w:rsid w:val="000763CF"/>
    <w:rsid w:val="000772AA"/>
    <w:rsid w:val="000779BF"/>
    <w:rsid w:val="00080B3E"/>
    <w:rsid w:val="00082057"/>
    <w:rsid w:val="000821B2"/>
    <w:rsid w:val="00082CCA"/>
    <w:rsid w:val="00083528"/>
    <w:rsid w:val="00083731"/>
    <w:rsid w:val="00083E5D"/>
    <w:rsid w:val="0008423A"/>
    <w:rsid w:val="000849BA"/>
    <w:rsid w:val="00084DEE"/>
    <w:rsid w:val="0008587E"/>
    <w:rsid w:val="000876F3"/>
    <w:rsid w:val="00090453"/>
    <w:rsid w:val="00090A70"/>
    <w:rsid w:val="00091225"/>
    <w:rsid w:val="00092B41"/>
    <w:rsid w:val="00092EC8"/>
    <w:rsid w:val="000954BF"/>
    <w:rsid w:val="00095D13"/>
    <w:rsid w:val="000970CD"/>
    <w:rsid w:val="000A10A0"/>
    <w:rsid w:val="000A2DEB"/>
    <w:rsid w:val="000A30D8"/>
    <w:rsid w:val="000A3B30"/>
    <w:rsid w:val="000A4BB2"/>
    <w:rsid w:val="000A4E17"/>
    <w:rsid w:val="000A5A77"/>
    <w:rsid w:val="000A5BEA"/>
    <w:rsid w:val="000A6468"/>
    <w:rsid w:val="000B076A"/>
    <w:rsid w:val="000B08B3"/>
    <w:rsid w:val="000B1E32"/>
    <w:rsid w:val="000B1E44"/>
    <w:rsid w:val="000B20F1"/>
    <w:rsid w:val="000B23B3"/>
    <w:rsid w:val="000B276A"/>
    <w:rsid w:val="000B37F3"/>
    <w:rsid w:val="000B435D"/>
    <w:rsid w:val="000B4D1D"/>
    <w:rsid w:val="000B6F9E"/>
    <w:rsid w:val="000B7893"/>
    <w:rsid w:val="000C0ABD"/>
    <w:rsid w:val="000C11DD"/>
    <w:rsid w:val="000C1493"/>
    <w:rsid w:val="000C19FE"/>
    <w:rsid w:val="000C1D55"/>
    <w:rsid w:val="000C1E70"/>
    <w:rsid w:val="000C2146"/>
    <w:rsid w:val="000C2FC7"/>
    <w:rsid w:val="000C349A"/>
    <w:rsid w:val="000C3CF4"/>
    <w:rsid w:val="000C5BCB"/>
    <w:rsid w:val="000D01FD"/>
    <w:rsid w:val="000D1252"/>
    <w:rsid w:val="000D15C9"/>
    <w:rsid w:val="000D15CB"/>
    <w:rsid w:val="000D17E6"/>
    <w:rsid w:val="000D1E74"/>
    <w:rsid w:val="000D1E9A"/>
    <w:rsid w:val="000D3842"/>
    <w:rsid w:val="000D3D76"/>
    <w:rsid w:val="000D3F37"/>
    <w:rsid w:val="000D4066"/>
    <w:rsid w:val="000D4BD8"/>
    <w:rsid w:val="000D5594"/>
    <w:rsid w:val="000D5B68"/>
    <w:rsid w:val="000D5CB4"/>
    <w:rsid w:val="000D65BA"/>
    <w:rsid w:val="000D7FAD"/>
    <w:rsid w:val="000E04DE"/>
    <w:rsid w:val="000E15E3"/>
    <w:rsid w:val="000E1A14"/>
    <w:rsid w:val="000E1F09"/>
    <w:rsid w:val="000E2C1B"/>
    <w:rsid w:val="000E3A2E"/>
    <w:rsid w:val="000E58B3"/>
    <w:rsid w:val="000E5F00"/>
    <w:rsid w:val="000E731B"/>
    <w:rsid w:val="000E7B65"/>
    <w:rsid w:val="000F0CFE"/>
    <w:rsid w:val="000F14BF"/>
    <w:rsid w:val="000F1919"/>
    <w:rsid w:val="000F355F"/>
    <w:rsid w:val="000F3624"/>
    <w:rsid w:val="000F62FB"/>
    <w:rsid w:val="000F6730"/>
    <w:rsid w:val="000F6A0A"/>
    <w:rsid w:val="000F6B0E"/>
    <w:rsid w:val="000F75BC"/>
    <w:rsid w:val="000F7E96"/>
    <w:rsid w:val="001001F9"/>
    <w:rsid w:val="0010079B"/>
    <w:rsid w:val="00100B85"/>
    <w:rsid w:val="0010315C"/>
    <w:rsid w:val="001037E4"/>
    <w:rsid w:val="00104914"/>
    <w:rsid w:val="001051B3"/>
    <w:rsid w:val="00105461"/>
    <w:rsid w:val="00105C1B"/>
    <w:rsid w:val="0010634D"/>
    <w:rsid w:val="001067CA"/>
    <w:rsid w:val="00106E09"/>
    <w:rsid w:val="001116A1"/>
    <w:rsid w:val="00111C08"/>
    <w:rsid w:val="001121C4"/>
    <w:rsid w:val="0011417E"/>
    <w:rsid w:val="001143B6"/>
    <w:rsid w:val="0011752C"/>
    <w:rsid w:val="00120567"/>
    <w:rsid w:val="00120808"/>
    <w:rsid w:val="00121CC3"/>
    <w:rsid w:val="00122A8D"/>
    <w:rsid w:val="00122ADC"/>
    <w:rsid w:val="00122EF9"/>
    <w:rsid w:val="0012484E"/>
    <w:rsid w:val="00124AE5"/>
    <w:rsid w:val="00124C22"/>
    <w:rsid w:val="00126464"/>
    <w:rsid w:val="001307D6"/>
    <w:rsid w:val="00131F68"/>
    <w:rsid w:val="001323FF"/>
    <w:rsid w:val="001327B6"/>
    <w:rsid w:val="001340BB"/>
    <w:rsid w:val="001351C6"/>
    <w:rsid w:val="001351D7"/>
    <w:rsid w:val="00136D47"/>
    <w:rsid w:val="001408F3"/>
    <w:rsid w:val="001417F3"/>
    <w:rsid w:val="001430A2"/>
    <w:rsid w:val="00143AD1"/>
    <w:rsid w:val="00143C95"/>
    <w:rsid w:val="001442E2"/>
    <w:rsid w:val="00145828"/>
    <w:rsid w:val="00146621"/>
    <w:rsid w:val="00146729"/>
    <w:rsid w:val="00146B3A"/>
    <w:rsid w:val="0014751B"/>
    <w:rsid w:val="00150D27"/>
    <w:rsid w:val="001513BE"/>
    <w:rsid w:val="00151F78"/>
    <w:rsid w:val="00152D6C"/>
    <w:rsid w:val="001533B9"/>
    <w:rsid w:val="001537B2"/>
    <w:rsid w:val="00153AC4"/>
    <w:rsid w:val="001541E7"/>
    <w:rsid w:val="0015563C"/>
    <w:rsid w:val="001573C8"/>
    <w:rsid w:val="00157D44"/>
    <w:rsid w:val="0016033A"/>
    <w:rsid w:val="00161707"/>
    <w:rsid w:val="00161D59"/>
    <w:rsid w:val="00161D84"/>
    <w:rsid w:val="00162CD5"/>
    <w:rsid w:val="00162F98"/>
    <w:rsid w:val="00163459"/>
    <w:rsid w:val="0016368C"/>
    <w:rsid w:val="001638B4"/>
    <w:rsid w:val="001643C2"/>
    <w:rsid w:val="00164C77"/>
    <w:rsid w:val="00165789"/>
    <w:rsid w:val="00165F21"/>
    <w:rsid w:val="001667D9"/>
    <w:rsid w:val="001668B1"/>
    <w:rsid w:val="00166A67"/>
    <w:rsid w:val="001675E0"/>
    <w:rsid w:val="00167F87"/>
    <w:rsid w:val="00170109"/>
    <w:rsid w:val="0017029C"/>
    <w:rsid w:val="00170B8D"/>
    <w:rsid w:val="00171FD2"/>
    <w:rsid w:val="0017230C"/>
    <w:rsid w:val="001730EB"/>
    <w:rsid w:val="00173A30"/>
    <w:rsid w:val="00173AEC"/>
    <w:rsid w:val="0017421A"/>
    <w:rsid w:val="001751CE"/>
    <w:rsid w:val="00176AF7"/>
    <w:rsid w:val="001837E2"/>
    <w:rsid w:val="001849D8"/>
    <w:rsid w:val="00184A69"/>
    <w:rsid w:val="00184C47"/>
    <w:rsid w:val="00185729"/>
    <w:rsid w:val="00185928"/>
    <w:rsid w:val="00186F3B"/>
    <w:rsid w:val="00186FFE"/>
    <w:rsid w:val="0018702C"/>
    <w:rsid w:val="00190073"/>
    <w:rsid w:val="0019189F"/>
    <w:rsid w:val="00191923"/>
    <w:rsid w:val="0019238D"/>
    <w:rsid w:val="00193F13"/>
    <w:rsid w:val="00194552"/>
    <w:rsid w:val="00196BC3"/>
    <w:rsid w:val="00197BB7"/>
    <w:rsid w:val="001A17BF"/>
    <w:rsid w:val="001A1CF1"/>
    <w:rsid w:val="001A1E7A"/>
    <w:rsid w:val="001A2A36"/>
    <w:rsid w:val="001A3077"/>
    <w:rsid w:val="001A3263"/>
    <w:rsid w:val="001A3AC4"/>
    <w:rsid w:val="001A47CC"/>
    <w:rsid w:val="001A4DD2"/>
    <w:rsid w:val="001A5121"/>
    <w:rsid w:val="001A54C5"/>
    <w:rsid w:val="001A6402"/>
    <w:rsid w:val="001A65D9"/>
    <w:rsid w:val="001A66C5"/>
    <w:rsid w:val="001A6CB6"/>
    <w:rsid w:val="001A6DF6"/>
    <w:rsid w:val="001A7195"/>
    <w:rsid w:val="001A7240"/>
    <w:rsid w:val="001B058F"/>
    <w:rsid w:val="001B119A"/>
    <w:rsid w:val="001B1214"/>
    <w:rsid w:val="001B1E1B"/>
    <w:rsid w:val="001B26B8"/>
    <w:rsid w:val="001B2869"/>
    <w:rsid w:val="001B2E08"/>
    <w:rsid w:val="001B3A1D"/>
    <w:rsid w:val="001B44DF"/>
    <w:rsid w:val="001B5ACA"/>
    <w:rsid w:val="001B6B8B"/>
    <w:rsid w:val="001B6EC1"/>
    <w:rsid w:val="001C08C4"/>
    <w:rsid w:val="001C1515"/>
    <w:rsid w:val="001C154D"/>
    <w:rsid w:val="001C17AE"/>
    <w:rsid w:val="001C275C"/>
    <w:rsid w:val="001C4125"/>
    <w:rsid w:val="001C4A3E"/>
    <w:rsid w:val="001C4C93"/>
    <w:rsid w:val="001C4D9C"/>
    <w:rsid w:val="001C5471"/>
    <w:rsid w:val="001C607B"/>
    <w:rsid w:val="001C6AB8"/>
    <w:rsid w:val="001C72E2"/>
    <w:rsid w:val="001D0E73"/>
    <w:rsid w:val="001D16C1"/>
    <w:rsid w:val="001D2EAE"/>
    <w:rsid w:val="001D3C5C"/>
    <w:rsid w:val="001D4392"/>
    <w:rsid w:val="001D4697"/>
    <w:rsid w:val="001D55DB"/>
    <w:rsid w:val="001D5D85"/>
    <w:rsid w:val="001D6434"/>
    <w:rsid w:val="001D65EC"/>
    <w:rsid w:val="001E0C8B"/>
    <w:rsid w:val="001E0E45"/>
    <w:rsid w:val="001E1E93"/>
    <w:rsid w:val="001E28C5"/>
    <w:rsid w:val="001E306F"/>
    <w:rsid w:val="001E3703"/>
    <w:rsid w:val="001E4006"/>
    <w:rsid w:val="001E4058"/>
    <w:rsid w:val="001E416F"/>
    <w:rsid w:val="001E4181"/>
    <w:rsid w:val="001E42DC"/>
    <w:rsid w:val="001E4ADB"/>
    <w:rsid w:val="001E53DA"/>
    <w:rsid w:val="001E5C49"/>
    <w:rsid w:val="001E7CF8"/>
    <w:rsid w:val="001F0532"/>
    <w:rsid w:val="001F0B49"/>
    <w:rsid w:val="001F15B5"/>
    <w:rsid w:val="001F16B1"/>
    <w:rsid w:val="001F2BD4"/>
    <w:rsid w:val="001F3052"/>
    <w:rsid w:val="001F3481"/>
    <w:rsid w:val="001F41B1"/>
    <w:rsid w:val="001F4233"/>
    <w:rsid w:val="001F4C2A"/>
    <w:rsid w:val="001F53E5"/>
    <w:rsid w:val="001F56D3"/>
    <w:rsid w:val="001F5E6B"/>
    <w:rsid w:val="001F6E00"/>
    <w:rsid w:val="001F731F"/>
    <w:rsid w:val="001F7580"/>
    <w:rsid w:val="001F7846"/>
    <w:rsid w:val="0020072B"/>
    <w:rsid w:val="00200891"/>
    <w:rsid w:val="00200B2B"/>
    <w:rsid w:val="00200E0A"/>
    <w:rsid w:val="0020120A"/>
    <w:rsid w:val="00201A9B"/>
    <w:rsid w:val="00201EAE"/>
    <w:rsid w:val="00202061"/>
    <w:rsid w:val="00203124"/>
    <w:rsid w:val="002033E0"/>
    <w:rsid w:val="00203D8C"/>
    <w:rsid w:val="00204597"/>
    <w:rsid w:val="002045B4"/>
    <w:rsid w:val="00204E4B"/>
    <w:rsid w:val="00204E52"/>
    <w:rsid w:val="00205BEA"/>
    <w:rsid w:val="00205C05"/>
    <w:rsid w:val="00205D59"/>
    <w:rsid w:val="00205ECB"/>
    <w:rsid w:val="00206755"/>
    <w:rsid w:val="00207080"/>
    <w:rsid w:val="0020737D"/>
    <w:rsid w:val="0021021B"/>
    <w:rsid w:val="002103A5"/>
    <w:rsid w:val="0021049E"/>
    <w:rsid w:val="00211044"/>
    <w:rsid w:val="002134CB"/>
    <w:rsid w:val="0021433B"/>
    <w:rsid w:val="00215A2B"/>
    <w:rsid w:val="002165AE"/>
    <w:rsid w:val="00217A1C"/>
    <w:rsid w:val="00220C4C"/>
    <w:rsid w:val="00220CC0"/>
    <w:rsid w:val="00220ED0"/>
    <w:rsid w:val="0022108A"/>
    <w:rsid w:val="0022123B"/>
    <w:rsid w:val="00221CDE"/>
    <w:rsid w:val="0022227A"/>
    <w:rsid w:val="00222CB0"/>
    <w:rsid w:val="00223057"/>
    <w:rsid w:val="0022318B"/>
    <w:rsid w:val="00223891"/>
    <w:rsid w:val="00224771"/>
    <w:rsid w:val="0022701D"/>
    <w:rsid w:val="00227993"/>
    <w:rsid w:val="002305AC"/>
    <w:rsid w:val="00231354"/>
    <w:rsid w:val="00231D52"/>
    <w:rsid w:val="00231F96"/>
    <w:rsid w:val="0023266F"/>
    <w:rsid w:val="002327EC"/>
    <w:rsid w:val="002336DB"/>
    <w:rsid w:val="002339F6"/>
    <w:rsid w:val="00233AB3"/>
    <w:rsid w:val="00233EFC"/>
    <w:rsid w:val="00234149"/>
    <w:rsid w:val="0023423E"/>
    <w:rsid w:val="002347A2"/>
    <w:rsid w:val="00234E9C"/>
    <w:rsid w:val="0023566B"/>
    <w:rsid w:val="00236C83"/>
    <w:rsid w:val="00240751"/>
    <w:rsid w:val="00241B33"/>
    <w:rsid w:val="00241CD1"/>
    <w:rsid w:val="002429BB"/>
    <w:rsid w:val="00243372"/>
    <w:rsid w:val="00243DDC"/>
    <w:rsid w:val="002445AC"/>
    <w:rsid w:val="0024504E"/>
    <w:rsid w:val="00246D94"/>
    <w:rsid w:val="00247280"/>
    <w:rsid w:val="002472D0"/>
    <w:rsid w:val="00247366"/>
    <w:rsid w:val="002479AB"/>
    <w:rsid w:val="00247AA0"/>
    <w:rsid w:val="00247FE7"/>
    <w:rsid w:val="0025001E"/>
    <w:rsid w:val="0025065C"/>
    <w:rsid w:val="00251EF2"/>
    <w:rsid w:val="002525F7"/>
    <w:rsid w:val="00253AD4"/>
    <w:rsid w:val="00253BC4"/>
    <w:rsid w:val="00254539"/>
    <w:rsid w:val="0025615C"/>
    <w:rsid w:val="002569EB"/>
    <w:rsid w:val="00260ED0"/>
    <w:rsid w:val="002613B7"/>
    <w:rsid w:val="0026371F"/>
    <w:rsid w:val="00263785"/>
    <w:rsid w:val="0026384C"/>
    <w:rsid w:val="0026499F"/>
    <w:rsid w:val="002651F0"/>
    <w:rsid w:val="002652E1"/>
    <w:rsid w:val="00265C3F"/>
    <w:rsid w:val="00270F8B"/>
    <w:rsid w:val="002720CB"/>
    <w:rsid w:val="0027275E"/>
    <w:rsid w:val="00273567"/>
    <w:rsid w:val="00274C2C"/>
    <w:rsid w:val="00277E82"/>
    <w:rsid w:val="00280726"/>
    <w:rsid w:val="00281A95"/>
    <w:rsid w:val="00282302"/>
    <w:rsid w:val="00282AE9"/>
    <w:rsid w:val="002835D9"/>
    <w:rsid w:val="00284BE9"/>
    <w:rsid w:val="00285132"/>
    <w:rsid w:val="00286529"/>
    <w:rsid w:val="00286AE7"/>
    <w:rsid w:val="0028712D"/>
    <w:rsid w:val="00290937"/>
    <w:rsid w:val="00290AE0"/>
    <w:rsid w:val="002931CA"/>
    <w:rsid w:val="00293C73"/>
    <w:rsid w:val="00293EE4"/>
    <w:rsid w:val="002943DB"/>
    <w:rsid w:val="00294E31"/>
    <w:rsid w:val="002966A1"/>
    <w:rsid w:val="00297274"/>
    <w:rsid w:val="002976E8"/>
    <w:rsid w:val="002978D4"/>
    <w:rsid w:val="00297974"/>
    <w:rsid w:val="002A0431"/>
    <w:rsid w:val="002A0CAC"/>
    <w:rsid w:val="002A1C6A"/>
    <w:rsid w:val="002A1EEB"/>
    <w:rsid w:val="002A2497"/>
    <w:rsid w:val="002A25A7"/>
    <w:rsid w:val="002A25AD"/>
    <w:rsid w:val="002A2654"/>
    <w:rsid w:val="002A4B80"/>
    <w:rsid w:val="002A4F01"/>
    <w:rsid w:val="002A5976"/>
    <w:rsid w:val="002A634C"/>
    <w:rsid w:val="002A6840"/>
    <w:rsid w:val="002A721A"/>
    <w:rsid w:val="002A7693"/>
    <w:rsid w:val="002B0268"/>
    <w:rsid w:val="002B1055"/>
    <w:rsid w:val="002B2524"/>
    <w:rsid w:val="002B2642"/>
    <w:rsid w:val="002B26DA"/>
    <w:rsid w:val="002B37D6"/>
    <w:rsid w:val="002B3BB6"/>
    <w:rsid w:val="002B5F9A"/>
    <w:rsid w:val="002B6D32"/>
    <w:rsid w:val="002B6E15"/>
    <w:rsid w:val="002B72E5"/>
    <w:rsid w:val="002C1751"/>
    <w:rsid w:val="002C2259"/>
    <w:rsid w:val="002C27C1"/>
    <w:rsid w:val="002C2FC3"/>
    <w:rsid w:val="002C38C4"/>
    <w:rsid w:val="002C4486"/>
    <w:rsid w:val="002C5A1E"/>
    <w:rsid w:val="002C6DA6"/>
    <w:rsid w:val="002C7796"/>
    <w:rsid w:val="002C7D71"/>
    <w:rsid w:val="002D016D"/>
    <w:rsid w:val="002D0B62"/>
    <w:rsid w:val="002D1752"/>
    <w:rsid w:val="002D1AE5"/>
    <w:rsid w:val="002D2063"/>
    <w:rsid w:val="002D2814"/>
    <w:rsid w:val="002D4DCE"/>
    <w:rsid w:val="002D6FCC"/>
    <w:rsid w:val="002D7891"/>
    <w:rsid w:val="002E0968"/>
    <w:rsid w:val="002E0B39"/>
    <w:rsid w:val="002E12B9"/>
    <w:rsid w:val="002E27B3"/>
    <w:rsid w:val="002E3008"/>
    <w:rsid w:val="002E3804"/>
    <w:rsid w:val="002E3D43"/>
    <w:rsid w:val="002E59A5"/>
    <w:rsid w:val="002E5EA2"/>
    <w:rsid w:val="002E6729"/>
    <w:rsid w:val="002E6C5A"/>
    <w:rsid w:val="002E786B"/>
    <w:rsid w:val="002F098A"/>
    <w:rsid w:val="002F10B7"/>
    <w:rsid w:val="002F18F4"/>
    <w:rsid w:val="002F216E"/>
    <w:rsid w:val="002F2866"/>
    <w:rsid w:val="002F4024"/>
    <w:rsid w:val="002F432B"/>
    <w:rsid w:val="002F4FBE"/>
    <w:rsid w:val="002F54D5"/>
    <w:rsid w:val="002F7535"/>
    <w:rsid w:val="003001DF"/>
    <w:rsid w:val="00300D77"/>
    <w:rsid w:val="00301A87"/>
    <w:rsid w:val="00302884"/>
    <w:rsid w:val="003034A1"/>
    <w:rsid w:val="00304893"/>
    <w:rsid w:val="003050B1"/>
    <w:rsid w:val="00305CF0"/>
    <w:rsid w:val="00306088"/>
    <w:rsid w:val="003078D1"/>
    <w:rsid w:val="0031002C"/>
    <w:rsid w:val="00310D5E"/>
    <w:rsid w:val="00310EA1"/>
    <w:rsid w:val="00311CC6"/>
    <w:rsid w:val="003138FF"/>
    <w:rsid w:val="00313D41"/>
    <w:rsid w:val="003146BC"/>
    <w:rsid w:val="00314E01"/>
    <w:rsid w:val="00314EFD"/>
    <w:rsid w:val="00314FC8"/>
    <w:rsid w:val="00315B40"/>
    <w:rsid w:val="00315C1D"/>
    <w:rsid w:val="00315F5A"/>
    <w:rsid w:val="0031616D"/>
    <w:rsid w:val="00316A8C"/>
    <w:rsid w:val="00316EA6"/>
    <w:rsid w:val="00320320"/>
    <w:rsid w:val="0032092A"/>
    <w:rsid w:val="00321399"/>
    <w:rsid w:val="00321AD4"/>
    <w:rsid w:val="00321F74"/>
    <w:rsid w:val="003225A8"/>
    <w:rsid w:val="003239BA"/>
    <w:rsid w:val="00323B84"/>
    <w:rsid w:val="00323C9C"/>
    <w:rsid w:val="00324A23"/>
    <w:rsid w:val="00325022"/>
    <w:rsid w:val="00326387"/>
    <w:rsid w:val="003263AE"/>
    <w:rsid w:val="00326F84"/>
    <w:rsid w:val="00327FF7"/>
    <w:rsid w:val="00330653"/>
    <w:rsid w:val="00330AE7"/>
    <w:rsid w:val="00330B56"/>
    <w:rsid w:val="00330FCB"/>
    <w:rsid w:val="00331D84"/>
    <w:rsid w:val="00331EBF"/>
    <w:rsid w:val="0033213A"/>
    <w:rsid w:val="003335DF"/>
    <w:rsid w:val="00334445"/>
    <w:rsid w:val="00336138"/>
    <w:rsid w:val="0033732B"/>
    <w:rsid w:val="0033751B"/>
    <w:rsid w:val="00340E73"/>
    <w:rsid w:val="00340E93"/>
    <w:rsid w:val="003418B5"/>
    <w:rsid w:val="0034207C"/>
    <w:rsid w:val="00342470"/>
    <w:rsid w:val="00342673"/>
    <w:rsid w:val="00343007"/>
    <w:rsid w:val="00343FA8"/>
    <w:rsid w:val="00344C05"/>
    <w:rsid w:val="00346497"/>
    <w:rsid w:val="00346CF7"/>
    <w:rsid w:val="00346D2B"/>
    <w:rsid w:val="003472A6"/>
    <w:rsid w:val="003472C3"/>
    <w:rsid w:val="00347C90"/>
    <w:rsid w:val="00347F72"/>
    <w:rsid w:val="00350283"/>
    <w:rsid w:val="003509F4"/>
    <w:rsid w:val="0035103A"/>
    <w:rsid w:val="003521CD"/>
    <w:rsid w:val="00352A03"/>
    <w:rsid w:val="00354F0C"/>
    <w:rsid w:val="00355579"/>
    <w:rsid w:val="003555E1"/>
    <w:rsid w:val="00355C2F"/>
    <w:rsid w:val="00356D5C"/>
    <w:rsid w:val="00356F19"/>
    <w:rsid w:val="003573F2"/>
    <w:rsid w:val="003577AD"/>
    <w:rsid w:val="00360130"/>
    <w:rsid w:val="00361104"/>
    <w:rsid w:val="003611FE"/>
    <w:rsid w:val="00362A47"/>
    <w:rsid w:val="00363D6E"/>
    <w:rsid w:val="00364561"/>
    <w:rsid w:val="00364D86"/>
    <w:rsid w:val="00367E3F"/>
    <w:rsid w:val="00371D3B"/>
    <w:rsid w:val="00372CE0"/>
    <w:rsid w:val="00372EEE"/>
    <w:rsid w:val="003731F5"/>
    <w:rsid w:val="0037320E"/>
    <w:rsid w:val="003736AF"/>
    <w:rsid w:val="003736C4"/>
    <w:rsid w:val="00373864"/>
    <w:rsid w:val="00373B27"/>
    <w:rsid w:val="003749A6"/>
    <w:rsid w:val="00374D92"/>
    <w:rsid w:val="003750DE"/>
    <w:rsid w:val="003759A0"/>
    <w:rsid w:val="00375CCF"/>
    <w:rsid w:val="003761BE"/>
    <w:rsid w:val="00376364"/>
    <w:rsid w:val="003764D6"/>
    <w:rsid w:val="003803B4"/>
    <w:rsid w:val="00380AB8"/>
    <w:rsid w:val="00381069"/>
    <w:rsid w:val="0038106A"/>
    <w:rsid w:val="00381C57"/>
    <w:rsid w:val="00384CEC"/>
    <w:rsid w:val="00386235"/>
    <w:rsid w:val="0038657E"/>
    <w:rsid w:val="00386FF8"/>
    <w:rsid w:val="003872F7"/>
    <w:rsid w:val="0039036F"/>
    <w:rsid w:val="00390764"/>
    <w:rsid w:val="0039257B"/>
    <w:rsid w:val="00393374"/>
    <w:rsid w:val="003937CF"/>
    <w:rsid w:val="003953B1"/>
    <w:rsid w:val="003979E8"/>
    <w:rsid w:val="00397DC4"/>
    <w:rsid w:val="00397DDB"/>
    <w:rsid w:val="003A0A90"/>
    <w:rsid w:val="003A0B62"/>
    <w:rsid w:val="003A0D35"/>
    <w:rsid w:val="003A1A92"/>
    <w:rsid w:val="003A2B4C"/>
    <w:rsid w:val="003A3137"/>
    <w:rsid w:val="003A3F36"/>
    <w:rsid w:val="003A4365"/>
    <w:rsid w:val="003A45A8"/>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6EA0"/>
    <w:rsid w:val="003B7686"/>
    <w:rsid w:val="003B7838"/>
    <w:rsid w:val="003B7A0A"/>
    <w:rsid w:val="003C004D"/>
    <w:rsid w:val="003C1908"/>
    <w:rsid w:val="003C3A27"/>
    <w:rsid w:val="003C5442"/>
    <w:rsid w:val="003C5CA1"/>
    <w:rsid w:val="003C6561"/>
    <w:rsid w:val="003C7927"/>
    <w:rsid w:val="003D073A"/>
    <w:rsid w:val="003D08E6"/>
    <w:rsid w:val="003D09C4"/>
    <w:rsid w:val="003D159D"/>
    <w:rsid w:val="003D3416"/>
    <w:rsid w:val="003D3A13"/>
    <w:rsid w:val="003D4169"/>
    <w:rsid w:val="003D732E"/>
    <w:rsid w:val="003E00A1"/>
    <w:rsid w:val="003E0398"/>
    <w:rsid w:val="003E0819"/>
    <w:rsid w:val="003E0FF3"/>
    <w:rsid w:val="003E1491"/>
    <w:rsid w:val="003E36EE"/>
    <w:rsid w:val="003E585E"/>
    <w:rsid w:val="003E6009"/>
    <w:rsid w:val="003E66CA"/>
    <w:rsid w:val="003E73F8"/>
    <w:rsid w:val="003F017E"/>
    <w:rsid w:val="003F2D8D"/>
    <w:rsid w:val="003F308C"/>
    <w:rsid w:val="003F33D2"/>
    <w:rsid w:val="003F3814"/>
    <w:rsid w:val="003F3ECB"/>
    <w:rsid w:val="003F3F9D"/>
    <w:rsid w:val="003F488F"/>
    <w:rsid w:val="003F4913"/>
    <w:rsid w:val="003F4C9F"/>
    <w:rsid w:val="003F4F7D"/>
    <w:rsid w:val="003F7C38"/>
    <w:rsid w:val="00400B45"/>
    <w:rsid w:val="00401073"/>
    <w:rsid w:val="0040159B"/>
    <w:rsid w:val="004019B5"/>
    <w:rsid w:val="00401D15"/>
    <w:rsid w:val="004025D4"/>
    <w:rsid w:val="004051FC"/>
    <w:rsid w:val="004055D1"/>
    <w:rsid w:val="00405CFC"/>
    <w:rsid w:val="00406276"/>
    <w:rsid w:val="004063EC"/>
    <w:rsid w:val="0040766E"/>
    <w:rsid w:val="00410722"/>
    <w:rsid w:val="00410F31"/>
    <w:rsid w:val="004113EC"/>
    <w:rsid w:val="00411951"/>
    <w:rsid w:val="00412A0E"/>
    <w:rsid w:val="00413816"/>
    <w:rsid w:val="00413D51"/>
    <w:rsid w:val="00414535"/>
    <w:rsid w:val="004165CC"/>
    <w:rsid w:val="004201E6"/>
    <w:rsid w:val="004205AF"/>
    <w:rsid w:val="00420E7C"/>
    <w:rsid w:val="0042189D"/>
    <w:rsid w:val="00421AA5"/>
    <w:rsid w:val="00421FAA"/>
    <w:rsid w:val="00422CF1"/>
    <w:rsid w:val="004240F2"/>
    <w:rsid w:val="0042520B"/>
    <w:rsid w:val="00425508"/>
    <w:rsid w:val="0042589B"/>
    <w:rsid w:val="00426C99"/>
    <w:rsid w:val="00427FF5"/>
    <w:rsid w:val="00430828"/>
    <w:rsid w:val="0043112F"/>
    <w:rsid w:val="0043174C"/>
    <w:rsid w:val="0043221A"/>
    <w:rsid w:val="004324AE"/>
    <w:rsid w:val="00432818"/>
    <w:rsid w:val="0043338F"/>
    <w:rsid w:val="00433C5E"/>
    <w:rsid w:val="004343D6"/>
    <w:rsid w:val="00434AE2"/>
    <w:rsid w:val="0043564B"/>
    <w:rsid w:val="0043602E"/>
    <w:rsid w:val="00437195"/>
    <w:rsid w:val="004372F4"/>
    <w:rsid w:val="00437527"/>
    <w:rsid w:val="00437955"/>
    <w:rsid w:val="00440414"/>
    <w:rsid w:val="00441775"/>
    <w:rsid w:val="004426DF"/>
    <w:rsid w:val="004427C7"/>
    <w:rsid w:val="00442980"/>
    <w:rsid w:val="00442A0F"/>
    <w:rsid w:val="0044306D"/>
    <w:rsid w:val="004432FF"/>
    <w:rsid w:val="00443908"/>
    <w:rsid w:val="00444089"/>
    <w:rsid w:val="00445527"/>
    <w:rsid w:val="00447258"/>
    <w:rsid w:val="004505F2"/>
    <w:rsid w:val="00450CA2"/>
    <w:rsid w:val="00451301"/>
    <w:rsid w:val="00451803"/>
    <w:rsid w:val="0045180B"/>
    <w:rsid w:val="00451852"/>
    <w:rsid w:val="00451F0C"/>
    <w:rsid w:val="004526E2"/>
    <w:rsid w:val="00452895"/>
    <w:rsid w:val="00453486"/>
    <w:rsid w:val="00453C4F"/>
    <w:rsid w:val="004551AB"/>
    <w:rsid w:val="00455693"/>
    <w:rsid w:val="004559A9"/>
    <w:rsid w:val="0045749E"/>
    <w:rsid w:val="004578B5"/>
    <w:rsid w:val="00457EA8"/>
    <w:rsid w:val="0046012C"/>
    <w:rsid w:val="00463211"/>
    <w:rsid w:val="00464365"/>
    <w:rsid w:val="00464EA2"/>
    <w:rsid w:val="00464FC5"/>
    <w:rsid w:val="004652E6"/>
    <w:rsid w:val="00466198"/>
    <w:rsid w:val="00467727"/>
    <w:rsid w:val="00467B71"/>
    <w:rsid w:val="00467B93"/>
    <w:rsid w:val="0047009C"/>
    <w:rsid w:val="004707C1"/>
    <w:rsid w:val="00470B35"/>
    <w:rsid w:val="00470C96"/>
    <w:rsid w:val="004718BD"/>
    <w:rsid w:val="00471EAC"/>
    <w:rsid w:val="004738FB"/>
    <w:rsid w:val="00474124"/>
    <w:rsid w:val="004743EE"/>
    <w:rsid w:val="004746C4"/>
    <w:rsid w:val="004746F3"/>
    <w:rsid w:val="00474878"/>
    <w:rsid w:val="00474A37"/>
    <w:rsid w:val="00475278"/>
    <w:rsid w:val="004763F2"/>
    <w:rsid w:val="004764E4"/>
    <w:rsid w:val="00476AF7"/>
    <w:rsid w:val="004801CA"/>
    <w:rsid w:val="0048042E"/>
    <w:rsid w:val="00480938"/>
    <w:rsid w:val="004822B2"/>
    <w:rsid w:val="00484A8A"/>
    <w:rsid w:val="00486BB8"/>
    <w:rsid w:val="00486F30"/>
    <w:rsid w:val="00487393"/>
    <w:rsid w:val="00490479"/>
    <w:rsid w:val="00491C2F"/>
    <w:rsid w:val="00492A38"/>
    <w:rsid w:val="004935B3"/>
    <w:rsid w:val="00493D50"/>
    <w:rsid w:val="0049403B"/>
    <w:rsid w:val="00494489"/>
    <w:rsid w:val="00494A4E"/>
    <w:rsid w:val="004958B6"/>
    <w:rsid w:val="004978FA"/>
    <w:rsid w:val="004A0E73"/>
    <w:rsid w:val="004A12A1"/>
    <w:rsid w:val="004A1EC7"/>
    <w:rsid w:val="004A3963"/>
    <w:rsid w:val="004A40B5"/>
    <w:rsid w:val="004A4798"/>
    <w:rsid w:val="004A49A6"/>
    <w:rsid w:val="004A50E2"/>
    <w:rsid w:val="004A6337"/>
    <w:rsid w:val="004A63DE"/>
    <w:rsid w:val="004A64CA"/>
    <w:rsid w:val="004A6516"/>
    <w:rsid w:val="004A6D4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7B75"/>
    <w:rsid w:val="004C016D"/>
    <w:rsid w:val="004C1E5D"/>
    <w:rsid w:val="004C21C3"/>
    <w:rsid w:val="004C36C9"/>
    <w:rsid w:val="004C4B6D"/>
    <w:rsid w:val="004C4C69"/>
    <w:rsid w:val="004C5DA2"/>
    <w:rsid w:val="004C716C"/>
    <w:rsid w:val="004C7516"/>
    <w:rsid w:val="004C7BDA"/>
    <w:rsid w:val="004D0357"/>
    <w:rsid w:val="004D34C5"/>
    <w:rsid w:val="004D35F0"/>
    <w:rsid w:val="004D57BD"/>
    <w:rsid w:val="004D5D5B"/>
    <w:rsid w:val="004D6154"/>
    <w:rsid w:val="004D6A55"/>
    <w:rsid w:val="004D6B97"/>
    <w:rsid w:val="004D7803"/>
    <w:rsid w:val="004E02AC"/>
    <w:rsid w:val="004E0BC1"/>
    <w:rsid w:val="004E0BE5"/>
    <w:rsid w:val="004E0FDC"/>
    <w:rsid w:val="004E1704"/>
    <w:rsid w:val="004E1D75"/>
    <w:rsid w:val="004E2A1D"/>
    <w:rsid w:val="004E4919"/>
    <w:rsid w:val="004E4B97"/>
    <w:rsid w:val="004E4F23"/>
    <w:rsid w:val="004E6104"/>
    <w:rsid w:val="004E619B"/>
    <w:rsid w:val="004E6BDA"/>
    <w:rsid w:val="004E7D33"/>
    <w:rsid w:val="004F0166"/>
    <w:rsid w:val="004F0A83"/>
    <w:rsid w:val="004F1701"/>
    <w:rsid w:val="004F197C"/>
    <w:rsid w:val="004F1E6E"/>
    <w:rsid w:val="004F1FC9"/>
    <w:rsid w:val="004F23A0"/>
    <w:rsid w:val="004F3E44"/>
    <w:rsid w:val="004F4260"/>
    <w:rsid w:val="004F541A"/>
    <w:rsid w:val="004F5524"/>
    <w:rsid w:val="004F6AFF"/>
    <w:rsid w:val="004F6BCA"/>
    <w:rsid w:val="004F7C8C"/>
    <w:rsid w:val="004F7CFD"/>
    <w:rsid w:val="004F7E4B"/>
    <w:rsid w:val="00500067"/>
    <w:rsid w:val="00501446"/>
    <w:rsid w:val="005014F2"/>
    <w:rsid w:val="00501ED3"/>
    <w:rsid w:val="005069D5"/>
    <w:rsid w:val="00507165"/>
    <w:rsid w:val="0050752E"/>
    <w:rsid w:val="0050756C"/>
    <w:rsid w:val="00510349"/>
    <w:rsid w:val="00510405"/>
    <w:rsid w:val="00510ABF"/>
    <w:rsid w:val="005114C6"/>
    <w:rsid w:val="005116A4"/>
    <w:rsid w:val="005116A6"/>
    <w:rsid w:val="00512898"/>
    <w:rsid w:val="00512B08"/>
    <w:rsid w:val="005138E2"/>
    <w:rsid w:val="005140C1"/>
    <w:rsid w:val="0051634A"/>
    <w:rsid w:val="00516FA5"/>
    <w:rsid w:val="00517C0D"/>
    <w:rsid w:val="00520960"/>
    <w:rsid w:val="00520BC1"/>
    <w:rsid w:val="005211B7"/>
    <w:rsid w:val="005215C0"/>
    <w:rsid w:val="00521817"/>
    <w:rsid w:val="00521DF7"/>
    <w:rsid w:val="005220B9"/>
    <w:rsid w:val="00522A49"/>
    <w:rsid w:val="00522FA5"/>
    <w:rsid w:val="00523332"/>
    <w:rsid w:val="00524025"/>
    <w:rsid w:val="005242DB"/>
    <w:rsid w:val="00525123"/>
    <w:rsid w:val="005258AE"/>
    <w:rsid w:val="005263E7"/>
    <w:rsid w:val="00526536"/>
    <w:rsid w:val="00526704"/>
    <w:rsid w:val="00530434"/>
    <w:rsid w:val="005308AD"/>
    <w:rsid w:val="005312C8"/>
    <w:rsid w:val="005313DA"/>
    <w:rsid w:val="00531721"/>
    <w:rsid w:val="005319A4"/>
    <w:rsid w:val="00532068"/>
    <w:rsid w:val="005320EF"/>
    <w:rsid w:val="00532115"/>
    <w:rsid w:val="00532348"/>
    <w:rsid w:val="0053246C"/>
    <w:rsid w:val="00533922"/>
    <w:rsid w:val="00534A12"/>
    <w:rsid w:val="00535396"/>
    <w:rsid w:val="005353A5"/>
    <w:rsid w:val="005353CD"/>
    <w:rsid w:val="00535451"/>
    <w:rsid w:val="00535D29"/>
    <w:rsid w:val="00536414"/>
    <w:rsid w:val="005366DD"/>
    <w:rsid w:val="005417BA"/>
    <w:rsid w:val="00542745"/>
    <w:rsid w:val="00542A48"/>
    <w:rsid w:val="005439DC"/>
    <w:rsid w:val="00543DA9"/>
    <w:rsid w:val="00543DFA"/>
    <w:rsid w:val="00544A3F"/>
    <w:rsid w:val="005466E2"/>
    <w:rsid w:val="00547DE7"/>
    <w:rsid w:val="00550AFF"/>
    <w:rsid w:val="005513CA"/>
    <w:rsid w:val="005527C2"/>
    <w:rsid w:val="00552BD0"/>
    <w:rsid w:val="005533B4"/>
    <w:rsid w:val="005535B6"/>
    <w:rsid w:val="005541DA"/>
    <w:rsid w:val="005547B3"/>
    <w:rsid w:val="00555309"/>
    <w:rsid w:val="00555ED2"/>
    <w:rsid w:val="00557F7A"/>
    <w:rsid w:val="00560FD5"/>
    <w:rsid w:val="005610F8"/>
    <w:rsid w:val="00562071"/>
    <w:rsid w:val="005625A4"/>
    <w:rsid w:val="00562672"/>
    <w:rsid w:val="0056296D"/>
    <w:rsid w:val="00562E91"/>
    <w:rsid w:val="00563217"/>
    <w:rsid w:val="00563E7F"/>
    <w:rsid w:val="00564700"/>
    <w:rsid w:val="00564C22"/>
    <w:rsid w:val="00564F7B"/>
    <w:rsid w:val="005663A7"/>
    <w:rsid w:val="00566A83"/>
    <w:rsid w:val="0056749D"/>
    <w:rsid w:val="00567C75"/>
    <w:rsid w:val="005701C3"/>
    <w:rsid w:val="00570246"/>
    <w:rsid w:val="005714A5"/>
    <w:rsid w:val="005720D4"/>
    <w:rsid w:val="00572938"/>
    <w:rsid w:val="00573936"/>
    <w:rsid w:val="00574E07"/>
    <w:rsid w:val="00575232"/>
    <w:rsid w:val="00575DB9"/>
    <w:rsid w:val="00576169"/>
    <w:rsid w:val="0057733A"/>
    <w:rsid w:val="00577E18"/>
    <w:rsid w:val="005801B1"/>
    <w:rsid w:val="00580721"/>
    <w:rsid w:val="0058164D"/>
    <w:rsid w:val="0058187F"/>
    <w:rsid w:val="005827A8"/>
    <w:rsid w:val="00583DC8"/>
    <w:rsid w:val="0058442B"/>
    <w:rsid w:val="00584D95"/>
    <w:rsid w:val="00587F32"/>
    <w:rsid w:val="00591C42"/>
    <w:rsid w:val="00591DCD"/>
    <w:rsid w:val="00592D9C"/>
    <w:rsid w:val="00594C8D"/>
    <w:rsid w:val="00594EEF"/>
    <w:rsid w:val="00595174"/>
    <w:rsid w:val="0059591E"/>
    <w:rsid w:val="00596199"/>
    <w:rsid w:val="00596726"/>
    <w:rsid w:val="00596829"/>
    <w:rsid w:val="00597306"/>
    <w:rsid w:val="00597669"/>
    <w:rsid w:val="00597719"/>
    <w:rsid w:val="005977EA"/>
    <w:rsid w:val="00597DF5"/>
    <w:rsid w:val="005A4078"/>
    <w:rsid w:val="005A4A57"/>
    <w:rsid w:val="005A774E"/>
    <w:rsid w:val="005A7BCB"/>
    <w:rsid w:val="005B2908"/>
    <w:rsid w:val="005B2C79"/>
    <w:rsid w:val="005B2E46"/>
    <w:rsid w:val="005B3C1E"/>
    <w:rsid w:val="005B5473"/>
    <w:rsid w:val="005B55FF"/>
    <w:rsid w:val="005B5D93"/>
    <w:rsid w:val="005B7CF5"/>
    <w:rsid w:val="005C00E6"/>
    <w:rsid w:val="005C0260"/>
    <w:rsid w:val="005C34B5"/>
    <w:rsid w:val="005C3C87"/>
    <w:rsid w:val="005C4798"/>
    <w:rsid w:val="005C533A"/>
    <w:rsid w:val="005C6641"/>
    <w:rsid w:val="005C7A0F"/>
    <w:rsid w:val="005D023F"/>
    <w:rsid w:val="005D02F2"/>
    <w:rsid w:val="005D1027"/>
    <w:rsid w:val="005D12D4"/>
    <w:rsid w:val="005D16FD"/>
    <w:rsid w:val="005D2A5A"/>
    <w:rsid w:val="005D3783"/>
    <w:rsid w:val="005D392A"/>
    <w:rsid w:val="005D3F8B"/>
    <w:rsid w:val="005D47D7"/>
    <w:rsid w:val="005D5710"/>
    <w:rsid w:val="005D6A70"/>
    <w:rsid w:val="005D6F98"/>
    <w:rsid w:val="005E255A"/>
    <w:rsid w:val="005E2B98"/>
    <w:rsid w:val="005E45A9"/>
    <w:rsid w:val="005E54B6"/>
    <w:rsid w:val="005E7C45"/>
    <w:rsid w:val="005F0BE1"/>
    <w:rsid w:val="005F168A"/>
    <w:rsid w:val="005F2062"/>
    <w:rsid w:val="005F2DB8"/>
    <w:rsid w:val="005F342B"/>
    <w:rsid w:val="005F5279"/>
    <w:rsid w:val="005F56A0"/>
    <w:rsid w:val="005F5CDD"/>
    <w:rsid w:val="005F62BD"/>
    <w:rsid w:val="005F6DD1"/>
    <w:rsid w:val="005F7492"/>
    <w:rsid w:val="006003FD"/>
    <w:rsid w:val="00601910"/>
    <w:rsid w:val="00601917"/>
    <w:rsid w:val="00601DFD"/>
    <w:rsid w:val="00602B30"/>
    <w:rsid w:val="006033E4"/>
    <w:rsid w:val="00603C86"/>
    <w:rsid w:val="00604454"/>
    <w:rsid w:val="00605CBC"/>
    <w:rsid w:val="00606267"/>
    <w:rsid w:val="00606934"/>
    <w:rsid w:val="006069DE"/>
    <w:rsid w:val="00607162"/>
    <w:rsid w:val="00607464"/>
    <w:rsid w:val="00610C2B"/>
    <w:rsid w:val="00611C42"/>
    <w:rsid w:val="0061284C"/>
    <w:rsid w:val="00612F9D"/>
    <w:rsid w:val="0061337F"/>
    <w:rsid w:val="006149D2"/>
    <w:rsid w:val="0061508D"/>
    <w:rsid w:val="006155FB"/>
    <w:rsid w:val="00616BC8"/>
    <w:rsid w:val="00616D5B"/>
    <w:rsid w:val="00617EC9"/>
    <w:rsid w:val="00621245"/>
    <w:rsid w:val="00621A0A"/>
    <w:rsid w:val="00622810"/>
    <w:rsid w:val="00622970"/>
    <w:rsid w:val="00623372"/>
    <w:rsid w:val="006241D5"/>
    <w:rsid w:val="00626A1B"/>
    <w:rsid w:val="00626E9D"/>
    <w:rsid w:val="00627C0D"/>
    <w:rsid w:val="0063020C"/>
    <w:rsid w:val="00630BA7"/>
    <w:rsid w:val="006322DD"/>
    <w:rsid w:val="00632608"/>
    <w:rsid w:val="006329BE"/>
    <w:rsid w:val="00633BE0"/>
    <w:rsid w:val="00633E43"/>
    <w:rsid w:val="00634309"/>
    <w:rsid w:val="0063503C"/>
    <w:rsid w:val="0063615F"/>
    <w:rsid w:val="0063656C"/>
    <w:rsid w:val="00636850"/>
    <w:rsid w:val="00636950"/>
    <w:rsid w:val="00636DFB"/>
    <w:rsid w:val="00637A9C"/>
    <w:rsid w:val="006401ED"/>
    <w:rsid w:val="00641D15"/>
    <w:rsid w:val="00641F24"/>
    <w:rsid w:val="00642562"/>
    <w:rsid w:val="006445C4"/>
    <w:rsid w:val="00644B82"/>
    <w:rsid w:val="0064665E"/>
    <w:rsid w:val="006469A2"/>
    <w:rsid w:val="00647336"/>
    <w:rsid w:val="006503F4"/>
    <w:rsid w:val="00650884"/>
    <w:rsid w:val="0065380A"/>
    <w:rsid w:val="00653849"/>
    <w:rsid w:val="00654AF2"/>
    <w:rsid w:val="00655D02"/>
    <w:rsid w:val="00657336"/>
    <w:rsid w:val="00660DF4"/>
    <w:rsid w:val="00661372"/>
    <w:rsid w:val="006613B6"/>
    <w:rsid w:val="006613FA"/>
    <w:rsid w:val="00662907"/>
    <w:rsid w:val="00662DEF"/>
    <w:rsid w:val="006636DC"/>
    <w:rsid w:val="00664C83"/>
    <w:rsid w:val="00665023"/>
    <w:rsid w:val="00665192"/>
    <w:rsid w:val="006651F3"/>
    <w:rsid w:val="006654BB"/>
    <w:rsid w:val="00666577"/>
    <w:rsid w:val="00666F22"/>
    <w:rsid w:val="0066726B"/>
    <w:rsid w:val="0066727B"/>
    <w:rsid w:val="00670A51"/>
    <w:rsid w:val="00670D85"/>
    <w:rsid w:val="00671255"/>
    <w:rsid w:val="00673BBD"/>
    <w:rsid w:val="006751F7"/>
    <w:rsid w:val="006756FD"/>
    <w:rsid w:val="00676174"/>
    <w:rsid w:val="0067617D"/>
    <w:rsid w:val="006775F8"/>
    <w:rsid w:val="0068033D"/>
    <w:rsid w:val="0068085D"/>
    <w:rsid w:val="00681D8E"/>
    <w:rsid w:val="00683E3B"/>
    <w:rsid w:val="0068456A"/>
    <w:rsid w:val="00684FE0"/>
    <w:rsid w:val="006859CB"/>
    <w:rsid w:val="006861B8"/>
    <w:rsid w:val="00686450"/>
    <w:rsid w:val="006875F9"/>
    <w:rsid w:val="006878B6"/>
    <w:rsid w:val="00690139"/>
    <w:rsid w:val="006915F0"/>
    <w:rsid w:val="0069165B"/>
    <w:rsid w:val="006918E6"/>
    <w:rsid w:val="00691C00"/>
    <w:rsid w:val="00692259"/>
    <w:rsid w:val="00692F31"/>
    <w:rsid w:val="006937E0"/>
    <w:rsid w:val="0069586D"/>
    <w:rsid w:val="00697421"/>
    <w:rsid w:val="00697EFF"/>
    <w:rsid w:val="006A0BEB"/>
    <w:rsid w:val="006A2AE9"/>
    <w:rsid w:val="006A2F78"/>
    <w:rsid w:val="006A405B"/>
    <w:rsid w:val="006A64D4"/>
    <w:rsid w:val="006A687E"/>
    <w:rsid w:val="006B0529"/>
    <w:rsid w:val="006B0BB4"/>
    <w:rsid w:val="006B0E2F"/>
    <w:rsid w:val="006B422A"/>
    <w:rsid w:val="006B5A60"/>
    <w:rsid w:val="006B5ACA"/>
    <w:rsid w:val="006B673C"/>
    <w:rsid w:val="006B6C9D"/>
    <w:rsid w:val="006B7F51"/>
    <w:rsid w:val="006C074B"/>
    <w:rsid w:val="006C211D"/>
    <w:rsid w:val="006C3617"/>
    <w:rsid w:val="006C4B9F"/>
    <w:rsid w:val="006C51EF"/>
    <w:rsid w:val="006C644B"/>
    <w:rsid w:val="006C66D4"/>
    <w:rsid w:val="006C705F"/>
    <w:rsid w:val="006C7297"/>
    <w:rsid w:val="006D00B1"/>
    <w:rsid w:val="006D0D69"/>
    <w:rsid w:val="006D0E3E"/>
    <w:rsid w:val="006D0FF3"/>
    <w:rsid w:val="006D1749"/>
    <w:rsid w:val="006D17D7"/>
    <w:rsid w:val="006D2129"/>
    <w:rsid w:val="006D21BC"/>
    <w:rsid w:val="006D35B5"/>
    <w:rsid w:val="006D41F5"/>
    <w:rsid w:val="006D473A"/>
    <w:rsid w:val="006D4E83"/>
    <w:rsid w:val="006D6280"/>
    <w:rsid w:val="006D6880"/>
    <w:rsid w:val="006D6D44"/>
    <w:rsid w:val="006D7226"/>
    <w:rsid w:val="006D733F"/>
    <w:rsid w:val="006E0430"/>
    <w:rsid w:val="006E28BF"/>
    <w:rsid w:val="006E3EB8"/>
    <w:rsid w:val="006E4B61"/>
    <w:rsid w:val="006E6B6A"/>
    <w:rsid w:val="006E6CE0"/>
    <w:rsid w:val="006F0355"/>
    <w:rsid w:val="006F0778"/>
    <w:rsid w:val="006F0AD3"/>
    <w:rsid w:val="006F0CEB"/>
    <w:rsid w:val="006F109A"/>
    <w:rsid w:val="006F13BA"/>
    <w:rsid w:val="006F1611"/>
    <w:rsid w:val="006F1AA3"/>
    <w:rsid w:val="006F4130"/>
    <w:rsid w:val="006F6260"/>
    <w:rsid w:val="006F6C59"/>
    <w:rsid w:val="006F6E2E"/>
    <w:rsid w:val="006F6E46"/>
    <w:rsid w:val="006F6ED9"/>
    <w:rsid w:val="006F723A"/>
    <w:rsid w:val="006F7516"/>
    <w:rsid w:val="007008CD"/>
    <w:rsid w:val="00700DB5"/>
    <w:rsid w:val="00702420"/>
    <w:rsid w:val="00702EC9"/>
    <w:rsid w:val="0070313F"/>
    <w:rsid w:val="00703443"/>
    <w:rsid w:val="0070402B"/>
    <w:rsid w:val="00704BB2"/>
    <w:rsid w:val="00705624"/>
    <w:rsid w:val="00705DA2"/>
    <w:rsid w:val="00705F50"/>
    <w:rsid w:val="0070652E"/>
    <w:rsid w:val="00707393"/>
    <w:rsid w:val="007079A7"/>
    <w:rsid w:val="00707C56"/>
    <w:rsid w:val="00707D44"/>
    <w:rsid w:val="00711E22"/>
    <w:rsid w:val="00712545"/>
    <w:rsid w:val="00712707"/>
    <w:rsid w:val="00714128"/>
    <w:rsid w:val="0071442B"/>
    <w:rsid w:val="0071471F"/>
    <w:rsid w:val="00714DD2"/>
    <w:rsid w:val="0071524E"/>
    <w:rsid w:val="00715988"/>
    <w:rsid w:val="00717FDC"/>
    <w:rsid w:val="00721CDD"/>
    <w:rsid w:val="0072233B"/>
    <w:rsid w:val="007232BF"/>
    <w:rsid w:val="00723D39"/>
    <w:rsid w:val="007246E9"/>
    <w:rsid w:val="007254A9"/>
    <w:rsid w:val="00725CBA"/>
    <w:rsid w:val="00725EB0"/>
    <w:rsid w:val="00726B76"/>
    <w:rsid w:val="00726BA3"/>
    <w:rsid w:val="00730017"/>
    <w:rsid w:val="00730178"/>
    <w:rsid w:val="007305F4"/>
    <w:rsid w:val="0073179A"/>
    <w:rsid w:val="0073238C"/>
    <w:rsid w:val="00732A22"/>
    <w:rsid w:val="00732DB6"/>
    <w:rsid w:val="007337D5"/>
    <w:rsid w:val="007340BC"/>
    <w:rsid w:val="00734302"/>
    <w:rsid w:val="00734D0B"/>
    <w:rsid w:val="00735598"/>
    <w:rsid w:val="00735C8E"/>
    <w:rsid w:val="00736218"/>
    <w:rsid w:val="00736703"/>
    <w:rsid w:val="0073739D"/>
    <w:rsid w:val="007414AA"/>
    <w:rsid w:val="007417BF"/>
    <w:rsid w:val="00741A0B"/>
    <w:rsid w:val="00742136"/>
    <w:rsid w:val="007421E2"/>
    <w:rsid w:val="00742551"/>
    <w:rsid w:val="00742FA2"/>
    <w:rsid w:val="007440FE"/>
    <w:rsid w:val="007447B0"/>
    <w:rsid w:val="00745957"/>
    <w:rsid w:val="00746122"/>
    <w:rsid w:val="0075038A"/>
    <w:rsid w:val="007526D6"/>
    <w:rsid w:val="00753EEA"/>
    <w:rsid w:val="00753F1A"/>
    <w:rsid w:val="0075404B"/>
    <w:rsid w:val="00754379"/>
    <w:rsid w:val="007549DF"/>
    <w:rsid w:val="0075581D"/>
    <w:rsid w:val="007566AF"/>
    <w:rsid w:val="007569DA"/>
    <w:rsid w:val="00757693"/>
    <w:rsid w:val="00757E25"/>
    <w:rsid w:val="0076093D"/>
    <w:rsid w:val="00760E65"/>
    <w:rsid w:val="00761848"/>
    <w:rsid w:val="00762227"/>
    <w:rsid w:val="00762429"/>
    <w:rsid w:val="0076308F"/>
    <w:rsid w:val="007630D1"/>
    <w:rsid w:val="007631F9"/>
    <w:rsid w:val="00764607"/>
    <w:rsid w:val="00764A25"/>
    <w:rsid w:val="00764CDC"/>
    <w:rsid w:val="007669F7"/>
    <w:rsid w:val="00766A82"/>
    <w:rsid w:val="00767395"/>
    <w:rsid w:val="00767C23"/>
    <w:rsid w:val="00770597"/>
    <w:rsid w:val="00770A03"/>
    <w:rsid w:val="0077163B"/>
    <w:rsid w:val="00773059"/>
    <w:rsid w:val="00773EF0"/>
    <w:rsid w:val="00774287"/>
    <w:rsid w:val="00775DFD"/>
    <w:rsid w:val="0077679F"/>
    <w:rsid w:val="007770F2"/>
    <w:rsid w:val="00777BEE"/>
    <w:rsid w:val="00780439"/>
    <w:rsid w:val="007818C5"/>
    <w:rsid w:val="00781C5C"/>
    <w:rsid w:val="00781E7D"/>
    <w:rsid w:val="007821CD"/>
    <w:rsid w:val="007851F2"/>
    <w:rsid w:val="00785D79"/>
    <w:rsid w:val="0078615A"/>
    <w:rsid w:val="0078693C"/>
    <w:rsid w:val="0078706E"/>
    <w:rsid w:val="0078773D"/>
    <w:rsid w:val="007900AA"/>
    <w:rsid w:val="00790922"/>
    <w:rsid w:val="00790924"/>
    <w:rsid w:val="0079236C"/>
    <w:rsid w:val="00792793"/>
    <w:rsid w:val="0079297E"/>
    <w:rsid w:val="0079326F"/>
    <w:rsid w:val="0079685D"/>
    <w:rsid w:val="00797689"/>
    <w:rsid w:val="007A0AA1"/>
    <w:rsid w:val="007A10C5"/>
    <w:rsid w:val="007A275C"/>
    <w:rsid w:val="007A29D9"/>
    <w:rsid w:val="007A2DF1"/>
    <w:rsid w:val="007A2E25"/>
    <w:rsid w:val="007A39F9"/>
    <w:rsid w:val="007A3F40"/>
    <w:rsid w:val="007A47E9"/>
    <w:rsid w:val="007A508C"/>
    <w:rsid w:val="007A54F1"/>
    <w:rsid w:val="007A6B8B"/>
    <w:rsid w:val="007A750F"/>
    <w:rsid w:val="007B17EB"/>
    <w:rsid w:val="007B229C"/>
    <w:rsid w:val="007B3117"/>
    <w:rsid w:val="007B3A2A"/>
    <w:rsid w:val="007B3EF2"/>
    <w:rsid w:val="007B6641"/>
    <w:rsid w:val="007B74E0"/>
    <w:rsid w:val="007C1C4D"/>
    <w:rsid w:val="007C1FB5"/>
    <w:rsid w:val="007C499B"/>
    <w:rsid w:val="007C59BE"/>
    <w:rsid w:val="007C5EA6"/>
    <w:rsid w:val="007C62F5"/>
    <w:rsid w:val="007C6C16"/>
    <w:rsid w:val="007D02BB"/>
    <w:rsid w:val="007D07B1"/>
    <w:rsid w:val="007D0B60"/>
    <w:rsid w:val="007D1686"/>
    <w:rsid w:val="007D3B1B"/>
    <w:rsid w:val="007D3D19"/>
    <w:rsid w:val="007D4311"/>
    <w:rsid w:val="007D52EC"/>
    <w:rsid w:val="007D5396"/>
    <w:rsid w:val="007D571D"/>
    <w:rsid w:val="007D60ED"/>
    <w:rsid w:val="007D654D"/>
    <w:rsid w:val="007D719D"/>
    <w:rsid w:val="007D768B"/>
    <w:rsid w:val="007D7D44"/>
    <w:rsid w:val="007E038E"/>
    <w:rsid w:val="007E07AB"/>
    <w:rsid w:val="007E1418"/>
    <w:rsid w:val="007E1837"/>
    <w:rsid w:val="007E28D1"/>
    <w:rsid w:val="007E48B1"/>
    <w:rsid w:val="007E5073"/>
    <w:rsid w:val="007E5C83"/>
    <w:rsid w:val="007E6593"/>
    <w:rsid w:val="007E66DA"/>
    <w:rsid w:val="007E7472"/>
    <w:rsid w:val="007F03EF"/>
    <w:rsid w:val="007F0872"/>
    <w:rsid w:val="007F0C97"/>
    <w:rsid w:val="007F1490"/>
    <w:rsid w:val="007F277D"/>
    <w:rsid w:val="007F30D5"/>
    <w:rsid w:val="007F322C"/>
    <w:rsid w:val="007F4BDD"/>
    <w:rsid w:val="007F539E"/>
    <w:rsid w:val="007F559F"/>
    <w:rsid w:val="00800F84"/>
    <w:rsid w:val="00801168"/>
    <w:rsid w:val="00801B28"/>
    <w:rsid w:val="00802389"/>
    <w:rsid w:val="00802A85"/>
    <w:rsid w:val="00803256"/>
    <w:rsid w:val="008038CC"/>
    <w:rsid w:val="00803F17"/>
    <w:rsid w:val="0080499E"/>
    <w:rsid w:val="00805133"/>
    <w:rsid w:val="00805E3E"/>
    <w:rsid w:val="008065CA"/>
    <w:rsid w:val="00806D29"/>
    <w:rsid w:val="00807105"/>
    <w:rsid w:val="00807626"/>
    <w:rsid w:val="008079E2"/>
    <w:rsid w:val="00807E3E"/>
    <w:rsid w:val="00810FD4"/>
    <w:rsid w:val="0081157E"/>
    <w:rsid w:val="00811781"/>
    <w:rsid w:val="0081258E"/>
    <w:rsid w:val="00812BFE"/>
    <w:rsid w:val="008135D7"/>
    <w:rsid w:val="00814571"/>
    <w:rsid w:val="008147B7"/>
    <w:rsid w:val="0081494C"/>
    <w:rsid w:val="00814B59"/>
    <w:rsid w:val="008157D3"/>
    <w:rsid w:val="00815841"/>
    <w:rsid w:val="00815DE4"/>
    <w:rsid w:val="00817A47"/>
    <w:rsid w:val="00820273"/>
    <w:rsid w:val="0082066D"/>
    <w:rsid w:val="00820BAA"/>
    <w:rsid w:val="0082165D"/>
    <w:rsid w:val="0082269A"/>
    <w:rsid w:val="008228BF"/>
    <w:rsid w:val="00824465"/>
    <w:rsid w:val="00824AED"/>
    <w:rsid w:val="00825114"/>
    <w:rsid w:val="00826391"/>
    <w:rsid w:val="008266AB"/>
    <w:rsid w:val="00827AE1"/>
    <w:rsid w:val="008300D9"/>
    <w:rsid w:val="008303F6"/>
    <w:rsid w:val="0083055F"/>
    <w:rsid w:val="00830CCD"/>
    <w:rsid w:val="0083119E"/>
    <w:rsid w:val="0083373F"/>
    <w:rsid w:val="00833E4C"/>
    <w:rsid w:val="00834361"/>
    <w:rsid w:val="0083554F"/>
    <w:rsid w:val="008371D5"/>
    <w:rsid w:val="00837661"/>
    <w:rsid w:val="008404B3"/>
    <w:rsid w:val="00840DB9"/>
    <w:rsid w:val="0084369D"/>
    <w:rsid w:val="00843744"/>
    <w:rsid w:val="00843771"/>
    <w:rsid w:val="00843AEE"/>
    <w:rsid w:val="00843B79"/>
    <w:rsid w:val="00844093"/>
    <w:rsid w:val="008447C2"/>
    <w:rsid w:val="00845A78"/>
    <w:rsid w:val="00846680"/>
    <w:rsid w:val="0084772B"/>
    <w:rsid w:val="0085019A"/>
    <w:rsid w:val="008510F1"/>
    <w:rsid w:val="00851652"/>
    <w:rsid w:val="008517D0"/>
    <w:rsid w:val="00851AB6"/>
    <w:rsid w:val="00851EC9"/>
    <w:rsid w:val="00852006"/>
    <w:rsid w:val="00853454"/>
    <w:rsid w:val="008552A6"/>
    <w:rsid w:val="00856FD8"/>
    <w:rsid w:val="008607F5"/>
    <w:rsid w:val="00861E25"/>
    <w:rsid w:val="008623F6"/>
    <w:rsid w:val="0086449E"/>
    <w:rsid w:val="00864E57"/>
    <w:rsid w:val="008661CE"/>
    <w:rsid w:val="00866448"/>
    <w:rsid w:val="00867BAF"/>
    <w:rsid w:val="008708EE"/>
    <w:rsid w:val="00871296"/>
    <w:rsid w:val="008726D6"/>
    <w:rsid w:val="00873858"/>
    <w:rsid w:val="00873C34"/>
    <w:rsid w:val="00873E8A"/>
    <w:rsid w:val="00874640"/>
    <w:rsid w:val="00874A09"/>
    <w:rsid w:val="0087528E"/>
    <w:rsid w:val="00875C99"/>
    <w:rsid w:val="00875D14"/>
    <w:rsid w:val="00875EF3"/>
    <w:rsid w:val="00877C27"/>
    <w:rsid w:val="0088195D"/>
    <w:rsid w:val="00882297"/>
    <w:rsid w:val="008823B7"/>
    <w:rsid w:val="008826CB"/>
    <w:rsid w:val="008826DF"/>
    <w:rsid w:val="00883885"/>
    <w:rsid w:val="008839B9"/>
    <w:rsid w:val="00885260"/>
    <w:rsid w:val="0088539E"/>
    <w:rsid w:val="00886013"/>
    <w:rsid w:val="00890376"/>
    <w:rsid w:val="008917D0"/>
    <w:rsid w:val="00891D4E"/>
    <w:rsid w:val="00892209"/>
    <w:rsid w:val="008923D6"/>
    <w:rsid w:val="00893DD1"/>
    <w:rsid w:val="0089433A"/>
    <w:rsid w:val="00895B2D"/>
    <w:rsid w:val="00895CA5"/>
    <w:rsid w:val="008963BE"/>
    <w:rsid w:val="0089660D"/>
    <w:rsid w:val="008967BE"/>
    <w:rsid w:val="00896DFB"/>
    <w:rsid w:val="008A03CC"/>
    <w:rsid w:val="008A2195"/>
    <w:rsid w:val="008A2528"/>
    <w:rsid w:val="008A2533"/>
    <w:rsid w:val="008A3C76"/>
    <w:rsid w:val="008A50CB"/>
    <w:rsid w:val="008A5D5F"/>
    <w:rsid w:val="008A6374"/>
    <w:rsid w:val="008A6D09"/>
    <w:rsid w:val="008A6D5D"/>
    <w:rsid w:val="008A7CC2"/>
    <w:rsid w:val="008B2A54"/>
    <w:rsid w:val="008B2E77"/>
    <w:rsid w:val="008B3176"/>
    <w:rsid w:val="008B3483"/>
    <w:rsid w:val="008B4FDA"/>
    <w:rsid w:val="008B5CBD"/>
    <w:rsid w:val="008B5F3B"/>
    <w:rsid w:val="008B6350"/>
    <w:rsid w:val="008C026E"/>
    <w:rsid w:val="008C18F4"/>
    <w:rsid w:val="008C35FB"/>
    <w:rsid w:val="008C4720"/>
    <w:rsid w:val="008C49B7"/>
    <w:rsid w:val="008C51EC"/>
    <w:rsid w:val="008C57CB"/>
    <w:rsid w:val="008C5BB2"/>
    <w:rsid w:val="008C5ED5"/>
    <w:rsid w:val="008C5FA4"/>
    <w:rsid w:val="008C7034"/>
    <w:rsid w:val="008C7B7B"/>
    <w:rsid w:val="008D019B"/>
    <w:rsid w:val="008D024D"/>
    <w:rsid w:val="008D041A"/>
    <w:rsid w:val="008D0830"/>
    <w:rsid w:val="008D1359"/>
    <w:rsid w:val="008D1C61"/>
    <w:rsid w:val="008D2209"/>
    <w:rsid w:val="008D3F7A"/>
    <w:rsid w:val="008D446E"/>
    <w:rsid w:val="008D4E9A"/>
    <w:rsid w:val="008D51DD"/>
    <w:rsid w:val="008D53CE"/>
    <w:rsid w:val="008D558B"/>
    <w:rsid w:val="008D605C"/>
    <w:rsid w:val="008D67CE"/>
    <w:rsid w:val="008D6A30"/>
    <w:rsid w:val="008D6DED"/>
    <w:rsid w:val="008D7A47"/>
    <w:rsid w:val="008D7ED3"/>
    <w:rsid w:val="008E0CD9"/>
    <w:rsid w:val="008E0D72"/>
    <w:rsid w:val="008E0D8A"/>
    <w:rsid w:val="008E20FB"/>
    <w:rsid w:val="008E26A8"/>
    <w:rsid w:val="008E334D"/>
    <w:rsid w:val="008E4758"/>
    <w:rsid w:val="008E523E"/>
    <w:rsid w:val="008E6774"/>
    <w:rsid w:val="008E7A76"/>
    <w:rsid w:val="008F181E"/>
    <w:rsid w:val="008F1D6B"/>
    <w:rsid w:val="008F1ED7"/>
    <w:rsid w:val="008F223B"/>
    <w:rsid w:val="008F250A"/>
    <w:rsid w:val="008F25D2"/>
    <w:rsid w:val="008F318B"/>
    <w:rsid w:val="008F353F"/>
    <w:rsid w:val="008F36D9"/>
    <w:rsid w:val="008F39DA"/>
    <w:rsid w:val="008F3D4F"/>
    <w:rsid w:val="008F43CD"/>
    <w:rsid w:val="008F62E3"/>
    <w:rsid w:val="008F6CF1"/>
    <w:rsid w:val="008F70A6"/>
    <w:rsid w:val="008F7BDC"/>
    <w:rsid w:val="0090011A"/>
    <w:rsid w:val="009005B9"/>
    <w:rsid w:val="00900899"/>
    <w:rsid w:val="00901E9F"/>
    <w:rsid w:val="0090643F"/>
    <w:rsid w:val="00907788"/>
    <w:rsid w:val="00907C71"/>
    <w:rsid w:val="00910F13"/>
    <w:rsid w:val="00912605"/>
    <w:rsid w:val="0091294D"/>
    <w:rsid w:val="00913402"/>
    <w:rsid w:val="009137BB"/>
    <w:rsid w:val="00913B2D"/>
    <w:rsid w:val="009143A3"/>
    <w:rsid w:val="00915C9C"/>
    <w:rsid w:val="00916519"/>
    <w:rsid w:val="0091682D"/>
    <w:rsid w:val="0092019E"/>
    <w:rsid w:val="009206F1"/>
    <w:rsid w:val="009214C7"/>
    <w:rsid w:val="009219F8"/>
    <w:rsid w:val="00921CB5"/>
    <w:rsid w:val="00921F4E"/>
    <w:rsid w:val="0092234B"/>
    <w:rsid w:val="0092299F"/>
    <w:rsid w:val="00922C4B"/>
    <w:rsid w:val="0092334B"/>
    <w:rsid w:val="0092367A"/>
    <w:rsid w:val="00924CA5"/>
    <w:rsid w:val="0092526E"/>
    <w:rsid w:val="00926417"/>
    <w:rsid w:val="00926F90"/>
    <w:rsid w:val="0092771A"/>
    <w:rsid w:val="00930528"/>
    <w:rsid w:val="00930FFF"/>
    <w:rsid w:val="009318C5"/>
    <w:rsid w:val="009325B0"/>
    <w:rsid w:val="0093390D"/>
    <w:rsid w:val="0093396B"/>
    <w:rsid w:val="00933A79"/>
    <w:rsid w:val="0093482E"/>
    <w:rsid w:val="00935473"/>
    <w:rsid w:val="00935D57"/>
    <w:rsid w:val="00941B11"/>
    <w:rsid w:val="00943498"/>
    <w:rsid w:val="00944560"/>
    <w:rsid w:val="0094494B"/>
    <w:rsid w:val="009469FC"/>
    <w:rsid w:val="00946D37"/>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542C"/>
    <w:rsid w:val="00955FEC"/>
    <w:rsid w:val="0095731C"/>
    <w:rsid w:val="0095745C"/>
    <w:rsid w:val="00957513"/>
    <w:rsid w:val="00957805"/>
    <w:rsid w:val="009602CF"/>
    <w:rsid w:val="0096167E"/>
    <w:rsid w:val="00962072"/>
    <w:rsid w:val="009622B0"/>
    <w:rsid w:val="00962727"/>
    <w:rsid w:val="00962C23"/>
    <w:rsid w:val="0096392B"/>
    <w:rsid w:val="0096440F"/>
    <w:rsid w:val="00964643"/>
    <w:rsid w:val="00964784"/>
    <w:rsid w:val="00965B59"/>
    <w:rsid w:val="00970907"/>
    <w:rsid w:val="00970CA3"/>
    <w:rsid w:val="00971008"/>
    <w:rsid w:val="00971687"/>
    <w:rsid w:val="00971DB8"/>
    <w:rsid w:val="00971F07"/>
    <w:rsid w:val="00971F49"/>
    <w:rsid w:val="00972CEA"/>
    <w:rsid w:val="00973EE2"/>
    <w:rsid w:val="009746A2"/>
    <w:rsid w:val="00975FDF"/>
    <w:rsid w:val="009762EF"/>
    <w:rsid w:val="00976FFC"/>
    <w:rsid w:val="009777FE"/>
    <w:rsid w:val="00977A2E"/>
    <w:rsid w:val="00977F09"/>
    <w:rsid w:val="0098006E"/>
    <w:rsid w:val="00981DB3"/>
    <w:rsid w:val="0098224C"/>
    <w:rsid w:val="009822B3"/>
    <w:rsid w:val="00982A8E"/>
    <w:rsid w:val="00983075"/>
    <w:rsid w:val="00983B1D"/>
    <w:rsid w:val="00983B44"/>
    <w:rsid w:val="009840AA"/>
    <w:rsid w:val="0098489C"/>
    <w:rsid w:val="009864AA"/>
    <w:rsid w:val="0098697B"/>
    <w:rsid w:val="00987307"/>
    <w:rsid w:val="009910CF"/>
    <w:rsid w:val="0099163D"/>
    <w:rsid w:val="00992174"/>
    <w:rsid w:val="00992855"/>
    <w:rsid w:val="00993DB0"/>
    <w:rsid w:val="00994433"/>
    <w:rsid w:val="0099537A"/>
    <w:rsid w:val="00995946"/>
    <w:rsid w:val="0099596B"/>
    <w:rsid w:val="00996BC3"/>
    <w:rsid w:val="00996BF5"/>
    <w:rsid w:val="00996FE7"/>
    <w:rsid w:val="009973B7"/>
    <w:rsid w:val="00997662"/>
    <w:rsid w:val="009A1F24"/>
    <w:rsid w:val="009A1FD2"/>
    <w:rsid w:val="009A2E5A"/>
    <w:rsid w:val="009A300E"/>
    <w:rsid w:val="009A3466"/>
    <w:rsid w:val="009A3E6C"/>
    <w:rsid w:val="009A3F9C"/>
    <w:rsid w:val="009A430E"/>
    <w:rsid w:val="009A4741"/>
    <w:rsid w:val="009A4B4B"/>
    <w:rsid w:val="009A5D14"/>
    <w:rsid w:val="009A7662"/>
    <w:rsid w:val="009A7BA2"/>
    <w:rsid w:val="009A7ED0"/>
    <w:rsid w:val="009B0C52"/>
    <w:rsid w:val="009B0D50"/>
    <w:rsid w:val="009B4FA4"/>
    <w:rsid w:val="009B57D2"/>
    <w:rsid w:val="009B632A"/>
    <w:rsid w:val="009B6C78"/>
    <w:rsid w:val="009C0FF1"/>
    <w:rsid w:val="009C1A76"/>
    <w:rsid w:val="009C2D82"/>
    <w:rsid w:val="009C3BB2"/>
    <w:rsid w:val="009C3F0F"/>
    <w:rsid w:val="009C4416"/>
    <w:rsid w:val="009C4E71"/>
    <w:rsid w:val="009C5273"/>
    <w:rsid w:val="009C70E1"/>
    <w:rsid w:val="009C7A50"/>
    <w:rsid w:val="009C7A6D"/>
    <w:rsid w:val="009D0085"/>
    <w:rsid w:val="009D122A"/>
    <w:rsid w:val="009D12B7"/>
    <w:rsid w:val="009D1578"/>
    <w:rsid w:val="009D28A8"/>
    <w:rsid w:val="009D3257"/>
    <w:rsid w:val="009D33B7"/>
    <w:rsid w:val="009D3413"/>
    <w:rsid w:val="009D36D7"/>
    <w:rsid w:val="009D4D66"/>
    <w:rsid w:val="009D51D8"/>
    <w:rsid w:val="009D5A41"/>
    <w:rsid w:val="009D5DBC"/>
    <w:rsid w:val="009D5FD0"/>
    <w:rsid w:val="009D6163"/>
    <w:rsid w:val="009D666A"/>
    <w:rsid w:val="009D6916"/>
    <w:rsid w:val="009D7629"/>
    <w:rsid w:val="009D7803"/>
    <w:rsid w:val="009E08A6"/>
    <w:rsid w:val="009E161C"/>
    <w:rsid w:val="009E28DD"/>
    <w:rsid w:val="009E2F5B"/>
    <w:rsid w:val="009E310F"/>
    <w:rsid w:val="009E3AFF"/>
    <w:rsid w:val="009E6628"/>
    <w:rsid w:val="009F0490"/>
    <w:rsid w:val="009F192D"/>
    <w:rsid w:val="009F25FA"/>
    <w:rsid w:val="009F27D7"/>
    <w:rsid w:val="009F2827"/>
    <w:rsid w:val="009F2EF2"/>
    <w:rsid w:val="009F3953"/>
    <w:rsid w:val="009F4337"/>
    <w:rsid w:val="009F5387"/>
    <w:rsid w:val="009F60EF"/>
    <w:rsid w:val="00A00499"/>
    <w:rsid w:val="00A00FA8"/>
    <w:rsid w:val="00A01036"/>
    <w:rsid w:val="00A01CF0"/>
    <w:rsid w:val="00A01D69"/>
    <w:rsid w:val="00A0245C"/>
    <w:rsid w:val="00A035A6"/>
    <w:rsid w:val="00A0375D"/>
    <w:rsid w:val="00A043AA"/>
    <w:rsid w:val="00A0497A"/>
    <w:rsid w:val="00A07435"/>
    <w:rsid w:val="00A100AC"/>
    <w:rsid w:val="00A11BD7"/>
    <w:rsid w:val="00A11F03"/>
    <w:rsid w:val="00A11F56"/>
    <w:rsid w:val="00A13122"/>
    <w:rsid w:val="00A13E2B"/>
    <w:rsid w:val="00A14FCF"/>
    <w:rsid w:val="00A15149"/>
    <w:rsid w:val="00A1544B"/>
    <w:rsid w:val="00A1690B"/>
    <w:rsid w:val="00A16EBE"/>
    <w:rsid w:val="00A173DE"/>
    <w:rsid w:val="00A21849"/>
    <w:rsid w:val="00A21B2D"/>
    <w:rsid w:val="00A22449"/>
    <w:rsid w:val="00A229F6"/>
    <w:rsid w:val="00A2377C"/>
    <w:rsid w:val="00A24213"/>
    <w:rsid w:val="00A24DED"/>
    <w:rsid w:val="00A25446"/>
    <w:rsid w:val="00A2630C"/>
    <w:rsid w:val="00A26878"/>
    <w:rsid w:val="00A27172"/>
    <w:rsid w:val="00A3046C"/>
    <w:rsid w:val="00A32CF5"/>
    <w:rsid w:val="00A33001"/>
    <w:rsid w:val="00A33A54"/>
    <w:rsid w:val="00A35AB3"/>
    <w:rsid w:val="00A36216"/>
    <w:rsid w:val="00A372EC"/>
    <w:rsid w:val="00A37C19"/>
    <w:rsid w:val="00A40063"/>
    <w:rsid w:val="00A4093F"/>
    <w:rsid w:val="00A40F16"/>
    <w:rsid w:val="00A41181"/>
    <w:rsid w:val="00A413B8"/>
    <w:rsid w:val="00A41BDE"/>
    <w:rsid w:val="00A41F5E"/>
    <w:rsid w:val="00A420B0"/>
    <w:rsid w:val="00A420DA"/>
    <w:rsid w:val="00A42A19"/>
    <w:rsid w:val="00A42D57"/>
    <w:rsid w:val="00A43E46"/>
    <w:rsid w:val="00A4468A"/>
    <w:rsid w:val="00A447C4"/>
    <w:rsid w:val="00A45B1F"/>
    <w:rsid w:val="00A46328"/>
    <w:rsid w:val="00A4670E"/>
    <w:rsid w:val="00A46748"/>
    <w:rsid w:val="00A46BD0"/>
    <w:rsid w:val="00A46CF0"/>
    <w:rsid w:val="00A46E3A"/>
    <w:rsid w:val="00A47D10"/>
    <w:rsid w:val="00A51584"/>
    <w:rsid w:val="00A51EF5"/>
    <w:rsid w:val="00A53B00"/>
    <w:rsid w:val="00A54E03"/>
    <w:rsid w:val="00A551A1"/>
    <w:rsid w:val="00A55B10"/>
    <w:rsid w:val="00A55BE0"/>
    <w:rsid w:val="00A55C1E"/>
    <w:rsid w:val="00A5648E"/>
    <w:rsid w:val="00A57434"/>
    <w:rsid w:val="00A57738"/>
    <w:rsid w:val="00A57ABB"/>
    <w:rsid w:val="00A60C57"/>
    <w:rsid w:val="00A60C5F"/>
    <w:rsid w:val="00A60E09"/>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93B"/>
    <w:rsid w:val="00A738B6"/>
    <w:rsid w:val="00A7571A"/>
    <w:rsid w:val="00A75C97"/>
    <w:rsid w:val="00A76427"/>
    <w:rsid w:val="00A77971"/>
    <w:rsid w:val="00A77E8A"/>
    <w:rsid w:val="00A8081A"/>
    <w:rsid w:val="00A80FEE"/>
    <w:rsid w:val="00A81308"/>
    <w:rsid w:val="00A8194F"/>
    <w:rsid w:val="00A81ACA"/>
    <w:rsid w:val="00A81C6C"/>
    <w:rsid w:val="00A820E4"/>
    <w:rsid w:val="00A82519"/>
    <w:rsid w:val="00A82FE4"/>
    <w:rsid w:val="00A83A50"/>
    <w:rsid w:val="00A83D1F"/>
    <w:rsid w:val="00A86033"/>
    <w:rsid w:val="00A901F4"/>
    <w:rsid w:val="00A90EBC"/>
    <w:rsid w:val="00A9198E"/>
    <w:rsid w:val="00A91BA3"/>
    <w:rsid w:val="00A92E78"/>
    <w:rsid w:val="00A93901"/>
    <w:rsid w:val="00A93A3C"/>
    <w:rsid w:val="00A94106"/>
    <w:rsid w:val="00A94132"/>
    <w:rsid w:val="00A956F8"/>
    <w:rsid w:val="00A969B2"/>
    <w:rsid w:val="00A96F2F"/>
    <w:rsid w:val="00AA0BB3"/>
    <w:rsid w:val="00AA103D"/>
    <w:rsid w:val="00AA124E"/>
    <w:rsid w:val="00AA156B"/>
    <w:rsid w:val="00AA169D"/>
    <w:rsid w:val="00AA1B07"/>
    <w:rsid w:val="00AA1F6C"/>
    <w:rsid w:val="00AA3591"/>
    <w:rsid w:val="00AA469D"/>
    <w:rsid w:val="00AA4B27"/>
    <w:rsid w:val="00AA5209"/>
    <w:rsid w:val="00AA5995"/>
    <w:rsid w:val="00AA5C55"/>
    <w:rsid w:val="00AA5C9B"/>
    <w:rsid w:val="00AA5FBC"/>
    <w:rsid w:val="00AA71E5"/>
    <w:rsid w:val="00AA77BC"/>
    <w:rsid w:val="00AA78F9"/>
    <w:rsid w:val="00AA7ED4"/>
    <w:rsid w:val="00AB1FAE"/>
    <w:rsid w:val="00AB2772"/>
    <w:rsid w:val="00AB2A84"/>
    <w:rsid w:val="00AB2CEE"/>
    <w:rsid w:val="00AB3376"/>
    <w:rsid w:val="00AB38A4"/>
    <w:rsid w:val="00AB4E8B"/>
    <w:rsid w:val="00AB58B8"/>
    <w:rsid w:val="00AB5F04"/>
    <w:rsid w:val="00AB665F"/>
    <w:rsid w:val="00AB6A21"/>
    <w:rsid w:val="00AB7BEB"/>
    <w:rsid w:val="00AC0223"/>
    <w:rsid w:val="00AC068E"/>
    <w:rsid w:val="00AC0BA6"/>
    <w:rsid w:val="00AC0EE3"/>
    <w:rsid w:val="00AC1355"/>
    <w:rsid w:val="00AC1B59"/>
    <w:rsid w:val="00AC1B8C"/>
    <w:rsid w:val="00AC2426"/>
    <w:rsid w:val="00AC2815"/>
    <w:rsid w:val="00AC2F69"/>
    <w:rsid w:val="00AC3C28"/>
    <w:rsid w:val="00AC40DD"/>
    <w:rsid w:val="00AC4E13"/>
    <w:rsid w:val="00AC5E09"/>
    <w:rsid w:val="00AC5FED"/>
    <w:rsid w:val="00AC62BF"/>
    <w:rsid w:val="00AC65D4"/>
    <w:rsid w:val="00AC6A39"/>
    <w:rsid w:val="00AC6F72"/>
    <w:rsid w:val="00AC7A1D"/>
    <w:rsid w:val="00AC7F64"/>
    <w:rsid w:val="00AD0090"/>
    <w:rsid w:val="00AD0AD2"/>
    <w:rsid w:val="00AD0E76"/>
    <w:rsid w:val="00AD1CDE"/>
    <w:rsid w:val="00AD1DD7"/>
    <w:rsid w:val="00AD3863"/>
    <w:rsid w:val="00AD4031"/>
    <w:rsid w:val="00AD47C7"/>
    <w:rsid w:val="00AD47D3"/>
    <w:rsid w:val="00AD50C2"/>
    <w:rsid w:val="00AD5C6C"/>
    <w:rsid w:val="00AD5F77"/>
    <w:rsid w:val="00AD74BA"/>
    <w:rsid w:val="00AD7606"/>
    <w:rsid w:val="00AE04E9"/>
    <w:rsid w:val="00AE3CFE"/>
    <w:rsid w:val="00AE469D"/>
    <w:rsid w:val="00AE4C68"/>
    <w:rsid w:val="00AE67B4"/>
    <w:rsid w:val="00AE6BF6"/>
    <w:rsid w:val="00AF0682"/>
    <w:rsid w:val="00AF1013"/>
    <w:rsid w:val="00AF2244"/>
    <w:rsid w:val="00AF2316"/>
    <w:rsid w:val="00AF2F96"/>
    <w:rsid w:val="00AF357A"/>
    <w:rsid w:val="00AF35BA"/>
    <w:rsid w:val="00AF5582"/>
    <w:rsid w:val="00AF5B6A"/>
    <w:rsid w:val="00AF708A"/>
    <w:rsid w:val="00AF7F20"/>
    <w:rsid w:val="00B0182C"/>
    <w:rsid w:val="00B0323B"/>
    <w:rsid w:val="00B03A3A"/>
    <w:rsid w:val="00B03F54"/>
    <w:rsid w:val="00B04746"/>
    <w:rsid w:val="00B06EBA"/>
    <w:rsid w:val="00B074EA"/>
    <w:rsid w:val="00B07538"/>
    <w:rsid w:val="00B07FF7"/>
    <w:rsid w:val="00B10CE0"/>
    <w:rsid w:val="00B1147B"/>
    <w:rsid w:val="00B12798"/>
    <w:rsid w:val="00B12D0F"/>
    <w:rsid w:val="00B12FC1"/>
    <w:rsid w:val="00B1340F"/>
    <w:rsid w:val="00B14148"/>
    <w:rsid w:val="00B14561"/>
    <w:rsid w:val="00B14B6D"/>
    <w:rsid w:val="00B1623D"/>
    <w:rsid w:val="00B16526"/>
    <w:rsid w:val="00B16B36"/>
    <w:rsid w:val="00B16E0C"/>
    <w:rsid w:val="00B176BA"/>
    <w:rsid w:val="00B204B2"/>
    <w:rsid w:val="00B2143A"/>
    <w:rsid w:val="00B22291"/>
    <w:rsid w:val="00B22D39"/>
    <w:rsid w:val="00B22F4E"/>
    <w:rsid w:val="00B243FE"/>
    <w:rsid w:val="00B25B99"/>
    <w:rsid w:val="00B261C8"/>
    <w:rsid w:val="00B26A87"/>
    <w:rsid w:val="00B26EE1"/>
    <w:rsid w:val="00B276A6"/>
    <w:rsid w:val="00B30733"/>
    <w:rsid w:val="00B3078D"/>
    <w:rsid w:val="00B30D5E"/>
    <w:rsid w:val="00B32498"/>
    <w:rsid w:val="00B327DA"/>
    <w:rsid w:val="00B344FA"/>
    <w:rsid w:val="00B34D0B"/>
    <w:rsid w:val="00B354F6"/>
    <w:rsid w:val="00B36D35"/>
    <w:rsid w:val="00B3733E"/>
    <w:rsid w:val="00B41866"/>
    <w:rsid w:val="00B41D0D"/>
    <w:rsid w:val="00B41EAC"/>
    <w:rsid w:val="00B42320"/>
    <w:rsid w:val="00B435AF"/>
    <w:rsid w:val="00B44581"/>
    <w:rsid w:val="00B44BC1"/>
    <w:rsid w:val="00B456AC"/>
    <w:rsid w:val="00B45737"/>
    <w:rsid w:val="00B45E33"/>
    <w:rsid w:val="00B46220"/>
    <w:rsid w:val="00B46410"/>
    <w:rsid w:val="00B4653C"/>
    <w:rsid w:val="00B46E54"/>
    <w:rsid w:val="00B47667"/>
    <w:rsid w:val="00B501DF"/>
    <w:rsid w:val="00B50C25"/>
    <w:rsid w:val="00B5143C"/>
    <w:rsid w:val="00B5181E"/>
    <w:rsid w:val="00B519B3"/>
    <w:rsid w:val="00B51AEA"/>
    <w:rsid w:val="00B524FF"/>
    <w:rsid w:val="00B5255E"/>
    <w:rsid w:val="00B537C7"/>
    <w:rsid w:val="00B54328"/>
    <w:rsid w:val="00B54359"/>
    <w:rsid w:val="00B547CC"/>
    <w:rsid w:val="00B54D27"/>
    <w:rsid w:val="00B551E9"/>
    <w:rsid w:val="00B56208"/>
    <w:rsid w:val="00B60780"/>
    <w:rsid w:val="00B60F4C"/>
    <w:rsid w:val="00B61730"/>
    <w:rsid w:val="00B61FE5"/>
    <w:rsid w:val="00B6290B"/>
    <w:rsid w:val="00B62AD3"/>
    <w:rsid w:val="00B63641"/>
    <w:rsid w:val="00B6394D"/>
    <w:rsid w:val="00B64258"/>
    <w:rsid w:val="00B64A38"/>
    <w:rsid w:val="00B64D7C"/>
    <w:rsid w:val="00B658C7"/>
    <w:rsid w:val="00B6597E"/>
    <w:rsid w:val="00B65BE4"/>
    <w:rsid w:val="00B667DE"/>
    <w:rsid w:val="00B6693F"/>
    <w:rsid w:val="00B718C8"/>
    <w:rsid w:val="00B71FB3"/>
    <w:rsid w:val="00B72493"/>
    <w:rsid w:val="00B72B49"/>
    <w:rsid w:val="00B72DC9"/>
    <w:rsid w:val="00B73CFE"/>
    <w:rsid w:val="00B743B4"/>
    <w:rsid w:val="00B7469B"/>
    <w:rsid w:val="00B75391"/>
    <w:rsid w:val="00B7744B"/>
    <w:rsid w:val="00B81132"/>
    <w:rsid w:val="00B81657"/>
    <w:rsid w:val="00B817D6"/>
    <w:rsid w:val="00B8191D"/>
    <w:rsid w:val="00B82485"/>
    <w:rsid w:val="00B82945"/>
    <w:rsid w:val="00B829C2"/>
    <w:rsid w:val="00B8308A"/>
    <w:rsid w:val="00B857F5"/>
    <w:rsid w:val="00B85895"/>
    <w:rsid w:val="00B85C21"/>
    <w:rsid w:val="00B864B4"/>
    <w:rsid w:val="00B8686C"/>
    <w:rsid w:val="00B86916"/>
    <w:rsid w:val="00B86AF8"/>
    <w:rsid w:val="00B86C6F"/>
    <w:rsid w:val="00B86CFA"/>
    <w:rsid w:val="00B8727B"/>
    <w:rsid w:val="00B911A9"/>
    <w:rsid w:val="00B91435"/>
    <w:rsid w:val="00B9164C"/>
    <w:rsid w:val="00B91BED"/>
    <w:rsid w:val="00B935B8"/>
    <w:rsid w:val="00B94DB6"/>
    <w:rsid w:val="00B95F12"/>
    <w:rsid w:val="00B965EA"/>
    <w:rsid w:val="00B96780"/>
    <w:rsid w:val="00B967B1"/>
    <w:rsid w:val="00BA1CFF"/>
    <w:rsid w:val="00BA2681"/>
    <w:rsid w:val="00BA375F"/>
    <w:rsid w:val="00BA3CE9"/>
    <w:rsid w:val="00BA44C7"/>
    <w:rsid w:val="00BA46B7"/>
    <w:rsid w:val="00BA5ACB"/>
    <w:rsid w:val="00BA6C1B"/>
    <w:rsid w:val="00BA7956"/>
    <w:rsid w:val="00BA7CF1"/>
    <w:rsid w:val="00BB107C"/>
    <w:rsid w:val="00BB1169"/>
    <w:rsid w:val="00BB1937"/>
    <w:rsid w:val="00BB1B51"/>
    <w:rsid w:val="00BB222C"/>
    <w:rsid w:val="00BB283B"/>
    <w:rsid w:val="00BB2E0C"/>
    <w:rsid w:val="00BB3280"/>
    <w:rsid w:val="00BB334C"/>
    <w:rsid w:val="00BB37CF"/>
    <w:rsid w:val="00BB46AB"/>
    <w:rsid w:val="00BB4EB8"/>
    <w:rsid w:val="00BB4F94"/>
    <w:rsid w:val="00BB54D8"/>
    <w:rsid w:val="00BB6994"/>
    <w:rsid w:val="00BB6CD3"/>
    <w:rsid w:val="00BC30BB"/>
    <w:rsid w:val="00BC3D73"/>
    <w:rsid w:val="00BC4F75"/>
    <w:rsid w:val="00BC5230"/>
    <w:rsid w:val="00BC546F"/>
    <w:rsid w:val="00BC5DE2"/>
    <w:rsid w:val="00BC5E12"/>
    <w:rsid w:val="00BC7643"/>
    <w:rsid w:val="00BD075A"/>
    <w:rsid w:val="00BD08E2"/>
    <w:rsid w:val="00BD0F6D"/>
    <w:rsid w:val="00BD30C0"/>
    <w:rsid w:val="00BD3CCB"/>
    <w:rsid w:val="00BD55A4"/>
    <w:rsid w:val="00BD6930"/>
    <w:rsid w:val="00BD6B7B"/>
    <w:rsid w:val="00BD6C17"/>
    <w:rsid w:val="00BE16C7"/>
    <w:rsid w:val="00BE23B6"/>
    <w:rsid w:val="00BE2685"/>
    <w:rsid w:val="00BE4354"/>
    <w:rsid w:val="00BE4A1E"/>
    <w:rsid w:val="00BE507A"/>
    <w:rsid w:val="00BE5B9B"/>
    <w:rsid w:val="00BE66C4"/>
    <w:rsid w:val="00BE6900"/>
    <w:rsid w:val="00BE76BC"/>
    <w:rsid w:val="00BF0E0E"/>
    <w:rsid w:val="00BF1115"/>
    <w:rsid w:val="00BF2FBA"/>
    <w:rsid w:val="00BF30D0"/>
    <w:rsid w:val="00BF492B"/>
    <w:rsid w:val="00BF4A1D"/>
    <w:rsid w:val="00BF50E9"/>
    <w:rsid w:val="00BF515E"/>
    <w:rsid w:val="00BF5A3F"/>
    <w:rsid w:val="00BF650E"/>
    <w:rsid w:val="00BF6532"/>
    <w:rsid w:val="00BF663F"/>
    <w:rsid w:val="00BF7CA5"/>
    <w:rsid w:val="00C00250"/>
    <w:rsid w:val="00C00FCA"/>
    <w:rsid w:val="00C01AD0"/>
    <w:rsid w:val="00C02229"/>
    <w:rsid w:val="00C023C8"/>
    <w:rsid w:val="00C025A0"/>
    <w:rsid w:val="00C025A7"/>
    <w:rsid w:val="00C03457"/>
    <w:rsid w:val="00C05379"/>
    <w:rsid w:val="00C058CF"/>
    <w:rsid w:val="00C0648C"/>
    <w:rsid w:val="00C1022A"/>
    <w:rsid w:val="00C1027A"/>
    <w:rsid w:val="00C11DD3"/>
    <w:rsid w:val="00C1264F"/>
    <w:rsid w:val="00C13581"/>
    <w:rsid w:val="00C13D31"/>
    <w:rsid w:val="00C142A8"/>
    <w:rsid w:val="00C14BEC"/>
    <w:rsid w:val="00C14F46"/>
    <w:rsid w:val="00C15703"/>
    <w:rsid w:val="00C16C86"/>
    <w:rsid w:val="00C16F56"/>
    <w:rsid w:val="00C1725F"/>
    <w:rsid w:val="00C20317"/>
    <w:rsid w:val="00C21029"/>
    <w:rsid w:val="00C2199F"/>
    <w:rsid w:val="00C22B43"/>
    <w:rsid w:val="00C22D89"/>
    <w:rsid w:val="00C2528A"/>
    <w:rsid w:val="00C25937"/>
    <w:rsid w:val="00C260F9"/>
    <w:rsid w:val="00C26AFE"/>
    <w:rsid w:val="00C27290"/>
    <w:rsid w:val="00C2751A"/>
    <w:rsid w:val="00C27A4C"/>
    <w:rsid w:val="00C3054D"/>
    <w:rsid w:val="00C3061A"/>
    <w:rsid w:val="00C30742"/>
    <w:rsid w:val="00C30E08"/>
    <w:rsid w:val="00C318CC"/>
    <w:rsid w:val="00C3265F"/>
    <w:rsid w:val="00C34198"/>
    <w:rsid w:val="00C361F0"/>
    <w:rsid w:val="00C368C3"/>
    <w:rsid w:val="00C37429"/>
    <w:rsid w:val="00C40736"/>
    <w:rsid w:val="00C40DC2"/>
    <w:rsid w:val="00C41A4A"/>
    <w:rsid w:val="00C41C9B"/>
    <w:rsid w:val="00C42670"/>
    <w:rsid w:val="00C428FC"/>
    <w:rsid w:val="00C43210"/>
    <w:rsid w:val="00C43998"/>
    <w:rsid w:val="00C43EC3"/>
    <w:rsid w:val="00C442A9"/>
    <w:rsid w:val="00C44F6D"/>
    <w:rsid w:val="00C45A12"/>
    <w:rsid w:val="00C46CBB"/>
    <w:rsid w:val="00C46D37"/>
    <w:rsid w:val="00C477A4"/>
    <w:rsid w:val="00C478E3"/>
    <w:rsid w:val="00C47E48"/>
    <w:rsid w:val="00C5071E"/>
    <w:rsid w:val="00C507D6"/>
    <w:rsid w:val="00C50E7D"/>
    <w:rsid w:val="00C512F6"/>
    <w:rsid w:val="00C5307C"/>
    <w:rsid w:val="00C530BA"/>
    <w:rsid w:val="00C530BE"/>
    <w:rsid w:val="00C53894"/>
    <w:rsid w:val="00C5398B"/>
    <w:rsid w:val="00C53B8D"/>
    <w:rsid w:val="00C53BD9"/>
    <w:rsid w:val="00C53C2F"/>
    <w:rsid w:val="00C5472E"/>
    <w:rsid w:val="00C548B6"/>
    <w:rsid w:val="00C55146"/>
    <w:rsid w:val="00C5665F"/>
    <w:rsid w:val="00C56852"/>
    <w:rsid w:val="00C57411"/>
    <w:rsid w:val="00C60A95"/>
    <w:rsid w:val="00C616B5"/>
    <w:rsid w:val="00C619D8"/>
    <w:rsid w:val="00C61BB4"/>
    <w:rsid w:val="00C61DF5"/>
    <w:rsid w:val="00C62A64"/>
    <w:rsid w:val="00C64099"/>
    <w:rsid w:val="00C64367"/>
    <w:rsid w:val="00C64640"/>
    <w:rsid w:val="00C64BBB"/>
    <w:rsid w:val="00C66028"/>
    <w:rsid w:val="00C66D57"/>
    <w:rsid w:val="00C67341"/>
    <w:rsid w:val="00C6774E"/>
    <w:rsid w:val="00C67A14"/>
    <w:rsid w:val="00C67E30"/>
    <w:rsid w:val="00C67F86"/>
    <w:rsid w:val="00C704D8"/>
    <w:rsid w:val="00C71EF6"/>
    <w:rsid w:val="00C72889"/>
    <w:rsid w:val="00C734ED"/>
    <w:rsid w:val="00C73508"/>
    <w:rsid w:val="00C739D4"/>
    <w:rsid w:val="00C749C6"/>
    <w:rsid w:val="00C74CC2"/>
    <w:rsid w:val="00C74FAF"/>
    <w:rsid w:val="00C75B4E"/>
    <w:rsid w:val="00C76C13"/>
    <w:rsid w:val="00C77588"/>
    <w:rsid w:val="00C80CA3"/>
    <w:rsid w:val="00C8108F"/>
    <w:rsid w:val="00C81E1D"/>
    <w:rsid w:val="00C81EA7"/>
    <w:rsid w:val="00C820CD"/>
    <w:rsid w:val="00C84486"/>
    <w:rsid w:val="00C8594C"/>
    <w:rsid w:val="00C85BE5"/>
    <w:rsid w:val="00C864ED"/>
    <w:rsid w:val="00C86E23"/>
    <w:rsid w:val="00C8744A"/>
    <w:rsid w:val="00C87451"/>
    <w:rsid w:val="00C8796A"/>
    <w:rsid w:val="00C87AFB"/>
    <w:rsid w:val="00C87E06"/>
    <w:rsid w:val="00C903EA"/>
    <w:rsid w:val="00C9059B"/>
    <w:rsid w:val="00C906C4"/>
    <w:rsid w:val="00C909B2"/>
    <w:rsid w:val="00C9119F"/>
    <w:rsid w:val="00C923EC"/>
    <w:rsid w:val="00C95B41"/>
    <w:rsid w:val="00C95F52"/>
    <w:rsid w:val="00C96F20"/>
    <w:rsid w:val="00C973C0"/>
    <w:rsid w:val="00C9748B"/>
    <w:rsid w:val="00C978A6"/>
    <w:rsid w:val="00CA041E"/>
    <w:rsid w:val="00CA08EB"/>
    <w:rsid w:val="00CA0D7D"/>
    <w:rsid w:val="00CA0DC8"/>
    <w:rsid w:val="00CA208F"/>
    <w:rsid w:val="00CA213E"/>
    <w:rsid w:val="00CA2222"/>
    <w:rsid w:val="00CA2F70"/>
    <w:rsid w:val="00CA313C"/>
    <w:rsid w:val="00CA396B"/>
    <w:rsid w:val="00CA4D61"/>
    <w:rsid w:val="00CA6732"/>
    <w:rsid w:val="00CA6997"/>
    <w:rsid w:val="00CA6A54"/>
    <w:rsid w:val="00CA6C63"/>
    <w:rsid w:val="00CA7D1C"/>
    <w:rsid w:val="00CB0601"/>
    <w:rsid w:val="00CB09BC"/>
    <w:rsid w:val="00CB18CF"/>
    <w:rsid w:val="00CB241B"/>
    <w:rsid w:val="00CB2950"/>
    <w:rsid w:val="00CB34B6"/>
    <w:rsid w:val="00CB36E6"/>
    <w:rsid w:val="00CB4AC0"/>
    <w:rsid w:val="00CB5434"/>
    <w:rsid w:val="00CB6002"/>
    <w:rsid w:val="00CB6497"/>
    <w:rsid w:val="00CB70AB"/>
    <w:rsid w:val="00CB711D"/>
    <w:rsid w:val="00CC0FAB"/>
    <w:rsid w:val="00CC20DA"/>
    <w:rsid w:val="00CC247E"/>
    <w:rsid w:val="00CC27AC"/>
    <w:rsid w:val="00CC34D8"/>
    <w:rsid w:val="00CC3C26"/>
    <w:rsid w:val="00CC3F3B"/>
    <w:rsid w:val="00CC448C"/>
    <w:rsid w:val="00CC62DD"/>
    <w:rsid w:val="00CC67A0"/>
    <w:rsid w:val="00CC7C34"/>
    <w:rsid w:val="00CD054C"/>
    <w:rsid w:val="00CD0C7C"/>
    <w:rsid w:val="00CD117D"/>
    <w:rsid w:val="00CD1956"/>
    <w:rsid w:val="00CD32DA"/>
    <w:rsid w:val="00CD3EE5"/>
    <w:rsid w:val="00CD3EFB"/>
    <w:rsid w:val="00CD402C"/>
    <w:rsid w:val="00CD463E"/>
    <w:rsid w:val="00CD49EC"/>
    <w:rsid w:val="00CD633B"/>
    <w:rsid w:val="00CE068B"/>
    <w:rsid w:val="00CE1908"/>
    <w:rsid w:val="00CE4472"/>
    <w:rsid w:val="00CE4D2B"/>
    <w:rsid w:val="00CE5B3F"/>
    <w:rsid w:val="00CE5E9F"/>
    <w:rsid w:val="00CE621C"/>
    <w:rsid w:val="00CE6880"/>
    <w:rsid w:val="00CF0A61"/>
    <w:rsid w:val="00CF1524"/>
    <w:rsid w:val="00CF1872"/>
    <w:rsid w:val="00CF1D34"/>
    <w:rsid w:val="00CF2195"/>
    <w:rsid w:val="00CF25C2"/>
    <w:rsid w:val="00CF3023"/>
    <w:rsid w:val="00CF330A"/>
    <w:rsid w:val="00CF42D6"/>
    <w:rsid w:val="00CF48C1"/>
    <w:rsid w:val="00CF4A4C"/>
    <w:rsid w:val="00CF4E20"/>
    <w:rsid w:val="00CF7334"/>
    <w:rsid w:val="00D007AC"/>
    <w:rsid w:val="00D00B19"/>
    <w:rsid w:val="00D01E1C"/>
    <w:rsid w:val="00D02E8F"/>
    <w:rsid w:val="00D033F0"/>
    <w:rsid w:val="00D0359E"/>
    <w:rsid w:val="00D03D12"/>
    <w:rsid w:val="00D05206"/>
    <w:rsid w:val="00D054C8"/>
    <w:rsid w:val="00D057FB"/>
    <w:rsid w:val="00D05DDE"/>
    <w:rsid w:val="00D06F6E"/>
    <w:rsid w:val="00D11D5E"/>
    <w:rsid w:val="00D13658"/>
    <w:rsid w:val="00D15E3A"/>
    <w:rsid w:val="00D16325"/>
    <w:rsid w:val="00D16BA1"/>
    <w:rsid w:val="00D17E36"/>
    <w:rsid w:val="00D203E2"/>
    <w:rsid w:val="00D2066E"/>
    <w:rsid w:val="00D20CE9"/>
    <w:rsid w:val="00D212A8"/>
    <w:rsid w:val="00D2176F"/>
    <w:rsid w:val="00D22582"/>
    <w:rsid w:val="00D22738"/>
    <w:rsid w:val="00D230F6"/>
    <w:rsid w:val="00D232D6"/>
    <w:rsid w:val="00D2449B"/>
    <w:rsid w:val="00D24BA1"/>
    <w:rsid w:val="00D24DD6"/>
    <w:rsid w:val="00D267CF"/>
    <w:rsid w:val="00D30231"/>
    <w:rsid w:val="00D30A24"/>
    <w:rsid w:val="00D31AAD"/>
    <w:rsid w:val="00D32314"/>
    <w:rsid w:val="00D3261D"/>
    <w:rsid w:val="00D32700"/>
    <w:rsid w:val="00D32AAC"/>
    <w:rsid w:val="00D34314"/>
    <w:rsid w:val="00D36393"/>
    <w:rsid w:val="00D379D4"/>
    <w:rsid w:val="00D41B01"/>
    <w:rsid w:val="00D41C30"/>
    <w:rsid w:val="00D42030"/>
    <w:rsid w:val="00D423DA"/>
    <w:rsid w:val="00D42A9E"/>
    <w:rsid w:val="00D433F5"/>
    <w:rsid w:val="00D447D4"/>
    <w:rsid w:val="00D45751"/>
    <w:rsid w:val="00D462B0"/>
    <w:rsid w:val="00D46CCA"/>
    <w:rsid w:val="00D46FF9"/>
    <w:rsid w:val="00D47C55"/>
    <w:rsid w:val="00D502A2"/>
    <w:rsid w:val="00D5050E"/>
    <w:rsid w:val="00D50628"/>
    <w:rsid w:val="00D50905"/>
    <w:rsid w:val="00D50A04"/>
    <w:rsid w:val="00D52372"/>
    <w:rsid w:val="00D52B60"/>
    <w:rsid w:val="00D53403"/>
    <w:rsid w:val="00D53435"/>
    <w:rsid w:val="00D547D0"/>
    <w:rsid w:val="00D54C7A"/>
    <w:rsid w:val="00D554EF"/>
    <w:rsid w:val="00D55661"/>
    <w:rsid w:val="00D556AC"/>
    <w:rsid w:val="00D55D52"/>
    <w:rsid w:val="00D55F62"/>
    <w:rsid w:val="00D570C0"/>
    <w:rsid w:val="00D609D6"/>
    <w:rsid w:val="00D6137E"/>
    <w:rsid w:val="00D61B92"/>
    <w:rsid w:val="00D62B16"/>
    <w:rsid w:val="00D63665"/>
    <w:rsid w:val="00D64A99"/>
    <w:rsid w:val="00D652A4"/>
    <w:rsid w:val="00D65741"/>
    <w:rsid w:val="00D65C48"/>
    <w:rsid w:val="00D65F58"/>
    <w:rsid w:val="00D6673D"/>
    <w:rsid w:val="00D66D9F"/>
    <w:rsid w:val="00D67017"/>
    <w:rsid w:val="00D67084"/>
    <w:rsid w:val="00D670C8"/>
    <w:rsid w:val="00D6730E"/>
    <w:rsid w:val="00D70226"/>
    <w:rsid w:val="00D70692"/>
    <w:rsid w:val="00D70A82"/>
    <w:rsid w:val="00D711EB"/>
    <w:rsid w:val="00D7203B"/>
    <w:rsid w:val="00D7229F"/>
    <w:rsid w:val="00D724C8"/>
    <w:rsid w:val="00D7380B"/>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C0A"/>
    <w:rsid w:val="00D85127"/>
    <w:rsid w:val="00D85D0D"/>
    <w:rsid w:val="00D8763F"/>
    <w:rsid w:val="00D87FB5"/>
    <w:rsid w:val="00D90229"/>
    <w:rsid w:val="00D902E2"/>
    <w:rsid w:val="00D907A0"/>
    <w:rsid w:val="00D9159D"/>
    <w:rsid w:val="00D92286"/>
    <w:rsid w:val="00D92AED"/>
    <w:rsid w:val="00D936D7"/>
    <w:rsid w:val="00D93757"/>
    <w:rsid w:val="00D940DF"/>
    <w:rsid w:val="00D951C1"/>
    <w:rsid w:val="00D9544E"/>
    <w:rsid w:val="00D95932"/>
    <w:rsid w:val="00D95B44"/>
    <w:rsid w:val="00D95D90"/>
    <w:rsid w:val="00D961FA"/>
    <w:rsid w:val="00D972BF"/>
    <w:rsid w:val="00D9753D"/>
    <w:rsid w:val="00D97ACC"/>
    <w:rsid w:val="00DA09F6"/>
    <w:rsid w:val="00DA0A4B"/>
    <w:rsid w:val="00DA3BAE"/>
    <w:rsid w:val="00DA431D"/>
    <w:rsid w:val="00DA4362"/>
    <w:rsid w:val="00DA6548"/>
    <w:rsid w:val="00DA6C47"/>
    <w:rsid w:val="00DA7078"/>
    <w:rsid w:val="00DA70DF"/>
    <w:rsid w:val="00DB08C5"/>
    <w:rsid w:val="00DB096F"/>
    <w:rsid w:val="00DB1E26"/>
    <w:rsid w:val="00DB25B5"/>
    <w:rsid w:val="00DB2D9D"/>
    <w:rsid w:val="00DB37D4"/>
    <w:rsid w:val="00DB3C85"/>
    <w:rsid w:val="00DB4E6B"/>
    <w:rsid w:val="00DB4EB3"/>
    <w:rsid w:val="00DB5491"/>
    <w:rsid w:val="00DB5B47"/>
    <w:rsid w:val="00DB5E0F"/>
    <w:rsid w:val="00DB622F"/>
    <w:rsid w:val="00DB66A9"/>
    <w:rsid w:val="00DB6FD5"/>
    <w:rsid w:val="00DB7CD2"/>
    <w:rsid w:val="00DC04D2"/>
    <w:rsid w:val="00DC0D1A"/>
    <w:rsid w:val="00DC2164"/>
    <w:rsid w:val="00DC252E"/>
    <w:rsid w:val="00DC27DE"/>
    <w:rsid w:val="00DC2A90"/>
    <w:rsid w:val="00DC3FB1"/>
    <w:rsid w:val="00DC418B"/>
    <w:rsid w:val="00DC42D8"/>
    <w:rsid w:val="00DC4D1E"/>
    <w:rsid w:val="00DC50F0"/>
    <w:rsid w:val="00DC5A13"/>
    <w:rsid w:val="00DC6075"/>
    <w:rsid w:val="00DD0852"/>
    <w:rsid w:val="00DD0FC2"/>
    <w:rsid w:val="00DD1060"/>
    <w:rsid w:val="00DD1BEE"/>
    <w:rsid w:val="00DD2620"/>
    <w:rsid w:val="00DD2DBA"/>
    <w:rsid w:val="00DD3D8C"/>
    <w:rsid w:val="00DD42D9"/>
    <w:rsid w:val="00DD46E5"/>
    <w:rsid w:val="00DD5B80"/>
    <w:rsid w:val="00DD619A"/>
    <w:rsid w:val="00DD736F"/>
    <w:rsid w:val="00DD7D1D"/>
    <w:rsid w:val="00DE18B0"/>
    <w:rsid w:val="00DE1FD9"/>
    <w:rsid w:val="00DE2092"/>
    <w:rsid w:val="00DE3262"/>
    <w:rsid w:val="00DE51B9"/>
    <w:rsid w:val="00DE5931"/>
    <w:rsid w:val="00DE64DB"/>
    <w:rsid w:val="00DE674B"/>
    <w:rsid w:val="00DE69DC"/>
    <w:rsid w:val="00DE7662"/>
    <w:rsid w:val="00DE7FF9"/>
    <w:rsid w:val="00DF312D"/>
    <w:rsid w:val="00DF3C56"/>
    <w:rsid w:val="00DF4656"/>
    <w:rsid w:val="00DF4983"/>
    <w:rsid w:val="00DF4C61"/>
    <w:rsid w:val="00DF7AF6"/>
    <w:rsid w:val="00DF7EB3"/>
    <w:rsid w:val="00E01B4C"/>
    <w:rsid w:val="00E02446"/>
    <w:rsid w:val="00E028DD"/>
    <w:rsid w:val="00E0373F"/>
    <w:rsid w:val="00E038CC"/>
    <w:rsid w:val="00E0444A"/>
    <w:rsid w:val="00E04DE9"/>
    <w:rsid w:val="00E0506D"/>
    <w:rsid w:val="00E053DE"/>
    <w:rsid w:val="00E06E1E"/>
    <w:rsid w:val="00E07364"/>
    <w:rsid w:val="00E07BA7"/>
    <w:rsid w:val="00E1092C"/>
    <w:rsid w:val="00E10D14"/>
    <w:rsid w:val="00E1117F"/>
    <w:rsid w:val="00E1177E"/>
    <w:rsid w:val="00E11CC8"/>
    <w:rsid w:val="00E126AE"/>
    <w:rsid w:val="00E13036"/>
    <w:rsid w:val="00E13CA8"/>
    <w:rsid w:val="00E14265"/>
    <w:rsid w:val="00E14531"/>
    <w:rsid w:val="00E14690"/>
    <w:rsid w:val="00E14D4A"/>
    <w:rsid w:val="00E14F84"/>
    <w:rsid w:val="00E1527F"/>
    <w:rsid w:val="00E164FE"/>
    <w:rsid w:val="00E168B3"/>
    <w:rsid w:val="00E1788D"/>
    <w:rsid w:val="00E17965"/>
    <w:rsid w:val="00E1798C"/>
    <w:rsid w:val="00E207C8"/>
    <w:rsid w:val="00E20E76"/>
    <w:rsid w:val="00E218EC"/>
    <w:rsid w:val="00E224C8"/>
    <w:rsid w:val="00E22AC4"/>
    <w:rsid w:val="00E22EC6"/>
    <w:rsid w:val="00E23219"/>
    <w:rsid w:val="00E23303"/>
    <w:rsid w:val="00E24396"/>
    <w:rsid w:val="00E245B1"/>
    <w:rsid w:val="00E24E38"/>
    <w:rsid w:val="00E25942"/>
    <w:rsid w:val="00E27008"/>
    <w:rsid w:val="00E3315C"/>
    <w:rsid w:val="00E33EA9"/>
    <w:rsid w:val="00E35F97"/>
    <w:rsid w:val="00E3654C"/>
    <w:rsid w:val="00E4091A"/>
    <w:rsid w:val="00E40C16"/>
    <w:rsid w:val="00E40CCD"/>
    <w:rsid w:val="00E40EA7"/>
    <w:rsid w:val="00E42820"/>
    <w:rsid w:val="00E42BE8"/>
    <w:rsid w:val="00E43440"/>
    <w:rsid w:val="00E4418A"/>
    <w:rsid w:val="00E443D0"/>
    <w:rsid w:val="00E44451"/>
    <w:rsid w:val="00E45D85"/>
    <w:rsid w:val="00E460CE"/>
    <w:rsid w:val="00E4617F"/>
    <w:rsid w:val="00E47943"/>
    <w:rsid w:val="00E47D00"/>
    <w:rsid w:val="00E51A46"/>
    <w:rsid w:val="00E520F7"/>
    <w:rsid w:val="00E5230A"/>
    <w:rsid w:val="00E52848"/>
    <w:rsid w:val="00E52D5A"/>
    <w:rsid w:val="00E52E2E"/>
    <w:rsid w:val="00E53E46"/>
    <w:rsid w:val="00E543EA"/>
    <w:rsid w:val="00E5480D"/>
    <w:rsid w:val="00E54B3B"/>
    <w:rsid w:val="00E553FC"/>
    <w:rsid w:val="00E567D8"/>
    <w:rsid w:val="00E6049E"/>
    <w:rsid w:val="00E625E1"/>
    <w:rsid w:val="00E64254"/>
    <w:rsid w:val="00E64852"/>
    <w:rsid w:val="00E64A75"/>
    <w:rsid w:val="00E64C7D"/>
    <w:rsid w:val="00E66DAC"/>
    <w:rsid w:val="00E67221"/>
    <w:rsid w:val="00E67370"/>
    <w:rsid w:val="00E71AEB"/>
    <w:rsid w:val="00E71DA1"/>
    <w:rsid w:val="00E72E93"/>
    <w:rsid w:val="00E72F27"/>
    <w:rsid w:val="00E73442"/>
    <w:rsid w:val="00E73FAE"/>
    <w:rsid w:val="00E7421B"/>
    <w:rsid w:val="00E75D2E"/>
    <w:rsid w:val="00E7649B"/>
    <w:rsid w:val="00E76E04"/>
    <w:rsid w:val="00E77E56"/>
    <w:rsid w:val="00E82403"/>
    <w:rsid w:val="00E82957"/>
    <w:rsid w:val="00E82D2A"/>
    <w:rsid w:val="00E83607"/>
    <w:rsid w:val="00E84284"/>
    <w:rsid w:val="00E84BBD"/>
    <w:rsid w:val="00E85792"/>
    <w:rsid w:val="00E86515"/>
    <w:rsid w:val="00E87095"/>
    <w:rsid w:val="00E870FA"/>
    <w:rsid w:val="00E87DDB"/>
    <w:rsid w:val="00E90861"/>
    <w:rsid w:val="00E914CC"/>
    <w:rsid w:val="00E92528"/>
    <w:rsid w:val="00E92D90"/>
    <w:rsid w:val="00E938EF"/>
    <w:rsid w:val="00E94877"/>
    <w:rsid w:val="00E94D69"/>
    <w:rsid w:val="00E95117"/>
    <w:rsid w:val="00E952AA"/>
    <w:rsid w:val="00E9619A"/>
    <w:rsid w:val="00E964C9"/>
    <w:rsid w:val="00E96D08"/>
    <w:rsid w:val="00E96F8F"/>
    <w:rsid w:val="00E97438"/>
    <w:rsid w:val="00E97820"/>
    <w:rsid w:val="00E97D35"/>
    <w:rsid w:val="00EA0D99"/>
    <w:rsid w:val="00EA12A2"/>
    <w:rsid w:val="00EA144A"/>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519F"/>
    <w:rsid w:val="00EA7D98"/>
    <w:rsid w:val="00EB1E16"/>
    <w:rsid w:val="00EB2398"/>
    <w:rsid w:val="00EB2FFE"/>
    <w:rsid w:val="00EB401D"/>
    <w:rsid w:val="00EB5A08"/>
    <w:rsid w:val="00EB5BBE"/>
    <w:rsid w:val="00EB5BF4"/>
    <w:rsid w:val="00EB5E6C"/>
    <w:rsid w:val="00EB6EC7"/>
    <w:rsid w:val="00EB74DD"/>
    <w:rsid w:val="00EC047C"/>
    <w:rsid w:val="00EC1826"/>
    <w:rsid w:val="00EC23A2"/>
    <w:rsid w:val="00EC3458"/>
    <w:rsid w:val="00EC43B0"/>
    <w:rsid w:val="00EC4BF8"/>
    <w:rsid w:val="00EC4EDE"/>
    <w:rsid w:val="00EC517F"/>
    <w:rsid w:val="00EC59E7"/>
    <w:rsid w:val="00EC636B"/>
    <w:rsid w:val="00EC6CD6"/>
    <w:rsid w:val="00EC7478"/>
    <w:rsid w:val="00ED016C"/>
    <w:rsid w:val="00ED1898"/>
    <w:rsid w:val="00ED1F4F"/>
    <w:rsid w:val="00ED24E8"/>
    <w:rsid w:val="00ED2C34"/>
    <w:rsid w:val="00ED4E7E"/>
    <w:rsid w:val="00ED5492"/>
    <w:rsid w:val="00ED66A3"/>
    <w:rsid w:val="00ED66AD"/>
    <w:rsid w:val="00ED69D8"/>
    <w:rsid w:val="00EE0865"/>
    <w:rsid w:val="00EE0ACC"/>
    <w:rsid w:val="00EE0F5A"/>
    <w:rsid w:val="00EE1121"/>
    <w:rsid w:val="00EE1165"/>
    <w:rsid w:val="00EE1BDD"/>
    <w:rsid w:val="00EE35AA"/>
    <w:rsid w:val="00EE3AAE"/>
    <w:rsid w:val="00EE3C0E"/>
    <w:rsid w:val="00EE5558"/>
    <w:rsid w:val="00EE5CBA"/>
    <w:rsid w:val="00EE61A9"/>
    <w:rsid w:val="00EE635F"/>
    <w:rsid w:val="00EE6997"/>
    <w:rsid w:val="00EE6F78"/>
    <w:rsid w:val="00EE7235"/>
    <w:rsid w:val="00EE77ED"/>
    <w:rsid w:val="00EF0AFA"/>
    <w:rsid w:val="00EF4E9A"/>
    <w:rsid w:val="00EF5910"/>
    <w:rsid w:val="00EF5D1A"/>
    <w:rsid w:val="00EF7406"/>
    <w:rsid w:val="00EF7FCB"/>
    <w:rsid w:val="00F00A06"/>
    <w:rsid w:val="00F00B9C"/>
    <w:rsid w:val="00F0163D"/>
    <w:rsid w:val="00F02642"/>
    <w:rsid w:val="00F0379F"/>
    <w:rsid w:val="00F04268"/>
    <w:rsid w:val="00F055A0"/>
    <w:rsid w:val="00F05C95"/>
    <w:rsid w:val="00F06634"/>
    <w:rsid w:val="00F06C38"/>
    <w:rsid w:val="00F06F5E"/>
    <w:rsid w:val="00F10775"/>
    <w:rsid w:val="00F1091C"/>
    <w:rsid w:val="00F11438"/>
    <w:rsid w:val="00F11846"/>
    <w:rsid w:val="00F124A9"/>
    <w:rsid w:val="00F12852"/>
    <w:rsid w:val="00F12B10"/>
    <w:rsid w:val="00F12B8F"/>
    <w:rsid w:val="00F12E16"/>
    <w:rsid w:val="00F1529D"/>
    <w:rsid w:val="00F152E8"/>
    <w:rsid w:val="00F15B4C"/>
    <w:rsid w:val="00F160FA"/>
    <w:rsid w:val="00F163D0"/>
    <w:rsid w:val="00F206F2"/>
    <w:rsid w:val="00F22857"/>
    <w:rsid w:val="00F23441"/>
    <w:rsid w:val="00F23A59"/>
    <w:rsid w:val="00F248C4"/>
    <w:rsid w:val="00F24E86"/>
    <w:rsid w:val="00F25556"/>
    <w:rsid w:val="00F25B47"/>
    <w:rsid w:val="00F26465"/>
    <w:rsid w:val="00F27865"/>
    <w:rsid w:val="00F27A26"/>
    <w:rsid w:val="00F27BAA"/>
    <w:rsid w:val="00F27C85"/>
    <w:rsid w:val="00F30E19"/>
    <w:rsid w:val="00F31887"/>
    <w:rsid w:val="00F319CC"/>
    <w:rsid w:val="00F325AA"/>
    <w:rsid w:val="00F32634"/>
    <w:rsid w:val="00F32E5D"/>
    <w:rsid w:val="00F33001"/>
    <w:rsid w:val="00F34371"/>
    <w:rsid w:val="00F35032"/>
    <w:rsid w:val="00F3572E"/>
    <w:rsid w:val="00F358EE"/>
    <w:rsid w:val="00F359E0"/>
    <w:rsid w:val="00F37097"/>
    <w:rsid w:val="00F3713A"/>
    <w:rsid w:val="00F375B6"/>
    <w:rsid w:val="00F4198B"/>
    <w:rsid w:val="00F41E58"/>
    <w:rsid w:val="00F421FE"/>
    <w:rsid w:val="00F427D2"/>
    <w:rsid w:val="00F42DE6"/>
    <w:rsid w:val="00F42E5E"/>
    <w:rsid w:val="00F4363B"/>
    <w:rsid w:val="00F44E8C"/>
    <w:rsid w:val="00F466C7"/>
    <w:rsid w:val="00F46981"/>
    <w:rsid w:val="00F472CD"/>
    <w:rsid w:val="00F47EDB"/>
    <w:rsid w:val="00F500F0"/>
    <w:rsid w:val="00F50A3B"/>
    <w:rsid w:val="00F50A57"/>
    <w:rsid w:val="00F5186B"/>
    <w:rsid w:val="00F52814"/>
    <w:rsid w:val="00F52946"/>
    <w:rsid w:val="00F52FEC"/>
    <w:rsid w:val="00F53150"/>
    <w:rsid w:val="00F54A33"/>
    <w:rsid w:val="00F55666"/>
    <w:rsid w:val="00F559A3"/>
    <w:rsid w:val="00F5602C"/>
    <w:rsid w:val="00F56B97"/>
    <w:rsid w:val="00F575C9"/>
    <w:rsid w:val="00F577EF"/>
    <w:rsid w:val="00F6132C"/>
    <w:rsid w:val="00F6254C"/>
    <w:rsid w:val="00F6260E"/>
    <w:rsid w:val="00F63327"/>
    <w:rsid w:val="00F637F6"/>
    <w:rsid w:val="00F63BBB"/>
    <w:rsid w:val="00F6497F"/>
    <w:rsid w:val="00F64A15"/>
    <w:rsid w:val="00F6584A"/>
    <w:rsid w:val="00F664EA"/>
    <w:rsid w:val="00F701E9"/>
    <w:rsid w:val="00F703FB"/>
    <w:rsid w:val="00F708A0"/>
    <w:rsid w:val="00F70D5B"/>
    <w:rsid w:val="00F70FEA"/>
    <w:rsid w:val="00F72C33"/>
    <w:rsid w:val="00F72DB9"/>
    <w:rsid w:val="00F72F43"/>
    <w:rsid w:val="00F74757"/>
    <w:rsid w:val="00F74926"/>
    <w:rsid w:val="00F761C3"/>
    <w:rsid w:val="00F774A8"/>
    <w:rsid w:val="00F803D1"/>
    <w:rsid w:val="00F80F23"/>
    <w:rsid w:val="00F81409"/>
    <w:rsid w:val="00F81976"/>
    <w:rsid w:val="00F819B1"/>
    <w:rsid w:val="00F8209D"/>
    <w:rsid w:val="00F8243B"/>
    <w:rsid w:val="00F82933"/>
    <w:rsid w:val="00F838F4"/>
    <w:rsid w:val="00F83F29"/>
    <w:rsid w:val="00F842C7"/>
    <w:rsid w:val="00F84A95"/>
    <w:rsid w:val="00F86779"/>
    <w:rsid w:val="00F86EBB"/>
    <w:rsid w:val="00F9065C"/>
    <w:rsid w:val="00F90DFC"/>
    <w:rsid w:val="00F9236F"/>
    <w:rsid w:val="00F935FA"/>
    <w:rsid w:val="00F946D6"/>
    <w:rsid w:val="00F9526B"/>
    <w:rsid w:val="00F9594D"/>
    <w:rsid w:val="00F9748B"/>
    <w:rsid w:val="00F977B8"/>
    <w:rsid w:val="00FA0A17"/>
    <w:rsid w:val="00FA1174"/>
    <w:rsid w:val="00FA18FB"/>
    <w:rsid w:val="00FA3E44"/>
    <w:rsid w:val="00FA52A5"/>
    <w:rsid w:val="00FA5B73"/>
    <w:rsid w:val="00FA5BC6"/>
    <w:rsid w:val="00FA6A52"/>
    <w:rsid w:val="00FB0F4B"/>
    <w:rsid w:val="00FB2170"/>
    <w:rsid w:val="00FB2D75"/>
    <w:rsid w:val="00FB3318"/>
    <w:rsid w:val="00FB3F72"/>
    <w:rsid w:val="00FB426F"/>
    <w:rsid w:val="00FB4449"/>
    <w:rsid w:val="00FB4C49"/>
    <w:rsid w:val="00FB5500"/>
    <w:rsid w:val="00FB5769"/>
    <w:rsid w:val="00FB5E34"/>
    <w:rsid w:val="00FB7254"/>
    <w:rsid w:val="00FC135E"/>
    <w:rsid w:val="00FC16E8"/>
    <w:rsid w:val="00FC1C9A"/>
    <w:rsid w:val="00FC24F3"/>
    <w:rsid w:val="00FC3F77"/>
    <w:rsid w:val="00FC440B"/>
    <w:rsid w:val="00FC4767"/>
    <w:rsid w:val="00FC5B0A"/>
    <w:rsid w:val="00FC636A"/>
    <w:rsid w:val="00FC642F"/>
    <w:rsid w:val="00FC6BE0"/>
    <w:rsid w:val="00FC6F50"/>
    <w:rsid w:val="00FC7158"/>
    <w:rsid w:val="00FC7B7D"/>
    <w:rsid w:val="00FC7C14"/>
    <w:rsid w:val="00FC7F1F"/>
    <w:rsid w:val="00FD0CDE"/>
    <w:rsid w:val="00FD0FDE"/>
    <w:rsid w:val="00FD331F"/>
    <w:rsid w:val="00FD43D1"/>
    <w:rsid w:val="00FD4ADE"/>
    <w:rsid w:val="00FD4E50"/>
    <w:rsid w:val="00FD56B0"/>
    <w:rsid w:val="00FD638A"/>
    <w:rsid w:val="00FD6E8B"/>
    <w:rsid w:val="00FD70AE"/>
    <w:rsid w:val="00FD797E"/>
    <w:rsid w:val="00FE02E4"/>
    <w:rsid w:val="00FE03BF"/>
    <w:rsid w:val="00FE0DFA"/>
    <w:rsid w:val="00FE10A0"/>
    <w:rsid w:val="00FE1CD1"/>
    <w:rsid w:val="00FE1DAC"/>
    <w:rsid w:val="00FE27F4"/>
    <w:rsid w:val="00FE2FF1"/>
    <w:rsid w:val="00FE3273"/>
    <w:rsid w:val="00FE3AD5"/>
    <w:rsid w:val="00FE3B46"/>
    <w:rsid w:val="00FE45BF"/>
    <w:rsid w:val="00FE58B9"/>
    <w:rsid w:val="00FE5AD0"/>
    <w:rsid w:val="00FE6C94"/>
    <w:rsid w:val="00FE7C97"/>
    <w:rsid w:val="00FF06E2"/>
    <w:rsid w:val="00FF0983"/>
    <w:rsid w:val="00FF3009"/>
    <w:rsid w:val="00FF34E3"/>
    <w:rsid w:val="00FF4AD5"/>
    <w:rsid w:val="00FF4F89"/>
    <w:rsid w:val="00FF591A"/>
    <w:rsid w:val="00FF5CFA"/>
    <w:rsid w:val="00FF5DC6"/>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4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A151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739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5149"/>
    <w:rPr>
      <w:rFonts w:ascii="Arial" w:eastAsia="Times New Roman" w:hAnsi="Arial" w:cs="Arial"/>
      <w:b/>
      <w:bCs/>
      <w:sz w:val="26"/>
      <w:szCs w:val="26"/>
    </w:rPr>
  </w:style>
  <w:style w:type="paragraph" w:customStyle="1" w:styleId="p3">
    <w:name w:val="p3"/>
    <w:basedOn w:val="Normal"/>
    <w:rsid w:val="00A15149"/>
    <w:pPr>
      <w:widowControl w:val="0"/>
      <w:tabs>
        <w:tab w:val="left" w:pos="204"/>
      </w:tabs>
      <w:overflowPunct/>
    </w:pPr>
    <w:rPr>
      <w:szCs w:val="24"/>
    </w:rPr>
  </w:style>
  <w:style w:type="paragraph" w:customStyle="1" w:styleId="p14">
    <w:name w:val="p14"/>
    <w:basedOn w:val="Normal"/>
    <w:rsid w:val="00A15149"/>
    <w:pPr>
      <w:widowControl w:val="0"/>
      <w:tabs>
        <w:tab w:val="left" w:pos="204"/>
      </w:tabs>
      <w:overflowPunct/>
    </w:pPr>
    <w:rPr>
      <w:szCs w:val="24"/>
    </w:rPr>
  </w:style>
  <w:style w:type="paragraph" w:customStyle="1" w:styleId="p17">
    <w:name w:val="p17"/>
    <w:basedOn w:val="Normal"/>
    <w:rsid w:val="00A15149"/>
    <w:pPr>
      <w:widowControl w:val="0"/>
      <w:tabs>
        <w:tab w:val="left" w:pos="5057"/>
      </w:tabs>
      <w:overflowPunct/>
      <w:ind w:left="3617"/>
    </w:pPr>
    <w:rPr>
      <w:szCs w:val="24"/>
    </w:rPr>
  </w:style>
  <w:style w:type="paragraph" w:customStyle="1" w:styleId="p18">
    <w:name w:val="p18"/>
    <w:basedOn w:val="Normal"/>
    <w:rsid w:val="00A15149"/>
    <w:pPr>
      <w:widowControl w:val="0"/>
      <w:tabs>
        <w:tab w:val="left" w:pos="5062"/>
      </w:tabs>
      <w:overflowPunct/>
      <w:ind w:left="3622"/>
    </w:pPr>
    <w:rPr>
      <w:szCs w:val="24"/>
    </w:rPr>
  </w:style>
  <w:style w:type="paragraph" w:customStyle="1" w:styleId="StyleCentered">
    <w:name w:val="Style Centered"/>
    <w:basedOn w:val="Normal"/>
    <w:rsid w:val="00A15149"/>
    <w:pPr>
      <w:jc w:val="center"/>
    </w:pPr>
  </w:style>
  <w:style w:type="paragraph" w:styleId="FootnoteText">
    <w:name w:val="footnote text"/>
    <w:basedOn w:val="Normal"/>
    <w:link w:val="FootnoteTextChar"/>
    <w:semiHidden/>
    <w:unhideWhenUsed/>
    <w:rsid w:val="00512B08"/>
    <w:rPr>
      <w:sz w:val="20"/>
    </w:rPr>
  </w:style>
  <w:style w:type="character" w:customStyle="1" w:styleId="FootnoteTextChar">
    <w:name w:val="Footnote Text Char"/>
    <w:basedOn w:val="DefaultParagraphFont"/>
    <w:link w:val="FootnoteText"/>
    <w:semiHidden/>
    <w:rsid w:val="00512B0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12B08"/>
    <w:rPr>
      <w:sz w:val="20"/>
      <w:vertAlign w:val="superscript"/>
    </w:rPr>
  </w:style>
  <w:style w:type="paragraph" w:styleId="EndnoteText">
    <w:name w:val="endnote text"/>
    <w:basedOn w:val="Normal"/>
    <w:link w:val="EndnoteTextChar"/>
    <w:uiPriority w:val="99"/>
    <w:semiHidden/>
    <w:unhideWhenUsed/>
    <w:rsid w:val="00BF4A1D"/>
    <w:rPr>
      <w:sz w:val="20"/>
    </w:rPr>
  </w:style>
  <w:style w:type="character" w:customStyle="1" w:styleId="EndnoteTextChar">
    <w:name w:val="Endnote Text Char"/>
    <w:basedOn w:val="DefaultParagraphFont"/>
    <w:link w:val="EndnoteText"/>
    <w:uiPriority w:val="99"/>
    <w:semiHidden/>
    <w:rsid w:val="00BF4A1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4A1D"/>
    <w:rPr>
      <w:vertAlign w:val="superscript"/>
    </w:rPr>
  </w:style>
  <w:style w:type="character" w:customStyle="1" w:styleId="Heading4Char">
    <w:name w:val="Heading 4 Char"/>
    <w:basedOn w:val="DefaultParagraphFont"/>
    <w:link w:val="Heading4"/>
    <w:uiPriority w:val="9"/>
    <w:semiHidden/>
    <w:rsid w:val="00C739D4"/>
    <w:rPr>
      <w:rFonts w:asciiTheme="majorHAnsi" w:eastAsiaTheme="majorEastAsia" w:hAnsiTheme="majorHAnsi" w:cstheme="majorBidi"/>
      <w:b/>
      <w:bCs/>
      <w:i/>
      <w:iCs/>
      <w:color w:val="4F81BD" w:themeColor="accent1"/>
      <w:sz w:val="24"/>
      <w:szCs w:val="20"/>
    </w:rPr>
  </w:style>
  <w:style w:type="paragraph" w:styleId="NormalWeb">
    <w:name w:val="Normal (Web)"/>
    <w:basedOn w:val="Normal"/>
    <w:uiPriority w:val="99"/>
    <w:semiHidden/>
    <w:unhideWhenUsed/>
    <w:rsid w:val="00C739D4"/>
    <w:pPr>
      <w:overflowPunct/>
      <w:autoSpaceDE/>
      <w:autoSpaceDN/>
      <w:adjustRightInd/>
      <w:spacing w:before="100" w:beforeAutospacing="1" w:after="100" w:afterAutospacing="1"/>
    </w:pPr>
    <w:rPr>
      <w:szCs w:val="24"/>
    </w:rPr>
  </w:style>
  <w:style w:type="paragraph" w:styleId="BodyTextIndent2">
    <w:name w:val="Body Text Indent 2"/>
    <w:basedOn w:val="Normal"/>
    <w:link w:val="BodyTextIndent2Char"/>
    <w:semiHidden/>
    <w:unhideWhenUsed/>
    <w:rsid w:val="002966A1"/>
    <w:pPr>
      <w:overflowPunct/>
      <w:autoSpaceDE/>
      <w:autoSpaceDN/>
      <w:adjustRightInd/>
      <w:spacing w:line="360" w:lineRule="auto"/>
      <w:ind w:firstLine="720"/>
    </w:pPr>
    <w:rPr>
      <w:sz w:val="26"/>
    </w:rPr>
  </w:style>
  <w:style w:type="character" w:customStyle="1" w:styleId="BodyTextIndent2Char">
    <w:name w:val="Body Text Indent 2 Char"/>
    <w:basedOn w:val="DefaultParagraphFont"/>
    <w:link w:val="BodyTextIndent2"/>
    <w:semiHidden/>
    <w:rsid w:val="002966A1"/>
    <w:rPr>
      <w:rFonts w:ascii="Times New Roman" w:eastAsia="Times New Roman" w:hAnsi="Times New Roman" w:cs="Times New Roman"/>
      <w:sz w:val="26"/>
      <w:szCs w:val="20"/>
    </w:rPr>
  </w:style>
  <w:style w:type="paragraph" w:customStyle="1" w:styleId="Blockquote">
    <w:name w:val="Blockquote"/>
    <w:basedOn w:val="Normal"/>
    <w:rsid w:val="002966A1"/>
    <w:pPr>
      <w:overflowPunct/>
      <w:autoSpaceDE/>
      <w:autoSpaceDN/>
      <w:adjustRightInd/>
      <w:snapToGrid w:val="0"/>
      <w:spacing w:before="100" w:after="100"/>
      <w:ind w:left="360" w:right="360"/>
    </w:pPr>
  </w:style>
  <w:style w:type="paragraph" w:styleId="Header">
    <w:name w:val="header"/>
    <w:basedOn w:val="Normal"/>
    <w:link w:val="HeaderChar"/>
    <w:uiPriority w:val="99"/>
    <w:unhideWhenUsed/>
    <w:rsid w:val="00907C71"/>
    <w:pPr>
      <w:tabs>
        <w:tab w:val="center" w:pos="4680"/>
        <w:tab w:val="right" w:pos="9360"/>
      </w:tabs>
    </w:pPr>
  </w:style>
  <w:style w:type="character" w:customStyle="1" w:styleId="HeaderChar">
    <w:name w:val="Header Char"/>
    <w:basedOn w:val="DefaultParagraphFont"/>
    <w:link w:val="Header"/>
    <w:uiPriority w:val="99"/>
    <w:rsid w:val="00907C7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7C71"/>
    <w:pPr>
      <w:tabs>
        <w:tab w:val="center" w:pos="4680"/>
        <w:tab w:val="right" w:pos="9360"/>
      </w:tabs>
    </w:pPr>
  </w:style>
  <w:style w:type="character" w:customStyle="1" w:styleId="FooterChar">
    <w:name w:val="Footer Char"/>
    <w:basedOn w:val="DefaultParagraphFont"/>
    <w:link w:val="Footer"/>
    <w:uiPriority w:val="99"/>
    <w:rsid w:val="00907C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308AD"/>
    <w:rPr>
      <w:rFonts w:ascii="Tahoma" w:hAnsi="Tahoma" w:cs="Tahoma"/>
      <w:sz w:val="16"/>
      <w:szCs w:val="16"/>
    </w:rPr>
  </w:style>
  <w:style w:type="character" w:customStyle="1" w:styleId="BalloonTextChar">
    <w:name w:val="Balloon Text Char"/>
    <w:basedOn w:val="DefaultParagraphFont"/>
    <w:link w:val="BalloonText"/>
    <w:uiPriority w:val="99"/>
    <w:semiHidden/>
    <w:rsid w:val="005308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14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A1514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C739D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5149"/>
    <w:rPr>
      <w:rFonts w:ascii="Arial" w:eastAsia="Times New Roman" w:hAnsi="Arial" w:cs="Arial"/>
      <w:b/>
      <w:bCs/>
      <w:sz w:val="26"/>
      <w:szCs w:val="26"/>
    </w:rPr>
  </w:style>
  <w:style w:type="paragraph" w:customStyle="1" w:styleId="p3">
    <w:name w:val="p3"/>
    <w:basedOn w:val="Normal"/>
    <w:rsid w:val="00A15149"/>
    <w:pPr>
      <w:widowControl w:val="0"/>
      <w:tabs>
        <w:tab w:val="left" w:pos="204"/>
      </w:tabs>
      <w:overflowPunct/>
    </w:pPr>
    <w:rPr>
      <w:szCs w:val="24"/>
    </w:rPr>
  </w:style>
  <w:style w:type="paragraph" w:customStyle="1" w:styleId="p14">
    <w:name w:val="p14"/>
    <w:basedOn w:val="Normal"/>
    <w:rsid w:val="00A15149"/>
    <w:pPr>
      <w:widowControl w:val="0"/>
      <w:tabs>
        <w:tab w:val="left" w:pos="204"/>
      </w:tabs>
      <w:overflowPunct/>
    </w:pPr>
    <w:rPr>
      <w:szCs w:val="24"/>
    </w:rPr>
  </w:style>
  <w:style w:type="paragraph" w:customStyle="1" w:styleId="p17">
    <w:name w:val="p17"/>
    <w:basedOn w:val="Normal"/>
    <w:rsid w:val="00A15149"/>
    <w:pPr>
      <w:widowControl w:val="0"/>
      <w:tabs>
        <w:tab w:val="left" w:pos="5057"/>
      </w:tabs>
      <w:overflowPunct/>
      <w:ind w:left="3617"/>
    </w:pPr>
    <w:rPr>
      <w:szCs w:val="24"/>
    </w:rPr>
  </w:style>
  <w:style w:type="paragraph" w:customStyle="1" w:styleId="p18">
    <w:name w:val="p18"/>
    <w:basedOn w:val="Normal"/>
    <w:rsid w:val="00A15149"/>
    <w:pPr>
      <w:widowControl w:val="0"/>
      <w:tabs>
        <w:tab w:val="left" w:pos="5062"/>
      </w:tabs>
      <w:overflowPunct/>
      <w:ind w:left="3622"/>
    </w:pPr>
    <w:rPr>
      <w:szCs w:val="24"/>
    </w:rPr>
  </w:style>
  <w:style w:type="paragraph" w:customStyle="1" w:styleId="StyleCentered">
    <w:name w:val="Style Centered"/>
    <w:basedOn w:val="Normal"/>
    <w:rsid w:val="00A15149"/>
    <w:pPr>
      <w:jc w:val="center"/>
    </w:pPr>
  </w:style>
  <w:style w:type="paragraph" w:styleId="FootnoteText">
    <w:name w:val="footnote text"/>
    <w:basedOn w:val="Normal"/>
    <w:link w:val="FootnoteTextChar"/>
    <w:semiHidden/>
    <w:unhideWhenUsed/>
    <w:rsid w:val="00512B08"/>
    <w:rPr>
      <w:sz w:val="20"/>
    </w:rPr>
  </w:style>
  <w:style w:type="character" w:customStyle="1" w:styleId="FootnoteTextChar">
    <w:name w:val="Footnote Text Char"/>
    <w:basedOn w:val="DefaultParagraphFont"/>
    <w:link w:val="FootnoteText"/>
    <w:semiHidden/>
    <w:rsid w:val="00512B08"/>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512B08"/>
    <w:rPr>
      <w:sz w:val="20"/>
      <w:vertAlign w:val="superscript"/>
    </w:rPr>
  </w:style>
  <w:style w:type="paragraph" w:styleId="EndnoteText">
    <w:name w:val="endnote text"/>
    <w:basedOn w:val="Normal"/>
    <w:link w:val="EndnoteTextChar"/>
    <w:uiPriority w:val="99"/>
    <w:semiHidden/>
    <w:unhideWhenUsed/>
    <w:rsid w:val="00BF4A1D"/>
    <w:rPr>
      <w:sz w:val="20"/>
    </w:rPr>
  </w:style>
  <w:style w:type="character" w:customStyle="1" w:styleId="EndnoteTextChar">
    <w:name w:val="Endnote Text Char"/>
    <w:basedOn w:val="DefaultParagraphFont"/>
    <w:link w:val="EndnoteText"/>
    <w:uiPriority w:val="99"/>
    <w:semiHidden/>
    <w:rsid w:val="00BF4A1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4A1D"/>
    <w:rPr>
      <w:vertAlign w:val="superscript"/>
    </w:rPr>
  </w:style>
  <w:style w:type="character" w:customStyle="1" w:styleId="Heading4Char">
    <w:name w:val="Heading 4 Char"/>
    <w:basedOn w:val="DefaultParagraphFont"/>
    <w:link w:val="Heading4"/>
    <w:uiPriority w:val="9"/>
    <w:semiHidden/>
    <w:rsid w:val="00C739D4"/>
    <w:rPr>
      <w:rFonts w:asciiTheme="majorHAnsi" w:eastAsiaTheme="majorEastAsia" w:hAnsiTheme="majorHAnsi" w:cstheme="majorBidi"/>
      <w:b/>
      <w:bCs/>
      <w:i/>
      <w:iCs/>
      <w:color w:val="4F81BD" w:themeColor="accent1"/>
      <w:sz w:val="24"/>
      <w:szCs w:val="20"/>
    </w:rPr>
  </w:style>
  <w:style w:type="paragraph" w:styleId="NormalWeb">
    <w:name w:val="Normal (Web)"/>
    <w:basedOn w:val="Normal"/>
    <w:uiPriority w:val="99"/>
    <w:semiHidden/>
    <w:unhideWhenUsed/>
    <w:rsid w:val="00C739D4"/>
    <w:pPr>
      <w:overflowPunct/>
      <w:autoSpaceDE/>
      <w:autoSpaceDN/>
      <w:adjustRightInd/>
      <w:spacing w:before="100" w:beforeAutospacing="1" w:after="100" w:afterAutospacing="1"/>
    </w:pPr>
    <w:rPr>
      <w:szCs w:val="24"/>
    </w:rPr>
  </w:style>
  <w:style w:type="paragraph" w:styleId="BodyTextIndent2">
    <w:name w:val="Body Text Indent 2"/>
    <w:basedOn w:val="Normal"/>
    <w:link w:val="BodyTextIndent2Char"/>
    <w:semiHidden/>
    <w:unhideWhenUsed/>
    <w:rsid w:val="002966A1"/>
    <w:pPr>
      <w:overflowPunct/>
      <w:autoSpaceDE/>
      <w:autoSpaceDN/>
      <w:adjustRightInd/>
      <w:spacing w:line="360" w:lineRule="auto"/>
      <w:ind w:firstLine="720"/>
    </w:pPr>
    <w:rPr>
      <w:sz w:val="26"/>
    </w:rPr>
  </w:style>
  <w:style w:type="character" w:customStyle="1" w:styleId="BodyTextIndent2Char">
    <w:name w:val="Body Text Indent 2 Char"/>
    <w:basedOn w:val="DefaultParagraphFont"/>
    <w:link w:val="BodyTextIndent2"/>
    <w:semiHidden/>
    <w:rsid w:val="002966A1"/>
    <w:rPr>
      <w:rFonts w:ascii="Times New Roman" w:eastAsia="Times New Roman" w:hAnsi="Times New Roman" w:cs="Times New Roman"/>
      <w:sz w:val="26"/>
      <w:szCs w:val="20"/>
    </w:rPr>
  </w:style>
  <w:style w:type="paragraph" w:customStyle="1" w:styleId="Blockquote">
    <w:name w:val="Blockquote"/>
    <w:basedOn w:val="Normal"/>
    <w:rsid w:val="002966A1"/>
    <w:pPr>
      <w:overflowPunct/>
      <w:autoSpaceDE/>
      <w:autoSpaceDN/>
      <w:adjustRightInd/>
      <w:snapToGrid w:val="0"/>
      <w:spacing w:before="100" w:after="100"/>
      <w:ind w:left="360" w:right="360"/>
    </w:pPr>
  </w:style>
  <w:style w:type="paragraph" w:styleId="Header">
    <w:name w:val="header"/>
    <w:basedOn w:val="Normal"/>
    <w:link w:val="HeaderChar"/>
    <w:uiPriority w:val="99"/>
    <w:unhideWhenUsed/>
    <w:rsid w:val="00907C71"/>
    <w:pPr>
      <w:tabs>
        <w:tab w:val="center" w:pos="4680"/>
        <w:tab w:val="right" w:pos="9360"/>
      </w:tabs>
    </w:pPr>
  </w:style>
  <w:style w:type="character" w:customStyle="1" w:styleId="HeaderChar">
    <w:name w:val="Header Char"/>
    <w:basedOn w:val="DefaultParagraphFont"/>
    <w:link w:val="Header"/>
    <w:uiPriority w:val="99"/>
    <w:rsid w:val="00907C7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07C71"/>
    <w:pPr>
      <w:tabs>
        <w:tab w:val="center" w:pos="4680"/>
        <w:tab w:val="right" w:pos="9360"/>
      </w:tabs>
    </w:pPr>
  </w:style>
  <w:style w:type="character" w:customStyle="1" w:styleId="FooterChar">
    <w:name w:val="Footer Char"/>
    <w:basedOn w:val="DefaultParagraphFont"/>
    <w:link w:val="Footer"/>
    <w:uiPriority w:val="99"/>
    <w:rsid w:val="00907C7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308AD"/>
    <w:rPr>
      <w:rFonts w:ascii="Tahoma" w:hAnsi="Tahoma" w:cs="Tahoma"/>
      <w:sz w:val="16"/>
      <w:szCs w:val="16"/>
    </w:rPr>
  </w:style>
  <w:style w:type="character" w:customStyle="1" w:styleId="BalloonTextChar">
    <w:name w:val="Balloon Text Char"/>
    <w:basedOn w:val="DefaultParagraphFont"/>
    <w:link w:val="BalloonText"/>
    <w:uiPriority w:val="99"/>
    <w:semiHidden/>
    <w:rsid w:val="005308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17264">
      <w:bodyDiv w:val="1"/>
      <w:marLeft w:val="0"/>
      <w:marRight w:val="0"/>
      <w:marTop w:val="0"/>
      <w:marBottom w:val="0"/>
      <w:divBdr>
        <w:top w:val="none" w:sz="0" w:space="0" w:color="auto"/>
        <w:left w:val="none" w:sz="0" w:space="0" w:color="auto"/>
        <w:bottom w:val="none" w:sz="0" w:space="0" w:color="auto"/>
        <w:right w:val="none" w:sz="0" w:space="0" w:color="auto"/>
      </w:divBdr>
    </w:div>
    <w:div w:id="1036858686">
      <w:bodyDiv w:val="1"/>
      <w:marLeft w:val="0"/>
      <w:marRight w:val="0"/>
      <w:marTop w:val="0"/>
      <w:marBottom w:val="0"/>
      <w:divBdr>
        <w:top w:val="none" w:sz="0" w:space="0" w:color="auto"/>
        <w:left w:val="none" w:sz="0" w:space="0" w:color="auto"/>
        <w:bottom w:val="none" w:sz="0" w:space="0" w:color="auto"/>
        <w:right w:val="none" w:sz="0" w:space="0" w:color="auto"/>
      </w:divBdr>
    </w:div>
    <w:div w:id="1232616218">
      <w:bodyDiv w:val="1"/>
      <w:marLeft w:val="0"/>
      <w:marRight w:val="0"/>
      <w:marTop w:val="0"/>
      <w:marBottom w:val="0"/>
      <w:divBdr>
        <w:top w:val="none" w:sz="0" w:space="0" w:color="auto"/>
        <w:left w:val="none" w:sz="0" w:space="0" w:color="auto"/>
        <w:bottom w:val="none" w:sz="0" w:space="0" w:color="auto"/>
        <w:right w:val="none" w:sz="0" w:space="0" w:color="auto"/>
      </w:divBdr>
    </w:div>
    <w:div w:id="1252931726">
      <w:bodyDiv w:val="1"/>
      <w:marLeft w:val="0"/>
      <w:marRight w:val="0"/>
      <w:marTop w:val="0"/>
      <w:marBottom w:val="0"/>
      <w:divBdr>
        <w:top w:val="none" w:sz="0" w:space="0" w:color="auto"/>
        <w:left w:val="none" w:sz="0" w:space="0" w:color="auto"/>
        <w:bottom w:val="none" w:sz="0" w:space="0" w:color="auto"/>
        <w:right w:val="none" w:sz="0" w:space="0" w:color="auto"/>
      </w:divBdr>
      <w:divsChild>
        <w:div w:id="186705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785557">
      <w:bodyDiv w:val="1"/>
      <w:marLeft w:val="0"/>
      <w:marRight w:val="0"/>
      <w:marTop w:val="0"/>
      <w:marBottom w:val="0"/>
      <w:divBdr>
        <w:top w:val="none" w:sz="0" w:space="0" w:color="auto"/>
        <w:left w:val="none" w:sz="0" w:space="0" w:color="auto"/>
        <w:bottom w:val="none" w:sz="0" w:space="0" w:color="auto"/>
        <w:right w:val="none" w:sz="0" w:space="0" w:color="auto"/>
      </w:divBdr>
    </w:div>
    <w:div w:id="1875582267">
      <w:bodyDiv w:val="1"/>
      <w:marLeft w:val="0"/>
      <w:marRight w:val="0"/>
      <w:marTop w:val="0"/>
      <w:marBottom w:val="0"/>
      <w:divBdr>
        <w:top w:val="none" w:sz="0" w:space="0" w:color="auto"/>
        <w:left w:val="none" w:sz="0" w:space="0" w:color="auto"/>
        <w:bottom w:val="none" w:sz="0" w:space="0" w:color="auto"/>
        <w:right w:val="none" w:sz="0" w:space="0" w:color="auto"/>
      </w:divBdr>
    </w:div>
    <w:div w:id="1928296607">
      <w:bodyDiv w:val="1"/>
      <w:marLeft w:val="0"/>
      <w:marRight w:val="0"/>
      <w:marTop w:val="0"/>
      <w:marBottom w:val="0"/>
      <w:divBdr>
        <w:top w:val="none" w:sz="0" w:space="0" w:color="auto"/>
        <w:left w:val="none" w:sz="0" w:space="0" w:color="auto"/>
        <w:bottom w:val="none" w:sz="0" w:space="0" w:color="auto"/>
        <w:right w:val="none" w:sz="0" w:space="0" w:color="auto"/>
      </w:divBdr>
    </w:div>
    <w:div w:id="19407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E1588-8259-4F68-80BA-994F706F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stabrown</dc:creator>
  <cp:lastModifiedBy>Miller, Sara</cp:lastModifiedBy>
  <cp:revision>15</cp:revision>
  <cp:lastPrinted>2013-01-24T12:54:00Z</cp:lastPrinted>
  <dcterms:created xsi:type="dcterms:W3CDTF">2013-01-09T16:12:00Z</dcterms:created>
  <dcterms:modified xsi:type="dcterms:W3CDTF">2013-01-24T12:54:00Z</dcterms:modified>
</cp:coreProperties>
</file>