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6F513C">
            <w:pPr>
              <w:jc w:val="right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 xml:space="preserve">Public Meeting held </w:t>
            </w:r>
            <w:r w:rsidR="006F513C">
              <w:rPr>
                <w:sz w:val="26"/>
                <w:szCs w:val="26"/>
              </w:rPr>
              <w:t>January 24, 2013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CE024E" w:rsidP="00F04BBF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Pennsylvania Public Utility </w:t>
            </w:r>
            <w:r w:rsidRPr="00027664">
              <w:rPr>
                <w:sz w:val="26"/>
              </w:rPr>
              <w:t xml:space="preserve">Commission </w:t>
            </w:r>
            <w:r w:rsidR="006F513C">
              <w:rPr>
                <w:sz w:val="26"/>
                <w:szCs w:val="26"/>
              </w:rPr>
              <w:t xml:space="preserve"> </w:t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Office of Consumer Advocate</w:t>
            </w:r>
            <w:r>
              <w:rPr>
                <w:bCs/>
                <w:sz w:val="26"/>
                <w:szCs w:val="26"/>
              </w:rPr>
              <w:tab/>
            </w:r>
            <w:r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Office of Small Business Advocate</w:t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PP&amp;L Industrial Customer Alliance</w:t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William Andrews</w:t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Tracey Andrews</w:t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Eric Joseph Epstein</w:t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Dave A. Kenney</w:t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C50605" w:rsidRDefault="00C50605" w:rsidP="00C5060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Roberta A. </w:t>
            </w:r>
            <w:proofErr w:type="spellStart"/>
            <w:r>
              <w:rPr>
                <w:bCs/>
                <w:sz w:val="26"/>
                <w:szCs w:val="26"/>
              </w:rPr>
              <w:t>Kurrell</w:t>
            </w:r>
            <w:proofErr w:type="spellEnd"/>
            <w:r>
              <w:rPr>
                <w:bCs/>
                <w:sz w:val="26"/>
                <w:szCs w:val="26"/>
              </w:rPr>
              <w:tab/>
            </w:r>
            <w:r>
              <w:rPr>
                <w:bCs/>
                <w:sz w:val="26"/>
                <w:szCs w:val="26"/>
              </w:rPr>
              <w:tab/>
            </w:r>
            <w:r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Donald </w:t>
            </w:r>
            <w:proofErr w:type="spellStart"/>
            <w:r>
              <w:rPr>
                <w:bCs/>
                <w:sz w:val="26"/>
                <w:szCs w:val="26"/>
              </w:rPr>
              <w:t>Leventry</w:t>
            </w:r>
            <w:proofErr w:type="spellEnd"/>
            <w:r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C50605" w:rsidRPr="00B36EB6" w:rsidRDefault="00C50605" w:rsidP="00C50605">
            <w:pPr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John G. Lucas</w:t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</w:p>
          <w:p w:rsidR="00776AD2" w:rsidRPr="00F04BBF" w:rsidRDefault="00C50605" w:rsidP="00C50605">
            <w:pPr>
              <w:rPr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 xml:space="preserve">Helen </w:t>
            </w:r>
            <w:proofErr w:type="spellStart"/>
            <w:r w:rsidRPr="00B36EB6">
              <w:rPr>
                <w:bCs/>
                <w:sz w:val="26"/>
                <w:szCs w:val="26"/>
              </w:rPr>
              <w:t>Schwika</w:t>
            </w:r>
            <w:proofErr w:type="spellEnd"/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  <w:r w:rsidRPr="00B36EB6">
              <w:rPr>
                <w:bCs/>
                <w:sz w:val="26"/>
                <w:szCs w:val="26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C50605" w:rsidRDefault="006F513C" w:rsidP="006F51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R-2012-2290597</w:t>
            </w:r>
            <w:r w:rsidR="00C50605" w:rsidRPr="00B36EB6">
              <w:rPr>
                <w:bCs/>
                <w:sz w:val="26"/>
                <w:szCs w:val="26"/>
              </w:rPr>
              <w:t xml:space="preserve"> </w:t>
            </w:r>
          </w:p>
          <w:p w:rsidR="00776AD2" w:rsidRDefault="00C50605" w:rsidP="006F513C">
            <w:pPr>
              <w:jc w:val="right"/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C-2012-2300266</w:t>
            </w:r>
          </w:p>
          <w:p w:rsidR="00C50605" w:rsidRDefault="00C50605" w:rsidP="006F513C">
            <w:pPr>
              <w:jc w:val="right"/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C-2012-2301063</w:t>
            </w:r>
          </w:p>
          <w:p w:rsidR="00C50605" w:rsidRDefault="00C50605" w:rsidP="006F513C">
            <w:pPr>
              <w:jc w:val="right"/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C-2012-2306728</w:t>
            </w:r>
          </w:p>
          <w:p w:rsidR="00C50605" w:rsidRDefault="00C50605" w:rsidP="006F513C">
            <w:pPr>
              <w:jc w:val="right"/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C-2012-2300402</w:t>
            </w:r>
          </w:p>
          <w:p w:rsidR="00C50605" w:rsidRDefault="00C50605" w:rsidP="006F513C">
            <w:pPr>
              <w:jc w:val="right"/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C-2012-2328596</w:t>
            </w:r>
          </w:p>
          <w:p w:rsidR="00C50605" w:rsidRDefault="00C50605" w:rsidP="006F513C">
            <w:pPr>
              <w:jc w:val="right"/>
              <w:rPr>
                <w:bCs/>
                <w:sz w:val="26"/>
                <w:szCs w:val="26"/>
              </w:rPr>
            </w:pPr>
            <w:r w:rsidRPr="00B36EB6">
              <w:rPr>
                <w:bCs/>
                <w:sz w:val="26"/>
                <w:szCs w:val="26"/>
              </w:rPr>
              <w:t>C-2012-2313283</w:t>
            </w:r>
          </w:p>
          <w:p w:rsidR="00C50605" w:rsidRDefault="00C50605" w:rsidP="00C50605">
            <w:pPr>
              <w:jc w:val="right"/>
            </w:pPr>
            <w:r w:rsidRPr="00B36EB6">
              <w:rPr>
                <w:bCs/>
                <w:sz w:val="26"/>
                <w:szCs w:val="26"/>
              </w:rPr>
              <w:t>C-2012-2299539</w:t>
            </w:r>
          </w:p>
          <w:p w:rsidR="00C50605" w:rsidRDefault="00C50605" w:rsidP="00C50605">
            <w:pPr>
              <w:jc w:val="right"/>
            </w:pPr>
            <w:r w:rsidRPr="00B36EB6">
              <w:rPr>
                <w:bCs/>
                <w:sz w:val="26"/>
                <w:szCs w:val="26"/>
              </w:rPr>
              <w:t>C-2012-2304870</w:t>
            </w:r>
          </w:p>
          <w:p w:rsidR="00C50605" w:rsidRDefault="00C50605" w:rsidP="00C50605">
            <w:pPr>
              <w:jc w:val="right"/>
            </w:pPr>
            <w:r>
              <w:rPr>
                <w:bCs/>
                <w:sz w:val="26"/>
                <w:szCs w:val="26"/>
              </w:rPr>
              <w:t>C-2012-2304903</w:t>
            </w:r>
          </w:p>
          <w:p w:rsidR="00C50605" w:rsidRDefault="00C50605" w:rsidP="00C50605">
            <w:pPr>
              <w:jc w:val="right"/>
            </w:pPr>
            <w:r w:rsidRPr="00B36EB6">
              <w:rPr>
                <w:bCs/>
                <w:sz w:val="26"/>
                <w:szCs w:val="26"/>
              </w:rPr>
              <w:t>C-2012-2298593</w:t>
            </w:r>
          </w:p>
          <w:p w:rsidR="00C50605" w:rsidRDefault="00C50605" w:rsidP="00C50605">
            <w:pPr>
              <w:jc w:val="right"/>
            </w:pPr>
            <w:r w:rsidRPr="00B36EB6">
              <w:rPr>
                <w:bCs/>
                <w:sz w:val="26"/>
                <w:szCs w:val="26"/>
              </w:rPr>
              <w:t>C-2012-2299335</w:t>
            </w:r>
          </w:p>
          <w:p w:rsidR="00C50605" w:rsidRPr="00F04BBF" w:rsidRDefault="00C50605" w:rsidP="006F513C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  <w:proofErr w:type="gramStart"/>
            <w:r w:rsidRPr="00F04BBF">
              <w:rPr>
                <w:sz w:val="26"/>
                <w:szCs w:val="26"/>
              </w:rPr>
              <w:t>v</w:t>
            </w:r>
            <w:proofErr w:type="gramEnd"/>
            <w:r w:rsidRPr="00F04BBF">
              <w:rPr>
                <w:sz w:val="26"/>
                <w:szCs w:val="26"/>
              </w:rPr>
              <w:t>.</w:t>
            </w:r>
          </w:p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6F513C" w:rsidP="006F5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PPL Electric Utilities</w:t>
            </w:r>
            <w:r w:rsidR="00CE024E">
              <w:rPr>
                <w:sz w:val="26"/>
                <w:szCs w:val="26"/>
              </w:rPr>
              <w:t xml:space="preserve"> Corporation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C50605">
      <w:pPr>
        <w:keepNext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C50605">
      <w:pPr>
        <w:keepNext/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</w:t>
      </w:r>
      <w:r w:rsidR="006F513C">
        <w:rPr>
          <w:sz w:val="26"/>
        </w:rPr>
        <w:t xml:space="preserve"> </w:t>
      </w:r>
      <w:r w:rsidRPr="00027664">
        <w:rPr>
          <w:sz w:val="26"/>
        </w:rPr>
        <w:t xml:space="preserve">Reconsideration </w:t>
      </w:r>
      <w:r w:rsidR="00CE024E">
        <w:rPr>
          <w:sz w:val="26"/>
        </w:rPr>
        <w:t>or</w:t>
      </w:r>
      <w:r w:rsidR="00CE024E" w:rsidRPr="00027664">
        <w:rPr>
          <w:sz w:val="26"/>
        </w:rPr>
        <w:t xml:space="preserve"> </w:t>
      </w:r>
      <w:r w:rsidR="00CE024E">
        <w:rPr>
          <w:sz w:val="26"/>
        </w:rPr>
        <w:t>Clarification</w:t>
      </w:r>
      <w:r w:rsidR="00CE024E" w:rsidRPr="00027664">
        <w:rPr>
          <w:sz w:val="26"/>
        </w:rPr>
        <w:t xml:space="preserve"> </w:t>
      </w:r>
      <w:r w:rsidRPr="00027664">
        <w:rPr>
          <w:sz w:val="26"/>
        </w:rPr>
        <w:lastRenderedPageBreak/>
        <w:t>(Petition), filed by</w:t>
      </w:r>
      <w:r w:rsidR="00F248A4">
        <w:rPr>
          <w:sz w:val="26"/>
        </w:rPr>
        <w:t xml:space="preserve"> </w:t>
      </w:r>
      <w:r w:rsidR="006F513C">
        <w:rPr>
          <w:sz w:val="26"/>
        </w:rPr>
        <w:t xml:space="preserve">the Office of Consumer Advocate </w:t>
      </w:r>
      <w:r w:rsidR="004D78EC">
        <w:rPr>
          <w:sz w:val="26"/>
        </w:rPr>
        <w:t>(</w:t>
      </w:r>
      <w:r w:rsidR="006F513C">
        <w:rPr>
          <w:sz w:val="26"/>
        </w:rPr>
        <w:t>OCA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6F513C">
        <w:rPr>
          <w:sz w:val="26"/>
        </w:rPr>
        <w:t>January 14, 2013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6F513C">
        <w:rPr>
          <w:sz w:val="26"/>
        </w:rPr>
        <w:t>December 28, 2012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6F513C">
        <w:rPr>
          <w:sz w:val="26"/>
        </w:rPr>
        <w:t xml:space="preserve"> end</w:t>
      </w:r>
      <w:r w:rsidR="000F1318" w:rsidRPr="00027664">
        <w:rPr>
          <w:sz w:val="26"/>
        </w:rPr>
        <w:t>s</w:t>
      </w:r>
      <w:r w:rsidR="006F513C">
        <w:rPr>
          <w:sz w:val="26"/>
        </w:rPr>
        <w:t xml:space="preserve"> on</w:t>
      </w:r>
      <w:r w:rsidR="008B6B0E">
        <w:rPr>
          <w:sz w:val="26"/>
        </w:rPr>
        <w:t xml:space="preserve"> </w:t>
      </w:r>
      <w:r w:rsidR="006F513C">
        <w:rPr>
          <w:sz w:val="26"/>
        </w:rPr>
        <w:t>January 28, 2013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F513C">
        <w:rPr>
          <w:sz w:val="26"/>
          <w:szCs w:val="26"/>
        </w:rPr>
        <w:t xml:space="preserve"> January</w:t>
      </w:r>
      <w:r w:rsidR="00CE024E">
        <w:rPr>
          <w:sz w:val="26"/>
          <w:szCs w:val="26"/>
        </w:rPr>
        <w:t> </w:t>
      </w:r>
      <w:r w:rsidR="006F513C">
        <w:rPr>
          <w:sz w:val="26"/>
          <w:szCs w:val="26"/>
        </w:rPr>
        <w:t>14, 2013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6F513C">
        <w:rPr>
          <w:sz w:val="26"/>
          <w:szCs w:val="26"/>
        </w:rPr>
        <w:t>the Office of Consumer Advocate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3A15E4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ED3702B" wp14:editId="2082EFD9">
            <wp:simplePos x="0" y="0"/>
            <wp:positionH relativeFrom="column">
              <wp:posOffset>3531870</wp:posOffset>
            </wp:positionH>
            <wp:positionV relativeFrom="paragraph">
              <wp:posOffset>8890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6F513C">
        <w:rPr>
          <w:sz w:val="26"/>
          <w:szCs w:val="26"/>
        </w:rPr>
        <w:t xml:space="preserve">  January 24,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3A15E4">
        <w:rPr>
          <w:sz w:val="26"/>
          <w:szCs w:val="26"/>
        </w:rPr>
        <w:t>January 24, 2013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sectPr w:rsidR="000F1318" w:rsidRPr="00027664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5C" w:rsidRDefault="00CA5A5C">
      <w:r>
        <w:separator/>
      </w:r>
    </w:p>
  </w:endnote>
  <w:endnote w:type="continuationSeparator" w:id="0">
    <w:p w:rsidR="00CA5A5C" w:rsidRDefault="00CA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3A15E4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5C" w:rsidRDefault="00CA5A5C">
      <w:r>
        <w:separator/>
      </w:r>
    </w:p>
  </w:footnote>
  <w:footnote w:type="continuationSeparator" w:id="0">
    <w:p w:rsidR="00CA5A5C" w:rsidRDefault="00CA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311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5E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3C9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13C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564B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0605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5A5C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4E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6</cp:revision>
  <cp:lastPrinted>2013-01-24T12:47:00Z</cp:lastPrinted>
  <dcterms:created xsi:type="dcterms:W3CDTF">2013-01-14T17:51:00Z</dcterms:created>
  <dcterms:modified xsi:type="dcterms:W3CDTF">2013-01-24T12:47:00Z</dcterms:modified>
</cp:coreProperties>
</file>